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457835</wp:posOffset>
            </wp:positionH>
            <wp:positionV relativeFrom="page">
              <wp:posOffset>612140</wp:posOffset>
            </wp:positionV>
            <wp:extent cx="6646545"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46545" cy="17145"/>
                    </a:xfrm>
                    <a:prstGeom prst="rect">
                      <a:avLst/>
                    </a:prstGeom>
                    <a:noFill/>
                  </pic:spPr>
                </pic:pic>
              </a:graphicData>
            </a:graphic>
          </wp:anchor>
        </w:drawing>
        <w:t>UNITED STATES</w:t>
      </w:r>
    </w:p>
    <w:p>
      <w:pPr>
        <w:spacing w:after="0" w:line="9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164"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WASHINGTON, D.C. 20549</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10-K</w:t>
      </w:r>
    </w:p>
    <w:p>
      <w:pPr>
        <w:spacing w:after="0" w:line="172" w:lineRule="exact"/>
        <w:rPr>
          <w:sz w:val="24"/>
          <w:szCs w:val="24"/>
          <w:color w:val="auto"/>
        </w:rPr>
      </w:pPr>
    </w:p>
    <w:p>
      <w:pPr>
        <w:ind w:left="380" w:hanging="291"/>
        <w:spacing w:after="0"/>
        <w:tabs>
          <w:tab w:leader="none" w:pos="380" w:val="left"/>
        </w:tabs>
        <w:numPr>
          <w:ilvl w:val="0"/>
          <w:numId w:val="1"/>
        </w:numPr>
        <w:rPr>
          <w:rFonts w:ascii="MS PGothic" w:cs="MS PGothic" w:eastAsia="MS PGothic" w:hAnsi="MS PGothic"/>
          <w:sz w:val="21"/>
          <w:szCs w:val="21"/>
          <w:color w:val="auto"/>
        </w:rPr>
      </w:pPr>
      <w:r>
        <w:rPr>
          <w:rFonts w:ascii="Arial" w:cs="Arial" w:eastAsia="Arial" w:hAnsi="Arial"/>
          <w:sz w:val="21"/>
          <w:szCs w:val="21"/>
          <w:b w:val="1"/>
          <w:bCs w:val="1"/>
          <w:color w:val="auto"/>
        </w:rPr>
        <w:t>Annual Report Pursuant to Section 13 or 15(d) of the Securities Exchange Act of 1934</w:t>
      </w:r>
    </w:p>
    <w:p>
      <w:pPr>
        <w:spacing w:after="0" w:line="77" w:lineRule="exact"/>
        <w:rPr>
          <w:sz w:val="24"/>
          <w:szCs w:val="24"/>
          <w:color w:val="auto"/>
        </w:rPr>
      </w:pPr>
    </w:p>
    <w:p>
      <w:pPr>
        <w:ind w:left="3540"/>
        <w:spacing w:after="0"/>
        <w:rPr>
          <w:sz w:val="20"/>
          <w:szCs w:val="20"/>
          <w:color w:val="auto"/>
        </w:rPr>
      </w:pPr>
      <w:r>
        <w:rPr>
          <w:rFonts w:ascii="Arial" w:cs="Arial" w:eastAsia="Arial" w:hAnsi="Arial"/>
          <w:sz w:val="14"/>
          <w:szCs w:val="14"/>
          <w:b w:val="1"/>
          <w:bCs w:val="1"/>
          <w:color w:val="auto"/>
        </w:rPr>
        <w:t>For the fiscal year ended March 31, 2018</w:t>
      </w:r>
    </w:p>
    <w:p>
      <w:pPr>
        <w:spacing w:after="0" w:line="106" w:lineRule="exact"/>
        <w:rPr>
          <w:sz w:val="24"/>
          <w:szCs w:val="24"/>
          <w:color w:val="auto"/>
        </w:rPr>
      </w:pPr>
    </w:p>
    <w:p>
      <w:pPr>
        <w:ind w:left="4520"/>
        <w:spacing w:after="0"/>
        <w:rPr>
          <w:sz w:val="20"/>
          <w:szCs w:val="20"/>
          <w:color w:val="auto"/>
        </w:rPr>
      </w:pPr>
      <w:r>
        <w:rPr>
          <w:rFonts w:ascii="Arial" w:cs="Arial" w:eastAsia="Arial" w:hAnsi="Arial"/>
          <w:sz w:val="14"/>
          <w:szCs w:val="14"/>
          <w:b w:val="1"/>
          <w:bCs w:val="1"/>
          <w:color w:val="auto"/>
        </w:rPr>
        <w:t>OR</w:t>
      </w:r>
    </w:p>
    <w:p>
      <w:pPr>
        <w:spacing w:after="0" w:line="37" w:lineRule="exact"/>
        <w:rPr>
          <w:sz w:val="24"/>
          <w:szCs w:val="24"/>
          <w:color w:val="auto"/>
        </w:rPr>
      </w:pPr>
    </w:p>
    <w:p>
      <w:pPr>
        <w:ind w:left="380" w:hanging="250"/>
        <w:spacing w:after="0"/>
        <w:tabs>
          <w:tab w:leader="none" w:pos="380" w:val="left"/>
        </w:tabs>
        <w:numPr>
          <w:ilvl w:val="0"/>
          <w:numId w:val="2"/>
        </w:numPr>
        <w:rPr>
          <w:rFonts w:ascii="Arial" w:cs="Arial" w:eastAsia="Arial" w:hAnsi="Arial"/>
          <w:sz w:val="19"/>
          <w:szCs w:val="19"/>
          <w:color w:val="auto"/>
        </w:rPr>
      </w:pPr>
      <w:r>
        <w:rPr>
          <w:rFonts w:ascii="Arial" w:cs="Arial" w:eastAsia="Arial" w:hAnsi="Arial"/>
          <w:sz w:val="19"/>
          <w:szCs w:val="19"/>
          <w:b w:val="1"/>
          <w:bCs w:val="1"/>
          <w:color w:val="auto"/>
        </w:rPr>
        <w:t>Transition Report Pursuant to Section 13 or 15(d) of the Securities Exchange Act of 1934</w:t>
      </w:r>
    </w:p>
    <w:p>
      <w:pPr>
        <w:spacing w:after="0" w:line="83" w:lineRule="exact"/>
        <w:rPr>
          <w:sz w:val="24"/>
          <w:szCs w:val="24"/>
          <w:color w:val="auto"/>
        </w:rPr>
      </w:pPr>
    </w:p>
    <w:p>
      <w:pPr>
        <w:ind w:left="2480"/>
        <w:spacing w:after="0"/>
        <w:tabs>
          <w:tab w:leader="none" w:pos="5600" w:val="left"/>
          <w:tab w:leader="none" w:pos="7060" w:val="left"/>
        </w:tabs>
        <w:rPr>
          <w:sz w:val="20"/>
          <w:szCs w:val="20"/>
          <w:color w:val="auto"/>
        </w:rPr>
      </w:pPr>
      <w:r>
        <w:rPr>
          <w:rFonts w:ascii="Arial" w:cs="Arial" w:eastAsia="Arial" w:hAnsi="Arial"/>
          <w:sz w:val="14"/>
          <w:szCs w:val="14"/>
          <w:b w:val="1"/>
          <w:bCs w:val="1"/>
          <w:color w:val="auto"/>
        </w:rPr>
        <w:t>For the transition period from</w:t>
      </w:r>
      <w:r>
        <w:rPr>
          <w:sz w:val="20"/>
          <w:szCs w:val="20"/>
          <w:color w:val="auto"/>
        </w:rPr>
        <w:tab/>
      </w:r>
      <w:r>
        <w:rPr>
          <w:rFonts w:ascii="Arial" w:cs="Arial" w:eastAsia="Arial" w:hAnsi="Arial"/>
          <w:sz w:val="14"/>
          <w:szCs w:val="14"/>
          <w:b w:val="1"/>
          <w:bCs w:val="1"/>
          <w:color w:val="auto"/>
        </w:rPr>
        <w:t>to</w:t>
      </w:r>
      <w:r>
        <w:rPr>
          <w:sz w:val="20"/>
          <w:szCs w:val="20"/>
          <w:color w:val="auto"/>
        </w:rPr>
        <w:tab/>
      </w:r>
      <w:r>
        <w:rPr>
          <w:rFonts w:ascii="Arial" w:cs="Arial" w:eastAsia="Arial" w:hAnsi="Arial"/>
          <w:sz w:val="14"/>
          <w:szCs w:val="14"/>
          <w:b w:val="1"/>
          <w:bCs w:val="1"/>
          <w:color w:val="auto"/>
        </w:rPr>
        <w:t>.</w:t>
      </w:r>
    </w:p>
    <w:p>
      <w:pPr>
        <w:spacing w:after="0" w:line="217"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Commission file number 001-34003</w:t>
      </w:r>
    </w:p>
    <w:p>
      <w:pPr>
        <w:spacing w:after="0" w:line="266"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TAKE-TWO INTERACTIVE SOFTWARE, INC.</w:t>
      </w:r>
    </w:p>
    <w:p>
      <w:pPr>
        <w:spacing w:after="0" w:line="289" w:lineRule="exact"/>
        <w:rPr>
          <w:sz w:val="24"/>
          <w:szCs w:val="24"/>
          <w:color w:val="auto"/>
        </w:rPr>
      </w:pPr>
    </w:p>
    <w:tbl>
      <w:tblPr>
        <w:tblLayout w:type="fixed"/>
        <w:tblInd w:w="1860" w:type="dxa"/>
        <w:tblCellMar>
          <w:top w:w="0" w:type="dxa"/>
          <w:left w:w="0" w:type="dxa"/>
          <w:bottom w:w="0" w:type="dxa"/>
          <w:right w:w="0" w:type="dxa"/>
        </w:tblCellMar>
      </w:tblPr>
      <w:tr>
        <w:trPr>
          <w:trHeight w:val="182"/>
        </w:trPr>
        <w:tc>
          <w:tcPr>
            <w:tcW w:w="2320" w:type="dxa"/>
            <w:vAlign w:val="bottom"/>
          </w:tcPr>
          <w:p>
            <w:pPr>
              <w:spacing w:after="0"/>
              <w:rPr>
                <w:sz w:val="15"/>
                <w:szCs w:val="15"/>
                <w:color w:val="auto"/>
              </w:rPr>
            </w:pPr>
          </w:p>
        </w:tc>
        <w:tc>
          <w:tcPr>
            <w:tcW w:w="4800" w:type="dxa"/>
            <w:vAlign w:val="bottom"/>
          </w:tcPr>
          <w:p>
            <w:pPr>
              <w:ind w:left="40"/>
              <w:spacing w:after="0"/>
              <w:rPr>
                <w:sz w:val="20"/>
                <w:szCs w:val="20"/>
                <w:color w:val="auto"/>
              </w:rPr>
            </w:pPr>
            <w:r>
              <w:rPr>
                <w:rFonts w:ascii="Arial" w:cs="Arial" w:eastAsia="Arial" w:hAnsi="Arial"/>
                <w:sz w:val="14"/>
                <w:szCs w:val="14"/>
                <w:color w:val="auto"/>
              </w:rPr>
              <w:t>(Exact name of registrant as specified in its charter)</w:t>
            </w:r>
          </w:p>
        </w:tc>
        <w:tc>
          <w:tcPr>
            <w:tcW w:w="0" w:type="dxa"/>
            <w:vAlign w:val="bottom"/>
          </w:tcPr>
          <w:p>
            <w:pPr>
              <w:spacing w:after="0"/>
              <w:rPr>
                <w:sz w:val="1"/>
                <w:szCs w:val="1"/>
                <w:color w:val="auto"/>
              </w:rPr>
            </w:pPr>
          </w:p>
        </w:tc>
      </w:tr>
      <w:tr>
        <w:trPr>
          <w:trHeight w:val="290"/>
        </w:trPr>
        <w:tc>
          <w:tcPr>
            <w:tcW w:w="2320" w:type="dxa"/>
            <w:vAlign w:val="bottom"/>
          </w:tcPr>
          <w:p>
            <w:pPr>
              <w:jc w:val="center"/>
              <w:spacing w:after="0"/>
              <w:rPr>
                <w:sz w:val="20"/>
                <w:szCs w:val="20"/>
                <w:color w:val="auto"/>
              </w:rPr>
            </w:pPr>
            <w:r>
              <w:rPr>
                <w:rFonts w:ascii="Arial" w:cs="Arial" w:eastAsia="Arial" w:hAnsi="Arial"/>
                <w:sz w:val="14"/>
                <w:szCs w:val="14"/>
                <w:b w:val="1"/>
                <w:bCs w:val="1"/>
                <w:color w:val="auto"/>
                <w:w w:val="94"/>
              </w:rPr>
              <w:t>Delaware</w:t>
            </w:r>
          </w:p>
        </w:tc>
        <w:tc>
          <w:tcPr>
            <w:tcW w:w="4800" w:type="dxa"/>
            <w:vAlign w:val="bottom"/>
          </w:tcPr>
          <w:p>
            <w:pPr>
              <w:jc w:val="right"/>
              <w:ind w:right="128"/>
              <w:spacing w:after="0"/>
              <w:rPr>
                <w:sz w:val="20"/>
                <w:szCs w:val="20"/>
                <w:color w:val="auto"/>
              </w:rPr>
            </w:pPr>
            <w:r>
              <w:rPr>
                <w:rFonts w:ascii="Arial" w:cs="Arial" w:eastAsia="Arial" w:hAnsi="Arial"/>
                <w:sz w:val="14"/>
                <w:szCs w:val="14"/>
                <w:b w:val="1"/>
                <w:bCs w:val="1"/>
                <w:color w:val="auto"/>
              </w:rPr>
              <w:t>51-0350842</w:t>
            </w:r>
          </w:p>
        </w:tc>
        <w:tc>
          <w:tcPr>
            <w:tcW w:w="0" w:type="dxa"/>
            <w:vAlign w:val="bottom"/>
          </w:tcPr>
          <w:p>
            <w:pPr>
              <w:spacing w:after="0"/>
              <w:rPr>
                <w:sz w:val="1"/>
                <w:szCs w:val="1"/>
                <w:color w:val="auto"/>
              </w:rPr>
            </w:pPr>
          </w:p>
        </w:tc>
      </w:tr>
      <w:tr>
        <w:trPr>
          <w:trHeight w:val="149"/>
        </w:trPr>
        <w:tc>
          <w:tcPr>
            <w:tcW w:w="2320" w:type="dxa"/>
            <w:vAlign w:val="bottom"/>
          </w:tcPr>
          <w:p>
            <w:pPr>
              <w:jc w:val="center"/>
              <w:spacing w:after="0" w:line="149" w:lineRule="exact"/>
              <w:rPr>
                <w:sz w:val="20"/>
                <w:szCs w:val="20"/>
                <w:color w:val="auto"/>
              </w:rPr>
            </w:pPr>
            <w:r>
              <w:rPr>
                <w:rFonts w:ascii="Arial" w:cs="Arial" w:eastAsia="Arial" w:hAnsi="Arial"/>
                <w:sz w:val="14"/>
                <w:szCs w:val="14"/>
                <w:color w:val="auto"/>
                <w:w w:val="94"/>
              </w:rPr>
              <w:t>(State or Other Jurisdiction of</w:t>
            </w:r>
          </w:p>
        </w:tc>
        <w:tc>
          <w:tcPr>
            <w:tcW w:w="4800" w:type="dxa"/>
            <w:vAlign w:val="bottom"/>
          </w:tcPr>
          <w:p>
            <w:pPr>
              <w:jc w:val="center"/>
              <w:ind w:left="3628"/>
              <w:spacing w:after="0" w:line="149" w:lineRule="exact"/>
              <w:rPr>
                <w:sz w:val="20"/>
                <w:szCs w:val="20"/>
                <w:color w:val="auto"/>
              </w:rPr>
            </w:pPr>
            <w:r>
              <w:rPr>
                <w:rFonts w:ascii="Arial" w:cs="Arial" w:eastAsia="Arial" w:hAnsi="Arial"/>
                <w:sz w:val="14"/>
                <w:szCs w:val="14"/>
                <w:color w:val="auto"/>
                <w:w w:val="95"/>
              </w:rPr>
              <w:t>(I.R.S. Employer</w:t>
            </w:r>
          </w:p>
        </w:tc>
        <w:tc>
          <w:tcPr>
            <w:tcW w:w="0" w:type="dxa"/>
            <w:vAlign w:val="bottom"/>
          </w:tcPr>
          <w:p>
            <w:pPr>
              <w:spacing w:after="0"/>
              <w:rPr>
                <w:sz w:val="1"/>
                <w:szCs w:val="1"/>
                <w:color w:val="auto"/>
              </w:rPr>
            </w:pPr>
          </w:p>
        </w:tc>
      </w:tr>
      <w:tr>
        <w:trPr>
          <w:trHeight w:val="182"/>
        </w:trPr>
        <w:tc>
          <w:tcPr>
            <w:tcW w:w="2320" w:type="dxa"/>
            <w:vAlign w:val="bottom"/>
          </w:tcPr>
          <w:p>
            <w:pPr>
              <w:jc w:val="center"/>
              <w:spacing w:after="0"/>
              <w:rPr>
                <w:sz w:val="20"/>
                <w:szCs w:val="20"/>
                <w:color w:val="auto"/>
              </w:rPr>
            </w:pPr>
            <w:r>
              <w:rPr>
                <w:rFonts w:ascii="Arial" w:cs="Arial" w:eastAsia="Arial" w:hAnsi="Arial"/>
                <w:sz w:val="14"/>
                <w:szCs w:val="14"/>
                <w:color w:val="auto"/>
                <w:w w:val="95"/>
              </w:rPr>
              <w:t>Incorporation or Organization)</w:t>
            </w:r>
          </w:p>
        </w:tc>
        <w:tc>
          <w:tcPr>
            <w:tcW w:w="4800" w:type="dxa"/>
            <w:vAlign w:val="bottom"/>
          </w:tcPr>
          <w:p>
            <w:pPr>
              <w:jc w:val="center"/>
              <w:ind w:left="3648"/>
              <w:spacing w:after="0"/>
              <w:rPr>
                <w:sz w:val="20"/>
                <w:szCs w:val="20"/>
                <w:color w:val="auto"/>
              </w:rPr>
            </w:pPr>
            <w:r>
              <w:rPr>
                <w:rFonts w:ascii="Arial" w:cs="Arial" w:eastAsia="Arial" w:hAnsi="Arial"/>
                <w:sz w:val="14"/>
                <w:szCs w:val="14"/>
                <w:color w:val="auto"/>
                <w:w w:val="99"/>
              </w:rPr>
              <w:t>Identification No.)</w:t>
            </w:r>
          </w:p>
        </w:tc>
        <w:tc>
          <w:tcPr>
            <w:tcW w:w="0" w:type="dxa"/>
            <w:vAlign w:val="bottom"/>
          </w:tcPr>
          <w:p>
            <w:pPr>
              <w:spacing w:after="0"/>
              <w:rPr>
                <w:sz w:val="1"/>
                <w:szCs w:val="1"/>
                <w:color w:val="auto"/>
              </w:rPr>
            </w:pPr>
          </w:p>
        </w:tc>
      </w:tr>
      <w:tr>
        <w:trPr>
          <w:trHeight w:val="165"/>
        </w:trPr>
        <w:tc>
          <w:tcPr>
            <w:tcW w:w="2320" w:type="dxa"/>
            <w:vAlign w:val="bottom"/>
          </w:tcPr>
          <w:p>
            <w:pPr>
              <w:jc w:val="center"/>
              <w:spacing w:after="0"/>
              <w:rPr>
                <w:sz w:val="20"/>
                <w:szCs w:val="20"/>
                <w:color w:val="auto"/>
              </w:rPr>
            </w:pPr>
            <w:r>
              <w:rPr>
                <w:rFonts w:ascii="Arial" w:cs="Arial" w:eastAsia="Arial" w:hAnsi="Arial"/>
                <w:sz w:val="14"/>
                <w:szCs w:val="14"/>
                <w:b w:val="1"/>
                <w:bCs w:val="1"/>
                <w:color w:val="auto"/>
                <w:w w:val="91"/>
              </w:rPr>
              <w:t>110 West 44th Street</w:t>
            </w:r>
          </w:p>
        </w:tc>
        <w:tc>
          <w:tcPr>
            <w:tcW w:w="480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10036</w:t>
            </w:r>
          </w:p>
        </w:tc>
        <w:tc>
          <w:tcPr>
            <w:tcW w:w="0" w:type="dxa"/>
            <w:vAlign w:val="bottom"/>
          </w:tcPr>
          <w:p>
            <w:pPr>
              <w:spacing w:after="0"/>
              <w:rPr>
                <w:sz w:val="1"/>
                <w:szCs w:val="1"/>
                <w:color w:val="auto"/>
              </w:rPr>
            </w:pPr>
          </w:p>
        </w:tc>
      </w:tr>
      <w:tr>
        <w:trPr>
          <w:trHeight w:val="153"/>
        </w:trPr>
        <w:tc>
          <w:tcPr>
            <w:tcW w:w="23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5"/>
              </w:rPr>
              <w:t>New York, New York</w:t>
            </w:r>
          </w:p>
        </w:tc>
        <w:tc>
          <w:tcPr>
            <w:tcW w:w="480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2320" w:type="dxa"/>
            <w:vAlign w:val="bottom"/>
          </w:tcPr>
          <w:p>
            <w:pPr>
              <w:jc w:val="center"/>
              <w:spacing w:after="0"/>
              <w:rPr>
                <w:sz w:val="20"/>
                <w:szCs w:val="20"/>
                <w:color w:val="auto"/>
              </w:rPr>
            </w:pPr>
            <w:r>
              <w:rPr>
                <w:rFonts w:ascii="Arial" w:cs="Arial" w:eastAsia="Arial" w:hAnsi="Arial"/>
                <w:sz w:val="14"/>
                <w:szCs w:val="14"/>
                <w:color w:val="auto"/>
                <w:w w:val="95"/>
              </w:rPr>
              <w:t>(Address of principal executive offices)</w:t>
            </w:r>
          </w:p>
        </w:tc>
        <w:tc>
          <w:tcPr>
            <w:tcW w:w="4800" w:type="dxa"/>
            <w:vAlign w:val="bottom"/>
          </w:tcPr>
          <w:p>
            <w:pPr>
              <w:jc w:val="center"/>
              <w:ind w:left="3648"/>
              <w:spacing w:after="0"/>
              <w:rPr>
                <w:sz w:val="20"/>
                <w:szCs w:val="20"/>
                <w:color w:val="auto"/>
              </w:rPr>
            </w:pPr>
            <w:r>
              <w:rPr>
                <w:rFonts w:ascii="Arial" w:cs="Arial" w:eastAsia="Arial" w:hAnsi="Arial"/>
                <w:sz w:val="14"/>
                <w:szCs w:val="14"/>
                <w:color w:val="auto"/>
                <w:w w:val="96"/>
              </w:rPr>
              <w:t>(Zip Code)</w:t>
            </w:r>
          </w:p>
        </w:tc>
        <w:tc>
          <w:tcPr>
            <w:tcW w:w="0" w:type="dxa"/>
            <w:vAlign w:val="bottom"/>
          </w:tcPr>
          <w:p>
            <w:pPr>
              <w:spacing w:after="0"/>
              <w:rPr>
                <w:sz w:val="1"/>
                <w:szCs w:val="1"/>
                <w:color w:val="auto"/>
              </w:rPr>
            </w:pPr>
          </w:p>
        </w:tc>
      </w:tr>
    </w:tbl>
    <w:p>
      <w:pPr>
        <w:spacing w:after="0" w:line="300"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 xml:space="preserve">Registrant's Telephone Number, Including Area Code: </w:t>
      </w:r>
      <w:r>
        <w:rPr>
          <w:rFonts w:ascii="Arial" w:cs="Arial" w:eastAsia="Arial" w:hAnsi="Arial"/>
          <w:sz w:val="14"/>
          <w:szCs w:val="14"/>
          <w:b w:val="1"/>
          <w:bCs w:val="1"/>
          <w:color w:val="auto"/>
        </w:rPr>
        <w:t>(646) 536-2842</w:t>
      </w:r>
    </w:p>
    <w:p>
      <w:pPr>
        <w:sectPr>
          <w:pgSz w:w="11900" w:h="16838" w:orient="portrait"/>
          <w:cols w:equalWidth="0" w:num="1">
            <w:col w:w="11420"/>
          </w:cols>
          <w:pgMar w:left="240" w:top="1017" w:right="23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ind w:left="2460"/>
        <w:spacing w:after="0"/>
        <w:rPr>
          <w:sz w:val="20"/>
          <w:szCs w:val="20"/>
          <w:color w:val="auto"/>
        </w:rPr>
      </w:pPr>
      <w:r>
        <w:rPr>
          <w:rFonts w:ascii="Arial" w:cs="Arial" w:eastAsia="Arial" w:hAnsi="Arial"/>
          <w:sz w:val="12"/>
          <w:szCs w:val="12"/>
          <w:b w:val="1"/>
          <w:bCs w:val="1"/>
          <w:color w:val="auto"/>
        </w:rPr>
        <w:t>Title of each class</w:t>
      </w:r>
    </w:p>
    <w:p>
      <w:pPr>
        <w:spacing w:after="0" w:line="20" w:lineRule="exact"/>
        <w:rPr>
          <w:sz w:val="24"/>
          <w:szCs w:val="24"/>
          <w:color w:val="auto"/>
        </w:rPr>
      </w:pPr>
      <w:r>
        <w:rPr>
          <w:sz w:val="24"/>
          <w:szCs w:val="24"/>
          <w:color w:val="auto"/>
        </w:rPr>
        <w:br w:type="column"/>
      </w:r>
    </w:p>
    <w:p>
      <w:pPr>
        <w:spacing w:after="0" w:line="278"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Securities registered pursuant to Section 12(b) of the Act:</w:t>
      </w:r>
    </w:p>
    <w:p>
      <w:pPr>
        <w:spacing w:after="0" w:line="163" w:lineRule="exact"/>
        <w:rPr>
          <w:sz w:val="24"/>
          <w:szCs w:val="24"/>
          <w:color w:val="auto"/>
        </w:rPr>
      </w:pPr>
    </w:p>
    <w:p>
      <w:pPr>
        <w:ind w:left="3140"/>
        <w:spacing w:after="0"/>
        <w:rPr>
          <w:sz w:val="20"/>
          <w:szCs w:val="20"/>
          <w:color w:val="auto"/>
        </w:rPr>
      </w:pPr>
      <w:r>
        <w:rPr>
          <w:rFonts w:ascii="Arial" w:cs="Arial" w:eastAsia="Arial" w:hAnsi="Arial"/>
          <w:sz w:val="12"/>
          <w:szCs w:val="12"/>
          <w:b w:val="1"/>
          <w:bCs w:val="1"/>
          <w:color w:val="auto"/>
        </w:rPr>
        <w:t>Name of each exchange on which registered</w:t>
      </w:r>
    </w:p>
    <w:p>
      <w:pPr>
        <w:spacing w:after="0" w:line="69" w:lineRule="exact"/>
        <w:rPr>
          <w:sz w:val="24"/>
          <w:szCs w:val="24"/>
          <w:color w:val="auto"/>
        </w:rPr>
      </w:pPr>
    </w:p>
    <w:p>
      <w:pPr>
        <w:sectPr>
          <w:pgSz w:w="11900" w:h="16838" w:orient="portrait"/>
          <w:cols w:equalWidth="0" w:num="2">
            <w:col w:w="3540" w:space="420"/>
            <w:col w:w="7460"/>
          </w:cols>
          <w:pgMar w:left="240" w:top="1017" w:right="239" w:bottom="1440" w:gutter="0" w:footer="0" w:header="0"/>
          <w:type w:val="continuous"/>
        </w:sectPr>
      </w:pPr>
    </w:p>
    <w:p>
      <w:pPr>
        <w:ind w:left="2100"/>
        <w:spacing w:after="0"/>
        <w:rPr>
          <w:sz w:val="20"/>
          <w:szCs w:val="20"/>
          <w:color w:val="auto"/>
        </w:rPr>
      </w:pPr>
      <w:r>
        <w:rPr>
          <w:rFonts w:ascii="Arial" w:cs="Arial" w:eastAsia="Arial" w:hAnsi="Arial"/>
          <w:sz w:val="12"/>
          <w:szCs w:val="12"/>
          <w:color w:val="auto"/>
        </w:rPr>
        <w:t>Common Stock, $.01 par value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NASDAQ Global Select Market</w:t>
      </w:r>
    </w:p>
    <w:p>
      <w:pPr>
        <w:spacing w:after="0" w:line="200" w:lineRule="exact"/>
        <w:rPr>
          <w:sz w:val="24"/>
          <w:szCs w:val="24"/>
          <w:color w:val="auto"/>
        </w:rPr>
      </w:pPr>
    </w:p>
    <w:p>
      <w:pPr>
        <w:sectPr>
          <w:pgSz w:w="11900" w:h="16838" w:orient="portrait"/>
          <w:cols w:equalWidth="0" w:num="2">
            <w:col w:w="6780" w:space="720"/>
            <w:col w:w="3920"/>
          </w:cols>
          <w:pgMar w:left="240" w:top="1017" w:right="239" w:bottom="1440" w:gutter="0" w:footer="0" w:header="0"/>
          <w:type w:val="continuous"/>
        </w:sectPr>
      </w:pPr>
    </w:p>
    <w:p>
      <w:pPr>
        <w:spacing w:after="0" w:line="9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Securities registered pursuant to Section 12(g) of the Act: None</w:t>
      </w:r>
    </w:p>
    <w:p>
      <w:pPr>
        <w:spacing w:after="0" w:line="248" w:lineRule="exact"/>
        <w:rPr>
          <w:sz w:val="24"/>
          <w:szCs w:val="24"/>
          <w:color w:val="auto"/>
        </w:rPr>
      </w:pPr>
    </w:p>
    <w:p>
      <w:pPr>
        <w:spacing w:after="0" w:line="161" w:lineRule="exact"/>
        <w:tabs>
          <w:tab w:leader="none" w:pos="6880" w:val="left"/>
        </w:tabs>
        <w:rPr>
          <w:sz w:val="20"/>
          <w:szCs w:val="20"/>
          <w:color w:val="auto"/>
        </w:rPr>
      </w:pPr>
      <w:r>
        <w:rPr>
          <w:rFonts w:ascii="Arial" w:cs="Arial" w:eastAsia="Arial" w:hAnsi="Arial"/>
          <w:sz w:val="14"/>
          <w:szCs w:val="14"/>
          <w:color w:val="auto"/>
        </w:rPr>
        <w:t>Indicate by check mark if the registrant is a well-known seasoned issuer, as defined in Rule 405 of the Securities Act.</w:t>
      </w:r>
      <w:r>
        <w:rPr>
          <w:sz w:val="20"/>
          <w:szCs w:val="20"/>
          <w:color w:val="auto"/>
        </w:rPr>
        <w:tab/>
      </w:r>
      <w:r>
        <w:rPr>
          <w:rFonts w:ascii="Arial" w:cs="Arial" w:eastAsia="Arial" w:hAnsi="Arial"/>
          <w:sz w:val="12"/>
          <w:szCs w:val="12"/>
          <w:color w:val="auto"/>
        </w:rPr>
        <w:t xml:space="preserve">Yes </w:t>
      </w:r>
      <w:r>
        <w:rPr>
          <w:rFonts w:ascii="MS PGothic" w:cs="MS PGothic" w:eastAsia="MS PGothic" w:hAnsi="MS PGothic"/>
          <w:sz w:val="12"/>
          <w:szCs w:val="12"/>
          <w:color w:val="auto"/>
        </w:rPr>
        <w:t>☒</w:t>
      </w:r>
      <w:r>
        <w:rPr>
          <w:rFonts w:ascii="Arial" w:cs="Arial" w:eastAsia="Arial" w:hAnsi="Arial"/>
          <w:sz w:val="12"/>
          <w:szCs w:val="12"/>
          <w:color w:val="auto"/>
        </w:rPr>
        <w:t xml:space="preserve"> No o</w:t>
      </w:r>
    </w:p>
    <w:p>
      <w:pPr>
        <w:spacing w:after="0" w:line="271" w:lineRule="exact"/>
        <w:rPr>
          <w:sz w:val="24"/>
          <w:szCs w:val="24"/>
          <w:color w:val="auto"/>
        </w:rPr>
      </w:pPr>
    </w:p>
    <w:p>
      <w:pPr>
        <w:spacing w:after="0" w:line="161" w:lineRule="exact"/>
        <w:tabs>
          <w:tab w:leader="none" w:pos="7020" w:val="left"/>
        </w:tabs>
        <w:rPr>
          <w:sz w:val="20"/>
          <w:szCs w:val="20"/>
          <w:color w:val="auto"/>
        </w:rPr>
      </w:pPr>
      <w:r>
        <w:rPr>
          <w:rFonts w:ascii="Arial" w:cs="Arial" w:eastAsia="Arial" w:hAnsi="Arial"/>
          <w:sz w:val="14"/>
          <w:szCs w:val="14"/>
          <w:color w:val="auto"/>
        </w:rPr>
        <w:t>Indicate by check mark if the registrant is not required to file reports pursuant to Section 13 or Section 15(d) of the Act.</w:t>
      </w:r>
      <w:r>
        <w:rPr>
          <w:sz w:val="20"/>
          <w:szCs w:val="20"/>
          <w:color w:val="auto"/>
        </w:rPr>
        <w:tab/>
      </w:r>
      <w:r>
        <w:rPr>
          <w:rFonts w:ascii="Arial" w:cs="Arial" w:eastAsia="Arial" w:hAnsi="Arial"/>
          <w:sz w:val="12"/>
          <w:szCs w:val="12"/>
          <w:color w:val="auto"/>
        </w:rPr>
        <w:t xml:space="preserve">Yes o No </w:t>
      </w:r>
      <w:r>
        <w:rPr>
          <w:rFonts w:ascii="MS PGothic" w:cs="MS PGothic" w:eastAsia="MS PGothic" w:hAnsi="MS PGothic"/>
          <w:sz w:val="12"/>
          <w:szCs w:val="12"/>
          <w:color w:val="auto"/>
        </w:rPr>
        <w:t>☒</w:t>
      </w:r>
    </w:p>
    <w:p>
      <w:pPr>
        <w:spacing w:after="0" w:line="299" w:lineRule="exact"/>
        <w:rPr>
          <w:sz w:val="24"/>
          <w:szCs w:val="24"/>
          <w:color w:val="auto"/>
        </w:rPr>
      </w:pPr>
    </w:p>
    <w:p>
      <w:pPr>
        <w:spacing w:after="0" w:line="180"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o</w:t>
      </w:r>
    </w:p>
    <w:p>
      <w:pPr>
        <w:spacing w:after="0" w:line="235" w:lineRule="exact"/>
        <w:rPr>
          <w:sz w:val="24"/>
          <w:szCs w:val="24"/>
          <w:color w:val="auto"/>
        </w:rPr>
      </w:pPr>
    </w:p>
    <w:p>
      <w:pPr>
        <w:spacing w:after="0" w:line="181" w:lineRule="exact"/>
        <w:rPr>
          <w:sz w:val="20"/>
          <w:szCs w:val="20"/>
          <w:color w:val="auto"/>
        </w:rPr>
      </w:pPr>
      <w:r>
        <w:rPr>
          <w:rFonts w:ascii="Arial" w:cs="Arial" w:eastAsia="Arial" w:hAnsi="Arial"/>
          <w:sz w:val="13"/>
          <w:szCs w:val="13"/>
          <w:color w:val="auto"/>
        </w:rPr>
        <w:t xml:space="preserve">Indicate by check mark whether the registrant has submitted electronically and posted on its corporate Website,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o</w:t>
      </w:r>
    </w:p>
    <w:p>
      <w:pPr>
        <w:spacing w:after="0" w:line="234" w:lineRule="exact"/>
        <w:rPr>
          <w:sz w:val="24"/>
          <w:szCs w:val="24"/>
          <w:color w:val="auto"/>
        </w:rPr>
      </w:pPr>
    </w:p>
    <w:p>
      <w:pPr>
        <w:spacing w:after="0" w:line="180" w:lineRule="exact"/>
        <w:rPr>
          <w:sz w:val="20"/>
          <w:szCs w:val="20"/>
          <w:color w:val="auto"/>
        </w:rPr>
      </w:pPr>
      <w:r>
        <w:rPr>
          <w:rFonts w:ascii="Arial" w:cs="Arial" w:eastAsia="Arial" w:hAnsi="Arial"/>
          <w:sz w:val="14"/>
          <w:szCs w:val="14"/>
          <w:color w:val="auto"/>
        </w:rPr>
        <w:t xml:space="preserve">Indicate by check mark if disclosure of delinquent filers pursuant to Item 405 of Regulation S-K is not contained herein, and will not be contained, to the best of the Registrant's knowledge, in definitive proxy or information statements incorporated by reference in Part III of this Form 10-K or any amendment to this Form 10-K. </w:t>
      </w:r>
      <w:r>
        <w:rPr>
          <w:rFonts w:ascii="MS PGothic" w:cs="MS PGothic" w:eastAsia="MS PGothic" w:hAnsi="MS PGothic"/>
          <w:sz w:val="14"/>
          <w:szCs w:val="14"/>
          <w:color w:val="auto"/>
        </w:rPr>
        <w:t>☒</w:t>
      </w:r>
    </w:p>
    <w:p>
      <w:pPr>
        <w:spacing w:after="0" w:line="235" w:lineRule="exact"/>
        <w:rPr>
          <w:sz w:val="24"/>
          <w:szCs w:val="24"/>
          <w:color w:val="auto"/>
        </w:rPr>
      </w:pPr>
    </w:p>
    <w:p>
      <w:pPr>
        <w:spacing w:after="0" w:line="273"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(Check one):</w:t>
      </w:r>
    </w:p>
    <w:p>
      <w:pPr>
        <w:spacing w:after="0" w:line="241" w:lineRule="exact"/>
        <w:rPr>
          <w:sz w:val="24"/>
          <w:szCs w:val="24"/>
          <w:color w:val="auto"/>
        </w:rPr>
      </w:pPr>
    </w:p>
    <w:p>
      <w:pPr>
        <w:ind w:left="2220" w:right="400" w:hanging="3859"/>
        <w:spacing w:after="0" w:line="186" w:lineRule="exact"/>
        <w:tabs>
          <w:tab w:leader="none" w:pos="2200" w:val="left"/>
        </w:tabs>
        <w:rPr>
          <w:sz w:val="20"/>
          <w:szCs w:val="20"/>
          <w:color w:val="auto"/>
        </w:rPr>
      </w:pPr>
      <w:r>
        <w:rPr>
          <w:rFonts w:ascii="Arial" w:cs="Arial" w:eastAsia="Arial" w:hAnsi="Arial"/>
          <w:sz w:val="14"/>
          <w:szCs w:val="14"/>
          <w:color w:val="auto"/>
        </w:rPr>
        <w:t xml:space="preserve">Large accelerated filer </w:t>
      </w:r>
      <w:r>
        <w:rPr>
          <w:rFonts w:ascii="MS PGothic" w:cs="MS PGothic" w:eastAsia="MS PGothic" w:hAnsi="MS PGothic"/>
          <w:sz w:val="14"/>
          <w:szCs w:val="14"/>
          <w:color w:val="auto"/>
        </w:rPr>
        <w:t>☒</w:t>
      </w:r>
      <w:r>
        <w:rPr>
          <w:sz w:val="20"/>
          <w:szCs w:val="20"/>
          <w:color w:val="auto"/>
        </w:rPr>
        <w:tab/>
      </w:r>
      <w:r>
        <w:rPr>
          <w:rFonts w:ascii="Arial" w:cs="Arial" w:eastAsia="Arial" w:hAnsi="Arial"/>
          <w:sz w:val="14"/>
          <w:szCs w:val="14"/>
          <w:color w:val="auto"/>
        </w:rPr>
        <w:t>Accelerated filer o Non-accelerated filer o Smaller reporting company o Emerging growth company o (Do not check if a smaller reporting company)</w:t>
      </w:r>
    </w:p>
    <w:p>
      <w:pPr>
        <w:spacing w:after="0" w:line="197" w:lineRule="exact"/>
        <w:rPr>
          <w:sz w:val="24"/>
          <w:szCs w:val="24"/>
          <w:color w:val="auto"/>
        </w:rPr>
      </w:pPr>
    </w:p>
    <w:p>
      <w:pPr>
        <w:ind w:right="160"/>
        <w:spacing w:after="0" w:line="273" w:lineRule="auto"/>
        <w:rPr>
          <w:sz w:val="20"/>
          <w:szCs w:val="20"/>
          <w:color w:val="auto"/>
        </w:rPr>
      </w:pPr>
      <w:r>
        <w:rPr>
          <w:rFonts w:ascii="Arial" w:cs="Arial" w:eastAsia="Arial" w:hAnsi="Arial"/>
          <w:sz w:val="14"/>
          <w:szCs w:val="14"/>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93" w:lineRule="exact"/>
        <w:rPr>
          <w:sz w:val="24"/>
          <w:szCs w:val="24"/>
          <w:color w:val="auto"/>
        </w:rPr>
      </w:pPr>
    </w:p>
    <w:p>
      <w:pPr>
        <w:spacing w:after="0" w:line="161" w:lineRule="exact"/>
        <w:tabs>
          <w:tab w:leader="none" w:pos="6660" w:val="left"/>
        </w:tabs>
        <w:rPr>
          <w:sz w:val="20"/>
          <w:szCs w:val="20"/>
          <w:color w:val="auto"/>
        </w:rPr>
      </w:pPr>
      <w:r>
        <w:rPr>
          <w:rFonts w:ascii="Arial" w:cs="Arial" w:eastAsia="Arial" w:hAnsi="Arial"/>
          <w:sz w:val="14"/>
          <w:szCs w:val="14"/>
          <w:color w:val="auto"/>
        </w:rPr>
        <w:t>Indicate by check mark whether the registrant is a shell company (as defined in Rule 12b-2 of the Exchange Act).</w:t>
      </w:r>
      <w:r>
        <w:rPr>
          <w:sz w:val="20"/>
          <w:szCs w:val="20"/>
          <w:color w:val="auto"/>
        </w:rPr>
        <w:tab/>
      </w:r>
      <w:r>
        <w:rPr>
          <w:rFonts w:ascii="Arial" w:cs="Arial" w:eastAsia="Arial" w:hAnsi="Arial"/>
          <w:sz w:val="12"/>
          <w:szCs w:val="12"/>
          <w:color w:val="auto"/>
        </w:rPr>
        <w:t xml:space="preserve">Yes o No </w:t>
      </w:r>
      <w:r>
        <w:rPr>
          <w:rFonts w:ascii="MS PGothic" w:cs="MS PGothic" w:eastAsia="MS PGothic" w:hAnsi="MS PGothic"/>
          <w:sz w:val="12"/>
          <w:szCs w:val="12"/>
          <w:color w:val="auto"/>
        </w:rPr>
        <w:t>☒</w:t>
      </w:r>
    </w:p>
    <w:p>
      <w:pPr>
        <w:spacing w:after="0" w:line="299" w:lineRule="exact"/>
        <w:rPr>
          <w:sz w:val="24"/>
          <w:szCs w:val="24"/>
          <w:color w:val="auto"/>
        </w:rPr>
      </w:pPr>
    </w:p>
    <w:p>
      <w:pPr>
        <w:ind w:right="20"/>
        <w:spacing w:after="0" w:line="273" w:lineRule="auto"/>
        <w:rPr>
          <w:sz w:val="20"/>
          <w:szCs w:val="20"/>
          <w:color w:val="auto"/>
        </w:rPr>
      </w:pPr>
      <w:r>
        <w:rPr>
          <w:rFonts w:ascii="Arial" w:cs="Arial" w:eastAsia="Arial" w:hAnsi="Arial"/>
          <w:sz w:val="14"/>
          <w:szCs w:val="14"/>
          <w:color w:val="auto"/>
        </w:rPr>
        <w:t>The aggregate market value of the voting and non-voting common equity held by non-affiliates computed by reference to the price at which the common equity was last sold, or the average bid and asked price of such common equity, as of the last business day of the Registrant's most recently completed second fiscal quarter was approximately $11,405,142,125.</w:t>
      </w:r>
    </w:p>
    <w:p>
      <w:pPr>
        <w:spacing w:after="0" w:line="228" w:lineRule="exact"/>
        <w:rPr>
          <w:sz w:val="24"/>
          <w:szCs w:val="24"/>
          <w:color w:val="auto"/>
        </w:rPr>
      </w:pPr>
    </w:p>
    <w:p>
      <w:pPr>
        <w:jc w:val="right"/>
        <w:ind w:right="4500"/>
        <w:spacing w:after="0" w:line="351" w:lineRule="auto"/>
        <w:rPr>
          <w:sz w:val="20"/>
          <w:szCs w:val="20"/>
          <w:color w:val="auto"/>
        </w:rPr>
      </w:pPr>
      <w:r>
        <w:rPr>
          <w:rFonts w:ascii="Arial" w:cs="Arial" w:eastAsia="Arial" w:hAnsi="Arial"/>
          <w:sz w:val="14"/>
          <w:szCs w:val="14"/>
          <w:color w:val="auto"/>
        </w:rPr>
        <w:t xml:space="preserve">As of May 4, 2018 there were 114,379,624 shares of the Registrant's Common Stock outstanding, net of treasury stock. </w:t>
      </w:r>
      <w:r>
        <w:rPr>
          <w:rFonts w:ascii="Arial" w:cs="Arial" w:eastAsia="Arial" w:hAnsi="Arial"/>
          <w:sz w:val="14"/>
          <w:szCs w:val="14"/>
          <w:b w:val="1"/>
          <w:bCs w:val="1"/>
          <w:color w:val="auto"/>
        </w:rPr>
        <w:t>Documents Incorporated by Reference:</w:t>
      </w:r>
    </w:p>
    <w:p>
      <w:pPr>
        <w:jc w:val="center"/>
        <w:spacing w:after="0"/>
        <w:rPr>
          <w:sz w:val="20"/>
          <w:szCs w:val="20"/>
          <w:color w:val="auto"/>
        </w:rPr>
      </w:pPr>
      <w:r>
        <w:rPr>
          <w:rFonts w:ascii="Arial" w:cs="Arial" w:eastAsia="Arial" w:hAnsi="Arial"/>
          <w:sz w:val="14"/>
          <w:szCs w:val="14"/>
          <w:color w:val="auto"/>
        </w:rPr>
        <w:t>Portions of the registrant's definitive proxy statement for the 2018 Annual Meeting of Stockholders</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are incorporated by reference into Part III herein.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305435</wp:posOffset>
            </wp:positionH>
            <wp:positionV relativeFrom="paragraph">
              <wp:posOffset>167640</wp:posOffset>
            </wp:positionV>
            <wp:extent cx="6646545"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46545" cy="17145"/>
                    </a:xfrm>
                    <a:prstGeom prst="rect">
                      <a:avLst/>
                    </a:prstGeom>
                    <a:noFill/>
                  </pic:spPr>
                </pic:pic>
              </a:graphicData>
            </a:graphic>
          </wp:anchor>
        </w:drawing>
      </w:r>
    </w:p>
    <w:p>
      <w:pPr>
        <w:sectPr>
          <w:pgSz w:w="11900" w:h="16838" w:orient="portrait"/>
          <w:cols w:equalWidth="0" w:num="1">
            <w:col w:w="11420"/>
          </w:cols>
          <w:pgMar w:left="240" w:top="1017" w:right="2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4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440" w:type="dxa"/>
            <w:vAlign w:val="bottom"/>
            <w:gridSpan w:val="11"/>
          </w:tcPr>
          <w:p>
            <w:pPr>
              <w:jc w:val="center"/>
              <w:ind w:right="4860"/>
              <w:spacing w:after="0"/>
              <w:rPr>
                <w:sz w:val="20"/>
                <w:szCs w:val="20"/>
                <w:color w:val="auto"/>
              </w:rPr>
            </w:pPr>
            <w:r>
              <w:rPr>
                <w:rFonts w:ascii="Arial" w:cs="Arial" w:eastAsia="Arial" w:hAnsi="Arial"/>
                <w:sz w:val="18"/>
                <w:szCs w:val="18"/>
                <w:b w:val="1"/>
                <w:bCs w:val="1"/>
                <w:color w:val="auto"/>
              </w:rPr>
              <w:t>INDEX</w:t>
            </w:r>
          </w:p>
        </w:tc>
        <w:tc>
          <w:tcPr>
            <w:tcW w:w="3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466"/>
        </w:trPr>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56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PAGE</w:t>
            </w:r>
          </w:p>
        </w:tc>
      </w:tr>
      <w:tr>
        <w:trPr>
          <w:trHeight w:val="189"/>
        </w:trPr>
        <w:tc>
          <w:tcPr>
            <w:tcW w:w="4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5440" w:type="dxa"/>
            <w:vAlign w:val="bottom"/>
            <w:gridSpan w:val="11"/>
          </w:tcPr>
          <w:p>
            <w:pPr>
              <w:jc w:val="center"/>
              <w:ind w:right="4860"/>
              <w:spacing w:after="0" w:line="189" w:lineRule="exact"/>
              <w:rPr>
                <w:rFonts w:ascii="Arial" w:cs="Arial" w:eastAsia="Arial" w:hAnsi="Arial"/>
                <w:sz w:val="18"/>
                <w:szCs w:val="18"/>
                <w:b w:val="1"/>
                <w:bCs w:val="1"/>
                <w:color w:val="0000EE"/>
                <w:w w:val="98"/>
              </w:rPr>
            </w:pPr>
            <w:hyperlink w:anchor="page3">
              <w:r>
                <w:rPr>
                  <w:rFonts w:ascii="Arial" w:cs="Arial" w:eastAsia="Arial" w:hAnsi="Arial"/>
                  <w:sz w:val="18"/>
                  <w:szCs w:val="18"/>
                  <w:b w:val="1"/>
                  <w:bCs w:val="1"/>
                  <w:color w:val="0000EE"/>
                  <w:w w:val="98"/>
                </w:rPr>
                <w:t>PART I</w:t>
              </w:r>
            </w:hyperlink>
          </w:p>
        </w:tc>
        <w:tc>
          <w:tcPr>
            <w:tcW w:w="3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250"/>
        </w:trPr>
        <w:tc>
          <w:tcPr>
            <w:tcW w:w="1140" w:type="dxa"/>
            <w:vAlign w:val="bottom"/>
            <w:gridSpan w:val="4"/>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Item 1</w:t>
              </w:r>
            </w:hyperlink>
            <w:r>
              <w:rPr>
                <w:rFonts w:ascii="Arial" w:cs="Arial" w:eastAsia="Arial" w:hAnsi="Arial"/>
                <w:sz w:val="18"/>
                <w:szCs w:val="18"/>
                <w:color w:val="000000"/>
              </w:rPr>
              <w:t>.</w:t>
            </w:r>
          </w:p>
        </w:tc>
        <w:tc>
          <w:tcPr>
            <w:tcW w:w="4240" w:type="dxa"/>
            <w:vAlign w:val="bottom"/>
            <w:gridSpan w:val="17"/>
          </w:tcPr>
          <w:p>
            <w:pPr>
              <w:spacing w:after="0"/>
              <w:rPr>
                <w:rFonts w:ascii="Arial" w:cs="Arial" w:eastAsia="Arial" w:hAnsi="Arial"/>
                <w:sz w:val="18"/>
                <w:szCs w:val="18"/>
                <w:color w:val="0000EE"/>
              </w:rPr>
            </w:pPr>
            <w:hyperlink w:anchor="page3">
              <w:r>
                <w:rPr>
                  <w:rFonts w:ascii="Arial" w:cs="Arial" w:eastAsia="Arial" w:hAnsi="Arial"/>
                  <w:sz w:val="18"/>
                  <w:szCs w:val="18"/>
                  <w:color w:val="0000EE"/>
                </w:rPr>
                <w:t>Business</w:t>
              </w:r>
            </w:hyperlink>
          </w:p>
        </w:tc>
        <w:tc>
          <w:tcPr>
            <w:tcW w:w="580" w:type="dxa"/>
            <w:vAlign w:val="bottom"/>
            <w:tcBorders>
              <w:top w:val="single" w:sz="8" w:color="0000EE"/>
            </w:tcBorders>
            <w:gridSpan w:val="2"/>
          </w:tcPr>
          <w:p>
            <w:pPr>
              <w:spacing w:after="0"/>
              <w:rPr>
                <w:sz w:val="21"/>
                <w:szCs w:val="21"/>
                <w:color w:val="auto"/>
              </w:rPr>
            </w:pPr>
          </w:p>
        </w:tc>
        <w:tc>
          <w:tcPr>
            <w:tcW w:w="4860" w:type="dxa"/>
            <w:vAlign w:val="bottom"/>
            <w:gridSpan w:val="9"/>
          </w:tcPr>
          <w:p>
            <w:pPr>
              <w:spacing w:after="0"/>
              <w:rPr>
                <w:sz w:val="21"/>
                <w:szCs w:val="21"/>
                <w:color w:val="auto"/>
              </w:rPr>
            </w:pPr>
          </w:p>
        </w:tc>
        <w:tc>
          <w:tcPr>
            <w:tcW w:w="560" w:type="dxa"/>
            <w:vAlign w:val="bottom"/>
            <w:gridSpan w:val="4"/>
          </w:tcPr>
          <w:p>
            <w:pPr>
              <w:jc w:val="right"/>
              <w:ind w:right="20"/>
              <w:spacing w:after="0"/>
              <w:rPr>
                <w:rFonts w:ascii="Arial" w:cs="Arial" w:eastAsia="Arial" w:hAnsi="Arial"/>
                <w:sz w:val="18"/>
                <w:szCs w:val="18"/>
                <w:color w:val="0000EE"/>
              </w:rPr>
            </w:pPr>
            <w:hyperlink w:anchor="page3">
              <w:r>
                <w:rPr>
                  <w:rFonts w:ascii="Arial" w:cs="Arial" w:eastAsia="Arial" w:hAnsi="Arial"/>
                  <w:sz w:val="18"/>
                  <w:szCs w:val="18"/>
                  <w:color w:val="0000EE"/>
                </w:rPr>
                <w:t>1</w:t>
              </w:r>
            </w:hyperlink>
          </w:p>
        </w:tc>
      </w:tr>
      <w:tr>
        <w:trPr>
          <w:trHeight w:val="20"/>
        </w:trPr>
        <w:tc>
          <w:tcPr>
            <w:tcW w:w="46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8"/>
                <w:szCs w:val="18"/>
                <w:color w:val="0000EE"/>
                <w:w w:val="80"/>
              </w:rPr>
            </w:pPr>
            <w:hyperlink w:anchor="page9">
              <w:r>
                <w:rPr>
                  <w:rFonts w:ascii="Arial" w:cs="Arial" w:eastAsia="Arial" w:hAnsi="Arial"/>
                  <w:sz w:val="18"/>
                  <w:szCs w:val="18"/>
                  <w:color w:val="0000EE"/>
                  <w:w w:val="80"/>
                </w:rPr>
                <w:t>Item 1A.</w:t>
              </w:r>
            </w:hyperlink>
          </w:p>
        </w:tc>
        <w:tc>
          <w:tcPr>
            <w:tcW w:w="560" w:type="dxa"/>
            <w:vAlign w:val="bottom"/>
          </w:tcPr>
          <w:p>
            <w:pPr>
              <w:spacing w:after="0"/>
              <w:rPr>
                <w:sz w:val="21"/>
                <w:szCs w:val="21"/>
                <w:color w:val="auto"/>
              </w:rPr>
            </w:pPr>
          </w:p>
        </w:tc>
        <w:tc>
          <w:tcPr>
            <w:tcW w:w="9680" w:type="dxa"/>
            <w:vAlign w:val="bottom"/>
            <w:gridSpan w:val="28"/>
          </w:tcPr>
          <w:p>
            <w:pPr>
              <w:spacing w:after="0"/>
              <w:rPr>
                <w:rFonts w:ascii="Arial" w:cs="Arial" w:eastAsia="Arial" w:hAnsi="Arial"/>
                <w:sz w:val="18"/>
                <w:szCs w:val="18"/>
                <w:color w:val="0000EE"/>
              </w:rPr>
            </w:pPr>
            <w:hyperlink w:anchor="page9">
              <w:r>
                <w:rPr>
                  <w:rFonts w:ascii="Arial" w:cs="Arial" w:eastAsia="Arial" w:hAnsi="Arial"/>
                  <w:sz w:val="18"/>
                  <w:szCs w:val="18"/>
                  <w:color w:val="0000EE"/>
                </w:rPr>
                <w:t>Risk Factors</w:t>
              </w:r>
            </w:hyperlink>
          </w:p>
        </w:tc>
        <w:tc>
          <w:tcPr>
            <w:tcW w:w="560" w:type="dxa"/>
            <w:vAlign w:val="bottom"/>
            <w:gridSpan w:val="4"/>
          </w:tcPr>
          <w:p>
            <w:pPr>
              <w:jc w:val="right"/>
              <w:ind w:right="20"/>
              <w:spacing w:after="0"/>
              <w:rPr>
                <w:rFonts w:ascii="Arial" w:cs="Arial" w:eastAsia="Arial" w:hAnsi="Arial"/>
                <w:sz w:val="18"/>
                <w:szCs w:val="18"/>
                <w:color w:val="0000EE"/>
              </w:rPr>
            </w:pPr>
            <w:hyperlink w:anchor="page9">
              <w:r>
                <w:rPr>
                  <w:rFonts w:ascii="Arial" w:cs="Arial" w:eastAsia="Arial" w:hAnsi="Arial"/>
                  <w:sz w:val="18"/>
                  <w:szCs w:val="18"/>
                  <w:color w:val="0000EE"/>
                </w:rPr>
                <w:t>7</w:t>
              </w:r>
            </w:hyperlink>
          </w:p>
        </w:tc>
      </w:tr>
      <w:tr>
        <w:trPr>
          <w:trHeight w:val="20"/>
        </w:trPr>
        <w:tc>
          <w:tcPr>
            <w:tcW w:w="50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60" w:type="dxa"/>
            <w:vAlign w:val="bottom"/>
            <w:tcBorders>
              <w:left w:val="single" w:sz="8" w:color="0000EE"/>
            </w:tcBorders>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160" w:type="dxa"/>
            <w:vAlign w:val="bottom"/>
            <w:tcBorders>
              <w:left w:val="single" w:sz="8" w:color="0000EE"/>
            </w:tcBorders>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8"/>
                <w:szCs w:val="18"/>
                <w:color w:val="0000EE"/>
                <w:w w:val="80"/>
              </w:rPr>
            </w:pPr>
            <w:hyperlink w:anchor="page22">
              <w:r>
                <w:rPr>
                  <w:rFonts w:ascii="Arial" w:cs="Arial" w:eastAsia="Arial" w:hAnsi="Arial"/>
                  <w:sz w:val="18"/>
                  <w:szCs w:val="18"/>
                  <w:color w:val="0000EE"/>
                  <w:w w:val="80"/>
                </w:rPr>
                <w:t>Item 1B.</w:t>
              </w:r>
            </w:hyperlink>
          </w:p>
        </w:tc>
        <w:tc>
          <w:tcPr>
            <w:tcW w:w="560" w:type="dxa"/>
            <w:vAlign w:val="bottom"/>
          </w:tcPr>
          <w:p>
            <w:pPr>
              <w:spacing w:after="0"/>
              <w:rPr>
                <w:sz w:val="21"/>
                <w:szCs w:val="21"/>
                <w:color w:val="auto"/>
              </w:rPr>
            </w:pPr>
          </w:p>
        </w:tc>
        <w:tc>
          <w:tcPr>
            <w:tcW w:w="9680" w:type="dxa"/>
            <w:vAlign w:val="bottom"/>
            <w:gridSpan w:val="28"/>
          </w:tcPr>
          <w:p>
            <w:pPr>
              <w:spacing w:after="0"/>
              <w:rPr>
                <w:rFonts w:ascii="Arial" w:cs="Arial" w:eastAsia="Arial" w:hAnsi="Arial"/>
                <w:sz w:val="18"/>
                <w:szCs w:val="18"/>
                <w:color w:val="0000EE"/>
              </w:rPr>
            </w:pPr>
            <w:hyperlink w:anchor="page22">
              <w:r>
                <w:rPr>
                  <w:rFonts w:ascii="Arial" w:cs="Arial" w:eastAsia="Arial" w:hAnsi="Arial"/>
                  <w:sz w:val="18"/>
                  <w:szCs w:val="18"/>
                  <w:color w:val="0000EE"/>
                </w:rPr>
                <w:t>Unresolved Staff Comments</w:t>
              </w:r>
            </w:hyperlink>
          </w:p>
        </w:tc>
        <w:tc>
          <w:tcPr>
            <w:tcW w:w="560" w:type="dxa"/>
            <w:vAlign w:val="bottom"/>
            <w:gridSpan w:val="4"/>
          </w:tcPr>
          <w:p>
            <w:pPr>
              <w:jc w:val="right"/>
              <w:ind w:right="20"/>
              <w:spacing w:after="0"/>
              <w:rPr>
                <w:rFonts w:ascii="Arial" w:cs="Arial" w:eastAsia="Arial" w:hAnsi="Arial"/>
                <w:sz w:val="18"/>
                <w:szCs w:val="18"/>
                <w:color w:val="0000EE"/>
              </w:rPr>
            </w:pPr>
            <w:hyperlink w:anchor="page22">
              <w:r>
                <w:rPr>
                  <w:rFonts w:ascii="Arial" w:cs="Arial" w:eastAsia="Arial" w:hAnsi="Arial"/>
                  <w:sz w:val="18"/>
                  <w:szCs w:val="18"/>
                  <w:color w:val="0000EE"/>
                </w:rPr>
                <w:t>20</w:t>
              </w:r>
            </w:hyperlink>
          </w:p>
        </w:tc>
      </w:tr>
      <w:tr>
        <w:trPr>
          <w:trHeight w:val="20"/>
        </w:trPr>
        <w:tc>
          <w:tcPr>
            <w:tcW w:w="50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8"/>
                <w:szCs w:val="18"/>
                <w:color w:val="0000EE"/>
                <w:w w:val="98"/>
              </w:rPr>
            </w:pPr>
            <w:hyperlink w:anchor="page22">
              <w:r>
                <w:rPr>
                  <w:rFonts w:ascii="Arial" w:cs="Arial" w:eastAsia="Arial" w:hAnsi="Arial"/>
                  <w:sz w:val="18"/>
                  <w:szCs w:val="18"/>
                  <w:color w:val="0000EE"/>
                  <w:w w:val="98"/>
                </w:rPr>
                <w:t>Item 2.</w:t>
              </w:r>
            </w:hyperlink>
          </w:p>
        </w:tc>
        <w:tc>
          <w:tcPr>
            <w:tcW w:w="560" w:type="dxa"/>
            <w:vAlign w:val="bottom"/>
          </w:tcPr>
          <w:p>
            <w:pPr>
              <w:spacing w:after="0"/>
              <w:rPr>
                <w:sz w:val="21"/>
                <w:szCs w:val="21"/>
                <w:color w:val="auto"/>
              </w:rPr>
            </w:pPr>
          </w:p>
        </w:tc>
        <w:tc>
          <w:tcPr>
            <w:tcW w:w="2040" w:type="dxa"/>
            <w:vAlign w:val="bottom"/>
            <w:gridSpan w:val="9"/>
          </w:tcPr>
          <w:p>
            <w:pPr>
              <w:spacing w:after="0"/>
              <w:rPr>
                <w:rFonts w:ascii="Arial" w:cs="Arial" w:eastAsia="Arial" w:hAnsi="Arial"/>
                <w:sz w:val="18"/>
                <w:szCs w:val="18"/>
                <w:color w:val="0000EE"/>
              </w:rPr>
            </w:pPr>
            <w:hyperlink w:anchor="page22">
              <w:r>
                <w:rPr>
                  <w:rFonts w:ascii="Arial" w:cs="Arial" w:eastAsia="Arial" w:hAnsi="Arial"/>
                  <w:sz w:val="18"/>
                  <w:szCs w:val="18"/>
                  <w:color w:val="0000EE"/>
                </w:rPr>
                <w:t>Properties</w:t>
              </w:r>
            </w:hyperlink>
          </w:p>
        </w:tc>
        <w:tc>
          <w:tcPr>
            <w:tcW w:w="7640" w:type="dxa"/>
            <w:vAlign w:val="bottom"/>
            <w:gridSpan w:val="19"/>
          </w:tcPr>
          <w:p>
            <w:pPr>
              <w:spacing w:after="0"/>
              <w:rPr>
                <w:sz w:val="21"/>
                <w:szCs w:val="21"/>
                <w:color w:val="auto"/>
              </w:rPr>
            </w:pPr>
          </w:p>
        </w:tc>
        <w:tc>
          <w:tcPr>
            <w:tcW w:w="560" w:type="dxa"/>
            <w:vAlign w:val="bottom"/>
            <w:gridSpan w:val="4"/>
          </w:tcPr>
          <w:p>
            <w:pPr>
              <w:jc w:val="right"/>
              <w:ind w:right="20"/>
              <w:spacing w:after="0"/>
              <w:rPr>
                <w:rFonts w:ascii="Arial" w:cs="Arial" w:eastAsia="Arial" w:hAnsi="Arial"/>
                <w:sz w:val="18"/>
                <w:szCs w:val="18"/>
                <w:color w:val="0000EE"/>
              </w:rPr>
            </w:pPr>
            <w:hyperlink w:anchor="page22">
              <w:r>
                <w:rPr>
                  <w:rFonts w:ascii="Arial" w:cs="Arial" w:eastAsia="Arial" w:hAnsi="Arial"/>
                  <w:sz w:val="18"/>
                  <w:szCs w:val="18"/>
                  <w:color w:val="0000EE"/>
                </w:rPr>
                <w:t>20</w:t>
              </w:r>
            </w:hyperlink>
          </w:p>
        </w:tc>
      </w:tr>
      <w:tr>
        <w:trPr>
          <w:trHeight w:val="20"/>
        </w:trPr>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gridSpan w:val="4"/>
          </w:tcPr>
          <w:p>
            <w:pPr>
              <w:spacing w:after="0"/>
              <w:rPr>
                <w:rFonts w:ascii="Arial" w:cs="Arial" w:eastAsia="Arial" w:hAnsi="Arial"/>
                <w:sz w:val="18"/>
                <w:szCs w:val="18"/>
                <w:color w:val="0000EE"/>
              </w:rPr>
            </w:pPr>
            <w:hyperlink w:anchor="page23">
              <w:r>
                <w:rPr>
                  <w:rFonts w:ascii="Arial" w:cs="Arial" w:eastAsia="Arial" w:hAnsi="Arial"/>
                  <w:sz w:val="18"/>
                  <w:szCs w:val="18"/>
                  <w:color w:val="0000EE"/>
                </w:rPr>
                <w:t>Item 3.</w:t>
              </w:r>
            </w:hyperlink>
          </w:p>
        </w:tc>
        <w:tc>
          <w:tcPr>
            <w:tcW w:w="9680" w:type="dxa"/>
            <w:vAlign w:val="bottom"/>
            <w:gridSpan w:val="28"/>
          </w:tcPr>
          <w:p>
            <w:pPr>
              <w:spacing w:after="0"/>
              <w:rPr>
                <w:rFonts w:ascii="Arial" w:cs="Arial" w:eastAsia="Arial" w:hAnsi="Arial"/>
                <w:sz w:val="18"/>
                <w:szCs w:val="18"/>
                <w:color w:val="0000EE"/>
              </w:rPr>
            </w:pPr>
            <w:hyperlink w:anchor="page23">
              <w:r>
                <w:rPr>
                  <w:rFonts w:ascii="Arial" w:cs="Arial" w:eastAsia="Arial" w:hAnsi="Arial"/>
                  <w:sz w:val="18"/>
                  <w:szCs w:val="18"/>
                  <w:color w:val="0000EE"/>
                </w:rPr>
                <w:t>Legal Proceedings</w:t>
              </w:r>
            </w:hyperlink>
          </w:p>
        </w:tc>
        <w:tc>
          <w:tcPr>
            <w:tcW w:w="560" w:type="dxa"/>
            <w:vAlign w:val="bottom"/>
            <w:gridSpan w:val="4"/>
          </w:tcPr>
          <w:p>
            <w:pPr>
              <w:jc w:val="right"/>
              <w:ind w:right="20"/>
              <w:spacing w:after="0"/>
              <w:rPr>
                <w:rFonts w:ascii="Arial" w:cs="Arial" w:eastAsia="Arial" w:hAnsi="Arial"/>
                <w:sz w:val="18"/>
                <w:szCs w:val="18"/>
                <w:color w:val="0000EE"/>
              </w:rPr>
            </w:pPr>
            <w:hyperlink w:anchor="page23">
              <w:r>
                <w:rPr>
                  <w:rFonts w:ascii="Arial" w:cs="Arial" w:eastAsia="Arial" w:hAnsi="Arial"/>
                  <w:sz w:val="18"/>
                  <w:szCs w:val="18"/>
                  <w:color w:val="0000EE"/>
                </w:rPr>
                <w:t>21</w:t>
              </w:r>
            </w:hyperlink>
          </w:p>
        </w:tc>
      </w:tr>
      <w:tr>
        <w:trPr>
          <w:trHeight w:val="20"/>
        </w:trPr>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right w:val="single" w:sz="8" w:color="0000EE"/>
            </w:tcBorders>
            <w:gridSpan w:val="2"/>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gridSpan w:val="4"/>
          </w:tcPr>
          <w:p>
            <w:pPr>
              <w:spacing w:after="0"/>
              <w:rPr>
                <w:rFonts w:ascii="Arial" w:cs="Arial" w:eastAsia="Arial" w:hAnsi="Arial"/>
                <w:sz w:val="18"/>
                <w:szCs w:val="18"/>
                <w:color w:val="0000EE"/>
              </w:rPr>
            </w:pPr>
            <w:hyperlink w:anchor="page23">
              <w:r>
                <w:rPr>
                  <w:rFonts w:ascii="Arial" w:cs="Arial" w:eastAsia="Arial" w:hAnsi="Arial"/>
                  <w:sz w:val="18"/>
                  <w:szCs w:val="18"/>
                  <w:color w:val="0000EE"/>
                </w:rPr>
                <w:t>Item 4.</w:t>
              </w:r>
            </w:hyperlink>
          </w:p>
        </w:tc>
        <w:tc>
          <w:tcPr>
            <w:tcW w:w="9680" w:type="dxa"/>
            <w:vAlign w:val="bottom"/>
            <w:gridSpan w:val="28"/>
          </w:tcPr>
          <w:p>
            <w:pPr>
              <w:spacing w:after="0"/>
              <w:rPr>
                <w:rFonts w:ascii="Arial" w:cs="Arial" w:eastAsia="Arial" w:hAnsi="Arial"/>
                <w:sz w:val="18"/>
                <w:szCs w:val="18"/>
                <w:color w:val="0000EE"/>
              </w:rPr>
            </w:pPr>
            <w:hyperlink w:anchor="page23">
              <w:r>
                <w:rPr>
                  <w:rFonts w:ascii="Arial" w:cs="Arial" w:eastAsia="Arial" w:hAnsi="Arial"/>
                  <w:sz w:val="18"/>
                  <w:szCs w:val="18"/>
                  <w:color w:val="0000EE"/>
                </w:rPr>
                <w:t>Mine Safety Disclosures</w:t>
              </w:r>
            </w:hyperlink>
          </w:p>
        </w:tc>
        <w:tc>
          <w:tcPr>
            <w:tcW w:w="560" w:type="dxa"/>
            <w:vAlign w:val="bottom"/>
            <w:gridSpan w:val="4"/>
          </w:tcPr>
          <w:p>
            <w:pPr>
              <w:jc w:val="right"/>
              <w:ind w:right="20"/>
              <w:spacing w:after="0"/>
              <w:rPr>
                <w:rFonts w:ascii="Arial" w:cs="Arial" w:eastAsia="Arial" w:hAnsi="Arial"/>
                <w:sz w:val="18"/>
                <w:szCs w:val="18"/>
                <w:color w:val="0000EE"/>
              </w:rPr>
            </w:pPr>
            <w:hyperlink w:anchor="page23">
              <w:r>
                <w:rPr>
                  <w:rFonts w:ascii="Arial" w:cs="Arial" w:eastAsia="Arial" w:hAnsi="Arial"/>
                  <w:sz w:val="18"/>
                  <w:szCs w:val="18"/>
                  <w:color w:val="0000EE"/>
                </w:rPr>
                <w:t>21</w:t>
              </w:r>
            </w:hyperlink>
          </w:p>
        </w:tc>
      </w:tr>
      <w:tr>
        <w:trPr>
          <w:trHeight w:val="250"/>
        </w:trPr>
        <w:tc>
          <w:tcPr>
            <w:tcW w:w="460" w:type="dxa"/>
            <w:vAlign w:val="bottom"/>
            <w:tcBorders>
              <w:top w:val="single" w:sz="8" w:color="0000EE"/>
            </w:tcBorders>
          </w:tcPr>
          <w:p>
            <w:pPr>
              <w:spacing w:after="0"/>
              <w:rPr>
                <w:sz w:val="21"/>
                <w:szCs w:val="21"/>
                <w:color w:val="auto"/>
              </w:rPr>
            </w:pPr>
          </w:p>
        </w:tc>
        <w:tc>
          <w:tcPr>
            <w:tcW w:w="40" w:type="dxa"/>
            <w:vAlign w:val="bottom"/>
            <w:tcBorders>
              <w:top w:val="single" w:sz="8" w:color="0000EE"/>
            </w:tcBorders>
          </w:tcPr>
          <w:p>
            <w:pPr>
              <w:spacing w:after="0"/>
              <w:rPr>
                <w:sz w:val="21"/>
                <w:szCs w:val="21"/>
                <w:color w:val="auto"/>
              </w:rPr>
            </w:pPr>
          </w:p>
        </w:tc>
        <w:tc>
          <w:tcPr>
            <w:tcW w:w="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64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160" w:type="dxa"/>
            <w:vAlign w:val="bottom"/>
            <w:tcBorders>
              <w:top w:val="single" w:sz="8" w:color="0000EE"/>
            </w:tcBorders>
          </w:tcPr>
          <w:p>
            <w:pPr>
              <w:spacing w:after="0"/>
              <w:rPr>
                <w:sz w:val="21"/>
                <w:szCs w:val="21"/>
                <w:color w:val="auto"/>
              </w:rPr>
            </w:pPr>
          </w:p>
        </w:tc>
        <w:tc>
          <w:tcPr>
            <w:tcW w:w="440" w:type="dxa"/>
            <w:vAlign w:val="bottom"/>
            <w:tcBorders>
              <w:top w:val="single" w:sz="8" w:color="0000EE"/>
            </w:tcBorders>
          </w:tcPr>
          <w:p>
            <w:pPr>
              <w:spacing w:after="0"/>
              <w:rPr>
                <w:sz w:val="21"/>
                <w:szCs w:val="21"/>
                <w:color w:val="auto"/>
              </w:rPr>
            </w:pPr>
          </w:p>
        </w:tc>
        <w:tc>
          <w:tcPr>
            <w:tcW w:w="220" w:type="dxa"/>
            <w:vAlign w:val="bottom"/>
            <w:tcBorders>
              <w:top w:val="single" w:sz="8" w:color="0000EE"/>
            </w:tcBorders>
          </w:tcPr>
          <w:p>
            <w:pPr>
              <w:spacing w:after="0"/>
              <w:rPr>
                <w:sz w:val="21"/>
                <w:szCs w:val="21"/>
                <w:color w:val="auto"/>
              </w:rPr>
            </w:pPr>
          </w:p>
        </w:tc>
        <w:tc>
          <w:tcPr>
            <w:tcW w:w="160" w:type="dxa"/>
            <w:vAlign w:val="bottom"/>
            <w:tcBorders>
              <w:top w:val="single" w:sz="8" w:color="0000EE"/>
            </w:tcBorders>
          </w:tcPr>
          <w:p>
            <w:pPr>
              <w:spacing w:after="0"/>
              <w:rPr>
                <w:sz w:val="21"/>
                <w:szCs w:val="21"/>
                <w:color w:val="auto"/>
              </w:rPr>
            </w:pPr>
          </w:p>
        </w:tc>
        <w:tc>
          <w:tcPr>
            <w:tcW w:w="60" w:type="dxa"/>
            <w:vAlign w:val="bottom"/>
            <w:tcBorders>
              <w:top w:val="single" w:sz="8" w:color="0000EE"/>
            </w:tcBorders>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5480" w:type="dxa"/>
            <w:vAlign w:val="bottom"/>
            <w:gridSpan w:val="12"/>
          </w:tcPr>
          <w:p>
            <w:pPr>
              <w:jc w:val="center"/>
              <w:ind w:right="4820"/>
              <w:spacing w:after="0"/>
              <w:rPr>
                <w:rFonts w:ascii="Arial" w:cs="Arial" w:eastAsia="Arial" w:hAnsi="Arial"/>
                <w:sz w:val="18"/>
                <w:szCs w:val="18"/>
                <w:b w:val="1"/>
                <w:bCs w:val="1"/>
                <w:color w:val="0000EE"/>
              </w:rPr>
            </w:pPr>
            <w:hyperlink w:anchor="page24">
              <w:r>
                <w:rPr>
                  <w:rFonts w:ascii="Arial" w:cs="Arial" w:eastAsia="Arial" w:hAnsi="Arial"/>
                  <w:sz w:val="18"/>
                  <w:szCs w:val="18"/>
                  <w:b w:val="1"/>
                  <w:bCs w:val="1"/>
                  <w:color w:val="0000EE"/>
                </w:rPr>
                <w:t>PART II</w:t>
              </w:r>
            </w:hyperlink>
          </w:p>
        </w:tc>
        <w:tc>
          <w:tcPr>
            <w:tcW w:w="360" w:type="dxa"/>
            <w:vAlign w:val="bottom"/>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20" w:type="dxa"/>
            <w:vAlign w:val="bottom"/>
          </w:tcPr>
          <w:p>
            <w:pPr>
              <w:spacing w:after="0"/>
              <w:rPr>
                <w:sz w:val="21"/>
                <w:szCs w:val="21"/>
                <w:color w:val="auto"/>
              </w:rPr>
            </w:pPr>
          </w:p>
        </w:tc>
      </w:tr>
      <w:tr>
        <w:trPr>
          <w:trHeight w:val="20"/>
        </w:trPr>
        <w:tc>
          <w:tcPr>
            <w:tcW w:w="580" w:type="dxa"/>
            <w:vAlign w:val="bottom"/>
            <w:gridSpan w:val="3"/>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500" w:type="dxa"/>
            <w:vAlign w:val="bottom"/>
            <w:gridSpan w:val="2"/>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560" w:type="dxa"/>
            <w:vAlign w:val="bottom"/>
            <w:gridSpan w:val="4"/>
          </w:tcPr>
          <w:p>
            <w:pPr>
              <w:spacing w:after="0" w:line="20" w:lineRule="exact"/>
              <w:rPr>
                <w:sz w:val="1"/>
                <w:szCs w:val="1"/>
                <w:color w:val="auto"/>
              </w:rPr>
            </w:pPr>
          </w:p>
        </w:tc>
      </w:tr>
      <w:tr>
        <w:trPr>
          <w:trHeight w:val="250"/>
        </w:trPr>
        <w:tc>
          <w:tcPr>
            <w:tcW w:w="1140" w:type="dxa"/>
            <w:vAlign w:val="bottom"/>
            <w:gridSpan w:val="4"/>
          </w:tcPr>
          <w:p>
            <w:pPr>
              <w:spacing w:after="0"/>
              <w:rPr>
                <w:rFonts w:ascii="Arial" w:cs="Arial" w:eastAsia="Arial" w:hAnsi="Arial"/>
                <w:sz w:val="18"/>
                <w:szCs w:val="18"/>
                <w:color w:val="0000EE"/>
              </w:rPr>
            </w:pPr>
            <w:hyperlink w:anchor="page24">
              <w:r>
                <w:rPr>
                  <w:rFonts w:ascii="Arial" w:cs="Arial" w:eastAsia="Arial" w:hAnsi="Arial"/>
                  <w:sz w:val="18"/>
                  <w:szCs w:val="18"/>
                  <w:color w:val="0000EE"/>
                </w:rPr>
                <w:t>Item 5.</w:t>
              </w:r>
            </w:hyperlink>
          </w:p>
        </w:tc>
        <w:tc>
          <w:tcPr>
            <w:tcW w:w="9680" w:type="dxa"/>
            <w:vAlign w:val="bottom"/>
            <w:gridSpan w:val="28"/>
          </w:tcPr>
          <w:p>
            <w:pPr>
              <w:spacing w:after="0"/>
              <w:rPr>
                <w:rFonts w:ascii="Arial" w:cs="Arial" w:eastAsia="Arial" w:hAnsi="Arial"/>
                <w:sz w:val="18"/>
                <w:szCs w:val="18"/>
                <w:color w:val="0000EE"/>
              </w:rPr>
            </w:pPr>
            <w:hyperlink w:anchor="page24">
              <w:r>
                <w:rPr>
                  <w:rFonts w:ascii="Arial" w:cs="Arial" w:eastAsia="Arial" w:hAnsi="Arial"/>
                  <w:sz w:val="18"/>
                  <w:szCs w:val="18"/>
                  <w:color w:val="0000EE"/>
                </w:rPr>
                <w:t>Market for Registrant's Common Equity, Related Stockholder Matters and Issuer Purchases of Equity Securities</w:t>
              </w:r>
            </w:hyperlink>
          </w:p>
        </w:tc>
        <w:tc>
          <w:tcPr>
            <w:tcW w:w="560" w:type="dxa"/>
            <w:vAlign w:val="bottom"/>
            <w:gridSpan w:val="4"/>
          </w:tcPr>
          <w:p>
            <w:pPr>
              <w:jc w:val="right"/>
              <w:ind w:right="20"/>
              <w:spacing w:after="0"/>
              <w:rPr>
                <w:rFonts w:ascii="Arial" w:cs="Arial" w:eastAsia="Arial" w:hAnsi="Arial"/>
                <w:sz w:val="18"/>
                <w:szCs w:val="18"/>
                <w:color w:val="0000EE"/>
              </w:rPr>
            </w:pPr>
            <w:hyperlink w:anchor="page24">
              <w:r>
                <w:rPr>
                  <w:rFonts w:ascii="Arial" w:cs="Arial" w:eastAsia="Arial" w:hAnsi="Arial"/>
                  <w:sz w:val="18"/>
                  <w:szCs w:val="18"/>
                  <w:color w:val="0000EE"/>
                </w:rPr>
                <w:t>22</w:t>
              </w:r>
            </w:hyperlink>
          </w:p>
        </w:tc>
      </w:tr>
      <w:tr>
        <w:trPr>
          <w:trHeight w:val="20"/>
        </w:trPr>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5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gridSpan w:val="4"/>
          </w:tcPr>
          <w:p>
            <w:pPr>
              <w:spacing w:after="0"/>
              <w:rPr>
                <w:rFonts w:ascii="Arial" w:cs="Arial" w:eastAsia="Arial" w:hAnsi="Arial"/>
                <w:sz w:val="18"/>
                <w:szCs w:val="18"/>
                <w:color w:val="0000EE"/>
              </w:rPr>
            </w:pPr>
            <w:hyperlink w:anchor="page26">
              <w:r>
                <w:rPr>
                  <w:rFonts w:ascii="Arial" w:cs="Arial" w:eastAsia="Arial" w:hAnsi="Arial"/>
                  <w:sz w:val="18"/>
                  <w:szCs w:val="18"/>
                  <w:color w:val="0000EE"/>
                </w:rPr>
                <w:t>Item 6.</w:t>
              </w:r>
            </w:hyperlink>
          </w:p>
        </w:tc>
        <w:tc>
          <w:tcPr>
            <w:tcW w:w="9680" w:type="dxa"/>
            <w:vAlign w:val="bottom"/>
            <w:gridSpan w:val="28"/>
          </w:tcPr>
          <w:p>
            <w:pPr>
              <w:spacing w:after="0"/>
              <w:rPr>
                <w:rFonts w:ascii="Arial" w:cs="Arial" w:eastAsia="Arial" w:hAnsi="Arial"/>
                <w:sz w:val="18"/>
                <w:szCs w:val="18"/>
                <w:color w:val="0000EE"/>
              </w:rPr>
            </w:pPr>
            <w:hyperlink w:anchor="page26">
              <w:r>
                <w:rPr>
                  <w:rFonts w:ascii="Arial" w:cs="Arial" w:eastAsia="Arial" w:hAnsi="Arial"/>
                  <w:sz w:val="18"/>
                  <w:szCs w:val="18"/>
                  <w:color w:val="0000EE"/>
                </w:rPr>
                <w:t>Selected Financial Data</w:t>
              </w:r>
            </w:hyperlink>
          </w:p>
        </w:tc>
        <w:tc>
          <w:tcPr>
            <w:tcW w:w="560" w:type="dxa"/>
            <w:vAlign w:val="bottom"/>
            <w:gridSpan w:val="4"/>
          </w:tcPr>
          <w:p>
            <w:pPr>
              <w:jc w:val="right"/>
              <w:ind w:right="20"/>
              <w:spacing w:after="0"/>
              <w:rPr>
                <w:rFonts w:ascii="Arial" w:cs="Arial" w:eastAsia="Arial" w:hAnsi="Arial"/>
                <w:sz w:val="18"/>
                <w:szCs w:val="18"/>
                <w:color w:val="0000EE"/>
              </w:rPr>
            </w:pPr>
            <w:hyperlink w:anchor="page26">
              <w:r>
                <w:rPr>
                  <w:rFonts w:ascii="Arial" w:cs="Arial" w:eastAsia="Arial" w:hAnsi="Arial"/>
                  <w:sz w:val="18"/>
                  <w:szCs w:val="18"/>
                  <w:color w:val="0000EE"/>
                </w:rPr>
                <w:t>24</w:t>
              </w:r>
            </w:hyperlink>
          </w:p>
        </w:tc>
      </w:tr>
      <w:tr>
        <w:trPr>
          <w:trHeight w:val="20"/>
        </w:trPr>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5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38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gridSpan w:val="4"/>
          </w:tcPr>
          <w:p>
            <w:pPr>
              <w:spacing w:after="0"/>
              <w:rPr>
                <w:rFonts w:ascii="Arial" w:cs="Arial" w:eastAsia="Arial" w:hAnsi="Arial"/>
                <w:sz w:val="18"/>
                <w:szCs w:val="18"/>
                <w:color w:val="0000EE"/>
              </w:rPr>
            </w:pPr>
            <w:hyperlink w:anchor="page27">
              <w:r>
                <w:rPr>
                  <w:rFonts w:ascii="Arial" w:cs="Arial" w:eastAsia="Arial" w:hAnsi="Arial"/>
                  <w:sz w:val="18"/>
                  <w:szCs w:val="18"/>
                  <w:color w:val="0000EE"/>
                </w:rPr>
                <w:t>Item 7.</w:t>
              </w:r>
            </w:hyperlink>
          </w:p>
        </w:tc>
        <w:tc>
          <w:tcPr>
            <w:tcW w:w="9680" w:type="dxa"/>
            <w:vAlign w:val="bottom"/>
            <w:gridSpan w:val="28"/>
          </w:tcPr>
          <w:p>
            <w:pPr>
              <w:spacing w:after="0"/>
              <w:rPr>
                <w:rFonts w:ascii="Arial" w:cs="Arial" w:eastAsia="Arial" w:hAnsi="Arial"/>
                <w:sz w:val="18"/>
                <w:szCs w:val="18"/>
                <w:color w:val="0000EE"/>
              </w:rPr>
            </w:pPr>
            <w:hyperlink w:anchor="page27">
              <w:r>
                <w:rPr>
                  <w:rFonts w:ascii="Arial" w:cs="Arial" w:eastAsia="Arial" w:hAnsi="Arial"/>
                  <w:sz w:val="18"/>
                  <w:szCs w:val="18"/>
                  <w:color w:val="0000EE"/>
                </w:rPr>
                <w:t>Management's Discussion and Analysis of Financial Condition and Results of Operations</w:t>
              </w:r>
            </w:hyperlink>
          </w:p>
        </w:tc>
        <w:tc>
          <w:tcPr>
            <w:tcW w:w="560" w:type="dxa"/>
            <w:vAlign w:val="bottom"/>
            <w:gridSpan w:val="4"/>
          </w:tcPr>
          <w:p>
            <w:pPr>
              <w:jc w:val="right"/>
              <w:ind w:right="20"/>
              <w:spacing w:after="0"/>
              <w:rPr>
                <w:rFonts w:ascii="Arial" w:cs="Arial" w:eastAsia="Arial" w:hAnsi="Arial"/>
                <w:sz w:val="18"/>
                <w:szCs w:val="18"/>
                <w:color w:val="0000EE"/>
              </w:rPr>
            </w:pPr>
            <w:hyperlink w:anchor="page27">
              <w:r>
                <w:rPr>
                  <w:rFonts w:ascii="Arial" w:cs="Arial" w:eastAsia="Arial" w:hAnsi="Arial"/>
                  <w:sz w:val="18"/>
                  <w:szCs w:val="18"/>
                  <w:color w:val="0000EE"/>
                </w:rPr>
                <w:t>25</w:t>
              </w:r>
            </w:hyperlink>
          </w:p>
        </w:tc>
      </w:tr>
      <w:tr>
        <w:trPr>
          <w:trHeight w:val="20"/>
        </w:trPr>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540" w:type="dxa"/>
            <w:vAlign w:val="bottom"/>
            <w:gridSpan w:val="3"/>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38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8"/>
                <w:szCs w:val="18"/>
                <w:color w:val="0000EE"/>
                <w:w w:val="80"/>
              </w:rPr>
            </w:pPr>
            <w:hyperlink w:anchor="page41">
              <w:r>
                <w:rPr>
                  <w:rFonts w:ascii="Arial" w:cs="Arial" w:eastAsia="Arial" w:hAnsi="Arial"/>
                  <w:sz w:val="18"/>
                  <w:szCs w:val="18"/>
                  <w:color w:val="0000EE"/>
                  <w:w w:val="80"/>
                </w:rPr>
                <w:t>Item 7A.</w:t>
              </w:r>
            </w:hyperlink>
          </w:p>
        </w:tc>
        <w:tc>
          <w:tcPr>
            <w:tcW w:w="560" w:type="dxa"/>
            <w:vAlign w:val="bottom"/>
          </w:tcPr>
          <w:p>
            <w:pPr>
              <w:spacing w:after="0"/>
              <w:rPr>
                <w:sz w:val="21"/>
                <w:szCs w:val="21"/>
                <w:color w:val="auto"/>
              </w:rPr>
            </w:pPr>
          </w:p>
        </w:tc>
        <w:tc>
          <w:tcPr>
            <w:tcW w:w="9680" w:type="dxa"/>
            <w:vAlign w:val="bottom"/>
            <w:gridSpan w:val="28"/>
          </w:tcPr>
          <w:p>
            <w:pPr>
              <w:spacing w:after="0"/>
              <w:rPr>
                <w:rFonts w:ascii="Arial" w:cs="Arial" w:eastAsia="Arial" w:hAnsi="Arial"/>
                <w:sz w:val="18"/>
                <w:szCs w:val="18"/>
                <w:color w:val="0000EE"/>
              </w:rPr>
            </w:pPr>
            <w:hyperlink w:anchor="page41">
              <w:r>
                <w:rPr>
                  <w:rFonts w:ascii="Arial" w:cs="Arial" w:eastAsia="Arial" w:hAnsi="Arial"/>
                  <w:sz w:val="18"/>
                  <w:szCs w:val="18"/>
                  <w:color w:val="0000EE"/>
                </w:rPr>
                <w:t>Quantitative and Qualitative Disclosures About Market Risk</w:t>
              </w:r>
            </w:hyperlink>
          </w:p>
        </w:tc>
        <w:tc>
          <w:tcPr>
            <w:tcW w:w="560" w:type="dxa"/>
            <w:vAlign w:val="bottom"/>
            <w:gridSpan w:val="4"/>
          </w:tcPr>
          <w:p>
            <w:pPr>
              <w:jc w:val="right"/>
              <w:ind w:right="20"/>
              <w:spacing w:after="0"/>
              <w:rPr>
                <w:rFonts w:ascii="Arial" w:cs="Arial" w:eastAsia="Arial" w:hAnsi="Arial"/>
                <w:sz w:val="18"/>
                <w:szCs w:val="18"/>
                <w:color w:val="0000EE"/>
              </w:rPr>
            </w:pPr>
            <w:hyperlink w:anchor="page41">
              <w:r>
                <w:rPr>
                  <w:rFonts w:ascii="Arial" w:cs="Arial" w:eastAsia="Arial" w:hAnsi="Arial"/>
                  <w:sz w:val="18"/>
                  <w:szCs w:val="18"/>
                  <w:color w:val="0000EE"/>
                </w:rPr>
                <w:t>39</w:t>
              </w:r>
            </w:hyperlink>
          </w:p>
        </w:tc>
      </w:tr>
      <w:tr>
        <w:trPr>
          <w:trHeight w:val="20"/>
        </w:trPr>
        <w:tc>
          <w:tcPr>
            <w:tcW w:w="580" w:type="dxa"/>
            <w:vAlign w:val="bottom"/>
            <w:gridSpan w:val="3"/>
            <w:shd w:val="clear" w:color="auto" w:fill="0000EE"/>
          </w:tcPr>
          <w:p>
            <w:pPr>
              <w:spacing w:after="0" w:line="20" w:lineRule="exact"/>
              <w:rPr>
                <w:sz w:val="1"/>
                <w:szCs w:val="1"/>
                <w:color w:val="auto"/>
              </w:rPr>
            </w:pPr>
          </w:p>
        </w:tc>
        <w:tc>
          <w:tcPr>
            <w:tcW w:w="560" w:type="dxa"/>
            <w:vAlign w:val="bottom"/>
            <w:tcBorders>
              <w:left w:val="single" w:sz="8" w:color="0000EE"/>
            </w:tcBorders>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gridSpan w:val="2"/>
            <w:shd w:val="clear" w:color="auto" w:fill="0000EE"/>
          </w:tcPr>
          <w:p>
            <w:pPr>
              <w:spacing w:after="0" w:line="20" w:lineRule="exact"/>
              <w:rPr>
                <w:sz w:val="1"/>
                <w:szCs w:val="1"/>
                <w:color w:val="auto"/>
              </w:rPr>
            </w:pPr>
          </w:p>
        </w:tc>
        <w:tc>
          <w:tcPr>
            <w:tcW w:w="5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38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8"/>
                <w:szCs w:val="18"/>
                <w:color w:val="0000EE"/>
                <w:w w:val="98"/>
              </w:rPr>
            </w:pPr>
            <w:hyperlink w:anchor="page42">
              <w:r>
                <w:rPr>
                  <w:rFonts w:ascii="Arial" w:cs="Arial" w:eastAsia="Arial" w:hAnsi="Arial"/>
                  <w:sz w:val="18"/>
                  <w:szCs w:val="18"/>
                  <w:color w:val="0000EE"/>
                  <w:w w:val="98"/>
                </w:rPr>
                <w:t>Item 8.</w:t>
              </w:r>
            </w:hyperlink>
          </w:p>
        </w:tc>
        <w:tc>
          <w:tcPr>
            <w:tcW w:w="560" w:type="dxa"/>
            <w:vAlign w:val="bottom"/>
          </w:tcPr>
          <w:p>
            <w:pPr>
              <w:spacing w:after="0"/>
              <w:rPr>
                <w:sz w:val="21"/>
                <w:szCs w:val="21"/>
                <w:color w:val="auto"/>
              </w:rPr>
            </w:pPr>
          </w:p>
        </w:tc>
        <w:tc>
          <w:tcPr>
            <w:tcW w:w="4360" w:type="dxa"/>
            <w:vAlign w:val="bottom"/>
            <w:gridSpan w:val="18"/>
          </w:tcPr>
          <w:p>
            <w:pPr>
              <w:spacing w:after="0"/>
              <w:rPr>
                <w:rFonts w:ascii="Arial" w:cs="Arial" w:eastAsia="Arial" w:hAnsi="Arial"/>
                <w:sz w:val="18"/>
                <w:szCs w:val="18"/>
                <w:color w:val="0000EE"/>
              </w:rPr>
            </w:pPr>
            <w:hyperlink w:anchor="page42">
              <w:r>
                <w:rPr>
                  <w:rFonts w:ascii="Arial" w:cs="Arial" w:eastAsia="Arial" w:hAnsi="Arial"/>
                  <w:sz w:val="18"/>
                  <w:szCs w:val="18"/>
                  <w:color w:val="0000EE"/>
                </w:rPr>
                <w:t>Financial Statements and Supplementary Data</w:t>
              </w:r>
            </w:hyperlink>
          </w:p>
        </w:tc>
        <w:tc>
          <w:tcPr>
            <w:tcW w:w="5320" w:type="dxa"/>
            <w:vAlign w:val="bottom"/>
            <w:gridSpan w:val="10"/>
          </w:tcPr>
          <w:p>
            <w:pPr>
              <w:spacing w:after="0"/>
              <w:rPr>
                <w:sz w:val="21"/>
                <w:szCs w:val="21"/>
                <w:color w:val="auto"/>
              </w:rPr>
            </w:pPr>
          </w:p>
        </w:tc>
        <w:tc>
          <w:tcPr>
            <w:tcW w:w="560" w:type="dxa"/>
            <w:vAlign w:val="bottom"/>
            <w:gridSpan w:val="4"/>
          </w:tcPr>
          <w:p>
            <w:pPr>
              <w:jc w:val="right"/>
              <w:ind w:right="20"/>
              <w:spacing w:after="0"/>
              <w:rPr>
                <w:rFonts w:ascii="Arial" w:cs="Arial" w:eastAsia="Arial" w:hAnsi="Arial"/>
                <w:sz w:val="18"/>
                <w:szCs w:val="18"/>
                <w:color w:val="0000EE"/>
              </w:rPr>
            </w:pPr>
            <w:hyperlink w:anchor="page42">
              <w:r>
                <w:rPr>
                  <w:rFonts w:ascii="Arial" w:cs="Arial" w:eastAsia="Arial" w:hAnsi="Arial"/>
                  <w:sz w:val="18"/>
                  <w:szCs w:val="18"/>
                  <w:color w:val="0000EE"/>
                </w:rPr>
                <w:t>40</w:t>
              </w:r>
            </w:hyperlink>
          </w:p>
        </w:tc>
      </w:tr>
      <w:tr>
        <w:trPr>
          <w:trHeight w:val="20"/>
        </w:trPr>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38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1140" w:type="dxa"/>
            <w:vAlign w:val="bottom"/>
            <w:gridSpan w:val="4"/>
          </w:tcPr>
          <w:p>
            <w:pPr>
              <w:spacing w:after="0"/>
              <w:rPr>
                <w:rFonts w:ascii="Arial" w:cs="Arial" w:eastAsia="Arial" w:hAnsi="Arial"/>
                <w:sz w:val="18"/>
                <w:szCs w:val="18"/>
                <w:color w:val="0000EE"/>
              </w:rPr>
            </w:pPr>
            <w:hyperlink w:anchor="page42">
              <w:r>
                <w:rPr>
                  <w:rFonts w:ascii="Arial" w:cs="Arial" w:eastAsia="Arial" w:hAnsi="Arial"/>
                  <w:sz w:val="18"/>
                  <w:szCs w:val="18"/>
                  <w:color w:val="0000EE"/>
                </w:rPr>
                <w:t>Item 9.</w:t>
              </w:r>
            </w:hyperlink>
          </w:p>
        </w:tc>
        <w:tc>
          <w:tcPr>
            <w:tcW w:w="9680" w:type="dxa"/>
            <w:vAlign w:val="bottom"/>
            <w:gridSpan w:val="28"/>
          </w:tcPr>
          <w:p>
            <w:pPr>
              <w:spacing w:after="0"/>
              <w:rPr>
                <w:rFonts w:ascii="Arial" w:cs="Arial" w:eastAsia="Arial" w:hAnsi="Arial"/>
                <w:sz w:val="18"/>
                <w:szCs w:val="18"/>
                <w:color w:val="0000EE"/>
              </w:rPr>
            </w:pPr>
            <w:hyperlink w:anchor="page42">
              <w:r>
                <w:rPr>
                  <w:rFonts w:ascii="Arial" w:cs="Arial" w:eastAsia="Arial" w:hAnsi="Arial"/>
                  <w:sz w:val="18"/>
                  <w:szCs w:val="18"/>
                  <w:color w:val="0000EE"/>
                </w:rPr>
                <w:t>Changes in and Disagreements with Accountants on Accounting and Financial Disclosure</w:t>
              </w:r>
            </w:hyperlink>
          </w:p>
        </w:tc>
        <w:tc>
          <w:tcPr>
            <w:tcW w:w="560" w:type="dxa"/>
            <w:vAlign w:val="bottom"/>
            <w:gridSpan w:val="4"/>
          </w:tcPr>
          <w:p>
            <w:pPr>
              <w:jc w:val="right"/>
              <w:ind w:right="20"/>
              <w:spacing w:after="0"/>
              <w:rPr>
                <w:rFonts w:ascii="Arial" w:cs="Arial" w:eastAsia="Arial" w:hAnsi="Arial"/>
                <w:sz w:val="18"/>
                <w:szCs w:val="18"/>
                <w:color w:val="0000EE"/>
              </w:rPr>
            </w:pPr>
            <w:hyperlink w:anchor="page42">
              <w:r>
                <w:rPr>
                  <w:rFonts w:ascii="Arial" w:cs="Arial" w:eastAsia="Arial" w:hAnsi="Arial"/>
                  <w:sz w:val="18"/>
                  <w:szCs w:val="18"/>
                  <w:color w:val="0000EE"/>
                </w:rPr>
                <w:t>40</w:t>
              </w:r>
            </w:hyperlink>
          </w:p>
        </w:tc>
      </w:tr>
      <w:tr>
        <w:trPr>
          <w:trHeight w:val="20"/>
        </w:trPr>
        <w:tc>
          <w:tcPr>
            <w:tcW w:w="500" w:type="dxa"/>
            <w:vAlign w:val="bottom"/>
            <w:gridSpan w:val="2"/>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20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00" w:type="dxa"/>
            <w:vAlign w:val="bottom"/>
            <w:gridSpan w:val="5"/>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020" w:type="dxa"/>
            <w:vAlign w:val="bottom"/>
            <w:gridSpan w:val="2"/>
            <w:shd w:val="clear" w:color="auto" w:fill="0000EE"/>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38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8"/>
                <w:szCs w:val="18"/>
                <w:color w:val="0000EE"/>
                <w:w w:val="80"/>
              </w:rPr>
            </w:pPr>
            <w:hyperlink w:anchor="page42">
              <w:r>
                <w:rPr>
                  <w:rFonts w:ascii="Arial" w:cs="Arial" w:eastAsia="Arial" w:hAnsi="Arial"/>
                  <w:sz w:val="18"/>
                  <w:szCs w:val="18"/>
                  <w:color w:val="0000EE"/>
                  <w:w w:val="80"/>
                </w:rPr>
                <w:t>Item 9A.</w:t>
              </w:r>
            </w:hyperlink>
          </w:p>
        </w:tc>
        <w:tc>
          <w:tcPr>
            <w:tcW w:w="560" w:type="dxa"/>
            <w:vAlign w:val="bottom"/>
          </w:tcPr>
          <w:p>
            <w:pPr>
              <w:spacing w:after="0"/>
              <w:rPr>
                <w:sz w:val="21"/>
                <w:szCs w:val="21"/>
                <w:color w:val="auto"/>
              </w:rPr>
            </w:pPr>
          </w:p>
        </w:tc>
        <w:tc>
          <w:tcPr>
            <w:tcW w:w="1780" w:type="dxa"/>
            <w:vAlign w:val="bottom"/>
            <w:gridSpan w:val="7"/>
          </w:tcPr>
          <w:p>
            <w:pPr>
              <w:spacing w:after="0"/>
              <w:rPr>
                <w:rFonts w:ascii="Arial" w:cs="Arial" w:eastAsia="Arial" w:hAnsi="Arial"/>
                <w:sz w:val="18"/>
                <w:szCs w:val="18"/>
                <w:color w:val="0000EE"/>
                <w:w w:val="88"/>
              </w:rPr>
            </w:pPr>
            <w:hyperlink w:anchor="page42">
              <w:r>
                <w:rPr>
                  <w:rFonts w:ascii="Arial" w:cs="Arial" w:eastAsia="Arial" w:hAnsi="Arial"/>
                  <w:sz w:val="18"/>
                  <w:szCs w:val="18"/>
                  <w:color w:val="0000EE"/>
                  <w:w w:val="88"/>
                </w:rPr>
                <w:t>Controls and Procedures</w:t>
              </w:r>
            </w:hyperlink>
          </w:p>
        </w:tc>
        <w:tc>
          <w:tcPr>
            <w:tcW w:w="7900" w:type="dxa"/>
            <w:vAlign w:val="bottom"/>
            <w:gridSpan w:val="21"/>
          </w:tcPr>
          <w:p>
            <w:pPr>
              <w:spacing w:after="0"/>
              <w:rPr>
                <w:sz w:val="21"/>
                <w:szCs w:val="21"/>
                <w:color w:val="auto"/>
              </w:rPr>
            </w:pPr>
          </w:p>
        </w:tc>
        <w:tc>
          <w:tcPr>
            <w:tcW w:w="560" w:type="dxa"/>
            <w:vAlign w:val="bottom"/>
            <w:gridSpan w:val="4"/>
          </w:tcPr>
          <w:p>
            <w:pPr>
              <w:jc w:val="right"/>
              <w:ind w:right="20"/>
              <w:spacing w:after="0"/>
              <w:rPr>
                <w:rFonts w:ascii="Arial" w:cs="Arial" w:eastAsia="Arial" w:hAnsi="Arial"/>
                <w:sz w:val="18"/>
                <w:szCs w:val="18"/>
                <w:color w:val="0000EE"/>
              </w:rPr>
            </w:pPr>
            <w:hyperlink w:anchor="page42">
              <w:r>
                <w:rPr>
                  <w:rFonts w:ascii="Arial" w:cs="Arial" w:eastAsia="Arial" w:hAnsi="Arial"/>
                  <w:sz w:val="18"/>
                  <w:szCs w:val="18"/>
                  <w:color w:val="0000EE"/>
                </w:rPr>
                <w:t>40</w:t>
              </w:r>
            </w:hyperlink>
          </w:p>
        </w:tc>
      </w:tr>
      <w:tr>
        <w:trPr>
          <w:trHeight w:val="20"/>
        </w:trPr>
        <w:tc>
          <w:tcPr>
            <w:tcW w:w="580" w:type="dxa"/>
            <w:vAlign w:val="bottom"/>
            <w:gridSpan w:val="3"/>
            <w:shd w:val="clear" w:color="auto" w:fill="0000EE"/>
          </w:tcPr>
          <w:p>
            <w:pPr>
              <w:spacing w:after="0" w:line="20" w:lineRule="exact"/>
              <w:rPr>
                <w:sz w:val="1"/>
                <w:szCs w:val="1"/>
                <w:color w:val="auto"/>
              </w:rPr>
            </w:pPr>
          </w:p>
        </w:tc>
        <w:tc>
          <w:tcPr>
            <w:tcW w:w="560" w:type="dxa"/>
            <w:vAlign w:val="bottom"/>
            <w:tcBorders>
              <w:left w:val="single" w:sz="8" w:color="0000EE"/>
            </w:tcBorders>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600" w:type="dxa"/>
            <w:vAlign w:val="bottom"/>
            <w:tcBorders>
              <w:left w:val="single" w:sz="8" w:color="0000EE"/>
              <w:right w:val="single" w:sz="8" w:color="0000EE"/>
            </w:tcBorders>
            <w:gridSpan w:val="2"/>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2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238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8"/>
                <w:szCs w:val="18"/>
                <w:color w:val="0000EE"/>
                <w:w w:val="80"/>
              </w:rPr>
            </w:pPr>
            <w:hyperlink w:anchor="page43">
              <w:r>
                <w:rPr>
                  <w:rFonts w:ascii="Arial" w:cs="Arial" w:eastAsia="Arial" w:hAnsi="Arial"/>
                  <w:sz w:val="18"/>
                  <w:szCs w:val="18"/>
                  <w:color w:val="0000EE"/>
                  <w:w w:val="80"/>
                </w:rPr>
                <w:t>Item 9B.</w:t>
              </w:r>
            </w:hyperlink>
          </w:p>
        </w:tc>
        <w:tc>
          <w:tcPr>
            <w:tcW w:w="560" w:type="dxa"/>
            <w:vAlign w:val="bottom"/>
          </w:tcPr>
          <w:p>
            <w:pPr>
              <w:spacing w:after="0"/>
              <w:rPr>
                <w:sz w:val="21"/>
                <w:szCs w:val="21"/>
                <w:color w:val="auto"/>
              </w:rPr>
            </w:pPr>
          </w:p>
        </w:tc>
        <w:tc>
          <w:tcPr>
            <w:tcW w:w="1780" w:type="dxa"/>
            <w:vAlign w:val="bottom"/>
            <w:gridSpan w:val="7"/>
          </w:tcPr>
          <w:p>
            <w:pPr>
              <w:spacing w:after="0"/>
              <w:rPr>
                <w:rFonts w:ascii="Arial" w:cs="Arial" w:eastAsia="Arial" w:hAnsi="Arial"/>
                <w:sz w:val="18"/>
                <w:szCs w:val="18"/>
                <w:color w:val="0000EE"/>
              </w:rPr>
            </w:pPr>
            <w:hyperlink w:anchor="page43">
              <w:r>
                <w:rPr>
                  <w:rFonts w:ascii="Arial" w:cs="Arial" w:eastAsia="Arial" w:hAnsi="Arial"/>
                  <w:sz w:val="18"/>
                  <w:szCs w:val="18"/>
                  <w:color w:val="0000EE"/>
                </w:rPr>
                <w:t>Other Information</w:t>
              </w:r>
            </w:hyperlink>
          </w:p>
        </w:tc>
        <w:tc>
          <w:tcPr>
            <w:tcW w:w="7900" w:type="dxa"/>
            <w:vAlign w:val="bottom"/>
            <w:gridSpan w:val="21"/>
          </w:tcPr>
          <w:p>
            <w:pPr>
              <w:spacing w:after="0"/>
              <w:rPr>
                <w:sz w:val="21"/>
                <w:szCs w:val="21"/>
                <w:color w:val="auto"/>
              </w:rPr>
            </w:pPr>
          </w:p>
        </w:tc>
        <w:tc>
          <w:tcPr>
            <w:tcW w:w="560" w:type="dxa"/>
            <w:vAlign w:val="bottom"/>
            <w:gridSpan w:val="4"/>
          </w:tcPr>
          <w:p>
            <w:pPr>
              <w:jc w:val="right"/>
              <w:ind w:right="20"/>
              <w:spacing w:after="0"/>
              <w:rPr>
                <w:rFonts w:ascii="Arial" w:cs="Arial" w:eastAsia="Arial" w:hAnsi="Arial"/>
                <w:sz w:val="18"/>
                <w:szCs w:val="18"/>
                <w:color w:val="0000EE"/>
              </w:rPr>
            </w:pPr>
            <w:hyperlink w:anchor="page43">
              <w:r>
                <w:rPr>
                  <w:rFonts w:ascii="Arial" w:cs="Arial" w:eastAsia="Arial" w:hAnsi="Arial"/>
                  <w:sz w:val="18"/>
                  <w:szCs w:val="18"/>
                  <w:color w:val="0000EE"/>
                </w:rPr>
                <w:t>41</w:t>
              </w:r>
            </w:hyperlink>
          </w:p>
        </w:tc>
      </w:tr>
      <w:tr>
        <w:trPr>
          <w:trHeight w:val="250"/>
        </w:trPr>
        <w:tc>
          <w:tcPr>
            <w:tcW w:w="460" w:type="dxa"/>
            <w:vAlign w:val="bottom"/>
            <w:tcBorders>
              <w:top w:val="single" w:sz="8" w:color="0000EE"/>
            </w:tcBorders>
          </w:tcPr>
          <w:p>
            <w:pPr>
              <w:spacing w:after="0"/>
              <w:rPr>
                <w:sz w:val="21"/>
                <w:szCs w:val="21"/>
                <w:color w:val="auto"/>
              </w:rPr>
            </w:pPr>
          </w:p>
        </w:tc>
        <w:tc>
          <w:tcPr>
            <w:tcW w:w="40" w:type="dxa"/>
            <w:vAlign w:val="bottom"/>
            <w:tcBorders>
              <w:top w:val="single" w:sz="8" w:color="0000EE"/>
            </w:tcBorders>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560" w:type="dxa"/>
            <w:vAlign w:val="bottom"/>
          </w:tcPr>
          <w:p>
            <w:pPr>
              <w:spacing w:after="0"/>
              <w:rPr>
                <w:sz w:val="21"/>
                <w:szCs w:val="21"/>
                <w:color w:val="auto"/>
              </w:rPr>
            </w:pPr>
          </w:p>
        </w:tc>
        <w:tc>
          <w:tcPr>
            <w:tcW w:w="64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160" w:type="dxa"/>
            <w:vAlign w:val="bottom"/>
            <w:tcBorders>
              <w:top w:val="single" w:sz="8" w:color="0000EE"/>
            </w:tcBorders>
          </w:tcPr>
          <w:p>
            <w:pPr>
              <w:spacing w:after="0"/>
              <w:rPr>
                <w:sz w:val="21"/>
                <w:szCs w:val="21"/>
                <w:color w:val="auto"/>
              </w:rPr>
            </w:pPr>
          </w:p>
        </w:tc>
        <w:tc>
          <w:tcPr>
            <w:tcW w:w="440" w:type="dxa"/>
            <w:vAlign w:val="bottom"/>
            <w:tcBorders>
              <w:top w:val="single" w:sz="8" w:color="0000EE"/>
            </w:tcBorders>
          </w:tcPr>
          <w:p>
            <w:pPr>
              <w:spacing w:after="0"/>
              <w:rPr>
                <w:sz w:val="21"/>
                <w:szCs w:val="21"/>
                <w:color w:val="auto"/>
              </w:rPr>
            </w:pPr>
          </w:p>
        </w:tc>
        <w:tc>
          <w:tcPr>
            <w:tcW w:w="2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5580" w:type="dxa"/>
            <w:vAlign w:val="bottom"/>
            <w:gridSpan w:val="14"/>
          </w:tcPr>
          <w:p>
            <w:pPr>
              <w:jc w:val="center"/>
              <w:ind w:right="4700"/>
              <w:spacing w:after="0"/>
              <w:rPr>
                <w:rFonts w:ascii="Arial" w:cs="Arial" w:eastAsia="Arial" w:hAnsi="Arial"/>
                <w:sz w:val="18"/>
                <w:szCs w:val="18"/>
                <w:b w:val="1"/>
                <w:bCs w:val="1"/>
                <w:color w:val="0000EE"/>
              </w:rPr>
            </w:pPr>
            <w:hyperlink w:anchor="page44">
              <w:r>
                <w:rPr>
                  <w:rFonts w:ascii="Arial" w:cs="Arial" w:eastAsia="Arial" w:hAnsi="Arial"/>
                  <w:sz w:val="18"/>
                  <w:szCs w:val="18"/>
                  <w:b w:val="1"/>
                  <w:bCs w:val="1"/>
                  <w:color w:val="0000EE"/>
                </w:rPr>
                <w:t>PART III</w:t>
              </w:r>
            </w:hyperlink>
          </w:p>
        </w:tc>
        <w:tc>
          <w:tcPr>
            <w:tcW w:w="360" w:type="dxa"/>
            <w:vAlign w:val="bottom"/>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580" w:type="dxa"/>
            <w:vAlign w:val="bottom"/>
            <w:gridSpan w:val="3"/>
          </w:tcPr>
          <w:p>
            <w:pPr>
              <w:spacing w:after="0"/>
              <w:rPr>
                <w:rFonts w:ascii="Arial" w:cs="Arial" w:eastAsia="Arial" w:hAnsi="Arial"/>
                <w:sz w:val="18"/>
                <w:szCs w:val="18"/>
                <w:color w:val="0000EE"/>
                <w:w w:val="82"/>
              </w:rPr>
            </w:pPr>
            <w:hyperlink w:anchor="page44">
              <w:r>
                <w:rPr>
                  <w:rFonts w:ascii="Arial" w:cs="Arial" w:eastAsia="Arial" w:hAnsi="Arial"/>
                  <w:sz w:val="18"/>
                  <w:szCs w:val="18"/>
                  <w:color w:val="0000EE"/>
                  <w:w w:val="82"/>
                </w:rPr>
                <w:t>Item 10.</w:t>
              </w:r>
            </w:hyperlink>
          </w:p>
        </w:tc>
        <w:tc>
          <w:tcPr>
            <w:tcW w:w="560" w:type="dxa"/>
            <w:vAlign w:val="bottom"/>
          </w:tcPr>
          <w:p>
            <w:pPr>
              <w:spacing w:after="0"/>
              <w:rPr>
                <w:sz w:val="21"/>
                <w:szCs w:val="21"/>
                <w:color w:val="auto"/>
              </w:rPr>
            </w:pPr>
          </w:p>
        </w:tc>
        <w:tc>
          <w:tcPr>
            <w:tcW w:w="4100" w:type="dxa"/>
            <w:vAlign w:val="bottom"/>
            <w:gridSpan w:val="14"/>
          </w:tcPr>
          <w:p>
            <w:pPr>
              <w:spacing w:after="0"/>
              <w:rPr>
                <w:rFonts w:ascii="Arial" w:cs="Arial" w:eastAsia="Arial" w:hAnsi="Arial"/>
                <w:sz w:val="18"/>
                <w:szCs w:val="18"/>
                <w:color w:val="0000EE"/>
                <w:w w:val="90"/>
              </w:rPr>
            </w:pPr>
            <w:hyperlink w:anchor="page44">
              <w:r>
                <w:rPr>
                  <w:rFonts w:ascii="Arial" w:cs="Arial" w:eastAsia="Arial" w:hAnsi="Arial"/>
                  <w:sz w:val="18"/>
                  <w:szCs w:val="18"/>
                  <w:color w:val="0000EE"/>
                  <w:w w:val="90"/>
                </w:rPr>
                <w:t>Directors, Executive Officers and Corporate Governance</w:t>
              </w:r>
            </w:hyperlink>
          </w:p>
        </w:tc>
        <w:tc>
          <w:tcPr>
            <w:tcW w:w="80" w:type="dxa"/>
            <w:vAlign w:val="bottom"/>
          </w:tcPr>
          <w:p>
            <w:pPr>
              <w:spacing w:after="0"/>
              <w:rPr>
                <w:sz w:val="21"/>
                <w:szCs w:val="21"/>
                <w:color w:val="auto"/>
              </w:rPr>
            </w:pPr>
          </w:p>
        </w:tc>
        <w:tc>
          <w:tcPr>
            <w:tcW w:w="740" w:type="dxa"/>
            <w:vAlign w:val="bottom"/>
            <w:tcBorders>
              <w:top w:val="single" w:sz="8" w:color="0000EE"/>
            </w:tcBorders>
            <w:gridSpan w:val="7"/>
          </w:tcPr>
          <w:p>
            <w:pPr>
              <w:spacing w:after="0"/>
              <w:rPr>
                <w:sz w:val="21"/>
                <w:szCs w:val="21"/>
                <w:color w:val="auto"/>
              </w:rPr>
            </w:pPr>
          </w:p>
        </w:tc>
        <w:tc>
          <w:tcPr>
            <w:tcW w:w="4760" w:type="dxa"/>
            <w:vAlign w:val="bottom"/>
            <w:gridSpan w:val="6"/>
          </w:tcPr>
          <w:p>
            <w:pPr>
              <w:spacing w:after="0"/>
              <w:rPr>
                <w:sz w:val="21"/>
                <w:szCs w:val="21"/>
                <w:color w:val="auto"/>
              </w:rPr>
            </w:pPr>
          </w:p>
        </w:tc>
        <w:tc>
          <w:tcPr>
            <w:tcW w:w="560" w:type="dxa"/>
            <w:vAlign w:val="bottom"/>
            <w:gridSpan w:val="4"/>
          </w:tcPr>
          <w:p>
            <w:pPr>
              <w:jc w:val="right"/>
              <w:ind w:right="20"/>
              <w:spacing w:after="0"/>
              <w:rPr>
                <w:rFonts w:ascii="Arial" w:cs="Arial" w:eastAsia="Arial" w:hAnsi="Arial"/>
                <w:sz w:val="18"/>
                <w:szCs w:val="18"/>
                <w:color w:val="0000EE"/>
              </w:rPr>
            </w:pPr>
            <w:hyperlink w:anchor="page44">
              <w:r>
                <w:rPr>
                  <w:rFonts w:ascii="Arial" w:cs="Arial" w:eastAsia="Arial" w:hAnsi="Arial"/>
                  <w:sz w:val="18"/>
                  <w:szCs w:val="18"/>
                  <w:color w:val="0000EE"/>
                </w:rPr>
                <w:t>42</w:t>
              </w:r>
            </w:hyperlink>
          </w:p>
        </w:tc>
      </w:tr>
      <w:tr>
        <w:trPr>
          <w:trHeight w:val="20"/>
        </w:trPr>
        <w:tc>
          <w:tcPr>
            <w:tcW w:w="580" w:type="dxa"/>
            <w:vAlign w:val="bottom"/>
            <w:gridSpan w:val="3"/>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820" w:type="dxa"/>
            <w:vAlign w:val="bottom"/>
            <w:tcBorders>
              <w:left w:val="single" w:sz="8" w:color="0000EE"/>
            </w:tcBorders>
            <w:gridSpan w:val="3"/>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200" w:type="dxa"/>
            <w:vAlign w:val="bottom"/>
            <w:gridSpan w:val="2"/>
            <w:shd w:val="clear" w:color="auto" w:fill="0000EE"/>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238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8"/>
                <w:szCs w:val="18"/>
                <w:color w:val="0000EE"/>
                <w:w w:val="82"/>
              </w:rPr>
            </w:pPr>
            <w:hyperlink w:anchor="page44">
              <w:r>
                <w:rPr>
                  <w:rFonts w:ascii="Arial" w:cs="Arial" w:eastAsia="Arial" w:hAnsi="Arial"/>
                  <w:sz w:val="18"/>
                  <w:szCs w:val="18"/>
                  <w:color w:val="0000EE"/>
                  <w:w w:val="82"/>
                </w:rPr>
                <w:t>Item 11.</w:t>
              </w:r>
            </w:hyperlink>
          </w:p>
        </w:tc>
        <w:tc>
          <w:tcPr>
            <w:tcW w:w="560" w:type="dxa"/>
            <w:vAlign w:val="bottom"/>
          </w:tcPr>
          <w:p>
            <w:pPr>
              <w:spacing w:after="0"/>
              <w:rPr>
                <w:sz w:val="21"/>
                <w:szCs w:val="21"/>
                <w:color w:val="auto"/>
              </w:rPr>
            </w:pPr>
          </w:p>
        </w:tc>
        <w:tc>
          <w:tcPr>
            <w:tcW w:w="4100" w:type="dxa"/>
            <w:vAlign w:val="bottom"/>
            <w:gridSpan w:val="14"/>
          </w:tcPr>
          <w:p>
            <w:pPr>
              <w:spacing w:after="0"/>
              <w:rPr>
                <w:rFonts w:ascii="Arial" w:cs="Arial" w:eastAsia="Arial" w:hAnsi="Arial"/>
                <w:sz w:val="18"/>
                <w:szCs w:val="18"/>
                <w:color w:val="0000EE"/>
              </w:rPr>
            </w:pPr>
            <w:hyperlink w:anchor="page44">
              <w:r>
                <w:rPr>
                  <w:rFonts w:ascii="Arial" w:cs="Arial" w:eastAsia="Arial" w:hAnsi="Arial"/>
                  <w:sz w:val="18"/>
                  <w:szCs w:val="18"/>
                  <w:color w:val="0000EE"/>
                </w:rPr>
                <w:t>Executive Compensation</w:t>
              </w:r>
            </w:hyperlink>
          </w:p>
        </w:tc>
        <w:tc>
          <w:tcPr>
            <w:tcW w:w="5580" w:type="dxa"/>
            <w:vAlign w:val="bottom"/>
            <w:gridSpan w:val="14"/>
          </w:tcPr>
          <w:p>
            <w:pPr>
              <w:spacing w:after="0"/>
              <w:rPr>
                <w:sz w:val="21"/>
                <w:szCs w:val="21"/>
                <w:color w:val="auto"/>
              </w:rPr>
            </w:pPr>
          </w:p>
        </w:tc>
        <w:tc>
          <w:tcPr>
            <w:tcW w:w="560" w:type="dxa"/>
            <w:vAlign w:val="bottom"/>
            <w:gridSpan w:val="4"/>
          </w:tcPr>
          <w:p>
            <w:pPr>
              <w:jc w:val="right"/>
              <w:ind w:right="20"/>
              <w:spacing w:after="0"/>
              <w:rPr>
                <w:rFonts w:ascii="Arial" w:cs="Arial" w:eastAsia="Arial" w:hAnsi="Arial"/>
                <w:sz w:val="18"/>
                <w:szCs w:val="18"/>
                <w:color w:val="0000EE"/>
              </w:rPr>
            </w:pPr>
            <w:hyperlink w:anchor="page44">
              <w:r>
                <w:rPr>
                  <w:rFonts w:ascii="Arial" w:cs="Arial" w:eastAsia="Arial" w:hAnsi="Arial"/>
                  <w:sz w:val="18"/>
                  <w:szCs w:val="18"/>
                  <w:color w:val="0000EE"/>
                </w:rPr>
                <w:t>42</w:t>
              </w:r>
            </w:hyperlink>
          </w:p>
        </w:tc>
      </w:tr>
      <w:tr>
        <w:trPr>
          <w:trHeight w:val="20"/>
        </w:trPr>
        <w:tc>
          <w:tcPr>
            <w:tcW w:w="580" w:type="dxa"/>
            <w:vAlign w:val="bottom"/>
            <w:gridSpan w:val="3"/>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820" w:type="dxa"/>
            <w:vAlign w:val="bottom"/>
            <w:tcBorders>
              <w:left w:val="single" w:sz="8" w:color="0000EE"/>
            </w:tcBorders>
            <w:gridSpan w:val="3"/>
            <w:shd w:val="clear" w:color="auto" w:fill="0000EE"/>
          </w:tcPr>
          <w:p>
            <w:pPr>
              <w:spacing w:after="0" w:line="20" w:lineRule="exact"/>
              <w:rPr>
                <w:sz w:val="1"/>
                <w:szCs w:val="1"/>
                <w:color w:val="auto"/>
              </w:rPr>
            </w:pPr>
          </w:p>
        </w:tc>
        <w:tc>
          <w:tcPr>
            <w:tcW w:w="240" w:type="dxa"/>
            <w:vAlign w:val="bottom"/>
            <w:gridSpan w:val="3"/>
            <w:shd w:val="clear" w:color="auto" w:fill="0000EE"/>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00" w:type="dxa"/>
            <w:vAlign w:val="bottom"/>
            <w:gridSpan w:val="4"/>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560" w:type="dxa"/>
            <w:vAlign w:val="bottom"/>
            <w:gridSpan w:val="2"/>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238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8"/>
                <w:szCs w:val="18"/>
                <w:color w:val="0000EE"/>
                <w:w w:val="82"/>
              </w:rPr>
            </w:pPr>
            <w:hyperlink w:anchor="page44">
              <w:r>
                <w:rPr>
                  <w:rFonts w:ascii="Arial" w:cs="Arial" w:eastAsia="Arial" w:hAnsi="Arial"/>
                  <w:sz w:val="18"/>
                  <w:szCs w:val="18"/>
                  <w:color w:val="0000EE"/>
                  <w:w w:val="82"/>
                </w:rPr>
                <w:t>Item 12.</w:t>
              </w:r>
            </w:hyperlink>
          </w:p>
        </w:tc>
        <w:tc>
          <w:tcPr>
            <w:tcW w:w="560" w:type="dxa"/>
            <w:vAlign w:val="bottom"/>
          </w:tcPr>
          <w:p>
            <w:pPr>
              <w:spacing w:after="0"/>
              <w:rPr>
                <w:sz w:val="21"/>
                <w:szCs w:val="21"/>
                <w:color w:val="auto"/>
              </w:rPr>
            </w:pPr>
          </w:p>
        </w:tc>
        <w:tc>
          <w:tcPr>
            <w:tcW w:w="7300" w:type="dxa"/>
            <w:vAlign w:val="bottom"/>
            <w:gridSpan w:val="26"/>
          </w:tcPr>
          <w:p>
            <w:pPr>
              <w:spacing w:after="0"/>
              <w:rPr>
                <w:rFonts w:ascii="Arial" w:cs="Arial" w:eastAsia="Arial" w:hAnsi="Arial"/>
                <w:sz w:val="18"/>
                <w:szCs w:val="18"/>
                <w:color w:val="0000EE"/>
                <w:w w:val="90"/>
              </w:rPr>
            </w:pPr>
            <w:hyperlink w:anchor="page44">
              <w:r>
                <w:rPr>
                  <w:rFonts w:ascii="Arial" w:cs="Arial" w:eastAsia="Arial" w:hAnsi="Arial"/>
                  <w:sz w:val="18"/>
                  <w:szCs w:val="18"/>
                  <w:color w:val="0000EE"/>
                  <w:w w:val="90"/>
                </w:rPr>
                <w:t>Security Ownership of Certain Beneficial Owners and Management and Related Stockholder Matters</w:t>
              </w:r>
            </w:hyperlink>
          </w:p>
        </w:tc>
        <w:tc>
          <w:tcPr>
            <w:tcW w:w="2380" w:type="dxa"/>
            <w:vAlign w:val="bottom"/>
            <w:gridSpan w:val="2"/>
          </w:tcPr>
          <w:p>
            <w:pPr>
              <w:spacing w:after="0"/>
              <w:rPr>
                <w:sz w:val="21"/>
                <w:szCs w:val="21"/>
                <w:color w:val="auto"/>
              </w:rPr>
            </w:pPr>
          </w:p>
        </w:tc>
        <w:tc>
          <w:tcPr>
            <w:tcW w:w="560" w:type="dxa"/>
            <w:vAlign w:val="bottom"/>
            <w:gridSpan w:val="4"/>
          </w:tcPr>
          <w:p>
            <w:pPr>
              <w:jc w:val="right"/>
              <w:ind w:right="20"/>
              <w:spacing w:after="0"/>
              <w:rPr>
                <w:rFonts w:ascii="Arial" w:cs="Arial" w:eastAsia="Arial" w:hAnsi="Arial"/>
                <w:sz w:val="18"/>
                <w:szCs w:val="18"/>
                <w:color w:val="0000EE"/>
              </w:rPr>
            </w:pPr>
            <w:hyperlink w:anchor="page44">
              <w:r>
                <w:rPr>
                  <w:rFonts w:ascii="Arial" w:cs="Arial" w:eastAsia="Arial" w:hAnsi="Arial"/>
                  <w:sz w:val="18"/>
                  <w:szCs w:val="18"/>
                  <w:color w:val="0000EE"/>
                </w:rPr>
                <w:t>42</w:t>
              </w:r>
            </w:hyperlink>
          </w:p>
        </w:tc>
      </w:tr>
      <w:tr>
        <w:trPr>
          <w:trHeight w:val="20"/>
        </w:trPr>
        <w:tc>
          <w:tcPr>
            <w:tcW w:w="580" w:type="dxa"/>
            <w:vAlign w:val="bottom"/>
            <w:gridSpan w:val="3"/>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820" w:type="dxa"/>
            <w:vAlign w:val="bottom"/>
            <w:tcBorders>
              <w:left w:val="single" w:sz="8" w:color="0000EE"/>
            </w:tcBorders>
            <w:gridSpan w:val="3"/>
            <w:shd w:val="clear" w:color="auto" w:fill="0000EE"/>
          </w:tcPr>
          <w:p>
            <w:pPr>
              <w:spacing w:after="0" w:line="20" w:lineRule="exact"/>
              <w:rPr>
                <w:sz w:val="1"/>
                <w:szCs w:val="1"/>
                <w:color w:val="auto"/>
              </w:rPr>
            </w:pPr>
          </w:p>
        </w:tc>
        <w:tc>
          <w:tcPr>
            <w:tcW w:w="580" w:type="dxa"/>
            <w:vAlign w:val="bottom"/>
            <w:gridSpan w:val="5"/>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300" w:type="dxa"/>
            <w:vAlign w:val="bottom"/>
            <w:gridSpan w:val="4"/>
            <w:shd w:val="clear" w:color="auto" w:fill="0000EE"/>
          </w:tcPr>
          <w:p>
            <w:pPr>
              <w:spacing w:after="0" w:line="20" w:lineRule="exact"/>
              <w:rPr>
                <w:sz w:val="1"/>
                <w:szCs w:val="1"/>
                <w:color w:val="auto"/>
              </w:rPr>
            </w:pPr>
          </w:p>
        </w:tc>
        <w:tc>
          <w:tcPr>
            <w:tcW w:w="700" w:type="dxa"/>
            <w:vAlign w:val="bottom"/>
            <w:gridSpan w:val="5"/>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1840" w:type="dxa"/>
            <w:vAlign w:val="bottom"/>
            <w:gridSpan w:val="3"/>
            <w:shd w:val="clear" w:color="auto" w:fill="0000EE"/>
          </w:tcPr>
          <w:p>
            <w:pPr>
              <w:spacing w:after="0" w:line="20" w:lineRule="exact"/>
              <w:rPr>
                <w:sz w:val="1"/>
                <w:szCs w:val="1"/>
                <w:color w:val="auto"/>
              </w:rPr>
            </w:pPr>
          </w:p>
        </w:tc>
        <w:tc>
          <w:tcPr>
            <w:tcW w:w="238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8"/>
                <w:szCs w:val="18"/>
                <w:color w:val="0000EE"/>
                <w:w w:val="82"/>
              </w:rPr>
            </w:pPr>
            <w:hyperlink w:anchor="page44">
              <w:r>
                <w:rPr>
                  <w:rFonts w:ascii="Arial" w:cs="Arial" w:eastAsia="Arial" w:hAnsi="Arial"/>
                  <w:sz w:val="18"/>
                  <w:szCs w:val="18"/>
                  <w:color w:val="0000EE"/>
                  <w:w w:val="82"/>
                </w:rPr>
                <w:t>Item 13.</w:t>
              </w:r>
            </w:hyperlink>
          </w:p>
        </w:tc>
        <w:tc>
          <w:tcPr>
            <w:tcW w:w="560" w:type="dxa"/>
            <w:vAlign w:val="bottom"/>
          </w:tcPr>
          <w:p>
            <w:pPr>
              <w:spacing w:after="0"/>
              <w:rPr>
                <w:sz w:val="21"/>
                <w:szCs w:val="21"/>
                <w:color w:val="auto"/>
              </w:rPr>
            </w:pPr>
          </w:p>
        </w:tc>
        <w:tc>
          <w:tcPr>
            <w:tcW w:w="5460" w:type="dxa"/>
            <w:vAlign w:val="bottom"/>
            <w:gridSpan w:val="23"/>
          </w:tcPr>
          <w:p>
            <w:pPr>
              <w:spacing w:after="0"/>
              <w:rPr>
                <w:rFonts w:ascii="Arial" w:cs="Arial" w:eastAsia="Arial" w:hAnsi="Arial"/>
                <w:sz w:val="18"/>
                <w:szCs w:val="18"/>
                <w:color w:val="0000EE"/>
                <w:w w:val="89"/>
              </w:rPr>
            </w:pPr>
            <w:hyperlink w:anchor="page44">
              <w:r>
                <w:rPr>
                  <w:rFonts w:ascii="Arial" w:cs="Arial" w:eastAsia="Arial" w:hAnsi="Arial"/>
                  <w:sz w:val="18"/>
                  <w:szCs w:val="18"/>
                  <w:color w:val="0000EE"/>
                  <w:w w:val="89"/>
                </w:rPr>
                <w:t>Certain Relationships and Related Transactions, and Director Independence</w:t>
              </w:r>
            </w:hyperlink>
          </w:p>
        </w:tc>
        <w:tc>
          <w:tcPr>
            <w:tcW w:w="1840" w:type="dxa"/>
            <w:vAlign w:val="bottom"/>
            <w:gridSpan w:val="3"/>
          </w:tcPr>
          <w:p>
            <w:pPr>
              <w:spacing w:after="0"/>
              <w:rPr>
                <w:sz w:val="21"/>
                <w:szCs w:val="21"/>
                <w:color w:val="auto"/>
              </w:rPr>
            </w:pPr>
          </w:p>
        </w:tc>
        <w:tc>
          <w:tcPr>
            <w:tcW w:w="2380" w:type="dxa"/>
            <w:vAlign w:val="bottom"/>
            <w:gridSpan w:val="2"/>
          </w:tcPr>
          <w:p>
            <w:pPr>
              <w:spacing w:after="0"/>
              <w:rPr>
                <w:sz w:val="21"/>
                <w:szCs w:val="21"/>
                <w:color w:val="auto"/>
              </w:rPr>
            </w:pPr>
          </w:p>
        </w:tc>
        <w:tc>
          <w:tcPr>
            <w:tcW w:w="560" w:type="dxa"/>
            <w:vAlign w:val="bottom"/>
            <w:gridSpan w:val="4"/>
          </w:tcPr>
          <w:p>
            <w:pPr>
              <w:jc w:val="right"/>
              <w:ind w:right="20"/>
              <w:spacing w:after="0"/>
              <w:rPr>
                <w:rFonts w:ascii="Arial" w:cs="Arial" w:eastAsia="Arial" w:hAnsi="Arial"/>
                <w:sz w:val="18"/>
                <w:szCs w:val="18"/>
                <w:color w:val="0000EE"/>
              </w:rPr>
            </w:pPr>
            <w:hyperlink w:anchor="page44">
              <w:r>
                <w:rPr>
                  <w:rFonts w:ascii="Arial" w:cs="Arial" w:eastAsia="Arial" w:hAnsi="Arial"/>
                  <w:sz w:val="18"/>
                  <w:szCs w:val="18"/>
                  <w:color w:val="0000EE"/>
                </w:rPr>
                <w:t>42</w:t>
              </w:r>
            </w:hyperlink>
          </w:p>
        </w:tc>
      </w:tr>
      <w:tr>
        <w:trPr>
          <w:trHeight w:val="20"/>
        </w:trPr>
        <w:tc>
          <w:tcPr>
            <w:tcW w:w="580" w:type="dxa"/>
            <w:vAlign w:val="bottom"/>
            <w:gridSpan w:val="3"/>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820" w:type="dxa"/>
            <w:vAlign w:val="bottom"/>
            <w:tcBorders>
              <w:left w:val="single" w:sz="8" w:color="0000EE"/>
            </w:tcBorders>
            <w:gridSpan w:val="3"/>
            <w:shd w:val="clear" w:color="auto" w:fill="0000EE"/>
          </w:tcPr>
          <w:p>
            <w:pPr>
              <w:spacing w:after="0" w:line="20" w:lineRule="exact"/>
              <w:rPr>
                <w:sz w:val="1"/>
                <w:szCs w:val="1"/>
                <w:color w:val="auto"/>
              </w:rPr>
            </w:pPr>
          </w:p>
        </w:tc>
        <w:tc>
          <w:tcPr>
            <w:tcW w:w="580" w:type="dxa"/>
            <w:vAlign w:val="bottom"/>
            <w:gridSpan w:val="5"/>
            <w:shd w:val="clear" w:color="auto" w:fill="0000EE"/>
          </w:tcPr>
          <w:p>
            <w:pPr>
              <w:spacing w:after="0" w:line="20" w:lineRule="exact"/>
              <w:rPr>
                <w:sz w:val="1"/>
                <w:szCs w:val="1"/>
                <w:color w:val="auto"/>
              </w:rPr>
            </w:pPr>
          </w:p>
        </w:tc>
        <w:tc>
          <w:tcPr>
            <w:tcW w:w="7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300" w:type="dxa"/>
            <w:vAlign w:val="bottom"/>
            <w:gridSpan w:val="4"/>
            <w:shd w:val="clear" w:color="auto" w:fill="0000EE"/>
          </w:tcPr>
          <w:p>
            <w:pPr>
              <w:spacing w:after="0" w:line="20" w:lineRule="exact"/>
              <w:rPr>
                <w:sz w:val="1"/>
                <w:szCs w:val="1"/>
                <w:color w:val="auto"/>
              </w:rPr>
            </w:pPr>
          </w:p>
        </w:tc>
        <w:tc>
          <w:tcPr>
            <w:tcW w:w="700" w:type="dxa"/>
            <w:vAlign w:val="bottom"/>
            <w:gridSpan w:val="5"/>
            <w:shd w:val="clear" w:color="auto" w:fill="0000EE"/>
          </w:tcPr>
          <w:p>
            <w:pPr>
              <w:spacing w:after="0" w:line="20" w:lineRule="exact"/>
              <w:rPr>
                <w:sz w:val="1"/>
                <w:szCs w:val="1"/>
                <w:color w:val="auto"/>
              </w:rPr>
            </w:pPr>
          </w:p>
        </w:tc>
        <w:tc>
          <w:tcPr>
            <w:tcW w:w="560" w:type="dxa"/>
            <w:vAlign w:val="bottom"/>
            <w:gridSpan w:val="2"/>
            <w:shd w:val="clear" w:color="auto" w:fill="0000EE"/>
          </w:tcPr>
          <w:p>
            <w:pPr>
              <w:spacing w:after="0" w:line="20" w:lineRule="exact"/>
              <w:rPr>
                <w:sz w:val="1"/>
                <w:szCs w:val="1"/>
                <w:color w:val="auto"/>
              </w:rPr>
            </w:pPr>
          </w:p>
        </w:tc>
        <w:tc>
          <w:tcPr>
            <w:tcW w:w="4220" w:type="dxa"/>
            <w:vAlign w:val="bottom"/>
            <w:gridSpan w:val="5"/>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8"/>
                <w:szCs w:val="18"/>
                <w:color w:val="0000EE"/>
                <w:w w:val="82"/>
              </w:rPr>
            </w:pPr>
            <w:hyperlink w:anchor="page44">
              <w:r>
                <w:rPr>
                  <w:rFonts w:ascii="Arial" w:cs="Arial" w:eastAsia="Arial" w:hAnsi="Arial"/>
                  <w:sz w:val="18"/>
                  <w:szCs w:val="18"/>
                  <w:color w:val="0000EE"/>
                  <w:w w:val="82"/>
                </w:rPr>
                <w:t>Item 14.</w:t>
              </w:r>
            </w:hyperlink>
          </w:p>
        </w:tc>
        <w:tc>
          <w:tcPr>
            <w:tcW w:w="560" w:type="dxa"/>
            <w:vAlign w:val="bottom"/>
          </w:tcPr>
          <w:p>
            <w:pPr>
              <w:spacing w:after="0"/>
              <w:rPr>
                <w:sz w:val="21"/>
                <w:szCs w:val="21"/>
                <w:color w:val="auto"/>
              </w:rPr>
            </w:pPr>
          </w:p>
        </w:tc>
        <w:tc>
          <w:tcPr>
            <w:tcW w:w="5460" w:type="dxa"/>
            <w:vAlign w:val="bottom"/>
            <w:gridSpan w:val="23"/>
          </w:tcPr>
          <w:p>
            <w:pPr>
              <w:spacing w:after="0"/>
              <w:rPr>
                <w:rFonts w:ascii="Arial" w:cs="Arial" w:eastAsia="Arial" w:hAnsi="Arial"/>
                <w:sz w:val="18"/>
                <w:szCs w:val="18"/>
                <w:color w:val="0000EE"/>
              </w:rPr>
            </w:pPr>
            <w:hyperlink w:anchor="page44">
              <w:r>
                <w:rPr>
                  <w:rFonts w:ascii="Arial" w:cs="Arial" w:eastAsia="Arial" w:hAnsi="Arial"/>
                  <w:sz w:val="18"/>
                  <w:szCs w:val="18"/>
                  <w:color w:val="0000EE"/>
                </w:rPr>
                <w:t>Principal Accounting Fees and Services</w:t>
              </w:r>
            </w:hyperlink>
          </w:p>
        </w:tc>
        <w:tc>
          <w:tcPr>
            <w:tcW w:w="4220" w:type="dxa"/>
            <w:vAlign w:val="bottom"/>
            <w:gridSpan w:val="5"/>
          </w:tcPr>
          <w:p>
            <w:pPr>
              <w:spacing w:after="0"/>
              <w:rPr>
                <w:sz w:val="21"/>
                <w:szCs w:val="21"/>
                <w:color w:val="auto"/>
              </w:rPr>
            </w:pPr>
          </w:p>
        </w:tc>
        <w:tc>
          <w:tcPr>
            <w:tcW w:w="560" w:type="dxa"/>
            <w:vAlign w:val="bottom"/>
            <w:gridSpan w:val="4"/>
          </w:tcPr>
          <w:p>
            <w:pPr>
              <w:jc w:val="right"/>
              <w:ind w:right="20"/>
              <w:spacing w:after="0"/>
              <w:rPr>
                <w:rFonts w:ascii="Arial" w:cs="Arial" w:eastAsia="Arial" w:hAnsi="Arial"/>
                <w:sz w:val="18"/>
                <w:szCs w:val="18"/>
                <w:color w:val="0000EE"/>
              </w:rPr>
            </w:pPr>
            <w:hyperlink w:anchor="page44">
              <w:r>
                <w:rPr>
                  <w:rFonts w:ascii="Arial" w:cs="Arial" w:eastAsia="Arial" w:hAnsi="Arial"/>
                  <w:sz w:val="18"/>
                  <w:szCs w:val="18"/>
                  <w:color w:val="0000EE"/>
                </w:rPr>
                <w:t>42</w:t>
              </w:r>
            </w:hyperlink>
          </w:p>
        </w:tc>
      </w:tr>
      <w:tr>
        <w:trPr>
          <w:trHeight w:val="250"/>
        </w:trPr>
        <w:tc>
          <w:tcPr>
            <w:tcW w:w="460" w:type="dxa"/>
            <w:vAlign w:val="bottom"/>
            <w:tcBorders>
              <w:top w:val="single" w:sz="8" w:color="0000EE"/>
            </w:tcBorders>
          </w:tcPr>
          <w:p>
            <w:pPr>
              <w:spacing w:after="0"/>
              <w:rPr>
                <w:sz w:val="21"/>
                <w:szCs w:val="21"/>
                <w:color w:val="auto"/>
              </w:rPr>
            </w:pPr>
          </w:p>
        </w:tc>
        <w:tc>
          <w:tcPr>
            <w:tcW w:w="40" w:type="dxa"/>
            <w:vAlign w:val="bottom"/>
            <w:tcBorders>
              <w:top w:val="single" w:sz="8" w:color="0000EE"/>
            </w:tcBorders>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560" w:type="dxa"/>
            <w:vAlign w:val="bottom"/>
          </w:tcPr>
          <w:p>
            <w:pPr>
              <w:spacing w:after="0"/>
              <w:rPr>
                <w:sz w:val="21"/>
                <w:szCs w:val="21"/>
                <w:color w:val="auto"/>
              </w:rPr>
            </w:pPr>
          </w:p>
        </w:tc>
        <w:tc>
          <w:tcPr>
            <w:tcW w:w="64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160" w:type="dxa"/>
            <w:vAlign w:val="bottom"/>
            <w:tcBorders>
              <w:top w:val="single" w:sz="8" w:color="0000EE"/>
            </w:tcBorders>
          </w:tcPr>
          <w:p>
            <w:pPr>
              <w:spacing w:after="0"/>
              <w:rPr>
                <w:sz w:val="21"/>
                <w:szCs w:val="21"/>
                <w:color w:val="auto"/>
              </w:rPr>
            </w:pPr>
          </w:p>
        </w:tc>
        <w:tc>
          <w:tcPr>
            <w:tcW w:w="440" w:type="dxa"/>
            <w:vAlign w:val="bottom"/>
            <w:tcBorders>
              <w:top w:val="single" w:sz="8" w:color="0000EE"/>
            </w:tcBorders>
          </w:tcPr>
          <w:p>
            <w:pPr>
              <w:spacing w:after="0"/>
              <w:rPr>
                <w:sz w:val="21"/>
                <w:szCs w:val="21"/>
                <w:color w:val="auto"/>
              </w:rPr>
            </w:pPr>
          </w:p>
        </w:tc>
        <w:tc>
          <w:tcPr>
            <w:tcW w:w="220" w:type="dxa"/>
            <w:vAlign w:val="bottom"/>
            <w:tcBorders>
              <w:top w:val="single" w:sz="8" w:color="0000EE"/>
            </w:tcBorders>
          </w:tcPr>
          <w:p>
            <w:pPr>
              <w:spacing w:after="0"/>
              <w:rPr>
                <w:sz w:val="21"/>
                <w:szCs w:val="21"/>
                <w:color w:val="auto"/>
              </w:rPr>
            </w:pPr>
          </w:p>
        </w:tc>
        <w:tc>
          <w:tcPr>
            <w:tcW w:w="160" w:type="dxa"/>
            <w:vAlign w:val="bottom"/>
            <w:tcBorders>
              <w:top w:val="single" w:sz="8" w:color="0000EE"/>
            </w:tcBorders>
          </w:tcPr>
          <w:p>
            <w:pPr>
              <w:spacing w:after="0"/>
              <w:rPr>
                <w:sz w:val="21"/>
                <w:szCs w:val="21"/>
                <w:color w:val="auto"/>
              </w:rPr>
            </w:pPr>
          </w:p>
        </w:tc>
        <w:tc>
          <w:tcPr>
            <w:tcW w:w="60" w:type="dxa"/>
            <w:vAlign w:val="bottom"/>
            <w:tcBorders>
              <w:top w:val="single" w:sz="8" w:color="0000EE"/>
            </w:tcBorders>
          </w:tcPr>
          <w:p>
            <w:pPr>
              <w:spacing w:after="0"/>
              <w:rPr>
                <w:sz w:val="21"/>
                <w:szCs w:val="21"/>
                <w:color w:val="auto"/>
              </w:rPr>
            </w:pPr>
          </w:p>
        </w:tc>
        <w:tc>
          <w:tcPr>
            <w:tcW w:w="20" w:type="dxa"/>
            <w:vAlign w:val="bottom"/>
            <w:tcBorders>
              <w:top w:val="single" w:sz="8" w:color="0000EE"/>
            </w:tcBorders>
          </w:tcPr>
          <w:p>
            <w:pPr>
              <w:spacing w:after="0"/>
              <w:rPr>
                <w:sz w:val="21"/>
                <w:szCs w:val="21"/>
                <w:color w:val="auto"/>
              </w:rPr>
            </w:pPr>
          </w:p>
        </w:tc>
        <w:tc>
          <w:tcPr>
            <w:tcW w:w="24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740" w:type="dxa"/>
            <w:vAlign w:val="bottom"/>
            <w:tcBorders>
              <w:top w:val="single" w:sz="8" w:color="0000EE"/>
            </w:tcBorders>
          </w:tcPr>
          <w:p>
            <w:pPr>
              <w:spacing w:after="0"/>
              <w:rPr>
                <w:sz w:val="21"/>
                <w:szCs w:val="21"/>
                <w:color w:val="auto"/>
              </w:rPr>
            </w:pPr>
          </w:p>
        </w:tc>
        <w:tc>
          <w:tcPr>
            <w:tcW w:w="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700" w:type="dxa"/>
            <w:vAlign w:val="bottom"/>
            <w:tcBorders>
              <w:bottom w:val="single" w:sz="8" w:color="0000EE"/>
            </w:tcBorders>
            <w:gridSpan w:val="5"/>
          </w:tcPr>
          <w:p>
            <w:pPr>
              <w:jc w:val="center"/>
              <w:spacing w:after="0"/>
              <w:rPr>
                <w:rFonts w:ascii="Arial" w:cs="Arial" w:eastAsia="Arial" w:hAnsi="Arial"/>
                <w:sz w:val="18"/>
                <w:szCs w:val="18"/>
                <w:b w:val="1"/>
                <w:bCs w:val="1"/>
                <w:color w:val="0000EE"/>
                <w:w w:val="98"/>
              </w:rPr>
            </w:pPr>
            <w:hyperlink w:anchor="page45">
              <w:r>
                <w:rPr>
                  <w:rFonts w:ascii="Arial" w:cs="Arial" w:eastAsia="Arial" w:hAnsi="Arial"/>
                  <w:sz w:val="18"/>
                  <w:szCs w:val="18"/>
                  <w:b w:val="1"/>
                  <w:bCs w:val="1"/>
                  <w:color w:val="0000EE"/>
                  <w:w w:val="98"/>
                </w:rPr>
                <w:t>PART IV</w:t>
              </w:r>
            </w:hyperlink>
          </w:p>
        </w:tc>
        <w:tc>
          <w:tcPr>
            <w:tcW w:w="4780" w:type="dxa"/>
            <w:vAlign w:val="bottom"/>
            <w:gridSpan w:val="7"/>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Borders>
              <w:top w:val="single" w:sz="8" w:color="0000EE"/>
            </w:tcBorders>
          </w:tcPr>
          <w:p>
            <w:pPr>
              <w:spacing w:after="0"/>
              <w:rPr>
                <w:sz w:val="21"/>
                <w:szCs w:val="21"/>
                <w:color w:val="auto"/>
              </w:rPr>
            </w:pPr>
          </w:p>
        </w:tc>
        <w:tc>
          <w:tcPr>
            <w:tcW w:w="100" w:type="dxa"/>
            <w:vAlign w:val="bottom"/>
            <w:tcBorders>
              <w:top w:val="single" w:sz="8" w:color="0000EE"/>
            </w:tcBorders>
          </w:tcPr>
          <w:p>
            <w:pPr>
              <w:spacing w:after="0"/>
              <w:rPr>
                <w:sz w:val="21"/>
                <w:szCs w:val="21"/>
                <w:color w:val="auto"/>
              </w:rPr>
            </w:pPr>
          </w:p>
        </w:tc>
        <w:tc>
          <w:tcPr>
            <w:tcW w:w="20" w:type="dxa"/>
            <w:vAlign w:val="bottom"/>
          </w:tcPr>
          <w:p>
            <w:pPr>
              <w:spacing w:after="0"/>
              <w:rPr>
                <w:sz w:val="21"/>
                <w:szCs w:val="21"/>
                <w:color w:val="auto"/>
              </w:rPr>
            </w:pPr>
          </w:p>
        </w:tc>
      </w:tr>
      <w:tr>
        <w:trPr>
          <w:trHeight w:val="250"/>
        </w:trPr>
        <w:tc>
          <w:tcPr>
            <w:tcW w:w="580" w:type="dxa"/>
            <w:vAlign w:val="bottom"/>
            <w:gridSpan w:val="3"/>
          </w:tcPr>
          <w:p>
            <w:pPr>
              <w:spacing w:after="0"/>
              <w:rPr>
                <w:rFonts w:ascii="Arial" w:cs="Arial" w:eastAsia="Arial" w:hAnsi="Arial"/>
                <w:sz w:val="18"/>
                <w:szCs w:val="18"/>
                <w:color w:val="0000EE"/>
                <w:w w:val="82"/>
              </w:rPr>
            </w:pPr>
            <w:hyperlink w:anchor="page45">
              <w:r>
                <w:rPr>
                  <w:rFonts w:ascii="Arial" w:cs="Arial" w:eastAsia="Arial" w:hAnsi="Arial"/>
                  <w:sz w:val="18"/>
                  <w:szCs w:val="18"/>
                  <w:color w:val="0000EE"/>
                  <w:w w:val="82"/>
                </w:rPr>
                <w:t>Item 15.</w:t>
              </w:r>
            </w:hyperlink>
          </w:p>
        </w:tc>
        <w:tc>
          <w:tcPr>
            <w:tcW w:w="560" w:type="dxa"/>
            <w:vAlign w:val="bottom"/>
          </w:tcPr>
          <w:p>
            <w:pPr>
              <w:spacing w:after="0"/>
              <w:rPr>
                <w:sz w:val="21"/>
                <w:szCs w:val="21"/>
                <w:color w:val="auto"/>
              </w:rPr>
            </w:pPr>
          </w:p>
        </w:tc>
        <w:tc>
          <w:tcPr>
            <w:tcW w:w="9680" w:type="dxa"/>
            <w:vAlign w:val="bottom"/>
            <w:gridSpan w:val="28"/>
          </w:tcPr>
          <w:p>
            <w:pPr>
              <w:spacing w:after="0"/>
              <w:rPr>
                <w:rFonts w:ascii="Arial" w:cs="Arial" w:eastAsia="Arial" w:hAnsi="Arial"/>
                <w:sz w:val="18"/>
                <w:szCs w:val="18"/>
                <w:color w:val="0000EE"/>
              </w:rPr>
            </w:pPr>
            <w:hyperlink w:anchor="page45">
              <w:r>
                <w:rPr>
                  <w:rFonts w:ascii="Arial" w:cs="Arial" w:eastAsia="Arial" w:hAnsi="Arial"/>
                  <w:sz w:val="18"/>
                  <w:szCs w:val="18"/>
                  <w:color w:val="0000EE"/>
                </w:rPr>
                <w:t>Exhibits, Financial Statement Schedules</w:t>
              </w:r>
            </w:hyperlink>
          </w:p>
        </w:tc>
        <w:tc>
          <w:tcPr>
            <w:tcW w:w="560" w:type="dxa"/>
            <w:vAlign w:val="bottom"/>
            <w:gridSpan w:val="4"/>
          </w:tcPr>
          <w:p>
            <w:pPr>
              <w:jc w:val="right"/>
              <w:ind w:right="20"/>
              <w:spacing w:after="0"/>
              <w:rPr>
                <w:rFonts w:ascii="Arial" w:cs="Arial" w:eastAsia="Arial" w:hAnsi="Arial"/>
                <w:sz w:val="18"/>
                <w:szCs w:val="18"/>
                <w:color w:val="0000EE"/>
              </w:rPr>
            </w:pPr>
            <w:hyperlink w:anchor="page45">
              <w:r>
                <w:rPr>
                  <w:rFonts w:ascii="Arial" w:cs="Arial" w:eastAsia="Arial" w:hAnsi="Arial"/>
                  <w:sz w:val="18"/>
                  <w:szCs w:val="18"/>
                  <w:color w:val="0000EE"/>
                </w:rPr>
                <w:t>43</w:t>
              </w:r>
            </w:hyperlink>
          </w:p>
        </w:tc>
      </w:tr>
      <w:tr>
        <w:trPr>
          <w:trHeight w:val="20"/>
        </w:trPr>
        <w:tc>
          <w:tcPr>
            <w:tcW w:w="580" w:type="dxa"/>
            <w:vAlign w:val="bottom"/>
            <w:gridSpan w:val="3"/>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820" w:type="dxa"/>
            <w:vAlign w:val="bottom"/>
            <w:tcBorders>
              <w:left w:val="single" w:sz="8" w:color="0000EE"/>
            </w:tcBorders>
            <w:gridSpan w:val="3"/>
            <w:shd w:val="clear" w:color="auto" w:fill="0000EE"/>
          </w:tcPr>
          <w:p>
            <w:pPr>
              <w:spacing w:after="0" w:line="20" w:lineRule="exact"/>
              <w:rPr>
                <w:sz w:val="1"/>
                <w:szCs w:val="1"/>
                <w:color w:val="auto"/>
              </w:rPr>
            </w:pPr>
          </w:p>
        </w:tc>
        <w:tc>
          <w:tcPr>
            <w:tcW w:w="580" w:type="dxa"/>
            <w:vAlign w:val="bottom"/>
            <w:gridSpan w:val="5"/>
            <w:shd w:val="clear" w:color="auto" w:fill="0000EE"/>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6780" w:type="dxa"/>
            <w:vAlign w:val="bottom"/>
            <w:gridSpan w:val="16"/>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580" w:type="dxa"/>
            <w:vAlign w:val="bottom"/>
            <w:gridSpan w:val="3"/>
          </w:tcPr>
          <w:p>
            <w:pPr>
              <w:spacing w:after="0"/>
              <w:rPr>
                <w:rFonts w:ascii="Arial" w:cs="Arial" w:eastAsia="Arial" w:hAnsi="Arial"/>
                <w:sz w:val="18"/>
                <w:szCs w:val="18"/>
                <w:color w:val="0000EE"/>
                <w:w w:val="82"/>
              </w:rPr>
            </w:pPr>
            <w:hyperlink w:anchor="page52">
              <w:r>
                <w:rPr>
                  <w:rFonts w:ascii="Arial" w:cs="Arial" w:eastAsia="Arial" w:hAnsi="Arial"/>
                  <w:sz w:val="18"/>
                  <w:szCs w:val="18"/>
                  <w:color w:val="0000EE"/>
                  <w:w w:val="82"/>
                </w:rPr>
                <w:t>Item 16.</w:t>
              </w:r>
            </w:hyperlink>
          </w:p>
        </w:tc>
        <w:tc>
          <w:tcPr>
            <w:tcW w:w="560" w:type="dxa"/>
            <w:vAlign w:val="bottom"/>
          </w:tcPr>
          <w:p>
            <w:pPr>
              <w:spacing w:after="0"/>
              <w:rPr>
                <w:sz w:val="21"/>
                <w:szCs w:val="21"/>
                <w:color w:val="auto"/>
              </w:rPr>
            </w:pPr>
          </w:p>
        </w:tc>
        <w:tc>
          <w:tcPr>
            <w:tcW w:w="1560" w:type="dxa"/>
            <w:vAlign w:val="bottom"/>
            <w:gridSpan w:val="5"/>
          </w:tcPr>
          <w:p>
            <w:pPr>
              <w:spacing w:after="0"/>
              <w:rPr>
                <w:rFonts w:ascii="Arial" w:cs="Arial" w:eastAsia="Arial" w:hAnsi="Arial"/>
                <w:sz w:val="18"/>
                <w:szCs w:val="18"/>
                <w:color w:val="0000EE"/>
                <w:w w:val="92"/>
              </w:rPr>
            </w:pPr>
            <w:hyperlink w:anchor="page52">
              <w:r>
                <w:rPr>
                  <w:rFonts w:ascii="Arial" w:cs="Arial" w:eastAsia="Arial" w:hAnsi="Arial"/>
                  <w:sz w:val="18"/>
                  <w:szCs w:val="18"/>
                  <w:color w:val="0000EE"/>
                  <w:w w:val="92"/>
                </w:rPr>
                <w:t>Form 10-K Summary</w:t>
              </w:r>
            </w:hyperlink>
          </w:p>
        </w:tc>
        <w:tc>
          <w:tcPr>
            <w:tcW w:w="1340" w:type="dxa"/>
            <w:vAlign w:val="bottom"/>
            <w:gridSpan w:val="7"/>
          </w:tcPr>
          <w:p>
            <w:pPr>
              <w:spacing w:after="0"/>
              <w:rPr>
                <w:sz w:val="21"/>
                <w:szCs w:val="21"/>
                <w:color w:val="auto"/>
              </w:rPr>
            </w:pPr>
          </w:p>
        </w:tc>
        <w:tc>
          <w:tcPr>
            <w:tcW w:w="6780" w:type="dxa"/>
            <w:vAlign w:val="bottom"/>
            <w:gridSpan w:val="16"/>
          </w:tcPr>
          <w:p>
            <w:pPr>
              <w:spacing w:after="0"/>
              <w:rPr>
                <w:sz w:val="21"/>
                <w:szCs w:val="21"/>
                <w:color w:val="auto"/>
              </w:rPr>
            </w:pPr>
          </w:p>
        </w:tc>
        <w:tc>
          <w:tcPr>
            <w:tcW w:w="560" w:type="dxa"/>
            <w:vAlign w:val="bottom"/>
            <w:gridSpan w:val="4"/>
          </w:tcPr>
          <w:p>
            <w:pPr>
              <w:jc w:val="right"/>
              <w:ind w:right="20"/>
              <w:spacing w:after="0"/>
              <w:rPr>
                <w:rFonts w:ascii="Arial" w:cs="Arial" w:eastAsia="Arial" w:hAnsi="Arial"/>
                <w:sz w:val="18"/>
                <w:szCs w:val="18"/>
                <w:color w:val="0000EE"/>
              </w:rPr>
            </w:pPr>
            <w:hyperlink w:anchor="page52">
              <w:r>
                <w:rPr>
                  <w:rFonts w:ascii="Arial" w:cs="Arial" w:eastAsia="Arial" w:hAnsi="Arial"/>
                  <w:sz w:val="18"/>
                  <w:szCs w:val="18"/>
                  <w:color w:val="0000EE"/>
                </w:rPr>
                <w:t>50</w:t>
              </w:r>
            </w:hyperlink>
          </w:p>
        </w:tc>
      </w:tr>
      <w:tr>
        <w:trPr>
          <w:trHeight w:val="20"/>
        </w:trPr>
        <w:tc>
          <w:tcPr>
            <w:tcW w:w="46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820" w:type="dxa"/>
            <w:vAlign w:val="bottom"/>
            <w:tcBorders>
              <w:left w:val="single" w:sz="8" w:color="0000EE"/>
            </w:tcBorders>
            <w:gridSpan w:val="3"/>
            <w:shd w:val="clear" w:color="auto" w:fill="0000EE"/>
          </w:tcPr>
          <w:p>
            <w:pPr>
              <w:spacing w:after="0" w:line="20" w:lineRule="exact"/>
              <w:rPr>
                <w:sz w:val="1"/>
                <w:szCs w:val="1"/>
                <w:color w:val="auto"/>
              </w:rPr>
            </w:pPr>
          </w:p>
        </w:tc>
        <w:tc>
          <w:tcPr>
            <w:tcW w:w="580" w:type="dxa"/>
            <w:vAlign w:val="bottom"/>
            <w:gridSpan w:val="5"/>
          </w:tcPr>
          <w:p>
            <w:pPr>
              <w:spacing w:after="0" w:line="20" w:lineRule="exact"/>
              <w:rPr>
                <w:sz w:val="1"/>
                <w:szCs w:val="1"/>
                <w:color w:val="auto"/>
              </w:rPr>
            </w:pPr>
          </w:p>
        </w:tc>
        <w:tc>
          <w:tcPr>
            <w:tcW w:w="7540" w:type="dxa"/>
            <w:vAlign w:val="bottom"/>
            <w:gridSpan w:val="18"/>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4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9680" w:type="dxa"/>
            <w:vAlign w:val="bottom"/>
            <w:gridSpan w:val="28"/>
          </w:tcPr>
          <w:p>
            <w:pPr>
              <w:spacing w:after="0"/>
              <w:rPr>
                <w:rFonts w:ascii="Arial" w:cs="Arial" w:eastAsia="Arial" w:hAnsi="Arial"/>
                <w:sz w:val="18"/>
                <w:szCs w:val="18"/>
                <w:color w:val="0000EE"/>
              </w:rPr>
            </w:pPr>
            <w:hyperlink w:anchor="page53">
              <w:r>
                <w:rPr>
                  <w:rFonts w:ascii="Arial" w:cs="Arial" w:eastAsia="Arial" w:hAnsi="Arial"/>
                  <w:sz w:val="18"/>
                  <w:szCs w:val="18"/>
                  <w:color w:val="0000EE"/>
                </w:rPr>
                <w:t>Index to Financial Statements</w:t>
              </w:r>
            </w:hyperlink>
          </w:p>
        </w:tc>
        <w:tc>
          <w:tcPr>
            <w:tcW w:w="560" w:type="dxa"/>
            <w:vAlign w:val="bottom"/>
            <w:gridSpan w:val="4"/>
          </w:tcPr>
          <w:p>
            <w:pPr>
              <w:jc w:val="right"/>
              <w:ind w:right="20"/>
              <w:spacing w:after="0"/>
              <w:rPr>
                <w:rFonts w:ascii="Arial" w:cs="Arial" w:eastAsia="Arial" w:hAnsi="Arial"/>
                <w:sz w:val="18"/>
                <w:szCs w:val="18"/>
                <w:color w:val="0000EE"/>
              </w:rPr>
            </w:pPr>
            <w:hyperlink w:anchor="page53">
              <w:r>
                <w:rPr>
                  <w:rFonts w:ascii="Arial" w:cs="Arial" w:eastAsia="Arial" w:hAnsi="Arial"/>
                  <w:sz w:val="18"/>
                  <w:szCs w:val="18"/>
                  <w:color w:val="0000EE"/>
                </w:rPr>
                <w:t>51</w:t>
              </w:r>
            </w:hyperlink>
          </w:p>
        </w:tc>
      </w:tr>
      <w:tr>
        <w:trPr>
          <w:trHeight w:val="20"/>
        </w:trPr>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40" w:type="dxa"/>
            <w:vAlign w:val="bottom"/>
            <w:gridSpan w:val="2"/>
            <w:shd w:val="clear" w:color="auto" w:fill="0000EE"/>
          </w:tcPr>
          <w:p>
            <w:pPr>
              <w:spacing w:after="0" w:line="20" w:lineRule="exact"/>
              <w:rPr>
                <w:sz w:val="1"/>
                <w:szCs w:val="1"/>
                <w:color w:val="auto"/>
              </w:rPr>
            </w:pPr>
          </w:p>
        </w:tc>
        <w:tc>
          <w:tcPr>
            <w:tcW w:w="1400" w:type="dxa"/>
            <w:vAlign w:val="bottom"/>
            <w:tcBorders>
              <w:left w:val="single" w:sz="8" w:color="0000EE"/>
            </w:tcBorders>
            <w:gridSpan w:val="8"/>
            <w:shd w:val="clear" w:color="auto" w:fill="0000EE"/>
          </w:tcPr>
          <w:p>
            <w:pPr>
              <w:spacing w:after="0" w:line="20" w:lineRule="exact"/>
              <w:rPr>
                <w:sz w:val="1"/>
                <w:szCs w:val="1"/>
                <w:color w:val="auto"/>
              </w:rPr>
            </w:pPr>
          </w:p>
        </w:tc>
        <w:tc>
          <w:tcPr>
            <w:tcW w:w="7540" w:type="dxa"/>
            <w:vAlign w:val="bottom"/>
            <w:gridSpan w:val="18"/>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50"/>
        </w:trPr>
        <w:tc>
          <w:tcPr>
            <w:tcW w:w="4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2140" w:type="dxa"/>
            <w:vAlign w:val="bottom"/>
            <w:gridSpan w:val="10"/>
          </w:tcPr>
          <w:p>
            <w:pPr>
              <w:spacing w:after="0"/>
              <w:rPr>
                <w:rFonts w:ascii="Arial" w:cs="Arial" w:eastAsia="Arial" w:hAnsi="Arial"/>
                <w:sz w:val="18"/>
                <w:szCs w:val="18"/>
                <w:color w:val="0000EE"/>
              </w:rPr>
            </w:pPr>
            <w:hyperlink w:anchor="page91">
              <w:r>
                <w:rPr>
                  <w:rFonts w:ascii="Arial" w:cs="Arial" w:eastAsia="Arial" w:hAnsi="Arial"/>
                  <w:sz w:val="18"/>
                  <w:szCs w:val="18"/>
                  <w:color w:val="0000EE"/>
                </w:rPr>
                <w:t>Signatures</w:t>
              </w:r>
            </w:hyperlink>
          </w:p>
        </w:tc>
        <w:tc>
          <w:tcPr>
            <w:tcW w:w="7540" w:type="dxa"/>
            <w:vAlign w:val="bottom"/>
            <w:gridSpan w:val="18"/>
          </w:tcPr>
          <w:p>
            <w:pPr>
              <w:spacing w:after="0"/>
              <w:rPr>
                <w:sz w:val="21"/>
                <w:szCs w:val="21"/>
                <w:color w:val="auto"/>
              </w:rPr>
            </w:pPr>
          </w:p>
        </w:tc>
        <w:tc>
          <w:tcPr>
            <w:tcW w:w="560" w:type="dxa"/>
            <w:vAlign w:val="bottom"/>
            <w:gridSpan w:val="4"/>
          </w:tcPr>
          <w:p>
            <w:pPr>
              <w:jc w:val="right"/>
              <w:ind w:right="20"/>
              <w:spacing w:after="0"/>
              <w:rPr>
                <w:rFonts w:ascii="Arial" w:cs="Arial" w:eastAsia="Arial" w:hAnsi="Arial"/>
                <w:sz w:val="18"/>
                <w:szCs w:val="18"/>
                <w:color w:val="0000EE"/>
              </w:rPr>
            </w:pPr>
            <w:hyperlink w:anchor="page91">
              <w:r>
                <w:rPr>
                  <w:rFonts w:ascii="Arial" w:cs="Arial" w:eastAsia="Arial" w:hAnsi="Arial"/>
                  <w:sz w:val="18"/>
                  <w:szCs w:val="18"/>
                  <w:color w:val="0000EE"/>
                </w:rPr>
                <w:t>89</w:t>
              </w:r>
            </w:hyperlink>
          </w:p>
        </w:tc>
      </w:tr>
      <w:tr>
        <w:trPr>
          <w:trHeight w:val="20"/>
        </w:trPr>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60" w:type="dxa"/>
            <w:vAlign w:val="bottom"/>
            <w:tcBorders>
              <w:left w:val="single" w:sz="8" w:color="0000EE"/>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6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ectPr>
          <w:pgSz w:w="11900" w:h="16838" w:orient="portrait"/>
          <w:cols w:equalWidth="0" w:num="1">
            <w:col w:w="11380"/>
          </w:cols>
          <w:pgMar w:left="280" w:top="715" w:right="2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CAUTIONARY NOTE ABOUT FORWARD-LOOKING STATEMENTS</w:t>
      </w:r>
    </w:p>
    <w:p>
      <w:pPr>
        <w:spacing w:after="0" w:line="283" w:lineRule="exact"/>
        <w:rPr>
          <w:sz w:val="20"/>
          <w:szCs w:val="20"/>
          <w:color w:val="auto"/>
        </w:rPr>
      </w:pPr>
    </w:p>
    <w:p>
      <w:pPr>
        <w:jc w:val="both"/>
        <w:spacing w:after="0" w:line="290" w:lineRule="auto"/>
        <w:rPr>
          <w:sz w:val="20"/>
          <w:szCs w:val="20"/>
          <w:color w:val="auto"/>
        </w:rPr>
      </w:pPr>
      <w:r>
        <w:rPr>
          <w:rFonts w:ascii="Arial" w:cs="Arial" w:eastAsia="Arial" w:hAnsi="Arial"/>
          <w:sz w:val="16"/>
          <w:szCs w:val="16"/>
          <w:i w:val="1"/>
          <w:iCs w:val="1"/>
          <w:color w:val="auto"/>
        </w:rPr>
        <w:t>The statements contained herein which are not historical facts are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outlook for the Company's future business and financial performance. Such forward-looking statements are based on the current beliefs of our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but not limited to, those discussed under the heading "Risk Factors" included in Part I, Item 1A herein. All forward-looking statements are qualified by these cautionary statements and speak only as of the date they are made. The Company undertakes no obligation to update any forward-looking statement, whether as a result of new information, future events or otherwise.</w:t>
      </w:r>
    </w:p>
    <w:p>
      <w:pPr>
        <w:spacing w:after="0" w:line="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 I</w:t>
      </w:r>
    </w:p>
    <w:p>
      <w:pPr>
        <w:spacing w:after="0" w:line="144"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4"/>
          <w:szCs w:val="14"/>
          <w:b w:val="1"/>
          <w:bCs w:val="1"/>
          <w:color w:val="auto"/>
        </w:rPr>
        <w:t>Business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w:t>
      </w:r>
    </w:p>
    <w:p>
      <w:pPr>
        <w:spacing w:after="0" w:line="28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are a leading developer, publisher and marketer of interactive entertainment for consumers around the globe. We develop and publish products principally through our two wholly-owned labels Rockstar Games and 2K, as well as our new Private Division label and Social Point, a leading developer of mobile games. Our products are currently designed for console gaming systems such as the Sony Computer Entertainment, Inc. ("Sony") PlayStation®4 ("PS4") and PlayStation®3 ("PS3"), Microsoft Corporation ("Microsoft") Xbox One® ("Xbox One") and Xbox 360® ("Xbox 360"), the Nintendo Switch, and personal computers ("PC"), including smartphones and tablets. We deliver our products through physical retail, digital download, online platforms and cloud streaming services.</w:t>
      </w:r>
    </w:p>
    <w:p>
      <w:pPr>
        <w:spacing w:after="0" w:line="24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We were incorporated under the laws of the State of Delaware in 1993 and are headquartered in New York, New York with approximately 4,492 employees globally. Our telephone number is (646) 536-2842 and our website address is </w:t>
      </w:r>
      <w:r>
        <w:rPr>
          <w:rFonts w:ascii="Arial" w:cs="Arial" w:eastAsia="Arial" w:hAnsi="Arial"/>
          <w:sz w:val="18"/>
          <w:szCs w:val="18"/>
          <w:u w:val="single" w:color="auto"/>
          <w:color w:val="auto"/>
        </w:rPr>
        <w:t>www.take2games.com</w:t>
      </w:r>
      <w:r>
        <w:rPr>
          <w:rFonts w:ascii="Arial" w:cs="Arial" w:eastAsia="Arial" w:hAnsi="Arial"/>
          <w:sz w:val="18"/>
          <w:szCs w:val="18"/>
          <w:color w:val="auto"/>
        </w:rPr>
        <w:t>. We make all of our filings with the Securities and Exchange Commission ("SEC") available free of charge on our website under the caption "Corporate—SEC Filings." Included in these filings are our annual reports on Form 10-K, quarterly reports on Form 10-Q, current reports on Form 8-K and amendments to those reports, which are available as soon as reasonably practicable after we electronically file or furnish such materials with the SEC pursuant to Section 13(a) or 15(d) of the Securities Exchange Act of 1934.</w:t>
      </w:r>
    </w:p>
    <w:p>
      <w:pPr>
        <w:spacing w:after="0" w:line="24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Our website and the information contained therein or connected thereto are not intended to be incorporated into this Annual Report on Form 10-K. You may also obtain copies of our reports without charge by writing to:</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color w:val="auto"/>
        </w:rPr>
        <w:t>Take-Two Interactive Software,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110 West 44th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10036</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Attn: Investor Relations</w:t>
      </w:r>
    </w:p>
    <w:p>
      <w:pPr>
        <w:spacing w:after="0" w:line="13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You may read and copy any document we file with the SEC at the SEC's public reference room at 100 F Street, NE, Room 1580, Washington, DC 20549. Please call the SEC at 1-800-SEC-0330 for information on the public reference room. The SEC maintains a website that contains annual, quarterly and current reports, proxy and information statements and other information that issuers (including the Company) file electronically with the SEC. The SEC's website is </w:t>
      </w:r>
      <w:r>
        <w:rPr>
          <w:rFonts w:ascii="Arial" w:cs="Arial" w:eastAsia="Arial" w:hAnsi="Arial"/>
          <w:sz w:val="18"/>
          <w:szCs w:val="18"/>
          <w:u w:val="single" w:color="auto"/>
          <w:color w:val="auto"/>
        </w:rPr>
        <w:t>www.sec.gov</w:t>
      </w:r>
      <w:r>
        <w:rPr>
          <w:rFonts w:ascii="Arial" w:cs="Arial" w:eastAsia="Arial" w:hAnsi="Arial"/>
          <w:sz w:val="18"/>
          <w:szCs w:val="18"/>
          <w:color w:val="auto"/>
        </w:rPr>
        <w:t>.</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Strategy</w:t>
      </w:r>
    </w:p>
    <w:p>
      <w:pPr>
        <w:spacing w:after="0" w:line="283" w:lineRule="exact"/>
        <w:rPr>
          <w:sz w:val="20"/>
          <w:szCs w:val="20"/>
          <w:color w:val="auto"/>
        </w:rPr>
      </w:pPr>
    </w:p>
    <w:p>
      <w:pPr>
        <w:jc w:val="both"/>
        <w:spacing w:after="0" w:line="270" w:lineRule="auto"/>
        <w:rPr>
          <w:sz w:val="20"/>
          <w:szCs w:val="20"/>
          <w:color w:val="auto"/>
        </w:rPr>
      </w:pPr>
      <w:r>
        <w:rPr>
          <w:rFonts w:ascii="Arial" w:cs="Arial" w:eastAsia="Arial" w:hAnsi="Arial"/>
          <w:sz w:val="17"/>
          <w:szCs w:val="17"/>
          <w:b w:val="1"/>
          <w:bCs w:val="1"/>
          <w:i w:val="1"/>
          <w:iCs w:val="1"/>
          <w:color w:val="auto"/>
        </w:rPr>
        <w:t xml:space="preserve">Overview. </w:t>
      </w:r>
      <w:r>
        <w:rPr>
          <w:rFonts w:ascii="Arial" w:cs="Arial" w:eastAsia="Arial" w:hAnsi="Arial"/>
          <w:sz w:val="17"/>
          <w:szCs w:val="17"/>
          <w:color w:val="auto"/>
        </w:rPr>
        <w:t>We endeavor to be the most creative, innovative and efficient company in our industry. Our core strategy is to capitalize on the popularity of</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video games by developing and publishing high-quality interactive entertainment experiences across a range of genres. We focus on building compelling entertainment franchises by publishing a select number of titles for which we can create sequels and incremental revenue opportunities through add-on content, microtransactions and online play. Most of our intellectual property is internally owned and developed, which we believe best positions us financially and competitively. We have established a portfolio of proprietary software content for the major hardware platforms in a wide range of genres, including action, adventure, family/casual, racing, role-playing, shooter, sports and strategy, which we distribute worldwide. We believe that our commitment to creativity and innovation is a distinguishing strength, enabling us to differentiate our products in the marketplace by combining advanced technology with compelling storylines and characters that provide unique gameplay experiences for consumers. We have created, acquired or licensed a group of highly recognizable brands to match the broad consumer demographics we serve, ranging from adults to children and game enthusiasts to casual gamers. Another cornerstone of our strategy is to support</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715" w:right="239" w:bottom="1440" w:gutter="0" w:footer="0" w:header="0"/>
        </w:sectPr>
      </w:pPr>
    </w:p>
    <w:bookmarkStart w:id="3" w:name="page4"/>
    <w:bookmarkEnd w:id="3"/>
    <w:p>
      <w:pPr>
        <w:jc w:val="both"/>
        <w:spacing w:after="0" w:line="277" w:lineRule="auto"/>
        <w:rPr>
          <w:sz w:val="20"/>
          <w:szCs w:val="20"/>
          <w:color w:val="auto"/>
        </w:rPr>
      </w:pPr>
      <w:r>
        <w:rPr>
          <w:rFonts w:ascii="Arial" w:cs="Arial" w:eastAsia="Arial" w:hAnsi="Arial"/>
          <w:sz w:val="18"/>
          <w:szCs w:val="18"/>
          <w:color w:val="auto"/>
        </w:rPr>
        <w:t>the success of our products in the marketplace through innovative marketing programs and global distribution on platforms and through channels that are relevant to our target audience.</w:t>
      </w:r>
    </w:p>
    <w:p>
      <w:pPr>
        <w:spacing w:after="0" w:line="224" w:lineRule="exact"/>
        <w:rPr>
          <w:sz w:val="20"/>
          <w:szCs w:val="20"/>
          <w:color w:val="auto"/>
        </w:rPr>
      </w:pPr>
    </w:p>
    <w:p>
      <w:pPr>
        <w:jc w:val="both"/>
        <w:spacing w:after="0" w:line="290" w:lineRule="auto"/>
        <w:rPr>
          <w:sz w:val="20"/>
          <w:szCs w:val="20"/>
          <w:color w:val="auto"/>
        </w:rPr>
      </w:pPr>
      <w:r>
        <w:rPr>
          <w:rFonts w:ascii="Arial" w:cs="Arial" w:eastAsia="Arial" w:hAnsi="Arial"/>
          <w:sz w:val="16"/>
          <w:szCs w:val="16"/>
          <w:b w:val="1"/>
          <w:bCs w:val="1"/>
          <w:i w:val="1"/>
          <w:iCs w:val="1"/>
          <w:color w:val="auto"/>
        </w:rPr>
        <w:t xml:space="preserve">Support Label Structure to Target Distinct Market Segments. </w:t>
      </w:r>
      <w:r>
        <w:rPr>
          <w:rFonts w:ascii="Arial" w:cs="Arial" w:eastAsia="Arial" w:hAnsi="Arial"/>
          <w:sz w:val="16"/>
          <w:szCs w:val="16"/>
          <w:color w:val="auto"/>
        </w:rPr>
        <w:t>Our business consists principally of our wholly-owned labels Rockstar Games and 2K, as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well as our new Private Division label and Social Point, a leading developer of mobile games. Rockstar Games is the developer and publisher of the interactive entertainment industry's most iconic and critically acclaimed brand, </w:t>
      </w:r>
      <w:r>
        <w:rPr>
          <w:rFonts w:ascii="Arial" w:cs="Arial" w:eastAsia="Arial" w:hAnsi="Arial"/>
          <w:sz w:val="16"/>
          <w:szCs w:val="16"/>
          <w:i w:val="1"/>
          <w:iCs w:val="1"/>
          <w:color w:val="auto"/>
        </w:rPr>
        <w:t>Grand Theft Auto</w:t>
      </w:r>
      <w:r>
        <w:rPr>
          <w:rFonts w:ascii="Arial" w:cs="Arial" w:eastAsia="Arial" w:hAnsi="Arial"/>
          <w:sz w:val="16"/>
          <w:szCs w:val="16"/>
          <w:color w:val="auto"/>
        </w:rPr>
        <w:t xml:space="preserve">, as well as other successful franchises, including </w:t>
      </w:r>
      <w:r>
        <w:rPr>
          <w:rFonts w:ascii="Arial" w:cs="Arial" w:eastAsia="Arial" w:hAnsi="Arial"/>
          <w:sz w:val="16"/>
          <w:szCs w:val="16"/>
          <w:i w:val="1"/>
          <w:iCs w:val="1"/>
          <w:color w:val="auto"/>
        </w:rPr>
        <w:t>L.A. Noire</w:t>
      </w:r>
      <w:r>
        <w:rPr>
          <w:rFonts w:ascii="Arial" w:cs="Arial" w:eastAsia="Arial" w:hAnsi="Arial"/>
          <w:sz w:val="16"/>
          <w:szCs w:val="16"/>
          <w:color w:val="auto"/>
        </w:rPr>
        <w:t xml:space="preserve">, </w:t>
      </w:r>
      <w:r>
        <w:rPr>
          <w:rFonts w:ascii="Arial" w:cs="Arial" w:eastAsia="Arial" w:hAnsi="Arial"/>
          <w:sz w:val="16"/>
          <w:szCs w:val="16"/>
          <w:i w:val="1"/>
          <w:iCs w:val="1"/>
          <w:color w:val="auto"/>
        </w:rPr>
        <w:t>Max Payne</w:t>
      </w:r>
      <w:r>
        <w:rPr>
          <w:rFonts w:ascii="Arial" w:cs="Arial" w:eastAsia="Arial" w:hAnsi="Arial"/>
          <w:sz w:val="16"/>
          <w:szCs w:val="16"/>
          <w:color w:val="auto"/>
        </w:rPr>
        <w:t>,</w:t>
      </w:r>
      <w:r>
        <w:rPr>
          <w:rFonts w:ascii="Arial" w:cs="Arial" w:eastAsia="Arial" w:hAnsi="Arial"/>
          <w:sz w:val="16"/>
          <w:szCs w:val="16"/>
          <w:i w:val="1"/>
          <w:iCs w:val="1"/>
          <w:color w:val="auto"/>
        </w:rPr>
        <w:t xml:space="preserve"> Midnight Club</w:t>
      </w:r>
      <w:r>
        <w:rPr>
          <w:rFonts w:ascii="Arial" w:cs="Arial" w:eastAsia="Arial" w:hAnsi="Arial"/>
          <w:sz w:val="16"/>
          <w:szCs w:val="16"/>
          <w:color w:val="auto"/>
        </w:rPr>
        <w:t>, and</w:t>
      </w:r>
      <w:r>
        <w:rPr>
          <w:rFonts w:ascii="Arial" w:cs="Arial" w:eastAsia="Arial" w:hAnsi="Arial"/>
          <w:sz w:val="16"/>
          <w:szCs w:val="16"/>
          <w:i w:val="1"/>
          <w:iCs w:val="1"/>
          <w:color w:val="auto"/>
        </w:rPr>
        <w:t xml:space="preserve"> Red Dead</w:t>
      </w:r>
      <w:r>
        <w:rPr>
          <w:rFonts w:ascii="Arial" w:cs="Arial" w:eastAsia="Arial" w:hAnsi="Arial"/>
          <w:sz w:val="16"/>
          <w:szCs w:val="16"/>
          <w:color w:val="auto"/>
        </w:rPr>
        <w:t>. We expect Rockstar Games to continue to be a leader in the action / adventure product category and create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groundbreaking entertainment by leveraging our existing franchises, as well as developing new brands. 2K publishes high-quality, owned and licensed titles across a range of genres including shooter, action, role-playing, strategy, sports and family/casual. 2K is the publisher of a number of critically acclaimed, multi-million unit selling franchises including </w:t>
      </w:r>
      <w:r>
        <w:rPr>
          <w:rFonts w:ascii="Arial" w:cs="Arial" w:eastAsia="Arial" w:hAnsi="Arial"/>
          <w:sz w:val="16"/>
          <w:szCs w:val="16"/>
          <w:i w:val="1"/>
          <w:iCs w:val="1"/>
          <w:color w:val="auto"/>
        </w:rPr>
        <w:t>BioShock</w:t>
      </w:r>
      <w:r>
        <w:rPr>
          <w:rFonts w:ascii="Arial" w:cs="Arial" w:eastAsia="Arial" w:hAnsi="Arial"/>
          <w:sz w:val="16"/>
          <w:szCs w:val="16"/>
          <w:color w:val="auto"/>
        </w:rPr>
        <w:t xml:space="preserve">, </w:t>
      </w:r>
      <w:r>
        <w:rPr>
          <w:rFonts w:ascii="Arial" w:cs="Arial" w:eastAsia="Arial" w:hAnsi="Arial"/>
          <w:sz w:val="16"/>
          <w:szCs w:val="16"/>
          <w:i w:val="1"/>
          <w:iCs w:val="1"/>
          <w:color w:val="auto"/>
        </w:rPr>
        <w:t>Borderlands</w:t>
      </w:r>
      <w:r>
        <w:rPr>
          <w:rFonts w:ascii="Arial" w:cs="Arial" w:eastAsia="Arial" w:hAnsi="Arial"/>
          <w:sz w:val="16"/>
          <w:szCs w:val="16"/>
          <w:color w:val="auto"/>
        </w:rPr>
        <w:t xml:space="preserve">, </w:t>
      </w:r>
      <w:r>
        <w:rPr>
          <w:rFonts w:ascii="Arial" w:cs="Arial" w:eastAsia="Arial" w:hAnsi="Arial"/>
          <w:sz w:val="16"/>
          <w:szCs w:val="16"/>
          <w:i w:val="1"/>
          <w:iCs w:val="1"/>
          <w:color w:val="auto"/>
        </w:rPr>
        <w:t>Carnival Games</w:t>
      </w:r>
      <w:r>
        <w:rPr>
          <w:rFonts w:ascii="Arial" w:cs="Arial" w:eastAsia="Arial" w:hAnsi="Arial"/>
          <w:sz w:val="16"/>
          <w:szCs w:val="16"/>
          <w:color w:val="auto"/>
        </w:rPr>
        <w:t xml:space="preserve">, </w:t>
      </w:r>
      <w:r>
        <w:rPr>
          <w:rFonts w:ascii="Arial" w:cs="Arial" w:eastAsia="Arial" w:hAnsi="Arial"/>
          <w:sz w:val="16"/>
          <w:szCs w:val="16"/>
          <w:i w:val="1"/>
          <w:iCs w:val="1"/>
          <w:color w:val="auto"/>
        </w:rPr>
        <w:t>Evolve, Mafia</w:t>
      </w:r>
      <w:r>
        <w:rPr>
          <w:rFonts w:ascii="Arial" w:cs="Arial" w:eastAsia="Arial" w:hAnsi="Arial"/>
          <w:sz w:val="16"/>
          <w:szCs w:val="16"/>
          <w:color w:val="auto"/>
        </w:rPr>
        <w:t xml:space="preserve">, </w:t>
      </w:r>
      <w:r>
        <w:rPr>
          <w:rFonts w:ascii="Arial" w:cs="Arial" w:eastAsia="Arial" w:hAnsi="Arial"/>
          <w:sz w:val="16"/>
          <w:szCs w:val="16"/>
          <w:i w:val="1"/>
          <w:iCs w:val="1"/>
          <w:color w:val="auto"/>
        </w:rPr>
        <w:t>NBA 2K</w:t>
      </w:r>
      <w:r>
        <w:rPr>
          <w:rFonts w:ascii="Arial" w:cs="Arial" w:eastAsia="Arial" w:hAnsi="Arial"/>
          <w:sz w:val="16"/>
          <w:szCs w:val="16"/>
          <w:color w:val="auto"/>
        </w:rPr>
        <w:t xml:space="preserve">, </w:t>
      </w:r>
      <w:r>
        <w:rPr>
          <w:rFonts w:ascii="Arial" w:cs="Arial" w:eastAsia="Arial" w:hAnsi="Arial"/>
          <w:sz w:val="16"/>
          <w:szCs w:val="16"/>
          <w:i w:val="1"/>
          <w:iCs w:val="1"/>
          <w:color w:val="auto"/>
        </w:rPr>
        <w:t>Sid Meier's Civilization</w:t>
      </w:r>
      <w:r>
        <w:rPr>
          <w:rFonts w:ascii="Arial" w:cs="Arial" w:eastAsia="Arial" w:hAnsi="Arial"/>
          <w:sz w:val="16"/>
          <w:szCs w:val="16"/>
          <w:color w:val="auto"/>
        </w:rPr>
        <w:t xml:space="preserve">, </w:t>
      </w:r>
      <w:r>
        <w:rPr>
          <w:rFonts w:ascii="Arial" w:cs="Arial" w:eastAsia="Arial" w:hAnsi="Arial"/>
          <w:sz w:val="16"/>
          <w:szCs w:val="16"/>
          <w:i w:val="1"/>
          <w:iCs w:val="1"/>
          <w:color w:val="auto"/>
        </w:rPr>
        <w:t>WWE 2K</w:t>
      </w:r>
      <w:r>
        <w:rPr>
          <w:rFonts w:ascii="Arial" w:cs="Arial" w:eastAsia="Arial" w:hAnsi="Arial"/>
          <w:sz w:val="16"/>
          <w:szCs w:val="16"/>
          <w:color w:val="auto"/>
        </w:rPr>
        <w:t xml:space="preserve"> and </w:t>
      </w:r>
      <w:r>
        <w:rPr>
          <w:rFonts w:ascii="Arial" w:cs="Arial" w:eastAsia="Arial" w:hAnsi="Arial"/>
          <w:sz w:val="16"/>
          <w:szCs w:val="16"/>
          <w:i w:val="1"/>
          <w:iCs w:val="1"/>
          <w:color w:val="auto"/>
        </w:rPr>
        <w:t>XCOM</w:t>
      </w:r>
      <w:r>
        <w:rPr>
          <w:rFonts w:ascii="Arial" w:cs="Arial" w:eastAsia="Arial" w:hAnsi="Arial"/>
          <w:sz w:val="16"/>
          <w:szCs w:val="16"/>
          <w:color w:val="auto"/>
        </w:rPr>
        <w:t>. We expect 2K to continue to be a leader by building on its existing brands, as well as by developing new franchises in the future.</w:t>
      </w:r>
    </w:p>
    <w:p>
      <w:pPr>
        <w:spacing w:after="0" w:line="22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 xml:space="preserve">Focus on Core Strength of Producing Select, High Quality Titles. </w:t>
      </w:r>
      <w:r>
        <w:rPr>
          <w:rFonts w:ascii="Arial" w:cs="Arial" w:eastAsia="Arial" w:hAnsi="Arial"/>
          <w:sz w:val="18"/>
          <w:szCs w:val="18"/>
          <w:color w:val="auto"/>
        </w:rPr>
        <w:t>We focus on publishing a select number of high-quality titles based on internally-owned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and developed intellectual properties. We currently own the intellectual property rights to 25 proprietary brands. In addition, we will selectively develop titles based on licensed properties, including sports, and also publish externally developed titles.</w:t>
      </w:r>
    </w:p>
    <w:p>
      <w:pPr>
        <w:spacing w:after="0" w:line="23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We use a product investment review process to evaluate potential titles for investment, to review existing titles in development, and to assess titles after release to measure their performance in the market and the return on our investment. We apply this process to all of our products, whether internally or externally developed. The product investment review process includes reviews of each project at various stages of development by our executive management team and the senior management of our publishing labels, and includes coordination between our sales and marketing personnel before the launch of titles. This disciplined approach to product investment is expected to enhance the competitiveness and profitability of our titles.</w:t>
      </w:r>
    </w:p>
    <w:p>
      <w:pPr>
        <w:spacing w:after="0" w:line="22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develop our products using a combination of our internal development teams and external development resources acting under contract with us. We typically select external developers based on their track record and expertise in developing products in the same category or genre. One developer will generally produce the same game for multiple platforms and will also produce sequels to the original game. We believe that selecting and using development resources in this manner allows us to leverage the particular expertise of our internal and external development resources, which we believe increases the quality of our products.</w:t>
      </w:r>
    </w:p>
    <w:p>
      <w:pPr>
        <w:spacing w:after="0" w:line="242" w:lineRule="exact"/>
        <w:rPr>
          <w:sz w:val="20"/>
          <w:szCs w:val="20"/>
          <w:color w:val="auto"/>
        </w:rPr>
      </w:pPr>
    </w:p>
    <w:p>
      <w:pPr>
        <w:jc w:val="both"/>
        <w:spacing w:after="0" w:line="289" w:lineRule="auto"/>
        <w:rPr>
          <w:sz w:val="20"/>
          <w:szCs w:val="20"/>
          <w:color w:val="auto"/>
        </w:rPr>
      </w:pPr>
      <w:r>
        <w:rPr>
          <w:rFonts w:ascii="Arial" w:cs="Arial" w:eastAsia="Arial" w:hAnsi="Arial"/>
          <w:sz w:val="16"/>
          <w:szCs w:val="16"/>
          <w:b w:val="1"/>
          <w:bCs w:val="1"/>
          <w:i w:val="1"/>
          <w:iCs w:val="1"/>
          <w:color w:val="auto"/>
        </w:rPr>
        <w:t xml:space="preserve">Leverage Emerging Technologies, Platforms and Distribution Channels, Including Digitally Delivered Content. </w:t>
      </w:r>
      <w:r>
        <w:rPr>
          <w:rFonts w:ascii="Arial" w:cs="Arial" w:eastAsia="Arial" w:hAnsi="Arial"/>
          <w:sz w:val="16"/>
          <w:szCs w:val="16"/>
          <w:color w:val="auto"/>
        </w:rPr>
        <w:t>Interactive entertainment played online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and on mobile platforms, including tablets and smartphones, represents exciting opportunities to enhance our growth and profitability. In addition, the interactive entertainment software industry is delivering a growing amount of content for traditional platforms through digital download. We provide a variety of digitally delivered products and offerings, which typically have a higher gross margin than physically delivered products. Virtually all of our titles that are available through retailers as packaged goods products are also available through direct digital download (from websites we own and third-party websites). We also aim to drive ongoing engagement and incremental revenues from recurrent consumer spending on our titles through virtual currency, add-on content, and microtransactions. We also publish an expanding variety of titles for tablets and smartphones, which are delivered to consumers through digital download. We will continue to invest in emerging opportunities in mobile and online gameplay, particularly for our wholly-owned franchises, as well as downloadable content and microtransactions that enable gamers to pay to download additional content to enhance their game playing experience.</w:t>
      </w:r>
    </w:p>
    <w:p>
      <w:pPr>
        <w:spacing w:after="0" w:line="22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b w:val="1"/>
          <w:bCs w:val="1"/>
          <w:i w:val="1"/>
          <w:iCs w:val="1"/>
          <w:color w:val="auto"/>
        </w:rPr>
        <w:t xml:space="preserve">Expand International Business. </w:t>
      </w:r>
      <w:r>
        <w:rPr>
          <w:rFonts w:ascii="Arial" w:cs="Arial" w:eastAsia="Arial" w:hAnsi="Arial"/>
          <w:sz w:val="17"/>
          <w:szCs w:val="17"/>
          <w:color w:val="auto"/>
        </w:rPr>
        <w:t>The global market for interactive entertainment continues to grow and we seek to increase our presence internationally,</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particularly in Asia, Eastern Europe and Latin America. We are continuing to execute on our growth initiatives in Asia, where our strategy is to broaden the distribution of our existing products and expand our online gaming presence, especially in China and South Korea. We are a direct publisher in Japan and South Korea. While we retain title to all intellectual property, under license agreements local publishers are responsible for localization of software content, distribution and marketing of the products in their respective local markets. We intend to continue to build upon our licensing relationships and also continue to expand on finished goods distribution strategies to grow our international business.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Businesses</w:t>
      </w:r>
    </w:p>
    <w:p>
      <w:pPr>
        <w:spacing w:after="0" w:line="283"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Our revenue is primarily derived from the sale of internally developed software titles and software titles developed by third-parties. Operating margins are dependent in part upon our ability to release new, commercially successful software products and to manage effectively their development and marketing costs. We have internal development studios located in Australia, Canada, China, Czech Republic, India, Hungary, Spain, the United Kingdom and the United States. As of March 31, 2018, we had a research and development staff of 3,533 employees with the technical capabilities to develop software titles for all major consoles, handheld hardware platforms and PCs in multiple languages and territories.</w:t>
      </w: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719" w:right="239" w:bottom="1440" w:gutter="0" w:footer="0" w:header="0"/>
        </w:sectPr>
      </w:pPr>
    </w:p>
    <w:bookmarkStart w:id="4" w:name="page5"/>
    <w:bookmarkEnd w:id="4"/>
    <w:p>
      <w:pPr>
        <w:jc w:val="both"/>
        <w:spacing w:after="0" w:line="257" w:lineRule="auto"/>
        <w:rPr>
          <w:sz w:val="20"/>
          <w:szCs w:val="20"/>
          <w:color w:val="auto"/>
        </w:rPr>
      </w:pPr>
      <w:r>
        <w:rPr>
          <w:rFonts w:ascii="Arial" w:cs="Arial" w:eastAsia="Arial" w:hAnsi="Arial"/>
          <w:sz w:val="18"/>
          <w:szCs w:val="18"/>
          <w:color w:val="auto"/>
        </w:rPr>
        <w:t>Agreements with third-party developers generally give us exclusive publishing and marketing rights and require us to make development payments, pay royalties based on product sales and to satisfy other conditions. Development payments for software titles are typically recoupable against royalties otherwise due to developers based on software sales. Our agreements with third-party developers generally provide us with the right to monitor development efforts and to cease making development payments if specified development milestones are not satisfied. We also regularly monitor the level of development payments in light of the expected sales for the related titles.</w:t>
      </w:r>
    </w:p>
    <w:p>
      <w:pPr>
        <w:spacing w:after="0" w:line="24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continue to engage in evolving business models such as online gaming, virtual currencies, add-on content, and microtransactions, and we expect to continue to generate incremental revenue opportunities from these opportunities.</w:t>
      </w:r>
    </w:p>
    <w:p>
      <w:pPr>
        <w:spacing w:after="0" w:line="224" w:lineRule="exact"/>
        <w:rPr>
          <w:sz w:val="20"/>
          <w:szCs w:val="20"/>
          <w:color w:val="auto"/>
        </w:rPr>
      </w:pPr>
    </w:p>
    <w:p>
      <w:pPr>
        <w:jc w:val="both"/>
        <w:spacing w:after="0" w:line="289" w:lineRule="auto"/>
        <w:rPr>
          <w:sz w:val="20"/>
          <w:szCs w:val="20"/>
          <w:color w:val="auto"/>
        </w:rPr>
      </w:pPr>
      <w:r>
        <w:rPr>
          <w:rFonts w:ascii="Arial" w:cs="Arial" w:eastAsia="Arial" w:hAnsi="Arial"/>
          <w:sz w:val="16"/>
          <w:szCs w:val="16"/>
          <w:b w:val="1"/>
          <w:bCs w:val="1"/>
          <w:i w:val="1"/>
          <w:iCs w:val="1"/>
          <w:color w:val="auto"/>
        </w:rPr>
        <w:t xml:space="preserve">Rockstar Games. </w:t>
      </w:r>
      <w:r>
        <w:rPr>
          <w:rFonts w:ascii="Arial" w:cs="Arial" w:eastAsia="Arial" w:hAnsi="Arial"/>
          <w:sz w:val="16"/>
          <w:szCs w:val="16"/>
          <w:color w:val="auto"/>
        </w:rPr>
        <w:t>Software titles published by our Rockstar Games label are primarily internally developed. We expect Rockstar Games, our wholly-owned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publisher of the </w:t>
      </w:r>
      <w:r>
        <w:rPr>
          <w:rFonts w:ascii="Arial" w:cs="Arial" w:eastAsia="Arial" w:hAnsi="Arial"/>
          <w:sz w:val="16"/>
          <w:szCs w:val="16"/>
          <w:i w:val="1"/>
          <w:iCs w:val="1"/>
          <w:color w:val="auto"/>
        </w:rPr>
        <w:t>Grand Theft Auto</w:t>
      </w:r>
      <w:r>
        <w:rPr>
          <w:rFonts w:ascii="Arial" w:cs="Arial" w:eastAsia="Arial" w:hAnsi="Arial"/>
          <w:sz w:val="16"/>
          <w:szCs w:val="16"/>
          <w:color w:val="auto"/>
        </w:rPr>
        <w:t xml:space="preserve">, </w:t>
      </w:r>
      <w:r>
        <w:rPr>
          <w:rFonts w:ascii="Arial" w:cs="Arial" w:eastAsia="Arial" w:hAnsi="Arial"/>
          <w:sz w:val="16"/>
          <w:szCs w:val="16"/>
          <w:i w:val="1"/>
          <w:iCs w:val="1"/>
          <w:color w:val="auto"/>
        </w:rPr>
        <w:t>Max Payne</w:t>
      </w:r>
      <w:r>
        <w:rPr>
          <w:rFonts w:ascii="Arial" w:cs="Arial" w:eastAsia="Arial" w:hAnsi="Arial"/>
          <w:sz w:val="16"/>
          <w:szCs w:val="16"/>
          <w:color w:val="auto"/>
        </w:rPr>
        <w:t xml:space="preserve">, </w:t>
      </w:r>
      <w:r>
        <w:rPr>
          <w:rFonts w:ascii="Arial" w:cs="Arial" w:eastAsia="Arial" w:hAnsi="Arial"/>
          <w:sz w:val="16"/>
          <w:szCs w:val="16"/>
          <w:i w:val="1"/>
          <w:iCs w:val="1"/>
          <w:color w:val="auto"/>
        </w:rPr>
        <w:t>Midnight Club</w:t>
      </w:r>
      <w:r>
        <w:rPr>
          <w:rFonts w:ascii="Arial" w:cs="Arial" w:eastAsia="Arial" w:hAnsi="Arial"/>
          <w:sz w:val="16"/>
          <w:szCs w:val="16"/>
          <w:color w:val="auto"/>
        </w:rPr>
        <w:t xml:space="preserve">, </w:t>
      </w:r>
      <w:r>
        <w:rPr>
          <w:rFonts w:ascii="Arial" w:cs="Arial" w:eastAsia="Arial" w:hAnsi="Arial"/>
          <w:sz w:val="16"/>
          <w:szCs w:val="16"/>
          <w:i w:val="1"/>
          <w:iCs w:val="1"/>
          <w:color w:val="auto"/>
        </w:rPr>
        <w:t>Red Dead Redemption,</w:t>
      </w:r>
      <w:r>
        <w:rPr>
          <w:rFonts w:ascii="Arial" w:cs="Arial" w:eastAsia="Arial" w:hAnsi="Arial"/>
          <w:sz w:val="16"/>
          <w:szCs w:val="16"/>
          <w:color w:val="auto"/>
        </w:rPr>
        <w:t xml:space="preserve"> and other popular franchises, to continue to be a leader in the action / adventure product category and to create groundbreaking entertainment by leveraging our existing titles as well as by developing new brands. We believe that Rockstar has established a uniquely original, popular cultural phenomenon with its </w:t>
      </w:r>
      <w:r>
        <w:rPr>
          <w:rFonts w:ascii="Arial" w:cs="Arial" w:eastAsia="Arial" w:hAnsi="Arial"/>
          <w:sz w:val="16"/>
          <w:szCs w:val="16"/>
          <w:i w:val="1"/>
          <w:iCs w:val="1"/>
          <w:color w:val="auto"/>
        </w:rPr>
        <w:t>Grand Theft Auto</w:t>
      </w:r>
      <w:r>
        <w:rPr>
          <w:rFonts w:ascii="Arial" w:cs="Arial" w:eastAsia="Arial" w:hAnsi="Arial"/>
          <w:sz w:val="16"/>
          <w:szCs w:val="16"/>
          <w:color w:val="auto"/>
        </w:rPr>
        <w:t xml:space="preserve"> series, which is the interactive entertainment industry's most iconic and critically acclaimed brand and has sold-in over 280 million units. The latest installment, </w:t>
      </w:r>
      <w:r>
        <w:rPr>
          <w:rFonts w:ascii="Arial" w:cs="Arial" w:eastAsia="Arial" w:hAnsi="Arial"/>
          <w:sz w:val="16"/>
          <w:szCs w:val="16"/>
          <w:i w:val="1"/>
          <w:iCs w:val="1"/>
          <w:color w:val="auto"/>
        </w:rPr>
        <w:t>Grand Theft Auto V</w:t>
      </w:r>
      <w:r>
        <w:rPr>
          <w:rFonts w:ascii="Arial" w:cs="Arial" w:eastAsia="Arial" w:hAnsi="Arial"/>
          <w:sz w:val="16"/>
          <w:szCs w:val="16"/>
          <w:color w:val="auto"/>
        </w:rPr>
        <w:t xml:space="preserve">, was released on Sony's PS3 and Microsoft's Xbox 360 in September 2013, on Sony's PS4 and Microsoft's Xbox One in November 2014, and on PC in April 2015. </w:t>
      </w:r>
      <w:r>
        <w:rPr>
          <w:rFonts w:ascii="Arial" w:cs="Arial" w:eastAsia="Arial" w:hAnsi="Arial"/>
          <w:sz w:val="16"/>
          <w:szCs w:val="16"/>
          <w:i w:val="1"/>
          <w:iCs w:val="1"/>
          <w:color w:val="auto"/>
        </w:rPr>
        <w:t>Grand Theft Auto V</w:t>
      </w:r>
      <w:r>
        <w:rPr>
          <w:rFonts w:ascii="Arial" w:cs="Arial" w:eastAsia="Arial" w:hAnsi="Arial"/>
          <w:sz w:val="16"/>
          <w:szCs w:val="16"/>
          <w:color w:val="auto"/>
        </w:rPr>
        <w:t xml:space="preserve"> includes access to </w:t>
      </w:r>
      <w:r>
        <w:rPr>
          <w:rFonts w:ascii="Arial" w:cs="Arial" w:eastAsia="Arial" w:hAnsi="Arial"/>
          <w:sz w:val="16"/>
          <w:szCs w:val="16"/>
          <w:i w:val="1"/>
          <w:iCs w:val="1"/>
          <w:color w:val="auto"/>
        </w:rPr>
        <w:t>Grand Theft Auto Online</w:t>
      </w:r>
      <w:r>
        <w:rPr>
          <w:rFonts w:ascii="Arial" w:cs="Arial" w:eastAsia="Arial" w:hAnsi="Arial"/>
          <w:sz w:val="16"/>
          <w:szCs w:val="16"/>
          <w:color w:val="auto"/>
        </w:rPr>
        <w:t xml:space="preserve">, which initially launched in October 2013. Rockstar Games is also well known for developing brands in other genres, including the </w:t>
      </w:r>
      <w:r>
        <w:rPr>
          <w:rFonts w:ascii="Arial" w:cs="Arial" w:eastAsia="Arial" w:hAnsi="Arial"/>
          <w:sz w:val="16"/>
          <w:szCs w:val="16"/>
          <w:i w:val="1"/>
          <w:iCs w:val="1"/>
          <w:color w:val="auto"/>
        </w:rPr>
        <w:t>LA Noire</w:t>
      </w:r>
      <w:r>
        <w:rPr>
          <w:rFonts w:ascii="Arial" w:cs="Arial" w:eastAsia="Arial" w:hAnsi="Arial"/>
          <w:sz w:val="16"/>
          <w:szCs w:val="16"/>
          <w:color w:val="auto"/>
        </w:rPr>
        <w:t xml:space="preserve">, </w:t>
      </w:r>
      <w:r>
        <w:rPr>
          <w:rFonts w:ascii="Arial" w:cs="Arial" w:eastAsia="Arial" w:hAnsi="Arial"/>
          <w:sz w:val="16"/>
          <w:szCs w:val="16"/>
          <w:i w:val="1"/>
          <w:iCs w:val="1"/>
          <w:color w:val="auto"/>
        </w:rPr>
        <w:t>Bully</w:t>
      </w:r>
      <w:r>
        <w:rPr>
          <w:rFonts w:ascii="Arial" w:cs="Arial" w:eastAsia="Arial" w:hAnsi="Arial"/>
          <w:sz w:val="16"/>
          <w:szCs w:val="16"/>
          <w:color w:val="auto"/>
        </w:rPr>
        <w:t xml:space="preserve"> and </w:t>
      </w:r>
      <w:r>
        <w:rPr>
          <w:rFonts w:ascii="Arial" w:cs="Arial" w:eastAsia="Arial" w:hAnsi="Arial"/>
          <w:sz w:val="16"/>
          <w:szCs w:val="16"/>
          <w:i w:val="1"/>
          <w:iCs w:val="1"/>
          <w:color w:val="auto"/>
        </w:rPr>
        <w:t>Manhunt</w:t>
      </w:r>
      <w:r>
        <w:rPr>
          <w:rFonts w:ascii="Arial" w:cs="Arial" w:eastAsia="Arial" w:hAnsi="Arial"/>
          <w:sz w:val="16"/>
          <w:szCs w:val="16"/>
          <w:color w:val="auto"/>
        </w:rPr>
        <w:t xml:space="preserve"> franchises. Rockstar Games continues to expand on our established franchises by developing sequels, offering downloadable episodes, content and virtual currency, and releasing titles for smartphones and tablets.</w:t>
      </w:r>
    </w:p>
    <w:p>
      <w:pPr>
        <w:spacing w:after="0" w:line="221" w:lineRule="exact"/>
        <w:rPr>
          <w:sz w:val="20"/>
          <w:szCs w:val="20"/>
          <w:color w:val="auto"/>
        </w:rPr>
      </w:pPr>
    </w:p>
    <w:p>
      <w:pPr>
        <w:jc w:val="both"/>
        <w:spacing w:after="0" w:line="276" w:lineRule="auto"/>
        <w:rPr>
          <w:sz w:val="20"/>
          <w:szCs w:val="20"/>
          <w:color w:val="auto"/>
        </w:rPr>
      </w:pPr>
      <w:r>
        <w:rPr>
          <w:rFonts w:ascii="Arial" w:cs="Arial" w:eastAsia="Arial" w:hAnsi="Arial"/>
          <w:sz w:val="17"/>
          <w:szCs w:val="17"/>
          <w:b w:val="1"/>
          <w:bCs w:val="1"/>
          <w:i w:val="1"/>
          <w:iCs w:val="1"/>
          <w:color w:val="auto"/>
        </w:rPr>
        <w:t xml:space="preserve">2K. </w:t>
      </w:r>
      <w:r>
        <w:rPr>
          <w:rFonts w:ascii="Arial" w:cs="Arial" w:eastAsia="Arial" w:hAnsi="Arial"/>
          <w:sz w:val="17"/>
          <w:szCs w:val="17"/>
          <w:color w:val="auto"/>
        </w:rPr>
        <w:t>Our 2K label has published a variety of popular entertainment properties across all key platforms and across a range of genres including shooter, action,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role-playing, strategy, sports and family/casual entertainment. We expect 2K to continue to develop new, successful franchises in the future. 2K's internally owned and developed franchises include the critically acclaimed, multi-million unit selling </w:t>
      </w:r>
      <w:r>
        <w:rPr>
          <w:rFonts w:ascii="Arial" w:cs="Arial" w:eastAsia="Arial" w:hAnsi="Arial"/>
          <w:sz w:val="17"/>
          <w:szCs w:val="17"/>
          <w:i w:val="1"/>
          <w:iCs w:val="1"/>
          <w:color w:val="auto"/>
        </w:rPr>
        <w:t>BioShock</w:t>
      </w:r>
      <w:r>
        <w:rPr>
          <w:rFonts w:ascii="Arial" w:cs="Arial" w:eastAsia="Arial" w:hAnsi="Arial"/>
          <w:sz w:val="17"/>
          <w:szCs w:val="17"/>
          <w:color w:val="auto"/>
        </w:rPr>
        <w:t xml:space="preserve">, </w:t>
      </w:r>
      <w:r>
        <w:rPr>
          <w:rFonts w:ascii="Arial" w:cs="Arial" w:eastAsia="Arial" w:hAnsi="Arial"/>
          <w:sz w:val="17"/>
          <w:szCs w:val="17"/>
          <w:i w:val="1"/>
          <w:iCs w:val="1"/>
          <w:color w:val="auto"/>
        </w:rPr>
        <w:t>Mafia</w:t>
      </w:r>
      <w:r>
        <w:rPr>
          <w:rFonts w:ascii="Arial" w:cs="Arial" w:eastAsia="Arial" w:hAnsi="Arial"/>
          <w:sz w:val="17"/>
          <w:szCs w:val="17"/>
          <w:color w:val="auto"/>
        </w:rPr>
        <w:t xml:space="preserve">, </w:t>
      </w:r>
      <w:r>
        <w:rPr>
          <w:rFonts w:ascii="Arial" w:cs="Arial" w:eastAsia="Arial" w:hAnsi="Arial"/>
          <w:sz w:val="17"/>
          <w:szCs w:val="17"/>
          <w:i w:val="1"/>
          <w:iCs w:val="1"/>
          <w:color w:val="auto"/>
        </w:rPr>
        <w:t>Sid Meier's Civilization</w:t>
      </w:r>
      <w:r>
        <w:rPr>
          <w:rFonts w:ascii="Arial" w:cs="Arial" w:eastAsia="Arial" w:hAnsi="Arial"/>
          <w:sz w:val="17"/>
          <w:szCs w:val="17"/>
          <w:color w:val="auto"/>
        </w:rPr>
        <w:t xml:space="preserve"> and </w:t>
      </w:r>
      <w:r>
        <w:rPr>
          <w:rFonts w:ascii="Arial" w:cs="Arial" w:eastAsia="Arial" w:hAnsi="Arial"/>
          <w:sz w:val="17"/>
          <w:szCs w:val="17"/>
          <w:i w:val="1"/>
          <w:iCs w:val="1"/>
          <w:color w:val="auto"/>
        </w:rPr>
        <w:t>XCOM</w:t>
      </w:r>
      <w:r>
        <w:rPr>
          <w:rFonts w:ascii="Arial" w:cs="Arial" w:eastAsia="Arial" w:hAnsi="Arial"/>
          <w:sz w:val="17"/>
          <w:szCs w:val="17"/>
          <w:color w:val="auto"/>
        </w:rPr>
        <w:t xml:space="preserve"> series. 2K also publishes externally developed franchises such as </w:t>
      </w:r>
      <w:r>
        <w:rPr>
          <w:rFonts w:ascii="Arial" w:cs="Arial" w:eastAsia="Arial" w:hAnsi="Arial"/>
          <w:sz w:val="17"/>
          <w:szCs w:val="17"/>
          <w:i w:val="1"/>
          <w:iCs w:val="1"/>
          <w:color w:val="auto"/>
        </w:rPr>
        <w:t>Borderlands</w:t>
      </w:r>
      <w:r>
        <w:rPr>
          <w:rFonts w:ascii="Arial" w:cs="Arial" w:eastAsia="Arial" w:hAnsi="Arial"/>
          <w:sz w:val="17"/>
          <w:szCs w:val="17"/>
          <w:color w:val="auto"/>
        </w:rPr>
        <w:t xml:space="preserve"> and </w:t>
      </w:r>
      <w:r>
        <w:rPr>
          <w:rFonts w:ascii="Arial" w:cs="Arial" w:eastAsia="Arial" w:hAnsi="Arial"/>
          <w:sz w:val="17"/>
          <w:szCs w:val="17"/>
          <w:i w:val="1"/>
          <w:iCs w:val="1"/>
          <w:color w:val="auto"/>
        </w:rPr>
        <w:t>Evolve</w:t>
      </w:r>
      <w:r>
        <w:rPr>
          <w:rFonts w:ascii="Arial" w:cs="Arial" w:eastAsia="Arial" w:hAnsi="Arial"/>
          <w:sz w:val="17"/>
          <w:szCs w:val="17"/>
          <w:color w:val="auto"/>
        </w:rPr>
        <w:t xml:space="preserve">. 2K's realistic sports simulation titles include our flagship </w:t>
      </w:r>
      <w:r>
        <w:rPr>
          <w:rFonts w:ascii="Arial" w:cs="Arial" w:eastAsia="Arial" w:hAnsi="Arial"/>
          <w:sz w:val="17"/>
          <w:szCs w:val="17"/>
          <w:i w:val="1"/>
          <w:iCs w:val="1"/>
          <w:color w:val="auto"/>
        </w:rPr>
        <w:t>NBA 2K</w:t>
      </w:r>
      <w:r>
        <w:rPr>
          <w:rFonts w:ascii="Arial" w:cs="Arial" w:eastAsia="Arial" w:hAnsi="Arial"/>
          <w:sz w:val="17"/>
          <w:szCs w:val="17"/>
          <w:color w:val="auto"/>
        </w:rPr>
        <w:t xml:space="preserve"> series, which continues to be the top-ranked NBA basketball video game, and the </w:t>
      </w:r>
      <w:r>
        <w:rPr>
          <w:rFonts w:ascii="Arial" w:cs="Arial" w:eastAsia="Arial" w:hAnsi="Arial"/>
          <w:sz w:val="17"/>
          <w:szCs w:val="17"/>
          <w:i w:val="1"/>
          <w:iCs w:val="1"/>
          <w:color w:val="auto"/>
        </w:rPr>
        <w:t>WWE 2K</w:t>
      </w:r>
      <w:r>
        <w:rPr>
          <w:rFonts w:ascii="Arial" w:cs="Arial" w:eastAsia="Arial" w:hAnsi="Arial"/>
          <w:sz w:val="17"/>
          <w:szCs w:val="17"/>
          <w:color w:val="auto"/>
        </w:rPr>
        <w:t xml:space="preserve"> professional wrestling series.</w:t>
      </w:r>
    </w:p>
    <w:p>
      <w:pPr>
        <w:spacing w:after="0" w:line="22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b w:val="1"/>
          <w:bCs w:val="1"/>
          <w:i w:val="1"/>
          <w:iCs w:val="1"/>
          <w:color w:val="auto"/>
        </w:rPr>
        <w:t xml:space="preserve">Private Division. </w:t>
      </w:r>
      <w:r>
        <w:rPr>
          <w:rFonts w:ascii="Arial" w:cs="Arial" w:eastAsia="Arial" w:hAnsi="Arial"/>
          <w:sz w:val="17"/>
          <w:szCs w:val="17"/>
          <w:color w:val="auto"/>
        </w:rPr>
        <w:t>On December 14, 2017, we announced the formation of Private Division, our new label that is dedicated to bringing titles from top</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 xml:space="preserve">independent developers to market. Private Division will publish several upcoming titles based on new IP from renowned industry creative talent, including the previously announced </w:t>
      </w:r>
      <w:r>
        <w:rPr>
          <w:rFonts w:ascii="Arial" w:cs="Arial" w:eastAsia="Arial" w:hAnsi="Arial"/>
          <w:sz w:val="17"/>
          <w:szCs w:val="17"/>
          <w:i w:val="1"/>
          <w:iCs w:val="1"/>
          <w:color w:val="auto"/>
        </w:rPr>
        <w:t>Ancestors: The Humankind Odyssey</w:t>
      </w:r>
      <w:r>
        <w:rPr>
          <w:rFonts w:ascii="Arial" w:cs="Arial" w:eastAsia="Arial" w:hAnsi="Arial"/>
          <w:sz w:val="17"/>
          <w:szCs w:val="17"/>
          <w:color w:val="auto"/>
        </w:rPr>
        <w:t xml:space="preserve"> from Panache Digital Games, a studio led by the creator of the </w:t>
      </w:r>
      <w:r>
        <w:rPr>
          <w:rFonts w:ascii="Arial" w:cs="Arial" w:eastAsia="Arial" w:hAnsi="Arial"/>
          <w:sz w:val="17"/>
          <w:szCs w:val="17"/>
          <w:i w:val="1"/>
          <w:iCs w:val="1"/>
          <w:color w:val="auto"/>
        </w:rPr>
        <w:t>Assassin's Creed</w:t>
      </w:r>
      <w:r>
        <w:rPr>
          <w:rFonts w:ascii="Arial" w:cs="Arial" w:eastAsia="Arial" w:hAnsi="Arial"/>
          <w:sz w:val="17"/>
          <w:szCs w:val="17"/>
          <w:color w:val="auto"/>
        </w:rPr>
        <w:t xml:space="preserve"> franchise Patrice Désilets; an unannounced role-playing game ("RPG") currently code-named </w:t>
      </w:r>
      <w:r>
        <w:rPr>
          <w:rFonts w:ascii="Arial" w:cs="Arial" w:eastAsia="Arial" w:hAnsi="Arial"/>
          <w:sz w:val="17"/>
          <w:szCs w:val="17"/>
          <w:i w:val="1"/>
          <w:iCs w:val="1"/>
          <w:color w:val="auto"/>
        </w:rPr>
        <w:t>Project Wight</w:t>
      </w:r>
      <w:r>
        <w:rPr>
          <w:rFonts w:ascii="Arial" w:cs="Arial" w:eastAsia="Arial" w:hAnsi="Arial"/>
          <w:sz w:val="17"/>
          <w:szCs w:val="17"/>
          <w:color w:val="auto"/>
        </w:rPr>
        <w:t xml:space="preserve"> from The Outsiders, a studio formed by ex-DICE developers David Goldfarb and Ben Cousins; an unannounced RPG from Obsidian Entertainment led by Tim Cain and Leonard Boyarsky, co-creators of </w:t>
      </w:r>
      <w:r>
        <w:rPr>
          <w:rFonts w:ascii="Arial" w:cs="Arial" w:eastAsia="Arial" w:hAnsi="Arial"/>
          <w:sz w:val="17"/>
          <w:szCs w:val="17"/>
          <w:i w:val="1"/>
          <w:iCs w:val="1"/>
          <w:color w:val="auto"/>
        </w:rPr>
        <w:t>Fallout</w:t>
      </w:r>
      <w:r>
        <w:rPr>
          <w:rFonts w:ascii="Arial" w:cs="Arial" w:eastAsia="Arial" w:hAnsi="Arial"/>
          <w:sz w:val="17"/>
          <w:szCs w:val="17"/>
          <w:color w:val="auto"/>
        </w:rPr>
        <w:t>; and an unannounced sci-fi first-person shooter from V1 Interactive, a studio founded by</w:t>
      </w:r>
      <w:r>
        <w:rPr>
          <w:rFonts w:ascii="Arial" w:cs="Arial" w:eastAsia="Arial" w:hAnsi="Arial"/>
          <w:sz w:val="17"/>
          <w:szCs w:val="17"/>
          <w:i w:val="1"/>
          <w:iCs w:val="1"/>
          <w:color w:val="auto"/>
        </w:rPr>
        <w:t xml:space="preserve"> Halo </w:t>
      </w:r>
      <w:r>
        <w:rPr>
          <w:rFonts w:ascii="Arial" w:cs="Arial" w:eastAsia="Arial" w:hAnsi="Arial"/>
          <w:sz w:val="17"/>
          <w:szCs w:val="17"/>
          <w:color w:val="auto"/>
        </w:rPr>
        <w:t>co-creator Marcus Lehto. Additionally, Private</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Division is the publisher of </w:t>
      </w:r>
      <w:r>
        <w:rPr>
          <w:rFonts w:ascii="Arial" w:cs="Arial" w:eastAsia="Arial" w:hAnsi="Arial"/>
          <w:sz w:val="17"/>
          <w:szCs w:val="17"/>
          <w:i w:val="1"/>
          <w:iCs w:val="1"/>
          <w:color w:val="auto"/>
        </w:rPr>
        <w:t>Kerbal Space Program,</w:t>
      </w:r>
      <w:r>
        <w:rPr>
          <w:rFonts w:ascii="Arial" w:cs="Arial" w:eastAsia="Arial" w:hAnsi="Arial"/>
          <w:sz w:val="17"/>
          <w:szCs w:val="17"/>
          <w:color w:val="auto"/>
        </w:rPr>
        <w:t xml:space="preserve"> which we acquired in May 2017.</w:t>
      </w:r>
    </w:p>
    <w:p>
      <w:pPr>
        <w:spacing w:after="0" w:line="9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 xml:space="preserve">Social Point. </w:t>
      </w:r>
      <w:r>
        <w:rPr>
          <w:rFonts w:ascii="Arial" w:cs="Arial" w:eastAsia="Arial" w:hAnsi="Arial"/>
          <w:sz w:val="18"/>
          <w:szCs w:val="18"/>
          <w:color w:val="auto"/>
        </w:rPr>
        <w:t>Social Point develops and publishes popular free-to-play mobile games that deliver high quality, deeply-engaging entertainment experiences,</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 xml:space="preserve">including its two most successful games, </w:t>
      </w:r>
      <w:r>
        <w:rPr>
          <w:rFonts w:ascii="Arial" w:cs="Arial" w:eastAsia="Arial" w:hAnsi="Arial"/>
          <w:sz w:val="18"/>
          <w:szCs w:val="18"/>
          <w:i w:val="1"/>
          <w:iCs w:val="1"/>
          <w:color w:val="auto"/>
        </w:rPr>
        <w:t>Dragon City</w:t>
      </w:r>
      <w:r>
        <w:rPr>
          <w:rFonts w:ascii="Arial" w:cs="Arial" w:eastAsia="Arial" w:hAnsi="Arial"/>
          <w:sz w:val="18"/>
          <w:szCs w:val="18"/>
          <w:color w:val="auto"/>
        </w:rPr>
        <w:t xml:space="preserve"> and </w:t>
      </w:r>
      <w:r>
        <w:rPr>
          <w:rFonts w:ascii="Arial" w:cs="Arial" w:eastAsia="Arial" w:hAnsi="Arial"/>
          <w:sz w:val="18"/>
          <w:szCs w:val="18"/>
          <w:i w:val="1"/>
          <w:iCs w:val="1"/>
          <w:color w:val="auto"/>
        </w:rPr>
        <w:t>Monster Legends</w:t>
      </w:r>
      <w:r>
        <w:rPr>
          <w:rFonts w:ascii="Arial" w:cs="Arial" w:eastAsia="Arial" w:hAnsi="Arial"/>
          <w:sz w:val="18"/>
          <w:szCs w:val="18"/>
          <w:color w:val="auto"/>
        </w:rPr>
        <w:t>. In addition, Social Point has a robust development pipeline with a number of exciting games planned for launch over the next two years.</w:t>
      </w:r>
    </w:p>
    <w:p>
      <w:pPr>
        <w:spacing w:after="0" w:line="10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are continuing to execute on our growth initiatives in Asia, where our strategy is to broaden the distribution of our existing products and establish an online gaming presence, especially in China and South Korea. 2K has secured a multi-year license from the NBA to develop an online version of our NBA simulation game in China, Taiwan, South Korea and Southeast Asia. In October 2012, </w:t>
      </w:r>
      <w:r>
        <w:rPr>
          <w:rFonts w:ascii="Arial" w:cs="Arial" w:eastAsia="Arial" w:hAnsi="Arial"/>
          <w:sz w:val="18"/>
          <w:szCs w:val="18"/>
          <w:i w:val="1"/>
          <w:iCs w:val="1"/>
          <w:color w:val="auto"/>
        </w:rPr>
        <w:t>NBA 2K Online</w:t>
      </w:r>
      <w:r>
        <w:rPr>
          <w:rFonts w:ascii="Arial" w:cs="Arial" w:eastAsia="Arial" w:hAnsi="Arial"/>
          <w:sz w:val="18"/>
          <w:szCs w:val="18"/>
          <w:color w:val="auto"/>
        </w:rPr>
        <w:t>, our free-to-play NBA simulation game, which was co-developed by 2K and Tencent, launched commercially on the Tencent Games portal in China.</w:t>
      </w:r>
    </w:p>
    <w:p>
      <w:pPr>
        <w:spacing w:after="0" w:line="24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In February, 2017, we expanded our relationship with the NBA through the creation of the </w:t>
      </w:r>
      <w:r>
        <w:rPr>
          <w:rFonts w:ascii="Arial" w:cs="Arial" w:eastAsia="Arial" w:hAnsi="Arial"/>
          <w:sz w:val="18"/>
          <w:szCs w:val="18"/>
          <w:i w:val="1"/>
          <w:iCs w:val="1"/>
          <w:color w:val="auto"/>
        </w:rPr>
        <w:t>NBA 2K League</w:t>
      </w:r>
      <w:r>
        <w:rPr>
          <w:rFonts w:ascii="Arial" w:cs="Arial" w:eastAsia="Arial" w:hAnsi="Arial"/>
          <w:sz w:val="18"/>
          <w:szCs w:val="18"/>
          <w:color w:val="auto"/>
        </w:rPr>
        <w:t xml:space="preserve">, a new, professional competitive gaming league. Launched in May 2018, this groundbreaking competitive gaming league is jointly owned by Take-Two and the NBA and consists of teams operated by actual NBA franchises. The </w:t>
      </w:r>
      <w:r>
        <w:rPr>
          <w:rFonts w:ascii="Arial" w:cs="Arial" w:eastAsia="Arial" w:hAnsi="Arial"/>
          <w:sz w:val="18"/>
          <w:szCs w:val="18"/>
          <w:i w:val="1"/>
          <w:iCs w:val="1"/>
          <w:color w:val="auto"/>
        </w:rPr>
        <w:t>NBA 2K League</w:t>
      </w:r>
      <w:r>
        <w:rPr>
          <w:rFonts w:ascii="Arial" w:cs="Arial" w:eastAsia="Arial" w:hAnsi="Arial"/>
          <w:sz w:val="18"/>
          <w:szCs w:val="18"/>
          <w:color w:val="auto"/>
        </w:rPr>
        <w:t xml:space="preserve"> follows a professional sports league format: competing head-to-head throughout a regular season, participating in a bracketed playoff system, and concluding with a championship match-up.</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Intellectual Property</w:t>
      </w:r>
    </w:p>
    <w:p>
      <w:pPr>
        <w:spacing w:after="0" w:line="28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Our business is highly dependent on the creation, acquisition, licensing and protection of intellectual property. The intellectual property rights we have created or acquired for our internally-owned portfolio of brands include: </w:t>
      </w:r>
      <w:r>
        <w:rPr>
          <w:rFonts w:ascii="Arial" w:cs="Arial" w:eastAsia="Arial" w:hAnsi="Arial"/>
          <w:sz w:val="18"/>
          <w:szCs w:val="18"/>
          <w:i w:val="1"/>
          <w:iCs w:val="1"/>
          <w:color w:val="auto"/>
        </w:rPr>
        <w:t>BioShock</w:t>
      </w:r>
      <w:r>
        <w:rPr>
          <w:rFonts w:ascii="Arial" w:cs="Arial" w:eastAsia="Arial" w:hAnsi="Arial"/>
          <w:sz w:val="18"/>
          <w:szCs w:val="18"/>
          <w:color w:val="auto"/>
        </w:rPr>
        <w:t xml:space="preserve">, </w:t>
      </w:r>
      <w:r>
        <w:rPr>
          <w:rFonts w:ascii="Arial" w:cs="Arial" w:eastAsia="Arial" w:hAnsi="Arial"/>
          <w:sz w:val="18"/>
          <w:szCs w:val="18"/>
          <w:i w:val="1"/>
          <w:iCs w:val="1"/>
          <w:color w:val="auto"/>
        </w:rPr>
        <w:t>Bully</w:t>
      </w:r>
      <w:r>
        <w:rPr>
          <w:rFonts w:ascii="Arial" w:cs="Arial" w:eastAsia="Arial" w:hAnsi="Arial"/>
          <w:sz w:val="18"/>
          <w:szCs w:val="18"/>
          <w:color w:val="auto"/>
        </w:rPr>
        <w:t xml:space="preserve">, </w:t>
      </w:r>
      <w:r>
        <w:rPr>
          <w:rFonts w:ascii="Arial" w:cs="Arial" w:eastAsia="Arial" w:hAnsi="Arial"/>
          <w:sz w:val="18"/>
          <w:szCs w:val="18"/>
          <w:i w:val="1"/>
          <w:iCs w:val="1"/>
          <w:color w:val="auto"/>
        </w:rPr>
        <w:t>Carnival Games</w:t>
      </w:r>
      <w:r>
        <w:rPr>
          <w:rFonts w:ascii="Arial" w:cs="Arial" w:eastAsia="Arial" w:hAnsi="Arial"/>
          <w:sz w:val="18"/>
          <w:szCs w:val="18"/>
          <w:color w:val="auto"/>
        </w:rPr>
        <w:t xml:space="preserve">, </w:t>
      </w:r>
      <w:r>
        <w:rPr>
          <w:rFonts w:ascii="Arial" w:cs="Arial" w:eastAsia="Arial" w:hAnsi="Arial"/>
          <w:sz w:val="18"/>
          <w:szCs w:val="18"/>
          <w:i w:val="1"/>
          <w:iCs w:val="1"/>
          <w:color w:val="auto"/>
        </w:rPr>
        <w:t>Dragon City</w:t>
      </w:r>
      <w:r>
        <w:rPr>
          <w:rFonts w:ascii="Arial" w:cs="Arial" w:eastAsia="Arial" w:hAnsi="Arial"/>
          <w:sz w:val="18"/>
          <w:szCs w:val="18"/>
          <w:color w:val="auto"/>
        </w:rPr>
        <w:t xml:space="preserve">, </w:t>
      </w:r>
      <w:r>
        <w:rPr>
          <w:rFonts w:ascii="Arial" w:cs="Arial" w:eastAsia="Arial" w:hAnsi="Arial"/>
          <w:sz w:val="18"/>
          <w:szCs w:val="18"/>
          <w:i w:val="1"/>
          <w:iCs w:val="1"/>
          <w:color w:val="auto"/>
        </w:rPr>
        <w:t>Evolve</w:t>
      </w:r>
      <w:r>
        <w:rPr>
          <w:rFonts w:ascii="Arial" w:cs="Arial" w:eastAsia="Arial" w:hAnsi="Arial"/>
          <w:sz w:val="18"/>
          <w:szCs w:val="18"/>
          <w:color w:val="auto"/>
        </w:rPr>
        <w:t xml:space="preserve">,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w:t>
      </w:r>
      <w:r>
        <w:rPr>
          <w:rFonts w:ascii="Arial" w:cs="Arial" w:eastAsia="Arial" w:hAnsi="Arial"/>
          <w:sz w:val="18"/>
          <w:szCs w:val="18"/>
          <w:i w:val="1"/>
          <w:iCs w:val="1"/>
          <w:color w:val="auto"/>
        </w:rPr>
        <w:t>Kerbal</w:t>
      </w:r>
      <w:r>
        <w:rPr>
          <w:rFonts w:ascii="Arial" w:cs="Arial" w:eastAsia="Arial" w:hAnsi="Arial"/>
          <w:sz w:val="18"/>
          <w:szCs w:val="18"/>
          <w:color w:val="auto"/>
        </w:rPr>
        <w:t xml:space="preserve"> </w:t>
      </w:r>
      <w:r>
        <w:rPr>
          <w:rFonts w:ascii="Arial" w:cs="Arial" w:eastAsia="Arial" w:hAnsi="Arial"/>
          <w:sz w:val="18"/>
          <w:szCs w:val="18"/>
          <w:i w:val="1"/>
          <w:iCs w:val="1"/>
          <w:color w:val="auto"/>
        </w:rPr>
        <w:t>Space Program, L.A. Noire</w:t>
      </w:r>
      <w:r>
        <w:rPr>
          <w:rFonts w:ascii="Arial" w:cs="Arial" w:eastAsia="Arial" w:hAnsi="Arial"/>
          <w:sz w:val="18"/>
          <w:szCs w:val="18"/>
          <w:color w:val="auto"/>
        </w:rPr>
        <w:t>,</w:t>
      </w:r>
      <w:r>
        <w:rPr>
          <w:rFonts w:ascii="Arial" w:cs="Arial" w:eastAsia="Arial" w:hAnsi="Arial"/>
          <w:sz w:val="18"/>
          <w:szCs w:val="18"/>
          <w:i w:val="1"/>
          <w:iCs w:val="1"/>
          <w:color w:val="auto"/>
        </w:rPr>
        <w:t xml:space="preserve"> Mafia</w:t>
      </w:r>
      <w:r>
        <w:rPr>
          <w:rFonts w:ascii="Arial" w:cs="Arial" w:eastAsia="Arial" w:hAnsi="Arial"/>
          <w:sz w:val="18"/>
          <w:szCs w:val="18"/>
          <w:color w:val="auto"/>
        </w:rPr>
        <w:t>,</w:t>
      </w:r>
      <w:r>
        <w:rPr>
          <w:rFonts w:ascii="Arial" w:cs="Arial" w:eastAsia="Arial" w:hAnsi="Arial"/>
          <w:sz w:val="18"/>
          <w:szCs w:val="18"/>
          <w:i w:val="1"/>
          <w:iCs w:val="1"/>
          <w:color w:val="auto"/>
        </w:rPr>
        <w:t xml:space="preserve"> Manhunt, Max Payne</w:t>
      </w:r>
      <w:r>
        <w:rPr>
          <w:rFonts w:ascii="Arial" w:cs="Arial" w:eastAsia="Arial" w:hAnsi="Arial"/>
          <w:sz w:val="18"/>
          <w:szCs w:val="18"/>
          <w:color w:val="auto"/>
        </w:rPr>
        <w:t>,</w:t>
      </w:r>
      <w:r>
        <w:rPr>
          <w:rFonts w:ascii="Arial" w:cs="Arial" w:eastAsia="Arial" w:hAnsi="Arial"/>
          <w:sz w:val="18"/>
          <w:szCs w:val="18"/>
          <w:i w:val="1"/>
          <w:iCs w:val="1"/>
          <w:color w:val="auto"/>
        </w:rPr>
        <w:t xml:space="preserve"> Midnight Club</w:t>
      </w:r>
      <w:r>
        <w:rPr>
          <w:rFonts w:ascii="Arial" w:cs="Arial" w:eastAsia="Arial" w:hAnsi="Arial"/>
          <w:sz w:val="18"/>
          <w:szCs w:val="18"/>
          <w:color w:val="auto"/>
        </w:rPr>
        <w:t>,</w:t>
      </w:r>
      <w:r>
        <w:rPr>
          <w:rFonts w:ascii="Arial" w:cs="Arial" w:eastAsia="Arial" w:hAnsi="Arial"/>
          <w:sz w:val="18"/>
          <w:szCs w:val="18"/>
          <w:i w:val="1"/>
          <w:iCs w:val="1"/>
          <w:color w:val="auto"/>
        </w:rPr>
        <w:t xml:space="preserve"> Monster Legends</w:t>
      </w:r>
      <w:r>
        <w:rPr>
          <w:rFonts w:ascii="Arial" w:cs="Arial" w:eastAsia="Arial" w:hAnsi="Arial"/>
          <w:sz w:val="18"/>
          <w:szCs w:val="18"/>
          <w:color w:val="auto"/>
        </w:rPr>
        <w:t>,</w:t>
      </w:r>
      <w:r>
        <w:rPr>
          <w:rFonts w:ascii="Arial" w:cs="Arial" w:eastAsia="Arial" w:hAnsi="Arial"/>
          <w:sz w:val="18"/>
          <w:szCs w:val="18"/>
          <w:i w:val="1"/>
          <w:iCs w:val="1"/>
          <w:color w:val="auto"/>
        </w:rPr>
        <w:t xml:space="preserve"> Red Dead</w:t>
      </w:r>
      <w:r>
        <w:rPr>
          <w:rFonts w:ascii="Arial" w:cs="Arial" w:eastAsia="Arial" w:hAnsi="Arial"/>
          <w:sz w:val="18"/>
          <w:szCs w:val="18"/>
          <w:color w:val="auto"/>
        </w:rPr>
        <w:t>,</w:t>
      </w:r>
      <w:r>
        <w:rPr>
          <w:rFonts w:ascii="Arial" w:cs="Arial" w:eastAsia="Arial" w:hAnsi="Arial"/>
          <w:sz w:val="18"/>
          <w:szCs w:val="18"/>
          <w:i w:val="1"/>
          <w:iCs w:val="1"/>
          <w:color w:val="auto"/>
        </w:rPr>
        <w:t xml:space="preserve"> Sid Meier's Civilization</w:t>
      </w:r>
      <w:r>
        <w:rPr>
          <w:rFonts w:ascii="Arial" w:cs="Arial" w:eastAsia="Arial" w:hAnsi="Arial"/>
          <w:sz w:val="18"/>
          <w:szCs w:val="18"/>
          <w:color w:val="auto"/>
        </w:rPr>
        <w:t>,</w:t>
      </w:r>
      <w:r>
        <w:rPr>
          <w:rFonts w:ascii="Arial" w:cs="Arial" w:eastAsia="Arial" w:hAnsi="Arial"/>
          <w:sz w:val="18"/>
          <w:szCs w:val="18"/>
          <w:i w:val="1"/>
          <w:iCs w:val="1"/>
          <w:color w:val="auto"/>
        </w:rPr>
        <w:t xml:space="preserve"> Spec Ops </w:t>
      </w:r>
      <w:r>
        <w:rPr>
          <w:rFonts w:ascii="Arial" w:cs="Arial" w:eastAsia="Arial" w:hAnsi="Arial"/>
          <w:sz w:val="18"/>
          <w:szCs w:val="18"/>
          <w:color w:val="auto"/>
        </w:rPr>
        <w:t>and</w:t>
      </w:r>
      <w:r>
        <w:rPr>
          <w:rFonts w:ascii="Arial" w:cs="Arial" w:eastAsia="Arial" w:hAnsi="Arial"/>
          <w:sz w:val="18"/>
          <w:szCs w:val="18"/>
          <w:i w:val="1"/>
          <w:iCs w:val="1"/>
          <w:color w:val="auto"/>
        </w:rPr>
        <w:t xml:space="preserve"> XCOM</w:t>
      </w:r>
      <w:r>
        <w:rPr>
          <w:rFonts w:ascii="Arial" w:cs="Arial" w:eastAsia="Arial" w:hAnsi="Arial"/>
          <w:sz w:val="18"/>
          <w:szCs w:val="18"/>
          <w:color w:val="auto"/>
        </w:rPr>
        <w:t>. We</w:t>
      </w:r>
      <w:r>
        <w:rPr>
          <w:rFonts w:ascii="Arial" w:cs="Arial" w:eastAsia="Arial" w:hAnsi="Arial"/>
          <w:sz w:val="18"/>
          <w:szCs w:val="18"/>
          <w:i w:val="1"/>
          <w:iCs w:val="1"/>
          <w:color w:val="auto"/>
        </w:rPr>
        <w:t xml:space="preserve"> </w:t>
      </w:r>
      <w:r>
        <w:rPr>
          <w:rFonts w:ascii="Arial" w:cs="Arial" w:eastAsia="Arial" w:hAnsi="Arial"/>
          <w:sz w:val="18"/>
          <w:szCs w:val="18"/>
          <w:color w:val="auto"/>
        </w:rPr>
        <w:t>believe that content ownership facilitates our internal product development efforts and maximizes profit potential. We attempt to protect our software and production techniques under copyright, patent, trademark and trade secret laws as well as through contractual restrictions on disclosure, copying and distribution.</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719" w:right="239" w:bottom="1440" w:gutter="0" w:footer="0" w:header="0"/>
        </w:sectPr>
      </w:pPr>
    </w:p>
    <w:bookmarkStart w:id="5" w:name="page6"/>
    <w:bookmarkEnd w:id="5"/>
    <w:p>
      <w:pPr>
        <w:jc w:val="both"/>
        <w:spacing w:after="0" w:line="264" w:lineRule="auto"/>
        <w:rPr>
          <w:sz w:val="20"/>
          <w:szCs w:val="20"/>
          <w:color w:val="auto"/>
        </w:rPr>
      </w:pPr>
      <w:r>
        <w:rPr>
          <w:rFonts w:ascii="Arial" w:cs="Arial" w:eastAsia="Arial" w:hAnsi="Arial"/>
          <w:sz w:val="18"/>
          <w:szCs w:val="18"/>
          <w:color w:val="auto"/>
        </w:rPr>
        <w:t>We also enter into content license agreements, such as those with sports leagues, players associations, music labels and musicians. These licenses are typically limited to use of the licensed rights in products for specific time periods. In addition, we license and include console manufacturer technology in our products on a non-exclusive basis, which allows our games to be played on their respective hardware systems.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Manufacturing</w:t>
      </w:r>
    </w:p>
    <w:p>
      <w:pPr>
        <w:spacing w:after="0" w:line="28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Sony and Microsoft either manufacture or control the selection of approved manufacturers of software products sold for use on their respective hardware platforms. We place a purchase order for the manufacture of our products with Sony or Microsoft's approved replicator and then send software code and a prototype of the product to the manufacturer, together with related artwork, user instructions, warranty information, brochures and packaging designs for approval, defect testing and manufacture. Games are generally shipped within two to three weeks of receipt of our purchase order and all materials.</w:t>
      </w:r>
    </w:p>
    <w:p>
      <w:pPr>
        <w:spacing w:after="0" w:line="20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Production of PC software is performed by third-party vendors in accordance with our specifications and includes DVD-ROM pressing, assembly of components, printing of packaging and user manuals and shipping of finished goods. We send software code and a prototype of a title, together with related artwork, user instructions, warranty information, brochures and packaging designs to the manufacturers. Games are generally shipped within two weeks of receipt of our manufacturing order. Our software titles typically carry a 90-day limited warranty.</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Arrangements with Platform Manufacturers</w:t>
      </w:r>
    </w:p>
    <w:p>
      <w:pPr>
        <w:spacing w:after="0" w:line="28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We have entered into license agreements with Sony and Microsoft to develop and publish software in Asia, Australia, Europe and North America. We are not required to obtain any licenses from hardware manufacturers to develop titles for the PC.</w:t>
      </w:r>
    </w:p>
    <w:p>
      <w:pPr>
        <w:spacing w:after="0" w:line="224" w:lineRule="exact"/>
        <w:rPr>
          <w:sz w:val="20"/>
          <w:szCs w:val="20"/>
          <w:color w:val="auto"/>
        </w:rPr>
      </w:pPr>
    </w:p>
    <w:p>
      <w:pPr>
        <w:jc w:val="both"/>
        <w:spacing w:after="0" w:line="276" w:lineRule="auto"/>
        <w:rPr>
          <w:sz w:val="20"/>
          <w:szCs w:val="20"/>
          <w:color w:val="auto"/>
        </w:rPr>
      </w:pPr>
      <w:r>
        <w:rPr>
          <w:rFonts w:ascii="Arial" w:cs="Arial" w:eastAsia="Arial" w:hAnsi="Arial"/>
          <w:sz w:val="17"/>
          <w:szCs w:val="17"/>
          <w:i w:val="1"/>
          <w:iCs w:val="1"/>
          <w:color w:val="auto"/>
        </w:rPr>
        <w:t xml:space="preserve">Sony. </w:t>
      </w:r>
      <w:r>
        <w:rPr>
          <w:rFonts w:ascii="Arial" w:cs="Arial" w:eastAsia="Arial" w:hAnsi="Arial"/>
          <w:sz w:val="17"/>
          <w:szCs w:val="17"/>
          <w:color w:val="auto"/>
        </w:rPr>
        <w:t>Effective March 23, 2017, we entered into a PlayStation Global Developer and Publisher Agreement with Sony Computer Entertainment, Inc. and</w:t>
      </w:r>
      <w:r>
        <w:rPr>
          <w:rFonts w:ascii="Arial" w:cs="Arial" w:eastAsia="Arial" w:hAnsi="Arial"/>
          <w:sz w:val="17"/>
          <w:szCs w:val="17"/>
          <w:i w:val="1"/>
          <w:iCs w:val="1"/>
          <w:color w:val="auto"/>
        </w:rPr>
        <w:t xml:space="preserve"> </w:t>
      </w:r>
      <w:r>
        <w:rPr>
          <w:rFonts w:ascii="Arial" w:cs="Arial" w:eastAsia="Arial" w:hAnsi="Arial"/>
          <w:sz w:val="17"/>
          <w:szCs w:val="17"/>
          <w:color w:val="auto"/>
        </w:rPr>
        <w:t>certain of its affiliates, pursuant to which Sony granted us the right and license to develop, publish, have manufactured, market, advertise, distribute and sell PlayStation compatible products for all PlayStation systems, including the PS4, PS3 and PSP. The agreement requires us to submit products to Sony for approval and for us to make royalty payments to Sony based on the number of units manufactured or revenue from downloaded content. In addition, products for the PS4, PS3 and PSP are required to be manufactured by Sony approved manufacturers.</w:t>
      </w:r>
    </w:p>
    <w:p>
      <w:pPr>
        <w:spacing w:after="0" w:line="22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term of the agreement expires on March 31, 2019, with automatic one-year renewal terms thereafter. After the initial term, Sony may terminate the agreement for any or no reason upon thirty days’ notice. The agreement may also be terminated by Sony immediately in the event of a breach by us or our bankruptcy or insolvency. Upon expiration or termination of the agreement, we have certain rights to sell off existing inventories.</w:t>
      </w:r>
    </w:p>
    <w:p>
      <w:pPr>
        <w:spacing w:after="0" w:line="22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 xml:space="preserve">Microsoft. </w:t>
      </w:r>
      <w:r>
        <w:rPr>
          <w:rFonts w:ascii="Arial" w:cs="Arial" w:eastAsia="Arial" w:hAnsi="Arial"/>
          <w:sz w:val="18"/>
          <w:szCs w:val="18"/>
          <w:color w:val="auto"/>
        </w:rPr>
        <w:t>Under the terms of the license agreements that we have entered into with Microsoft Corporation and its affiliates, Microsoft granted us the right</w:t>
      </w:r>
      <w:r>
        <w:rPr>
          <w:rFonts w:ascii="Arial" w:cs="Arial" w:eastAsia="Arial" w:hAnsi="Arial"/>
          <w:sz w:val="18"/>
          <w:szCs w:val="18"/>
          <w:i w:val="1"/>
          <w:iCs w:val="1"/>
          <w:color w:val="auto"/>
        </w:rPr>
        <w:t xml:space="preserve"> </w:t>
      </w:r>
      <w:r>
        <w:rPr>
          <w:rFonts w:ascii="Arial" w:cs="Arial" w:eastAsia="Arial" w:hAnsi="Arial"/>
          <w:sz w:val="18"/>
          <w:szCs w:val="18"/>
          <w:color w:val="auto"/>
        </w:rPr>
        <w:t>and license to develop, publish, have manufactured, market, advertise, distribute and sell Xbox compatible products for the Xbox One and Xbox 360. The agreements require us to submit products to Microsoft for approval and for us to make royalty payments to Microsoft based on the number of units manufactured or revenue from downloaded content. In addition, products for the Xbox One and Xbox 360 are required to be manufactured by Microsoft approved manufacturers.</w:t>
      </w:r>
    </w:p>
    <w:p>
      <w:pPr>
        <w:spacing w:after="0" w:line="242"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The term of the Xbox One license agreement expires on March 31, 2019 and the term of the Xbox 360 license agreement expires on March 31, 2019, each agreement with automatic one-year renewal terms thereafter. The Xbox One and Xbox 360 license agreements may be terminated by Microsoft immediately in the event of a breach by us, and the Xbox One licensee agreement may also be terminated by Microsoft immediately in the event of our bankruptcy or insolvency. Upon expiration or termination of the Xbox One and Xbox 360 license agreements, we have certain rights to sell off existing inventories.</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Sales</w:t>
      </w:r>
    </w:p>
    <w:p>
      <w:pPr>
        <w:spacing w:after="0" w:line="28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sell software titles both physically and digitally in the United States, EMEA, Canada, Latin America and Asia Pacific through direct relationships with large retail customers and third-party distributors. Our top customers include, among others, GameStop Corporation, Microsoft, Sony, Steam, and Wal-Mart. We have sales operations in Australia, Canada, France, Germany, Japan, the Netherlands, New Zealand, Singapore, South Korea, Spain, Taiwan, the United Kingdom and the United States.</w:t>
      </w:r>
    </w:p>
    <w:p>
      <w:pPr>
        <w:spacing w:after="0" w:line="24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are dependent on a limited number of customers that account for a significant portion of our sales. Sales to our five largest customers during the fiscal year ended March 31, 2018 accounted for 70.7% of our net revenue, with Sony and Microsoft each accounting for more than 10.0% of our net revenue during the fiscal year ended March 31, 2018.</w:t>
      </w:r>
    </w:p>
    <w:p>
      <w:pPr>
        <w:spacing w:after="0" w:line="235"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We also distribute our titles, add-on content and microtransactions through direct digital download via the Internet to consoles and PCs, including smartphones and tablets. We view digital distribution as an important growth opportunity for our industry and Company; however, we expect that packaged goods and traditional retailers will continue to be a significant channel for the sale of our products for the foreseeable future.</w:t>
      </w:r>
    </w:p>
    <w:p>
      <w:pPr>
        <w:sectPr>
          <w:pgSz w:w="11900" w:h="16838" w:orient="portrait"/>
          <w:cols w:equalWidth="0" w:num="1">
            <w:col w:w="11420"/>
          </w:cols>
          <w:pgMar w:left="240" w:top="719" w:right="239" w:bottom="1440" w:gutter="0" w:footer="0" w:header="0"/>
        </w:sect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420"/>
          </w:cols>
          <w:pgMar w:left="240" w:top="719" w:right="239" w:bottom="1440" w:gutter="0" w:footer="0" w:header="0"/>
          <w:type w:val="continuous"/>
        </w:sectPr>
      </w:pPr>
    </w:p>
    <w:bookmarkStart w:id="6" w:name="page7"/>
    <w:bookmarkEnd w:id="6"/>
    <w:p>
      <w:pPr>
        <w:spacing w:after="0"/>
        <w:rPr>
          <w:sz w:val="20"/>
          <w:szCs w:val="20"/>
          <w:color w:val="auto"/>
        </w:rPr>
      </w:pPr>
      <w:r>
        <w:rPr>
          <w:rFonts w:ascii="Arial" w:cs="Arial" w:eastAsia="Arial" w:hAnsi="Arial"/>
          <w:sz w:val="18"/>
          <w:szCs w:val="18"/>
          <w:b w:val="1"/>
          <w:bCs w:val="1"/>
          <w:color w:val="auto"/>
        </w:rPr>
        <w:t>Marketing</w:t>
      </w:r>
    </w:p>
    <w:p>
      <w:pPr>
        <w:spacing w:after="0" w:line="28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marketing and promotional efforts are intended to maximize consumer interest in our titles, promote brand name recognition of our franchises, assist retailers and properly position, package and merchandise our titles. From time to time, we also receive marketing support from hardware manufacturers in connection with their own promotional efforts.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We market titles by:</w:t>
      </w:r>
    </w:p>
    <w:p>
      <w:pPr>
        <w:spacing w:after="0" w:line="144" w:lineRule="exact"/>
        <w:rPr>
          <w:sz w:val="20"/>
          <w:szCs w:val="20"/>
          <w:color w:val="auto"/>
        </w:rPr>
      </w:pPr>
    </w:p>
    <w:p>
      <w:pPr>
        <w:ind w:left="660" w:right="40" w:hanging="328"/>
        <w:spacing w:after="0" w:line="286" w:lineRule="auto"/>
        <w:tabs>
          <w:tab w:leader="none" w:pos="660" w:val="left"/>
        </w:tabs>
        <w:numPr>
          <w:ilvl w:val="0"/>
          <w:numId w:val="3"/>
        </w:numPr>
        <w:rPr>
          <w:rFonts w:ascii="Arial" w:cs="Arial" w:eastAsia="Arial" w:hAnsi="Arial"/>
          <w:sz w:val="17"/>
          <w:szCs w:val="17"/>
          <w:color w:val="auto"/>
        </w:rPr>
      </w:pPr>
      <w:r>
        <w:rPr>
          <w:rFonts w:ascii="Arial" w:cs="Arial" w:eastAsia="Arial" w:hAnsi="Arial"/>
          <w:sz w:val="17"/>
          <w:szCs w:val="17"/>
          <w:color w:val="auto"/>
        </w:rPr>
        <w:t>Implementing public relations campaigns, using print and online advertising, television, radio spots and outdoor advertising. We believe that we label and market our products in accordance with the applicable principles and guidelines of the Entertainment Software Rating Board, or the ESRB, an independent self-regulatory body that assigns ratings and enforces advertising guidelines for the interactive software industry.</w:t>
      </w:r>
    </w:p>
    <w:p>
      <w:pPr>
        <w:spacing w:after="0" w:line="57" w:lineRule="exact"/>
        <w:rPr>
          <w:rFonts w:ascii="Arial" w:cs="Arial" w:eastAsia="Arial" w:hAnsi="Arial"/>
          <w:sz w:val="17"/>
          <w:szCs w:val="17"/>
          <w:color w:val="auto"/>
        </w:rPr>
      </w:pPr>
    </w:p>
    <w:p>
      <w:pPr>
        <w:ind w:left="660" w:right="20" w:hanging="328"/>
        <w:spacing w:after="0" w:line="342" w:lineRule="auto"/>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Satisfying certain shelf life and sales requirements under our agreements with hardware manufacturers in order to qualify for Sony's Greatest Hits Programs and Microsoft's Platinum Hits Program. In connection with these programs, we receive manufacturing discounts from Sony and Microsoft.</w:t>
      </w:r>
    </w:p>
    <w:p>
      <w:pPr>
        <w:spacing w:after="0" w:line="15" w:lineRule="exact"/>
        <w:rPr>
          <w:rFonts w:ascii="Arial" w:cs="Arial" w:eastAsia="Arial" w:hAnsi="Arial"/>
          <w:sz w:val="16"/>
          <w:szCs w:val="16"/>
          <w:color w:val="auto"/>
        </w:rPr>
      </w:pPr>
    </w:p>
    <w:p>
      <w:pPr>
        <w:ind w:left="660" w:right="20" w:hanging="328"/>
        <w:spacing w:after="0" w:line="302" w:lineRule="auto"/>
        <w:tabs>
          <w:tab w:leader="none" w:pos="660" w:val="left"/>
        </w:tabs>
        <w:numPr>
          <w:ilvl w:val="0"/>
          <w:numId w:val="3"/>
        </w:numPr>
        <w:rPr>
          <w:rFonts w:ascii="Arial" w:cs="Arial" w:eastAsia="Arial" w:hAnsi="Arial"/>
          <w:sz w:val="16"/>
          <w:szCs w:val="16"/>
          <w:color w:val="auto"/>
        </w:rPr>
      </w:pPr>
      <w:r>
        <w:rPr>
          <w:rFonts w:ascii="Arial" w:cs="Arial" w:eastAsia="Arial" w:hAnsi="Arial"/>
          <w:sz w:val="16"/>
          <w:szCs w:val="16"/>
          <w:color w:val="auto"/>
        </w:rPr>
        <w:t>Stimulating continued sales by reducing the wholesale prices of our products to retailers at various times during the life of a product. Price protection may occur at any time in a product's life cycle, but typically occurs three to nine months after a product's initial launch. In certain international markets, we also provide volume rebates to stimulate continued product sales. Price protection, sales returns and other allowances amounted to $59.7 million, $127.7 million and $64.5 million during the fiscal years ended March 31, 2018, 2017 and 2016, respectively.</w:t>
      </w:r>
    </w:p>
    <w:p>
      <w:pPr>
        <w:spacing w:after="0" w:line="46" w:lineRule="exact"/>
        <w:rPr>
          <w:rFonts w:ascii="Arial" w:cs="Arial" w:eastAsia="Arial" w:hAnsi="Arial"/>
          <w:sz w:val="16"/>
          <w:szCs w:val="16"/>
          <w:color w:val="auto"/>
        </w:rPr>
      </w:pPr>
    </w:p>
    <w:p>
      <w:pPr>
        <w:ind w:left="660" w:right="280" w:hanging="328"/>
        <w:spacing w:after="0" w:line="264" w:lineRule="auto"/>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Employing various other marketing methods designed to promote consumer awareness, including social media, in-store promotions and point-of-purchase displays, direct mail, co-operative advertising, attendance at trade shows as well as product sampling through demonstration software distributed via the Internet or the digital online services.</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color w:val="auto"/>
        </w:rPr>
        <w:t>As of March 31, 2018, we had a sales and marketing staff of 434 people.</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Product Procurement</w:t>
      </w:r>
    </w:p>
    <w:p>
      <w:pPr>
        <w:spacing w:after="0" w:line="25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procure products from suppliers principally using standard purchase orders based on our assessment of market demand. We carry inventory quantities that we believe are necessary to provide rapid response to retailer orders. We utilize electronic data interchange with many of our customers to enhance the efficiency of placing and shipping orders and receiving payments.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In our business, we compete with:</w:t>
      </w:r>
    </w:p>
    <w:p>
      <w:pPr>
        <w:spacing w:after="0" w:line="144" w:lineRule="exact"/>
        <w:rPr>
          <w:sz w:val="20"/>
          <w:szCs w:val="20"/>
          <w:color w:val="auto"/>
        </w:rPr>
      </w:pPr>
    </w:p>
    <w:p>
      <w:pPr>
        <w:ind w:left="660" w:right="180" w:hanging="328"/>
        <w:spacing w:after="0" w:line="308" w:lineRule="auto"/>
        <w:tabs>
          <w:tab w:leader="none" w:pos="660" w:val="left"/>
        </w:tabs>
        <w:numPr>
          <w:ilvl w:val="0"/>
          <w:numId w:val="4"/>
        </w:numPr>
        <w:rPr>
          <w:rFonts w:ascii="Arial" w:cs="Arial" w:eastAsia="Arial" w:hAnsi="Arial"/>
          <w:sz w:val="17"/>
          <w:szCs w:val="17"/>
          <w:color w:val="auto"/>
        </w:rPr>
      </w:pPr>
      <w:r>
        <w:rPr>
          <w:rFonts w:ascii="Arial" w:cs="Arial" w:eastAsia="Arial" w:hAnsi="Arial"/>
          <w:sz w:val="17"/>
          <w:szCs w:val="17"/>
          <w:color w:val="auto"/>
        </w:rPr>
        <w:t>Companies that range in size and cost structure from very small with limited resources to very large with greater financial, marketing and technical personnel and other resources than ours, including Activision Blizzard, Inc., Electronic Arts Inc., and Ubisoft Entertainment S.A.</w:t>
      </w:r>
    </w:p>
    <w:p>
      <w:pPr>
        <w:spacing w:after="0" w:line="38" w:lineRule="exact"/>
        <w:rPr>
          <w:rFonts w:ascii="Arial" w:cs="Arial" w:eastAsia="Arial" w:hAnsi="Arial"/>
          <w:sz w:val="17"/>
          <w:szCs w:val="17"/>
          <w:color w:val="auto"/>
        </w:rPr>
      </w:pPr>
    </w:p>
    <w:p>
      <w:pPr>
        <w:jc w:val="both"/>
        <w:ind w:left="660" w:right="260" w:hanging="328"/>
        <w:spacing w:after="0" w:line="342" w:lineRule="auto"/>
        <w:tabs>
          <w:tab w:leader="none" w:pos="660" w:val="left"/>
        </w:tabs>
        <w:numPr>
          <w:ilvl w:val="0"/>
          <w:numId w:val="4"/>
        </w:numPr>
        <w:rPr>
          <w:rFonts w:ascii="Arial" w:cs="Arial" w:eastAsia="Arial" w:hAnsi="Arial"/>
          <w:sz w:val="16"/>
          <w:szCs w:val="16"/>
          <w:color w:val="auto"/>
        </w:rPr>
      </w:pPr>
      <w:r>
        <w:rPr>
          <w:rFonts w:ascii="Arial" w:cs="Arial" w:eastAsia="Arial" w:hAnsi="Arial"/>
          <w:sz w:val="16"/>
          <w:szCs w:val="16"/>
          <w:color w:val="auto"/>
        </w:rPr>
        <w:t>Sony and Microsoft for the sale of interactive entertainment software. Each of these competitors is a large developer and marketer of software for their own platforms, and has the financial resources to withstand significant price competition and to implement extensive advertising campaigns.</w:t>
      </w:r>
    </w:p>
    <w:p>
      <w:pPr>
        <w:spacing w:after="0" w:line="15" w:lineRule="exact"/>
        <w:rPr>
          <w:rFonts w:ascii="Arial" w:cs="Arial" w:eastAsia="Arial" w:hAnsi="Arial"/>
          <w:sz w:val="16"/>
          <w:szCs w:val="16"/>
          <w:color w:val="auto"/>
        </w:rPr>
      </w:pPr>
    </w:p>
    <w:p>
      <w:pPr>
        <w:ind w:left="660" w:right="300" w:hanging="328"/>
        <w:spacing w:after="0" w:line="342" w:lineRule="auto"/>
        <w:tabs>
          <w:tab w:leader="none" w:pos="660" w:val="left"/>
        </w:tabs>
        <w:numPr>
          <w:ilvl w:val="0"/>
          <w:numId w:val="4"/>
        </w:numPr>
        <w:rPr>
          <w:rFonts w:ascii="Arial" w:cs="Arial" w:eastAsia="Arial" w:hAnsi="Arial"/>
          <w:sz w:val="16"/>
          <w:szCs w:val="16"/>
          <w:color w:val="auto"/>
        </w:rPr>
      </w:pPr>
      <w:r>
        <w:rPr>
          <w:rFonts w:ascii="Arial" w:cs="Arial" w:eastAsia="Arial" w:hAnsi="Arial"/>
          <w:sz w:val="16"/>
          <w:szCs w:val="16"/>
          <w:color w:val="auto"/>
        </w:rPr>
        <w:t>Other software, hardware, entertainment and media for limited retail shelf space and promotional resources. The competition is intense among an increasing number of newly introduced entertainment software titles and hardware for adequate levels of shelf space and promotional support.</w:t>
      </w:r>
    </w:p>
    <w:p>
      <w:pPr>
        <w:spacing w:after="0" w:line="15" w:lineRule="exact"/>
        <w:rPr>
          <w:rFonts w:ascii="Arial" w:cs="Arial" w:eastAsia="Arial" w:hAnsi="Arial"/>
          <w:sz w:val="16"/>
          <w:szCs w:val="16"/>
          <w:color w:val="auto"/>
        </w:rPr>
      </w:pPr>
    </w:p>
    <w:p>
      <w:pPr>
        <w:ind w:left="660" w:right="200" w:hanging="328"/>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Other forms of entertainment such as motion pictures, television and audio, social networking, online computer programs, mobile games and other forms of entertainment, which may be less expensive or provide other advantages to consumers.</w:t>
      </w:r>
    </w:p>
    <w:p>
      <w:pPr>
        <w:spacing w:after="0" w:line="19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Competition in the entertainment software industry is based on innovation, features, playability, and product quality; brand name recognition; compatibility with popular platforms; access to distribution channels; price; marketing; and customer service. Our business is driven by hit titles, which require increasing budgets for development and marketing. Competition for our titles is influenced by the timing of competitive product releases and the similarity of such products to our titles and may result in loss of shelf space or a reduction in sell-through of our titles at retail stores.</w:t>
      </w:r>
    </w:p>
    <w:p>
      <w:pPr>
        <w:spacing w:after="0" w:line="33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715" w:right="2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i w:val="1"/>
          <w:iCs w:val="1"/>
          <w:color w:val="auto"/>
        </w:rPr>
        <w:t>Trends and Factors Affecting our Business</w:t>
      </w:r>
    </w:p>
    <w:p>
      <w:pPr>
        <w:spacing w:after="0" w:line="2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 xml:space="preserve">Product Release Schedule. </w:t>
      </w:r>
      <w:r>
        <w:rPr>
          <w:rFonts w:ascii="Arial" w:cs="Arial" w:eastAsia="Arial" w:hAnsi="Arial"/>
          <w:sz w:val="18"/>
          <w:szCs w:val="18"/>
          <w:color w:val="auto"/>
        </w:rPr>
        <w:t>Our financial results are affected by the timing of our product releases and the commercial success of those titles. Our</w:t>
      </w:r>
      <w:r>
        <w:rPr>
          <w:rFonts w:ascii="Arial" w:cs="Arial" w:eastAsia="Arial" w:hAnsi="Arial"/>
          <w:sz w:val="18"/>
          <w:szCs w:val="18"/>
          <w:i w:val="1"/>
          <w:iCs w:val="1"/>
          <w:color w:val="auto"/>
        </w:rPr>
        <w:t xml:space="preserve"> Grand Theft Auto </w:t>
      </w:r>
      <w:r>
        <w:rPr>
          <w:rFonts w:ascii="Arial" w:cs="Arial" w:eastAsia="Arial" w:hAnsi="Arial"/>
          <w:sz w:val="18"/>
          <w:szCs w:val="18"/>
          <w:color w:val="auto"/>
        </w:rPr>
        <w:t>products in particular have historically accounted for a substantial portion of our revenue. Sales of our</w:t>
      </w:r>
      <w:r>
        <w:rPr>
          <w:rFonts w:ascii="Arial" w:cs="Arial" w:eastAsia="Arial" w:hAnsi="Arial"/>
          <w:sz w:val="18"/>
          <w:szCs w:val="18"/>
          <w:i w:val="1"/>
          <w:iCs w:val="1"/>
          <w:color w:val="auto"/>
        </w:rPr>
        <w:t xml:space="preserve"> Grand Theft Auto </w:t>
      </w:r>
      <w:r>
        <w:rPr>
          <w:rFonts w:ascii="Arial" w:cs="Arial" w:eastAsia="Arial" w:hAnsi="Arial"/>
          <w:sz w:val="18"/>
          <w:szCs w:val="18"/>
          <w:color w:val="auto"/>
        </w:rPr>
        <w:t>products generated 39.7%</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of our net revenue for the fiscal year ended March 31, 2018. The timing of our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releases may affect our financial performance on a quarterly and annual basis.</w:t>
      </w:r>
    </w:p>
    <w:p>
      <w:pPr>
        <w:spacing w:after="0" w:line="241" w:lineRule="exact"/>
        <w:rPr>
          <w:sz w:val="20"/>
          <w:szCs w:val="20"/>
          <w:color w:val="auto"/>
        </w:rPr>
      </w:pPr>
    </w:p>
    <w:p>
      <w:pPr>
        <w:jc w:val="both"/>
        <w:spacing w:after="0" w:line="268" w:lineRule="auto"/>
        <w:rPr>
          <w:sz w:val="20"/>
          <w:szCs w:val="20"/>
          <w:color w:val="auto"/>
        </w:rPr>
      </w:pPr>
      <w:r>
        <w:rPr>
          <w:rFonts w:ascii="Arial" w:cs="Arial" w:eastAsia="Arial" w:hAnsi="Arial"/>
          <w:sz w:val="17"/>
          <w:szCs w:val="17"/>
          <w:i w:val="1"/>
          <w:iCs w:val="1"/>
          <w:color w:val="auto"/>
        </w:rPr>
        <w:t xml:space="preserve">Economic Environment and Retailer Performance. </w:t>
      </w:r>
      <w:r>
        <w:rPr>
          <w:rFonts w:ascii="Arial" w:cs="Arial" w:eastAsia="Arial" w:hAnsi="Arial"/>
          <w:sz w:val="17"/>
          <w:szCs w:val="17"/>
          <w:color w:val="auto"/>
        </w:rPr>
        <w:t>We continue to monitor economic conditions that may unfavorably affect our businesses, such as</w:t>
      </w:r>
      <w:r>
        <w:rPr>
          <w:rFonts w:ascii="Arial" w:cs="Arial" w:eastAsia="Arial" w:hAnsi="Arial"/>
          <w:sz w:val="17"/>
          <w:szCs w:val="17"/>
          <w:i w:val="1"/>
          <w:iCs w:val="1"/>
          <w:color w:val="auto"/>
        </w:rPr>
        <w:t xml:space="preserve"> </w:t>
      </w:r>
      <w:r>
        <w:rPr>
          <w:rFonts w:ascii="Arial" w:cs="Arial" w:eastAsia="Arial" w:hAnsi="Arial"/>
          <w:sz w:val="17"/>
          <w:szCs w:val="17"/>
          <w:color w:val="auto"/>
        </w:rPr>
        <w:t>deteriorating consumer demand, pricing pressure on our products, credit quality of our receivables, and foreign currency exchange rates. Our business is dependent upon a limited number of customers who account for a significant portion of our revenue. Our five largest customers accounted for 70.7%, 65.5% and 58.9% of net revenue during the fiscal years ended March 31, 2018, 2017 and 2016, respectively. As of March 31, 2018 and 2017, five customers comprised 65.4% and 69.9% of our gross accounts receivable, respectively, with our significant customers (those that individually comprised more than 10% of our gross accounts receivable balance) accounting for 53.2% and 57.6% of such balance at March 31, 2018 and 2017, respectively. We had two customers who accounted for 37.7% and 15.5% of our gross accounts receivable as of March 31, 2018 and two customers who accounted for 40.2% and 17.4% of our gross accounts receivable as of March 31, 2017. We did not have any additional customers that exceeded 10% of our gross accounts receivable as of March 31, 2018 and 2017. The economic environment has affected our customers in the past, and may do so in the future. Bankruptcies or consolidations of our large retail customers could seriously hurt our business, due to uncollectible accounts receivables and the concentration of purchasing power among the remaining large retailers. Certain of our large customers sell used copies of our games, which may negatively affect our business by reducing demand for new copies of our games. While the downloadable content that we now offer for certain of our titles may serve to reduce used game sales, we expect used game sales to continue to adversely affect our business.</w:t>
      </w:r>
    </w:p>
    <w:p>
      <w:pPr>
        <w:spacing w:after="0" w:line="24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i w:val="1"/>
          <w:iCs w:val="1"/>
          <w:color w:val="auto"/>
        </w:rPr>
        <w:t xml:space="preserve">Hardware Platforms. </w:t>
      </w:r>
      <w:r>
        <w:rPr>
          <w:rFonts w:ascii="Arial" w:cs="Arial" w:eastAsia="Arial" w:hAnsi="Arial"/>
          <w:sz w:val="18"/>
          <w:szCs w:val="18"/>
          <w:color w:val="auto"/>
        </w:rPr>
        <w:t>We derive most of our revenue from the sale of products made for video game consoles manufactured by third-parties, such as Sony's</w:t>
      </w:r>
      <w:r>
        <w:rPr>
          <w:rFonts w:ascii="Arial" w:cs="Arial" w:eastAsia="Arial" w:hAnsi="Arial"/>
          <w:sz w:val="18"/>
          <w:szCs w:val="18"/>
          <w:i w:val="1"/>
          <w:iCs w:val="1"/>
          <w:color w:val="auto"/>
        </w:rPr>
        <w:t xml:space="preserve"> </w:t>
      </w:r>
      <w:r>
        <w:rPr>
          <w:rFonts w:ascii="Arial" w:cs="Arial" w:eastAsia="Arial" w:hAnsi="Arial"/>
          <w:sz w:val="18"/>
          <w:szCs w:val="18"/>
          <w:color w:val="auto"/>
        </w:rPr>
        <w:t>PS4 and PS3, Microsoft's Xbox One and Xbox 360, and the Nintendo Switch, which comprised 81.6% of our net revenue by product platform for the fiscal year ended March 31, 2018. The success of our business is dependent upon the consumer acceptance of these platforms and the continued growth in the installed base of these platforms. When new hardware platforms are introduced, demand for software based on older platforms typically declines, which may negatively affect our business during the market transition to the new consoles. Accordingly, our strategy is to focus our development efforts on a select number of the highest quality titles for these platforms, while also expanding our offerings for emerging platforms such as tablets, smartphones and online games.</w:t>
      </w:r>
    </w:p>
    <w:p>
      <w:pPr>
        <w:spacing w:after="0" w:line="243" w:lineRule="exact"/>
        <w:rPr>
          <w:sz w:val="20"/>
          <w:szCs w:val="20"/>
          <w:color w:val="auto"/>
        </w:rPr>
      </w:pPr>
    </w:p>
    <w:p>
      <w:pPr>
        <w:jc w:val="both"/>
        <w:spacing w:after="0" w:line="290" w:lineRule="auto"/>
        <w:rPr>
          <w:sz w:val="20"/>
          <w:szCs w:val="20"/>
          <w:color w:val="auto"/>
        </w:rPr>
      </w:pPr>
      <w:r>
        <w:rPr>
          <w:rFonts w:ascii="Arial" w:cs="Arial" w:eastAsia="Arial" w:hAnsi="Arial"/>
          <w:sz w:val="16"/>
          <w:szCs w:val="16"/>
          <w:i w:val="1"/>
          <w:iCs w:val="1"/>
          <w:color w:val="auto"/>
        </w:rPr>
        <w:t xml:space="preserve">Online Content and Digital Distribution. </w:t>
      </w:r>
      <w:r>
        <w:rPr>
          <w:rFonts w:ascii="Arial" w:cs="Arial" w:eastAsia="Arial" w:hAnsi="Arial"/>
          <w:sz w:val="16"/>
          <w:szCs w:val="16"/>
          <w:color w:val="auto"/>
        </w:rPr>
        <w:t>The interactive entertainment software industry is delivering a growing amount of content through digital online</w:t>
      </w:r>
      <w:r>
        <w:rPr>
          <w:rFonts w:ascii="Arial" w:cs="Arial" w:eastAsia="Arial" w:hAnsi="Arial"/>
          <w:sz w:val="16"/>
          <w:szCs w:val="16"/>
          <w:i w:val="1"/>
          <w:iCs w:val="1"/>
          <w:color w:val="auto"/>
        </w:rPr>
        <w:t xml:space="preserve"> </w:t>
      </w:r>
      <w:r>
        <w:rPr>
          <w:rFonts w:ascii="Arial" w:cs="Arial" w:eastAsia="Arial" w:hAnsi="Arial"/>
          <w:sz w:val="16"/>
          <w:szCs w:val="16"/>
          <w:color w:val="auto"/>
        </w:rPr>
        <w:t>delivery methods. We provide a variety of online delivered products and offerings. Virtually all of our titles that are available through retailers as packaged goods products are also available through direct digital download via the Internet (from websites we own and others owned by third-parties). In addition, we aim to drive ongoing engagement and recurrent consumer spending on our titles after their initial purchase by generating incremental revenues through downloadable offerings, including virtual currency, add-on content, and microtransactions. We also publish an expanding variety of titles for tablets and smartphones, which are delivered to consumers through digital download via the Internet. Note 17 to the Consolidated Financial Statements, "Segment and Geographic Information," discloses that net revenue from digital online channels comprised 63.1% of our net revenue by distribution channel for the fiscal year ended March 31, 2018. We expect online delivery of games and game offerings to become an increasing part of our business over the long-term.</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Operations</w:t>
      </w:r>
    </w:p>
    <w:p>
      <w:pPr>
        <w:spacing w:after="0" w:line="283"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International sales are a significant part of our business. For the fiscal years ended March 31, 2018, 2017 and 2016, 41.3%, 43.9% and 47.4%, respectively, of our net revenue was earned outside the United States. We are continuing to execute on our growth initiatives in Asia, where our strategy is to broaden the distribution of our existing products and expand our online gaming presence, especially in China and South Korea. We are subject to risks inherent in foreign trade, including increased credit risks, tariffs and duties, fluctuations in foreign currency exchange rates, shipping delays and international political, regulatory and economic developments, all of which can have a significant effect on our operating results. See Notes 1 and 17 to the Consolidated Financial Statements.</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Segment and Geographic Information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See Note 17 to the Consolidated Financial Statements.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28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As of March 31, 2018, we had 4,492 full-time employees, of which 2,448 were employed outside of the United States. None of our regular employees is subject to collective bargaining agreements. We consider our relations with employees to be satisfactory.</w:t>
      </w:r>
    </w:p>
    <w:p>
      <w:pPr>
        <w:sectPr>
          <w:pgSz w:w="11900" w:h="16838" w:orient="portrait"/>
          <w:cols w:equalWidth="0" w:num="1">
            <w:col w:w="11420"/>
          </w:cols>
          <w:pgMar w:left="240" w:top="719" w:right="239" w:bottom="1440" w:gutter="0" w:footer="0" w:header="0"/>
        </w:sect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ectPr>
          <w:pgSz w:w="11900" w:h="16838" w:orient="portrait"/>
          <w:cols w:equalWidth="0" w:num="1">
            <w:col w:w="11420"/>
          </w:cols>
          <w:pgMar w:left="240" w:top="719" w:right="239" w:bottom="1440" w:gutter="0" w:footer="0" w:header="0"/>
          <w:type w:val="continuous"/>
        </w:sectPr>
      </w:pPr>
    </w:p>
    <w:bookmarkStart w:id="8" w:name="page9"/>
    <w:bookmarkEnd w:id="8"/>
    <w:p>
      <w:pPr>
        <w:spacing w:after="0"/>
        <w:tabs>
          <w:tab w:leader="none" w:pos="84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Risk Factors</w:t>
      </w:r>
    </w:p>
    <w:p>
      <w:pPr>
        <w:spacing w:after="0" w:line="283" w:lineRule="exact"/>
        <w:rPr>
          <w:sz w:val="20"/>
          <w:szCs w:val="20"/>
          <w:color w:val="auto"/>
        </w:rPr>
      </w:pPr>
    </w:p>
    <w:p>
      <w:pPr>
        <w:jc w:val="both"/>
        <w:spacing w:after="0" w:line="312" w:lineRule="auto"/>
        <w:rPr>
          <w:sz w:val="20"/>
          <w:szCs w:val="20"/>
          <w:color w:val="auto"/>
        </w:rPr>
      </w:pPr>
      <w:r>
        <w:rPr>
          <w:rFonts w:ascii="Arial" w:cs="Arial" w:eastAsia="Arial" w:hAnsi="Arial"/>
          <w:sz w:val="16"/>
          <w:szCs w:val="16"/>
          <w:i w:val="1"/>
          <w:iCs w:val="1"/>
          <w:color w:val="auto"/>
        </w:rPr>
        <w:t>Our business is subject to many risks and uncertainties, which may affect our future financial performance. Because of the risks and uncertainties described below, as well as other factors affecting our operating results and financial condition, past financial performance should not be considered to be a reliable indicator of future performance and our business and financial performance could be harmed and the market value of our securities could decline.</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business</w:t>
      </w:r>
    </w:p>
    <w:p>
      <w:pPr>
        <w:spacing w:after="0" w:line="28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are dependent on the future success of our Grand Theft Auto products and we must continue to publish "hit" titles or sequels to such "hit" titles in order to compete successfully in our industry.</w:t>
      </w:r>
    </w:p>
    <w:p>
      <w:pPr>
        <w:spacing w:after="0" w:line="224" w:lineRule="exact"/>
        <w:rPr>
          <w:sz w:val="20"/>
          <w:szCs w:val="20"/>
          <w:color w:val="auto"/>
        </w:rPr>
      </w:pPr>
    </w:p>
    <w:p>
      <w:pPr>
        <w:jc w:val="both"/>
        <w:spacing w:after="0" w:line="268" w:lineRule="auto"/>
        <w:rPr>
          <w:sz w:val="20"/>
          <w:szCs w:val="20"/>
          <w:color w:val="auto"/>
        </w:rPr>
      </w:pPr>
      <w:r>
        <w:rPr>
          <w:rFonts w:ascii="Arial" w:cs="Arial" w:eastAsia="Arial" w:hAnsi="Arial"/>
          <w:sz w:val="17"/>
          <w:szCs w:val="17"/>
          <w:i w:val="1"/>
          <w:iCs w:val="1"/>
          <w:color w:val="auto"/>
        </w:rPr>
        <w:t xml:space="preserve">Grand Theft Auto </w:t>
      </w:r>
      <w:r>
        <w:rPr>
          <w:rFonts w:ascii="Arial" w:cs="Arial" w:eastAsia="Arial" w:hAnsi="Arial"/>
          <w:sz w:val="17"/>
          <w:szCs w:val="17"/>
          <w:color w:val="auto"/>
        </w:rPr>
        <w:t>and certain of our other titles are "hit" products and have historically accounted for a substantial portion of our revenue.</w:t>
      </w:r>
      <w:r>
        <w:rPr>
          <w:rFonts w:ascii="Arial" w:cs="Arial" w:eastAsia="Arial" w:hAnsi="Arial"/>
          <w:sz w:val="17"/>
          <w:szCs w:val="17"/>
          <w:i w:val="1"/>
          <w:iCs w:val="1"/>
          <w:color w:val="auto"/>
        </w:rPr>
        <w:t xml:space="preserve"> Grand Theft Auto </w:t>
      </w:r>
      <w:r>
        <w:rPr>
          <w:rFonts w:ascii="Arial" w:cs="Arial" w:eastAsia="Arial" w:hAnsi="Arial"/>
          <w:sz w:val="17"/>
          <w:szCs w:val="17"/>
          <w:color w:val="auto"/>
        </w:rPr>
        <w:t xml:space="preserve">products contributed 39.7% of the Company's net revenue for the fiscal year ended March 31, 2018 and the five best-selling franchises (including </w:t>
      </w:r>
      <w:r>
        <w:rPr>
          <w:rFonts w:ascii="Arial" w:cs="Arial" w:eastAsia="Arial" w:hAnsi="Arial"/>
          <w:sz w:val="17"/>
          <w:szCs w:val="17"/>
          <w:i w:val="1"/>
          <w:iCs w:val="1"/>
          <w:color w:val="auto"/>
        </w:rPr>
        <w:t>Grand</w:t>
      </w:r>
      <w:r>
        <w:rPr>
          <w:rFonts w:ascii="Arial" w:cs="Arial" w:eastAsia="Arial" w:hAnsi="Arial"/>
          <w:sz w:val="17"/>
          <w:szCs w:val="17"/>
          <w:color w:val="auto"/>
        </w:rPr>
        <w:t xml:space="preserve"> </w:t>
      </w:r>
      <w:r>
        <w:rPr>
          <w:rFonts w:ascii="Arial" w:cs="Arial" w:eastAsia="Arial" w:hAnsi="Arial"/>
          <w:sz w:val="17"/>
          <w:szCs w:val="17"/>
          <w:i w:val="1"/>
          <w:iCs w:val="1"/>
          <w:color w:val="auto"/>
        </w:rPr>
        <w:t>Theft Auto</w:t>
      </w:r>
      <w:r>
        <w:rPr>
          <w:rFonts w:ascii="Arial" w:cs="Arial" w:eastAsia="Arial" w:hAnsi="Arial"/>
          <w:sz w:val="17"/>
          <w:szCs w:val="17"/>
          <w:color w:val="auto"/>
        </w:rPr>
        <w:t>), which may change year over year, in the aggregate accounted for 90.6% of the Company's net revenue for the fiscal year ended March 31, 2018.</w:t>
      </w:r>
      <w:r>
        <w:rPr>
          <w:rFonts w:ascii="Arial" w:cs="Arial" w:eastAsia="Arial" w:hAnsi="Arial"/>
          <w:sz w:val="17"/>
          <w:szCs w:val="17"/>
          <w:i w:val="1"/>
          <w:iCs w:val="1"/>
          <w:color w:val="auto"/>
        </w:rPr>
        <w:t xml:space="preserve"> </w:t>
      </w:r>
      <w:r>
        <w:rPr>
          <w:rFonts w:ascii="Arial" w:cs="Arial" w:eastAsia="Arial" w:hAnsi="Arial"/>
          <w:sz w:val="17"/>
          <w:szCs w:val="17"/>
          <w:color w:val="auto"/>
        </w:rPr>
        <w:t>If we fail to continue to develop and sell new commercially successful "hit" titles or sequels to such "hit" titles or experience any delays in product releases or disruptions following the commercial release of our "hit" titles or their sequels, our revenue and profits may decrease substantially and we may incur losses. In addition, competition in our industry is intense and a relatively small number of hit titles account for a large portion of total revenue in our industry. Hit products offered by our competitors may take a larger share of consumer spending than we anticipate, which could cause revenue generated from our products to fall below our expectations. If our competitors develop more successful products or services at lower price points or based on payment models perceived as offering better value, or if we do not continue to develop consistently high quality and well-received products and services, our revenue and profitability may decline. In addition, both the online and mobile games marketplaces are characterized by frequent product introductions, relatively low barriers to entry, and new and evolving business methods, technologies and platforms for development. Widespread consumer adoption of these new platforms for games and other technological advances in online or mobile game offerings could negatively affect our sales of console and traditional PC products before we have an opportunity to develop profitable businesses in such markets.</w:t>
      </w:r>
    </w:p>
    <w:p>
      <w:pPr>
        <w:spacing w:after="0" w:line="242"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are subject to product development risks which could result in delays and additional costs, and we must adapt to changes in software technologies.</w:t>
      </w:r>
    </w:p>
    <w:p>
      <w:pPr>
        <w:spacing w:after="0" w:line="314"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We depend on our internal development studios and third-party software developers to develop new interactive entertainment software within anticipated release schedules and cost projections. The development cycle for new titles generally ranges from 12 months for annual sports releases, to multiple years for certain of our top-selling titles. Therefore our development costs can be substantial. If we or our third party developers experience unanticipated development delays, financial difficulties or additional costs, we may not be able to release titles according to our schedule and at budgeted costs. There can be no assurance that our products will be sufficiently successful so that we can recoup these costs or make a profit on these products.</w:t>
      </w:r>
    </w:p>
    <w:p>
      <w:pPr>
        <w:spacing w:after="0" w:line="226" w:lineRule="exact"/>
        <w:rPr>
          <w:sz w:val="20"/>
          <w:szCs w:val="20"/>
          <w:color w:val="auto"/>
        </w:rPr>
      </w:pPr>
    </w:p>
    <w:p>
      <w:pPr>
        <w:jc w:val="both"/>
        <w:spacing w:after="0" w:line="296" w:lineRule="auto"/>
        <w:rPr>
          <w:sz w:val="20"/>
          <w:szCs w:val="20"/>
          <w:color w:val="auto"/>
        </w:rPr>
      </w:pPr>
      <w:r>
        <w:rPr>
          <w:rFonts w:ascii="Arial" w:cs="Arial" w:eastAsia="Arial" w:hAnsi="Arial"/>
          <w:sz w:val="17"/>
          <w:szCs w:val="17"/>
          <w:color w:val="auto"/>
        </w:rPr>
        <w:t>Additionally, in order to stay competitive, our internal development studios must anticipate and adapt to rapid technological changes affecting software development. Any inability to respond to technological advances and implement new technologies could render our products obsolete or less marketable. Further, the failure to pursue the development of new technology, platforms, or business models that obtain meaningful commercial success in a timely manner may negatively affect our business, resulting in increased production costs and more strenuous competition.</w:t>
      </w:r>
    </w:p>
    <w:p>
      <w:pPr>
        <w:spacing w:after="0" w:line="21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inability of our products to achieve significant market acceptance, delays in product releases or disruptions following the commercial release of our products may have a material adverse effect on our business, financial condition and operating results.</w:t>
      </w:r>
    </w:p>
    <w:p>
      <w:pPr>
        <w:spacing w:after="0" w:line="22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New products may not achieve significant market acceptance, generate sufficient sales or be introduced in a timely manner to permit us to recover development, manufacturing and marketing costs associated with these products. The life cycle of a title generally involves a relatively high level of sales during the first few months after introduction followed by a rapid decline in sales. Because sales associated with an initial product launch generally constitute a high percentage of the total sales associated with the life of a product, delays in product releases or disruptions following the commercial release of one or more new products could have a material adverse effect on our business, financial condition and operating results and cause our operating results to be materially different from our expectations.</w:t>
      </w:r>
    </w:p>
    <w:p>
      <w:pPr>
        <w:spacing w:after="0" w:line="35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715" w:right="2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i w:val="1"/>
          <w:iCs w:val="1"/>
          <w:color w:val="auto"/>
        </w:rPr>
        <w:t>Our business is subject to our ability to develop commercially successful products for the current video game platforms.</w:t>
      </w:r>
    </w:p>
    <w:p>
      <w:pPr>
        <w:spacing w:after="0" w:line="2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derive most of our revenue from the sale of products made for video game platforms manufactured by third parties, such as Sony's PS4 and PS3, Microsoft's Xbox One and Xbox 360, and the Nintendo Switch, which comprised 81.6% of the Company's net revenue by product platform for the fiscal year ended March 31, 2018. The success of our business is subject to the continued popularity of these platforms and our ability to develop commercially successful products for these platforms.</w:t>
      </w:r>
    </w:p>
    <w:p>
      <w:pPr>
        <w:spacing w:after="0" w:line="2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experience declines or fluctuations in the recurring portion of our business.</w:t>
      </w:r>
    </w:p>
    <w:p>
      <w:pPr>
        <w:spacing w:after="0" w:line="185"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Our business model includes revenue that we deem recurring in nature, such as revenue from our annualized titles and associated services, and ongoing mobile businesses. While we have been able to forecast the revenue from these areas of our business with greater certainty than for new offerings, we cannot provide assurances that consumers will purchase these games and services on a consistent basis. Furthermore, we may cease to offer games and services that we previously had deemed to be recurring in nature. Consumer purchases of our games and services may decline or fluctuate as a result of a number of factors, including their level of satisfaction with our games and services, our ability to improve and innovate our annualized titles, our ability to adapt our games and services to new platforms, outages and disruptions of online services, the games and services offered by our competitors, our marketing and advertising efforts or declines in consumer activity generally as a result of economic downturns, among others. Any decline or fluctuation in the recurring portion of our business may have a negative impact on our financial and operating results.</w:t>
      </w:r>
    </w:p>
    <w:p>
      <w:pPr>
        <w:spacing w:after="0" w:line="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Connectivity issues could affect our ability to sell and provide online services for our products and could affect our profitability.</w:t>
      </w:r>
    </w:p>
    <w:p>
      <w:pPr>
        <w:spacing w:after="0" w:line="27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rely upon third-party digital delivery platforms, such as Microsoft's Xbox Live, PlayStation Network, Steam and other third-party service providers, to provide connectivity from the consumer to our digital products and our online services. Connectivity issues could prevent customers from accessing this content and our ability to successfully market and sell our products could be adversely affected. In addition, we could experience similar issues related to services we host on our internal servers. Such issues also could affect our ability to provide online services and could have a material adverse effect on our business, financial condition and operating results.</w:t>
      </w:r>
    </w:p>
    <w:p>
      <w:pPr>
        <w:spacing w:after="0" w:line="24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business could be adversely affected if our consumer data protection measures are not seen as adequate or there are breaches of our security measures or unintended disclosures of our consumer data.</w:t>
      </w:r>
    </w:p>
    <w:p>
      <w:pPr>
        <w:spacing w:after="0" w:line="224"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are collecting and storing consumer information, including personal information. We take measures to protect our consumer data from unauthorized access or disclosure. It is possible that our security controls over consumer data may not prevent the improper access or disclosure of personally identifiable information. In addition, due to the high profile nature of our products, we may draw a disproportionately higher amount of attention and attempts to breach our security controls than companies with lower profile products. A security breach that leads to disclosure of consumer account information (including personally identifiable information) could harm our reputation, compel us to comply with disparate breach notification laws in various jurisdictions and otherwise subject us to liability under laws that protect personal data, resulting in increased costs or loss of revenue. A resulting perception that our products or services do not adequately protect the privacy of personal information could result in a loss of current or potential consumers and business partners. In addition, if any of our business partners experience a security breach that leads to disclosure of consumer account information, our reputation could be harmed, resulting in loss of revenue.</w:t>
      </w:r>
    </w:p>
    <w:p>
      <w:pPr>
        <w:spacing w:after="0" w:line="236"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In addition, certain of our products are online enabled. The ability of our products to offer online functionality, and our ability to offer content through a video game platform's digital distribution channel, is dependent upon the continued operation and security of such platform's online network. These third party networks, as well as our own internal systems and websites, and the security measures related thereto may be breached as a result of third-party action, including intentional misconduct by computer hackers, employee error, malfeasance or otherwise, and result in someone obtaining unauthorized access to our customers' data or our data, including our intellectual property and other confidential business information, or our information technology systems. Because the techniques used to obtain unauthorized access, or to sabotage systems, change frequently and generally are not recognized until launched against a target, we may be unable to anticipate these techniques or to implement adequate preventative measures. If an actual or perceived breach of our security occurs, we may lose business, suffer irreparable damage to our reputation, and/or incur significant costs and expenses relating to the investigation and possible litigation of claims relating to such event.</w:t>
      </w:r>
    </w:p>
    <w:p>
      <w:pPr>
        <w:spacing w:after="0" w:line="23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The laws and regulations concerning data privacy and certain other aspects of our business are continually evolving. Failure to comply with these laws and regulations could harm our business.</w:t>
      </w:r>
    </w:p>
    <w:p>
      <w:pPr>
        <w:spacing w:after="0" w:line="22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are subject to certain privacy and data protection laws, including those in the United States. Certain activities related to E.U. customers are registered with our U.K. data controller. The U.S. Children's Online Privacy Protection Act also regulates the collection, use, and disclosure of personal information from children under 13 years of age. Failure to comply with privacy laws,</w:t>
      </w:r>
    </w:p>
    <w:p>
      <w:pPr>
        <w:sectPr>
          <w:pgSz w:w="11900" w:h="16838" w:orient="portrait"/>
          <w:cols w:equalWidth="0" w:num="1">
            <w:col w:w="11420"/>
          </w:cols>
          <w:pgMar w:left="240" w:top="719" w:right="239" w:bottom="1440" w:gutter="0" w:footer="0" w:header="0"/>
        </w:sect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420"/>
          </w:cols>
          <w:pgMar w:left="240" w:top="719" w:right="239" w:bottom="1440" w:gutter="0" w:footer="0" w:header="0"/>
          <w:type w:val="continuous"/>
        </w:sectPr>
      </w:pPr>
    </w:p>
    <w:bookmarkStart w:id="10" w:name="page11"/>
    <w:bookmarkEnd w:id="10"/>
    <w:p>
      <w:pPr>
        <w:jc w:val="both"/>
        <w:ind w:right="20"/>
        <w:spacing w:after="0" w:line="277" w:lineRule="auto"/>
        <w:rPr>
          <w:sz w:val="20"/>
          <w:szCs w:val="20"/>
          <w:color w:val="auto"/>
        </w:rPr>
      </w:pPr>
      <w:r>
        <w:rPr>
          <w:rFonts w:ascii="Arial" w:cs="Arial" w:eastAsia="Arial" w:hAnsi="Arial"/>
          <w:sz w:val="18"/>
          <w:szCs w:val="18"/>
          <w:color w:val="auto"/>
        </w:rPr>
        <w:t>data protection laws, or age restrictions may increase our costs, subject us to expensive and distracting government investigations, and result in substantial fines.</w:t>
      </w:r>
    </w:p>
    <w:p>
      <w:pPr>
        <w:spacing w:after="0" w:line="224"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Privacy and data protection laws are rapidly changing and likely will continue to do so for the foreseeable future, which could have an impact on our approach to operating and marketing our games. For example, the Court of Justice of the European Union's decision to invalidate the E.U.-U.S. Safe Harbor regime that legitimized the transfer of certain personal data from the E.U. to the U.S. was a material change to laws on data privacy applicable to our business. In addition, after four years of preparation and debate, the E.U. Parliament approved the general Data Protection Regulation ("GDPR") on April 14, 2016. GDPR will become effective on May 25, 2018, and will replace the existing Data Protection Directive 95/46/EC. The U.S. government, including the Federal Trade Commission and the Department of Commerce, also continue to review the need for greater or different regulation over the collection of personal information and information about consumer behavior on the Internet and on mobile devices. Various government and consumer agencies worldwide have also called for new regulation and changes in industry practices.</w:t>
      </w:r>
    </w:p>
    <w:p>
      <w:pPr>
        <w:spacing w:after="0" w:line="23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Player use of our games is subject to our privacy policy, end user license agreements, and terms of service. If we fail to comply with our posted privacy policy, EULAs, or terms of service, or if we fail to comply with existing privacy-related or data protection laws and regulations, it could result in proceedings or litigation against us by governmental authorities or others, which could result in fines or judgments against us, damage our reputation, affect our financial condition and harm our business. If regulators, the media, or consumers raise any concerns about our privacy and data protection or consumer protection practices, even if unfounded, this could also result in fines or judgments against us, damage our reputation, negatively affect our financial condition, and damage our business.</w:t>
      </w:r>
    </w:p>
    <w:p>
      <w:pPr>
        <w:spacing w:after="0" w:line="24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It is possible that a number of laws and regulations may be adopted or construed to apply to us in the United States and elsewhere that could restrict the interactive entertainment industry, including player privacy, advertising, taxation, content suitability, copyright, distribution and antitrust. Furthermore, the growth and development of electronic commerce and virtual goods may prompt calls for more stringent consumer protection laws that may impose additional burdens on companies such as ours conducting business through digital sales. Any such changes would require us to devote legal and other resources to address such regulation. For example, existing laws or new laws regarding the regulation of currency, banking institutions and unclaimed property may be interpreted to cover virtual currency or virtual goods. If that were to occur we may be required to seek licenses, authorizations or approvals from relevant regulators, the granting of which may be dependent on us meeting certain capital and other requirements and we may be subject to additional regulation and oversight, all of which could significantly increase our operating costs. Changes in current laws or regulations or the imposition of new laws and regulations in the United States or elsewhere regarding these activities may lessen the growth of the interactive entertainment industry and impair our business, financial condition, and operating results.</w:t>
      </w:r>
    </w:p>
    <w:p>
      <w:pPr>
        <w:spacing w:after="0" w:line="97"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Although we have structured and operate our skill tournaments with applicable laws in mind, including any applicable laws relating to gambling, and believe that playing these games does not constitute gambling, our skill tournaments could in the future become subject to gambling-related rules and regulations and expose us to civil and criminal penalties. We also sometimes offer consumers of our online and casual games various types of contests and promotional opportunities. We are subject to laws in a number of jurisdictions concerning the operation and offering of such activities and games, many of which are still evolving and could be interpreted in ways that could harm our business. Further, some of our online games and other services include random digital item mechanics, which may become subject to regulations in various jurisdictions. If these were to occur, we might be required to seek licenses, authorizations, or approvals from relevant regulators, the granting of which may be dependent on us meeting certain capital and other requirements, and we may be subject to additional regulation and oversight, such as reporting to regulators, all of which could significantly increase our operating costs. Changes in current laws or regulations or the imposition of new laws and regulations in the United States, Europe, or elsewhere regarding these activities may lessen the growth of casual game services and impair our business.</w:t>
      </w:r>
    </w:p>
    <w:p>
      <w:pPr>
        <w:spacing w:after="0" w:line="9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Security breaches involving the source code for our products or other sensitive and proprietary information could adversely affect our business.</w:t>
      </w:r>
    </w:p>
    <w:p>
      <w:pPr>
        <w:spacing w:after="0" w:line="302"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We securely store the source code for our interactive entertainment software products as it is created. A breach, whether physical, electronic or otherwise, of the systems on which such source code and other sensitive data are stored could lead to damage or piracy of our software. In addition, certain parties with whom we do business are given access to our sensitive and proprietary information in order to provide services and support our team. These third parties may misappropriate our information and engage in unauthorized use of it. If we are subject to data security breaches, we may have a loss in sales or increased costs arising from the restoration or implementation of additional security measures which could materially and adversely affect our business, financial condition and operating results. Any theft and/or unauthorized use or publication of our trade secrets and other confidential business information as a result of such an event could adversely affect our competitive position, reputation, brand, and future sales of our products. Our business could be subject to significant disruption, and we could suffer monetary and other losses and reputational harm, in the event of such incidents and claims.</w:t>
      </w: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719" w:right="239" w:bottom="1440" w:gutter="0" w:footer="0" w:header="0"/>
        </w:sectPr>
      </w:pPr>
    </w:p>
    <w:bookmarkStart w:id="11" w:name="page12"/>
    <w:bookmarkEnd w:id="11"/>
    <w:p>
      <w:pPr>
        <w:jc w:val="both"/>
        <w:spacing w:after="0" w:line="277" w:lineRule="auto"/>
        <w:rPr>
          <w:sz w:val="20"/>
          <w:szCs w:val="20"/>
          <w:color w:val="auto"/>
        </w:rPr>
      </w:pPr>
      <w:r>
        <w:rPr>
          <w:rFonts w:ascii="Arial" w:cs="Arial" w:eastAsia="Arial" w:hAnsi="Arial"/>
          <w:sz w:val="18"/>
          <w:szCs w:val="18"/>
          <w:b w:val="1"/>
          <w:bCs w:val="1"/>
          <w:i w:val="1"/>
          <w:iCs w:val="1"/>
          <w:color w:val="auto"/>
        </w:rPr>
        <w:t>We rely on complex information technology systems and networks to operate our business. Any significant system or network disruption could have a negative impact on our business.</w:t>
      </w:r>
    </w:p>
    <w:p>
      <w:pPr>
        <w:spacing w:after="0" w:line="224"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rely on the efficient and uninterrupted operation of complex information technology systems and networks, some of which are within Take-Two and some of which are managed and/or hosted by third-party providers. All information technology systems and networks are potentially vulnerable to damage or interruption from a variety of sources, including but not limited to cyber-attacks, malicious software, security breach, energy blackouts, natural disasters, terrorism, war and telecommunication failures. We may also face sophisticated attacks, referred to as advanced persistent threats, which are cyber-attacks aimed at compromising our intellectual property and other commercially-sensitive information, such as the source code and game assets for our software or confidential customer or employee information, which remain undetected for prolonged periods of time. Information technology system or network failure or security breach could negatively affect our business continuity, operations and financial results. These risks extend to the networks and e-commerce sites of console platform providers and other partners who sell and host our content online. We may incur additional costs to remedy the damages caused by these disruptions or security breaches.</w:t>
      </w:r>
    </w:p>
    <w:p>
      <w:pPr>
        <w:spacing w:after="0" w:line="10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Successful exploitation of our systems can have other negative effects upon the products, services and user experience we offer. In particular, the virtual economies that we have established in many of our games are subject to abuse, exploitation and other forms of fraudulent activity that can negatively affect our business. Virtual economies involve the use of virtual currency and/or virtual assets that can be used or redeemed by a player within a particular game or service. The abuse or exploitation of our virtual economies include the illegitimate generation and sale of virtual items in black markets. These kinds of activities and the steps that we take to address these issues may result in a loss of anticipated revenue, interfere with players’ enjoyment of a balanced game environment and cause reputational harm.</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efforts to expand into new products and services may subject us to additional risks.</w:t>
      </w:r>
    </w:p>
    <w:p>
      <w:pPr>
        <w:spacing w:after="0" w:line="279"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 xml:space="preserve">In recent years, we have invested in emerging opportunities in interactive entertainment played on mobile platforms, including tablets and smartphones, and online platforms, including social networks. We have also grown our product offerings that are available through digital download, including virtual currency, through our existing franchises such as </w:t>
      </w:r>
      <w:r>
        <w:rPr>
          <w:rFonts w:ascii="Arial" w:cs="Arial" w:eastAsia="Arial" w:hAnsi="Arial"/>
          <w:sz w:val="17"/>
          <w:szCs w:val="17"/>
          <w:i w:val="1"/>
          <w:iCs w:val="1"/>
          <w:color w:val="auto"/>
        </w:rPr>
        <w:t>Grant Theft Auto</w:t>
      </w:r>
      <w:r>
        <w:rPr>
          <w:rFonts w:ascii="Arial" w:cs="Arial" w:eastAsia="Arial" w:hAnsi="Arial"/>
          <w:sz w:val="17"/>
          <w:szCs w:val="17"/>
          <w:color w:val="auto"/>
        </w:rPr>
        <w:t xml:space="preserve"> and </w:t>
      </w:r>
      <w:r>
        <w:rPr>
          <w:rFonts w:ascii="Arial" w:cs="Arial" w:eastAsia="Arial" w:hAnsi="Arial"/>
          <w:sz w:val="17"/>
          <w:szCs w:val="17"/>
          <w:i w:val="1"/>
          <w:iCs w:val="1"/>
          <w:color w:val="auto"/>
        </w:rPr>
        <w:t>NBA 2K</w:t>
      </w:r>
      <w:r>
        <w:rPr>
          <w:rFonts w:ascii="Arial" w:cs="Arial" w:eastAsia="Arial" w:hAnsi="Arial"/>
          <w:sz w:val="17"/>
          <w:szCs w:val="17"/>
          <w:color w:val="auto"/>
        </w:rPr>
        <w:t xml:space="preserve"> as well as through product offerings by newly acquired Social Point and other mobile product offerings. We are actively investing to capitalize on these trends in order to diversify our product mix, reduce our operating risks, and increase our revenue. There are risks and uncertainties associated with these efforts, particularly in instances where the markets are not fully developed. There is no assurance that we will be able to attract a sufficiently large number of customers or recover costs incurred for developing and marketing any of these new products or services. For example, we may offer games that do not attract sufficient purchases of virtual currency, which may cause our investments into this product space, such as through our acquisition of Social Point, to fail to realize the expected benefits. External factors, such as competitive alternatives and shifting market preferences, may also have an impact on the successful implementation of any new products or services. Failure to successfully manage these risks in the development and implementation of new products or services could have a material adverse effect on our business, financial condition and operating results.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depend on our key management and product development personnel.</w:t>
      </w:r>
    </w:p>
    <w:p>
      <w:pPr>
        <w:spacing w:after="0" w:line="279"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 xml:space="preserve">Our continued success will depend to a significant extent on our senior management team and our relationship with ZelnickMedia Corporation ("ZelnickMedia"). Our Executive Chairman/Chief Executive Officer and President are partners of ZelnickMedia. We are also highly dependent on the expertise, skills and knowledge of certain of our Rockstar employees and other key creative personnel responsible for content creation and development of our </w:t>
      </w:r>
      <w:r>
        <w:rPr>
          <w:rFonts w:ascii="Arial" w:cs="Arial" w:eastAsia="Arial" w:hAnsi="Arial"/>
          <w:sz w:val="16"/>
          <w:szCs w:val="16"/>
          <w:i w:val="1"/>
          <w:iCs w:val="1"/>
          <w:color w:val="auto"/>
        </w:rPr>
        <w:t>Grand Theft Auto</w:t>
      </w:r>
      <w:r>
        <w:rPr>
          <w:rFonts w:ascii="Arial" w:cs="Arial" w:eastAsia="Arial" w:hAnsi="Arial"/>
          <w:sz w:val="16"/>
          <w:szCs w:val="16"/>
          <w:color w:val="auto"/>
        </w:rPr>
        <w:t xml:space="preserve"> titles and titles based on other brands. We may not be able to continue to retain these personnel at current compensation levels, or at all.</w:t>
      </w:r>
    </w:p>
    <w:p>
      <w:pPr>
        <w:spacing w:after="0" w:line="20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loss of the services of our executive officers, ZelnickMedia, our key Rockstar employees or other key creative personnel could significantly harm our business. In addition, if one or more key employees were to join a competitor or form a competing company, we may lose additional personnel, experience material interruptions in product development, delays in bringing products to market and difficulties in our relationships with licensors, suppliers and customers, which would significantly harm our business. Failure to continue to attract and retain other qualified management and creative personnel could adversely affect our business and prospects.</w:t>
      </w:r>
    </w:p>
    <w:p>
      <w:pPr>
        <w:spacing w:after="0" w:line="24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Declines in consumer spending and other adverse changes in the economy could have a material adverse effect on our business, financial condition and operating results.</w:t>
      </w:r>
    </w:p>
    <w:p>
      <w:pPr>
        <w:spacing w:after="0" w:line="224"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Most of our products involve discretionary spending on the part of consumers. We believe that consumer spending is influenced by general economic conditions and the availability of discretionary income. This makes our products particularly sensitive to general economic conditions and economic cycles as consumers are generally more willing to make discretionary purchases, including purchases of products like ours, during periods in which favorable economic conditions prevail. Adverse economic conditions such as a prolonged U.S. or international general economic downturn, including periods of increased inflation, unemployment levels, tax rates, interest rates, energy prices or declining consumer confidence could also reduce consumer spending.</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719" w:right="239" w:bottom="1440" w:gutter="0" w:footer="0" w:header="0"/>
        </w:sectPr>
      </w:pPr>
    </w:p>
    <w:bookmarkStart w:id="12" w:name="page13"/>
    <w:bookmarkEnd w:id="12"/>
    <w:p>
      <w:pPr>
        <w:jc w:val="both"/>
        <w:spacing w:after="0" w:line="291" w:lineRule="auto"/>
        <w:rPr>
          <w:sz w:val="20"/>
          <w:szCs w:val="20"/>
          <w:color w:val="auto"/>
        </w:rPr>
      </w:pPr>
      <w:r>
        <w:rPr>
          <w:rFonts w:ascii="Arial" w:cs="Arial" w:eastAsia="Arial" w:hAnsi="Arial"/>
          <w:sz w:val="16"/>
          <w:szCs w:val="16"/>
          <w:color w:val="auto"/>
        </w:rPr>
        <w:t>Reduced consumer spending has and may in the future continue to result in reduced demand for our products and may also require increased selling and promotional expenses, which has had and may continue to have an adverse effect on our business, financial condition and operating results. In addition, during periods of relative economic weakness, our consolidated credit risk, reflecting our counterparty dealings with distributors, customers, capital providers and others may increase, perhaps materially so. Furthermore, uncertainty and adverse changes in the economy could also increase the risk of material losses on our investments, increase costs associated with developing and publishing our products, increase the cost and availability of sources of financing, and increase our exposure to material losses from bad debts, any of which could have a material adverse effect on our business, financial condition and operating results. If economic conditions worsen, our business, financial condition and operating results could be adversely affected.</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our tax rates or exposure to additional tax liabilities could adversely affect our earnings and financial condition.</w:t>
      </w:r>
    </w:p>
    <w:p>
      <w:pPr>
        <w:spacing w:after="0" w:line="27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December 22, 2017, the U.S. enacted comprehensive tax legislation commonly referred to as the Tax Cuts and Jobs Act (herein referred to as the "Act”). The Act makes broad and complex changes to the U.S. tax code that could materially affect us. The Act reduces the U.S. federal corporate income tax rate from 35% to 21%, effective January 1, 2018 and requires companies to pay a one-time transition tax on the previously untaxed earnings of certain foreign subsidiaries. In addition, the Act makes other changes that may affect us, beginning April 1, 2018. These changes include but are not limited to (1) a Base Erosion Anti-abuse Tax (BEAT), which is a new minimum tax, (2) generally eliminating U.S. federal income taxes on dividends from foreign subsidiaries, (3) a new provision that taxes global intangible low-taxed income (GILTI), (4) the repeal of the domestic production activity deduction, and (5) other base broadening provisions.</w:t>
      </w:r>
    </w:p>
    <w:p>
      <w:pPr>
        <w:spacing w:after="0" w:line="24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are currently evaluating the potential impact of the Act on our tax provision. It is possible that these changes could have an adverse impact on our effective tax rate, tax payments, financial condition, or results of operations. The new tax law is complex and additional interpretative guidance may be issued that could affect interpretations and assumptions we have made, as well as actions we may take as a result of the Act. In addition, numerous countries are evaluating their existing tax laws due in part to recommendations made by the Organization for Economic Co-operation and Development’s (“OECD’s”) Base Erosion and Profit Shifting (“BEPS”) project. Although we cannot predict whether, or in what form, any legislation based on such proposals may be adopted by the countries in which we do business, future tax reform based on such proposals may increase the amount of taxes we pay and adversely affect our operating results and cash flows.</w:t>
      </w:r>
    </w:p>
    <w:p>
      <w:pPr>
        <w:spacing w:after="0" w:line="243"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We are a multinational corporation with operations in the U.S. and various other jurisdictions around the world. Accordingly, we are subject to tax in the U.S. and in various other jurisdictions. Significant judgment is required in determining our worldwide provision for income taxes, and, in the ordinary course of business, there are many transactions and calculations where the ultimate tax determination is uncertain. We are required to estimate future taxes. Although we currently believe our tax estimates are reasonable, the estimation process is inherently uncertain, and such estimates are not binding on tax authorities. Further, our effective tax rate could be adversely affected by a variety of factors, including changes in the business, including the mix of earnings in countries with differing statutory tax rates, changes in tax elections, and changes in applicable tax laws. Additionally, tax determinations are regularly subject to audit by tax authorities, and developments in those audits could adversely affect our income tax provision. Should the ultimate tax liability exceed estimates, our income tax provision and net income or loss could be materially affected.</w:t>
      </w:r>
    </w:p>
    <w:p>
      <w:pPr>
        <w:spacing w:after="0" w:line="23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Historically, we recorded a valuation allowance against most of our U.S. deferred tax assets. We expect to provide a valuation allowance on future U.S. tax benefits until we can sustain a level of profitability or until other significant positive evidence arises that suggests that these benefits are more likely than not to be realized.</w:t>
      </w:r>
    </w:p>
    <w:p>
      <w:pPr>
        <w:spacing w:after="0" w:line="23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earn a significant amount of our operating income and continue to hold a significant portion of our cash outside the U.S. We are reviewing whether the Act will affect our existing intention to reinvest indefinitely earnings of our foreign subsidiaries. The Act imposes a one-time transition tax on the previously untaxed earnings of certain foreign subsidiaries and other significant changes that affect how U.S. companies are taxed on foreign earnings. These changes may result in higher effective tax rates for us.</w:t>
      </w:r>
    </w:p>
    <w:p>
      <w:pPr>
        <w:spacing w:after="0" w:line="24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also required to pay taxes other than income taxes, such as payroll, sales, use, value-added, net worth, property and goods and services taxes, in both the U.S. and foreign jurisdictions. We are regularly under examination by tax authorities with respect to these non-income taxes. There can be no assurance that the outcomes from these examinations, changes in our business or changes in applicable tax law or interpretations will not have an adverse effect on our net income or loss and financial condition.</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Unclaimed property audits by governmental authorities could adversely affect our operating results.</w:t>
      </w:r>
    </w:p>
    <w:p>
      <w:pPr>
        <w:spacing w:after="0" w:line="2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subject to unclaimed property (escheat) laws which require us to turn over to certain government authorities the property of others held by us that has been unclaimed for a specified period of time. We are subject to audit by individual U.S. states with regard to our escheatment practices. The legislation and regulations related to unclaimed property matters tend to be complex and subject to varying interpretations by both government authorities and taxpayers. Although management believes that the positions</w:t>
      </w:r>
    </w:p>
    <w:p>
      <w:pPr>
        <w:sectPr>
          <w:pgSz w:w="11900" w:h="16838" w:orient="portrait"/>
          <w:cols w:equalWidth="0" w:num="1">
            <w:col w:w="11420"/>
          </w:cols>
          <w:pgMar w:left="240" w:top="719" w:right="239" w:bottom="1440" w:gutter="0" w:footer="0" w:header="0"/>
        </w:sect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ectPr>
          <w:pgSz w:w="11900" w:h="16838" w:orient="portrait"/>
          <w:cols w:equalWidth="0" w:num="1">
            <w:col w:w="11420"/>
          </w:cols>
          <w:pgMar w:left="240" w:top="719" w:right="239" w:bottom="1440" w:gutter="0" w:footer="0" w:header="0"/>
          <w:type w:val="continuous"/>
        </w:sectPr>
      </w:pPr>
    </w:p>
    <w:bookmarkStart w:id="13" w:name="page14"/>
    <w:bookmarkEnd w:id="13"/>
    <w:p>
      <w:pPr>
        <w:jc w:val="both"/>
        <w:spacing w:after="0" w:line="257" w:lineRule="auto"/>
        <w:rPr>
          <w:sz w:val="20"/>
          <w:szCs w:val="20"/>
          <w:color w:val="auto"/>
        </w:rPr>
      </w:pPr>
      <w:r>
        <w:rPr>
          <w:rFonts w:ascii="Arial" w:cs="Arial" w:eastAsia="Arial" w:hAnsi="Arial"/>
          <w:sz w:val="18"/>
          <w:szCs w:val="18"/>
          <w:color w:val="auto"/>
        </w:rPr>
        <w:t>we have taken are reasonable, various taxing authorities may challenge certain of the positions we have taken, which may also potentially result in additional liabilities for unclaimed property and interest in excess of accrued liabilities. Our positions are reviewed as events occur such as the availability of new information, the lapsing of applicable statutes of limitations, the measurement of additional estimated liability based on current calculations or the rendering of relevant court decisions. An unfavorable resolution of assessments by a governmental authority could have a material adverse effect on our financial condition, results of operations and cash flows in future periods.</w:t>
      </w:r>
    </w:p>
    <w:p>
      <w:pPr>
        <w:spacing w:after="0" w:line="24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Our quarterly operating results are dependent on the release of "hit" titles and are highly seasonal which may cause our quarterly operating results to fluctuate significantly.</w:t>
      </w:r>
    </w:p>
    <w:p>
      <w:pPr>
        <w:spacing w:after="0" w:line="224"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 xml:space="preserve">We have experienced and may continue to experience wide fluctuations in quarterly operating results. The release of a "hit" title typically leads to a high level of sales during the first few months after introduction followed by a rapid decline in sales. In addition, the interactive entertainment industry is highly seasonal, with sales typically higher during the fourth calendar quarter, due primarily to increased demand for games during the holiday season. Demand for and sales of titles in our </w:t>
      </w:r>
      <w:r>
        <w:rPr>
          <w:rFonts w:ascii="Arial" w:cs="Arial" w:eastAsia="Arial" w:hAnsi="Arial"/>
          <w:sz w:val="17"/>
          <w:szCs w:val="17"/>
          <w:i w:val="1"/>
          <w:iCs w:val="1"/>
          <w:color w:val="auto"/>
        </w:rPr>
        <w:t>NBA 2K</w:t>
      </w:r>
      <w:r>
        <w:rPr>
          <w:rFonts w:ascii="Arial" w:cs="Arial" w:eastAsia="Arial" w:hAnsi="Arial"/>
          <w:sz w:val="17"/>
          <w:szCs w:val="17"/>
          <w:color w:val="auto"/>
        </w:rPr>
        <w:t xml:space="preserve"> series are also seasonal in that they are typically released just prior to the start of the NBA season. If a key event or sports season to which our product release schedule is tied were to be delayed or cancelled, our sales might also suffer disproportionately. Our failure or inability to produce "hit" titles or introduce products on a timely basis to meet seasonal fluctuations in demand could adversely affect our business, financial condition and operating results. The uncertainties associated with software development, manufacturing lead times, production delays and the approval process for products by hardware manufacturers and other licensors make it difficult to predict the quarter in which our products will ship and therefore may cause us to fail to meet financial expectations.</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Price protection granted to our customers and returns of our published titles by our customers may adversely affect our operating results.</w:t>
      </w:r>
    </w:p>
    <w:p>
      <w:pPr>
        <w:spacing w:after="0" w:line="29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are exposed to the risk of price protection and product returns with respect to our customers. Our distribution arrangements with customers generally do not give them the right to return titles to us or to cancel firm orders. However, we sometimes accept product returns from our distribution customers for stock balancing and negotiate accommodations for customers, which include credits and returns, when demand for specific products falls below expectations. We grant price protection and accept returns in connection with our publishing arrangements and revenue is recognized after deducting estimated price protection and reserves for returns. While we believe that we can reliably estimate future price protection and returns, if price protection and return rates for our products exceed our reserves, our revenue could decline, which could have a material adverse effect on our business, financial condition and operating results.</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Increased sales of used video game products could lower our sales.</w:t>
      </w:r>
    </w:p>
    <w:p>
      <w:pPr>
        <w:spacing w:after="0" w:line="279"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Certain of our larger customers sell used video games, which are generally priced lower than new video games. If our customers increase their sales of used video games, it could negatively affect our sales of new video games and have an adverse influence on our business, financial condition and operating results.</w:t>
      </w:r>
    </w:p>
    <w:p>
      <w:pPr>
        <w:spacing w:after="0" w:line="17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A limited number of customers account for a significant portion of our sales. The loss of a principal customer or other significant business relationship could seriously hurt our business.</w:t>
      </w:r>
    </w:p>
    <w:p>
      <w:pPr>
        <w:spacing w:after="0" w:line="224"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A substantial portion of our product sales are made to a limited number of customers. Sales to our five largest customers during the fiscal year ended March 31, 2018 accounted for 70.7% of our net revenue, with Sony and Microsoft each accounting for more than 10.0% of our net revenue during the fiscal year ended March 31, 2018. Our sales are made primarily pursuant to purchase orders without long-term agreements or other commitments, and our customers may terminate their relationship with us at any time. Certain of our customers may decline to carry products containing mature content. The loss of our relationships with principal customers or a decline in sales to principal customers, including as a result of a product being rated "AO" (age 18 and over) could materially adversely affect our business, financial condition and operating results. In addition, if our customers are subject to pricing pressures due to deteriorating demand for our products, competitive pressure, or otherwise, such customers may pass those pricing pressures through to us, which could materially adversely affect our business, financial condition and operating results.</w:t>
      </w:r>
    </w:p>
    <w:p>
      <w:pPr>
        <w:spacing w:after="0" w:line="23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Furthermore, our customers may also be placed into bankruptcy, become insolvent or be liquidated due to economic downturns, global contractions of credit or for other factors. Bankruptcies or consolidations of certain large retail customers could seriously hurt our business, including as a result of uncollectible accounts receivable from such customers and the concentration of purchasing power among remaining large retailers. In addition, our results of operations may be adversely affected if certain of our customers who purchase on credit terms are no longer eligible to purchase on such terms due to their financial distress, which may reduce the quantity of products they demand from us.</w:t>
      </w:r>
    </w:p>
    <w:p>
      <w:pPr>
        <w:spacing w:after="0" w:line="24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our marketing and advertising efforts fail to resonate with consumers, our business, financial condition and operating results could be adversely affected.</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20"/>
          </w:cols>
          <w:pgMar w:left="240" w:top="719" w:right="239" w:bottom="1440" w:gutter="0" w:footer="0" w:header="0"/>
        </w:sectPr>
      </w:pPr>
    </w:p>
    <w:bookmarkStart w:id="14" w:name="page15"/>
    <w:bookmarkEnd w:id="14"/>
    <w:p>
      <w:pPr>
        <w:jc w:val="both"/>
        <w:spacing w:after="0" w:line="257" w:lineRule="auto"/>
        <w:rPr>
          <w:sz w:val="20"/>
          <w:szCs w:val="20"/>
          <w:color w:val="auto"/>
        </w:rPr>
      </w:pPr>
      <w:r>
        <w:rPr>
          <w:rFonts w:ascii="Arial" w:cs="Arial" w:eastAsia="Arial" w:hAnsi="Arial"/>
          <w:sz w:val="18"/>
          <w:szCs w:val="18"/>
          <w:color w:val="auto"/>
        </w:rPr>
        <w:t>Our products are marketed worldwide through a diverse spectrum of advertising and promotional programs such as television and online advertising, social media advertising, print advertising, retail merchandising, website development and event sponsorship. Our ability to sell our products and services is dependent in part on the success of these programs. If the marketing for our products and services fails to resonate with consumers, particularly during the holiday season or other key selling periods, or if advertising rates or other media placement costs increase, these factors could have a material adverse influence on our business, financial condition and operating results.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interactive entertainment software industry is highly competitive.</w:t>
      </w:r>
    </w:p>
    <w:p>
      <w:pPr>
        <w:spacing w:after="0" w:line="279"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We compete for both licenses to properties and the sale of interactive entertainment software with Sony and Microsoft, each of which is a large developer and marketer of software for its own platforms. We also compete with game publishers, such as Activision Blizzard, Inc. and Electronic Arts Inc. and Ubisoft Entertainment S.A. As our business is dependent upon our ability to develop hit titles, which require increasing budgets for development and marketing, the availability of significant financial resources has become a major competitive factor in developing and marketing software games. Some of our competitors have greater financial, technical, personnel and other resources than we do and are able to finance larger budgets for development and marketing and make higher offers to licensors and developers for commercially desirable properties. Our titles also compete with other forms of entertainment, such as social media and casual games, in addition to motion pictures, television and audio and video products featuring similar themes, online computer programs and other entertainment, which may be less expensive or provide other advantages to consumers.</w:t>
      </w:r>
    </w:p>
    <w:p>
      <w:pPr>
        <w:spacing w:after="0" w:line="22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 number of software publishers who compete with us have developed and commercialized or are currently developing online games for use by consumers over the Internet. If technological advances significantly increase the availability of online games and if consumer acceptance of online gaming grows substantially, it could result in a decline in our platform-based software sales and negatively affect sales of such products.</w:t>
      </w:r>
    </w:p>
    <w:p>
      <w:pPr>
        <w:spacing w:after="0" w:line="23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Increased competition for limited shelf space and promotional support from retailers could affect the success of our business and require us to incur greater expenses to market our titles.</w:t>
      </w:r>
    </w:p>
    <w:p>
      <w:pPr>
        <w:spacing w:after="0" w:line="224"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While digital sales are increasingly important to our business, for physical sales, retailers have limited shelf space and promotional resources and competition is intense among newly introduced interactive entertainment software titles for adequate levels of shelf space and promotional support. Competition for retail shelf space is expected to continue to increase, which may require us to increase our marketing expenditures to maintain desirable sales levels of our titles. Competitors with more extensive lines and more popular titles may have greater bargaining power with retailers. Accordingly, we may not be able, or we may have to pay more than our competitors, to achieve similar levels of promotional support and shelf space.</w:t>
      </w:r>
    </w:p>
    <w:p>
      <w:pPr>
        <w:spacing w:after="0" w:line="22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increasing importance of digital sales to our business exposes us to the risks of that business model, including greater competition.</w:t>
      </w:r>
    </w:p>
    <w:p>
      <w:pPr>
        <w:spacing w:after="0" w:line="291"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proportion of our revenues derived from digital content delivery, as compared to traditional retail sales, may continue to increase. The increased importance of digital content delivery in our industry increases our potential competition, as the minimum capital needed to produce and publish a digitally delivered game is significantly less than that needed to produce and publish one that is purchased through retail distribution and is played on a game console. This will also require us to dedicate capital to developing and implementing alternative marketing strategies, which we may not do successfully. If either occurs, we may be unable to effectively market and distribute our products, which could materially adversely affect our business, financial condition and operating results. In addition, a continuing shift to digital delivery could result in a deprioritization of our products by traditional retailers. The increasing importance of digital sales to our business could also result in increasing issues with our digital distribution process, including difficulties our distributors have with collecting from consumers and any associated rebates we would owe.</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 is partly dependent on our ability to enter into successful software development arrangements with third-parties.</w:t>
      </w:r>
    </w:p>
    <w:p>
      <w:pPr>
        <w:spacing w:after="0" w:line="279"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Our success depends on our ability to continually identify and develop new titles on a timely basis. We rely on third-party software developers for the development of some of our titles. Quality third-party developers are continually in high demand. Software developers who have developed titles for us in the past may not be available to develop software for us in the future. Due to the limited number of third-party software developers and the limited control that we exercise over them, these developers may not be able to complete titles for us on a timely basis or within acceptable quality standards, if at all. We have entered into agreements with third-parties to acquire the rights to publish and distribute interactive entertainment software as well as to use licensed intellectual properties in our titles. These agreements typically require us to make development payments, pay royalties and satisfy other conditions. Our development payments may not be sufficient to permit developers to develop new software successfully, which could result in material delays and significantly increase our costs to bring particular products to market. Software development costs, promotion and marketing expenses and royalties payable to software developers and third-party licensors have increased significantly in recent years and reduce potential profits derived from sales of our software. Future sales of our titles may not be sufficient to recover development payments and advances to software developers and licensors, and we may not have</w:t>
      </w:r>
    </w:p>
    <w:p>
      <w:pPr>
        <w:spacing w:after="0" w:line="33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20"/>
          </w:cols>
          <w:pgMar w:left="240" w:top="719" w:right="239" w:bottom="1440" w:gutter="0" w:footer="0" w:header="0"/>
        </w:sectPr>
      </w:pPr>
    </w:p>
    <w:bookmarkStart w:id="15" w:name="page16"/>
    <w:bookmarkEnd w:id="15"/>
    <w:p>
      <w:pPr>
        <w:jc w:val="both"/>
        <w:spacing w:after="0" w:line="264" w:lineRule="auto"/>
        <w:rPr>
          <w:sz w:val="20"/>
          <w:szCs w:val="20"/>
          <w:color w:val="auto"/>
        </w:rPr>
      </w:pPr>
      <w:r>
        <w:rPr>
          <w:rFonts w:ascii="Arial" w:cs="Arial" w:eastAsia="Arial" w:hAnsi="Arial"/>
          <w:sz w:val="18"/>
          <w:szCs w:val="18"/>
          <w:color w:val="auto"/>
        </w:rPr>
        <w:t>adequate financial and other resources to satisfy our contractual commitments to such developers. If we fail to satisfy our obligations under agreements with third-party developers and licensors, the agreements may be terminated or modified in ways that are burdensome to us, and have a material adverse effect on our business, financial condition and operating results.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cannot publish our titles without the approval of hardware licensors that are also our competitors.</w:t>
      </w:r>
    </w:p>
    <w:p>
      <w:pPr>
        <w:spacing w:after="0" w:line="279"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We are required to obtain licenses from certain of our competitors, including Sony and Microsoft, to develop and publish titles for their respective hardware platforms. Our existing platform licenses require that we obtain approval for the publication of new titles on a title-by-title basis. As a result, the number of titles we are able to publish for these hardware platforms, our ability to manage the timing of the release of these titles and, accordingly, our net revenue from titles for these hardware platforms, may be limited. If a licensor chooses not to renew or extend our license agreement at the end of its current term, or if a licensor were to terminate our license for any reason or does not approve one or more of our titles, we may be unable to publish that title as well as additional titles for that licensor's platform. Termination of any such agreements or disapproval of titles could seriously hurt our business and prospects. We may be unable to continue to enter into license agreements for certain current generation platforms on satisfactory terms or at all. Failure to enter into any such agreement could also seriously hurt our business.</w:t>
      </w:r>
    </w:p>
    <w:p>
      <w:pPr>
        <w:spacing w:after="0" w:line="23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rely on a limited number of channel partners some of whom influence the fee structures for online distribution of our games on their platforms.</w:t>
      </w:r>
    </w:p>
    <w:p>
      <w:pPr>
        <w:spacing w:after="0" w:line="302"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We rely on a limited number of channel partners, some of whom have retained the right to change the fee structures for online distribution of both paid content and free content (including patches and corrections) that we license to them for distribution on their platforms. Such channel partners' ability to set or influence royalty rates may increase costs, which could negatively affect our operating margins. We may be unable to distribute our content in a cost-effective or profitable manner through such distribution channel, which could adversely affect our business, financial condition and operating results.</w:t>
      </w:r>
    </w:p>
    <w:p>
      <w:pPr>
        <w:spacing w:after="0" w:line="20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Outside of fee arrangements, our agreements with our channel partners sometimes give them significant control over other aspects of the distribution of our products and services that we develop for their platform. If our channel partners establish terms that restrict our offerings through their channels, or significantly affect the financial terms on which these products or services are offered to our customers, we may be unable to distribute our product offerings through them or be forced to do so on a materially worse financial or business terms.</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adequately adjust our cost structure in a timely fashion in response to a sudden decrease in demand.</w:t>
      </w:r>
    </w:p>
    <w:p>
      <w:pPr>
        <w:spacing w:after="0" w:line="2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the event of a significant decline in revenue, we may not be able to dispose of facilities, reduce personnel or make other changes to our cost structure without disruption to our operations or without significant termination and exit costs. Management may not be able to implement such actions in a timely manner, if at all, to offset an immediate shortfall in revenue and profit. Moreover, reducing costs may impair our ability to produce and develop software titles at sufficient levels in the future.</w:t>
      </w:r>
    </w:p>
    <w:p>
      <w:pPr>
        <w:spacing w:after="0" w:line="24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We use open source software in connection with certain of our games and services, which may pose particular risks to our proprietary software, products, and services in a manner that could have a negative impact on our business.</w:t>
      </w:r>
    </w:p>
    <w:p>
      <w:pPr>
        <w:spacing w:after="0" w:line="224"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We use open source software in connection with certain of our games and the services we offer. Some open source software licenses require users who distribute open source software as part of their software to publicly disclose all or part of the source code to such software or make available any derivative works of the open source code on unfavorable terms or at no cost. The terms of various open source licenses have not been interpreted by courts, and there is a risk that such licenses could be construed in a manner that imposes unanticipated conditions or restrictions on our use of the open source software. Were it determined that our use was not in compliance with a particular license, we may be required to release our proprietary source code, pay damages for breach of contract, re-engineer our games, discontinue distribution in the event re-engineering cannot be accomplished on a timely basis or take other remedial action that may divert resources away from our game development efforts, any of which could harm our business.</w:t>
      </w:r>
    </w:p>
    <w:p>
      <w:pPr>
        <w:spacing w:after="0" w:line="22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We depend on servers and Internet bandwidth to operate our games and digital services with online features. If we were to lose server capacity or lack sufficient Internet bandwidth for any reason, our business could suffer.</w:t>
      </w:r>
    </w:p>
    <w:p>
      <w:pPr>
        <w:spacing w:after="0" w:line="22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rely on data servers, including those owned or controlled by third parties, to enable our customers to download our games and other downloadable content, and to operate our online games and other products with online functionality. Events such as limited hardware failure, any broad-based catastrophic server malfunction, a significant intrusion by hackers that circumvents security measures, or a failure of disaster recovery services would likely interrupt the functionality of our games with online services and could result in a loss of sales for games and related services. An extended interruption of service could materially adversely affect our business, financial condition and operating results.</w:t>
      </w:r>
    </w:p>
    <w:p>
      <w:pPr>
        <w:spacing w:after="0" w:line="24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expect a significant portion of our games to be on-line enabled in the future, and therefore we must project our future server needs and make advance purchases of servers or server capacity to accommodate expected business demands. If we underestimate</w:t>
      </w:r>
    </w:p>
    <w:p>
      <w:pPr>
        <w:sectPr>
          <w:pgSz w:w="11900" w:h="16838" w:orient="portrait"/>
          <w:cols w:equalWidth="0" w:num="1">
            <w:col w:w="11420"/>
          </w:cols>
          <w:pgMar w:left="240" w:top="719" w:right="239" w:bottom="1440" w:gutter="0" w:footer="0" w:header="0"/>
        </w:sect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w:t>
      </w:r>
    </w:p>
    <w:p>
      <w:pPr>
        <w:sectPr>
          <w:pgSz w:w="11900" w:h="16838" w:orient="portrait"/>
          <w:cols w:equalWidth="0" w:num="1">
            <w:col w:w="11420"/>
          </w:cols>
          <w:pgMar w:left="240" w:top="719" w:right="239" w:bottom="1440" w:gutter="0" w:footer="0" w:header="0"/>
          <w:type w:val="continuous"/>
        </w:sectPr>
      </w:pPr>
    </w:p>
    <w:bookmarkStart w:id="16" w:name="page17"/>
    <w:bookmarkEnd w:id="16"/>
    <w:p>
      <w:pPr>
        <w:jc w:val="both"/>
        <w:spacing w:after="0" w:line="259" w:lineRule="auto"/>
        <w:rPr>
          <w:sz w:val="20"/>
          <w:szCs w:val="20"/>
          <w:color w:val="auto"/>
        </w:rPr>
      </w:pPr>
      <w:r>
        <w:rPr>
          <w:rFonts w:ascii="Arial" w:cs="Arial" w:eastAsia="Arial" w:hAnsi="Arial"/>
          <w:sz w:val="18"/>
          <w:szCs w:val="18"/>
          <w:color w:val="auto"/>
        </w:rPr>
        <w:t>the amount of server capacity our business requires or if our business were to grow more quickly than expected, our consumers may experience service problems, such as slow or interrupted gaming access. Insufficient server capacity may result in decreased sales, a loss of our consumer base and adverse consequences to our reputation. Conversely, if we overestimate the amount of server capacity required by our business, we may incur additional operating costs.</w:t>
      </w:r>
    </w:p>
    <w:p>
      <w:pPr>
        <w:spacing w:after="0" w:line="24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Because of the potential importance of our online business to our revenues and results of operations, our ability to access adequate Internet bandwidth and online computational resources to support our business is critical. If the price of either such resource increases, we may not be able to increase our prices or subscriber levels to compensate for such costs, which could materially adversely affect our business, financial condition and operating results.</w:t>
      </w:r>
    </w:p>
    <w:p>
      <w:pPr>
        <w:spacing w:after="0" w:line="220" w:lineRule="exact"/>
        <w:rPr>
          <w:sz w:val="20"/>
          <w:szCs w:val="20"/>
          <w:color w:val="auto"/>
        </w:rPr>
      </w:pPr>
    </w:p>
    <w:p>
      <w:pPr>
        <w:jc w:val="both"/>
        <w:spacing w:after="0" w:line="264" w:lineRule="auto"/>
        <w:rPr>
          <w:sz w:val="20"/>
          <w:szCs w:val="20"/>
          <w:color w:val="auto"/>
        </w:rPr>
      </w:pPr>
      <w:r>
        <w:rPr>
          <w:rFonts w:ascii="Arial" w:cs="Arial" w:eastAsia="Arial" w:hAnsi="Arial"/>
          <w:sz w:val="18"/>
          <w:szCs w:val="18"/>
          <w:b w:val="1"/>
          <w:bCs w:val="1"/>
          <w:i w:val="1"/>
          <w:iCs w:val="1"/>
          <w:color w:val="auto"/>
        </w:rPr>
        <w:t>We submit our products for rating by the Entertainment Software Rating Board ("ESRB") in the United States and other voluntary or government ratings organizations in foreign countries. Failure to obtain a target rating for certain of our products could negatively affect our ability to distribute and sell those games, as could the re-rating of a game for any reason.</w:t>
      </w:r>
    </w:p>
    <w:p>
      <w:pPr>
        <w:spacing w:after="0" w:line="23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voluntarily submit our game products to the ESRB, a U.S.-based non-profit and independent ratings organization. The ESRB system provides consumers with information about game content using a rating symbol that generally suggests the appropriate player age group and specific content descriptors, such as graphic violence, profanity or sexually explicit material. The ESRB may impose significant penalties on game publishers for violations of its rules related to rating or marketing games, including revocation of a rating or monetary fines. Other countries require voluntary or government backed ratings as prerequisites for product sales. In some instances, we may have to modify our products in order to market them under the target rating, which could delay or disrupt the release of our products. In addition, some of our titles may not be sold at all or without extensive edits in certain countries, such as Germany.</w:t>
      </w:r>
    </w:p>
    <w:p>
      <w:pPr>
        <w:spacing w:after="0" w:line="219"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In the United States, if the ESRB rates a game as "AO" (age 18 and older), platform licensors may not certify the game and retailers may refuse to sell it. In addition, some consumers have reacted to re-ratings or controversial game content by refusing to purchase such games, demanding refunds for games that they had already purchased, and refraining from buying other games published by us. Many of our Rockstar titles and certain of our 2K titles have been rated "M" (age 17 and older) by the ESRB. If we are unable to obtain "M" ratings and instead receive "AO" ratings on future versions of those or similar titles as a result of changes in the ESRB's ratings standards or for other reasons, including the adoption of legislation in this area, our business and prospects could be negatively affected. If any of our games are re-rated by the ESRB or other foreign based ratings organizations, we could be exposed to litigation, administrative fines and penalties and other potential liabilities, and our operating results and financial condition could be significantly affected.</w:t>
      </w:r>
    </w:p>
    <w:p>
      <w:pPr>
        <w:spacing w:after="0" w:line="221"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We have implemented processes to comply with the requirements of the ESRB and other ratings organizations and properly display the designated rating symbols and content descriptions. Nonetheless, these processes are subject to human error, circumvention, overriding and reasonable resource constraints. If a video game we published were found to contain undisclosed pertinent content, the ESRB could re-rate a game, retailers could refuse to sell it and demand that we accept the return of any unsold copies or returns from customers, and consumers could refuse to buy it or demand that we refund their money. This could have a material negative affect on our operating results and financial condition. In addition, we may be exposed to litigation, administrative fines and penalties and our reputation could be harmed, which could affect sales of other video games we sell. If any of these consequences were to occur, our business and financial performance could be significantly harmed.</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Content policies adopted by retailers, consumer opposition and litigation could negatively affect sales of our products.</w:t>
      </w:r>
    </w:p>
    <w:p>
      <w:pPr>
        <w:spacing w:after="0" w:line="27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 xml:space="preserve">Retailers may decline to sell interactive entertainment software containing what they judge to be graphic violence or sexually explicit material or other content that they deem inappropriate for their businesses. If retailers decline to sell our products based upon their opinion that they contain objectionable themes, graphic violence or sexually explicit material or other generally objectionable content, or if any of our previously "M" rated series products are rated "AO," we might be required to significantly change or discontinue particular titles or series, which in the case of our best-selling </w:t>
      </w:r>
      <w:r>
        <w:rPr>
          <w:rFonts w:ascii="Arial" w:cs="Arial" w:eastAsia="Arial" w:hAnsi="Arial"/>
          <w:sz w:val="17"/>
          <w:szCs w:val="17"/>
          <w:i w:val="1"/>
          <w:iCs w:val="1"/>
          <w:color w:val="auto"/>
        </w:rPr>
        <w:t>Grand Theft Auto</w:t>
      </w:r>
      <w:r>
        <w:rPr>
          <w:rFonts w:ascii="Arial" w:cs="Arial" w:eastAsia="Arial" w:hAnsi="Arial"/>
          <w:sz w:val="17"/>
          <w:szCs w:val="17"/>
          <w:color w:val="auto"/>
        </w:rPr>
        <w:t xml:space="preserve"> titles could seriously affect our business. Consumer advocacy groups have opposed sales of interactive entertainment software containing objectionable themes, violence or sexual material or other objectionable content by pressing for legislation in these areas and by engaging in public demonstrations and media campaigns. Additionally, although lawsuits seeking damages for injuries allegedly suffered by third-parties as a result of video games have generally been unsuccessful in the courts, claims of this kind have been asserted against us from time to time and may be asserted and be successful in the future. An increase in the number of lawsuits filed by the families of victims of violence may trigger supplemental governmental scrutiny, damage our reputation, and negatively affect the sale of our products.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results of operations or reputation may be harmed as a result of offensive consumer-created content.</w:t>
      </w:r>
    </w:p>
    <w:p>
      <w:pPr>
        <w:spacing w:after="0" w:line="27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are subject to risks associated with the collaborative online features in our games which allow consumers to post narrative comments, in real time, that are visible to other consumers. From time to time, objectionable and offensive consumer content may be posted to a gaming or other site with online chat features or game forums which allow consumers to post comments. We may</w:t>
      </w: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719" w:right="239" w:bottom="1440" w:gutter="0" w:footer="0" w:header="0"/>
        </w:sectPr>
      </w:pPr>
    </w:p>
    <w:bookmarkStart w:id="17" w:name="page18"/>
    <w:bookmarkEnd w:id="17"/>
    <w:p>
      <w:pPr>
        <w:jc w:val="both"/>
        <w:spacing w:after="0" w:line="264" w:lineRule="auto"/>
        <w:rPr>
          <w:sz w:val="20"/>
          <w:szCs w:val="20"/>
          <w:color w:val="auto"/>
        </w:rPr>
      </w:pPr>
      <w:r>
        <w:rPr>
          <w:rFonts w:ascii="Arial" w:cs="Arial" w:eastAsia="Arial" w:hAnsi="Arial"/>
          <w:sz w:val="18"/>
          <w:szCs w:val="18"/>
          <w:color w:val="auto"/>
        </w:rPr>
        <w:t>be subject to lawsuits, governmental regulation or restrictions, and consumer backlash (including decreased sales and harmed reputation), as a result of consumers posting offensive content. We may also be subject to consumer backlash from comments made in response to postings we make on social media sites such as Facebook, YouTube and Twitter.</w:t>
      </w:r>
    </w:p>
    <w:p>
      <w:pPr>
        <w:spacing w:after="0" w:line="23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are subject to risks and uncertainties of international trade, including fluctuations in the values of local foreign currencies against the dollar.</w:t>
      </w:r>
    </w:p>
    <w:p>
      <w:pPr>
        <w:spacing w:after="0" w:line="302"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Sales in international markets, primarily in Europe, have accounted for a significant portion of our net revenue. For the fiscal year ended March 31, 2018, 41.3% of our net revenue was earned outside the United States. We are continuing to execute on our growth initiatives in Asia, where our strategy is to broaden the distribution of our existing products and expand our online gaming presence, especially in China and South Korea. We are subject to risks inherent in foreign trade, including increased credit risks, tariffs and duties, fluctuations in foreign currency exchange rates, shipping delays, and international political, regulatory and economic developments, all of which can have a significant influence on our operating results. Many of our international sales are made in local currencies, which could fluctuate against the dollar. While we may use forward exchange contracts to a limited extent to seek to mitigate foreign currency risk, our operating results could be adversely affected by unfavorable foreign currency fluctuations.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face risks from our international operations.</w:t>
      </w:r>
    </w:p>
    <w:p>
      <w:pPr>
        <w:spacing w:after="0" w:line="279"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are subject to certain risks because of our international operations, particularly as we continue to grow our business and presence in Asia, Latin America and other parts of the world. Changes to and compliance with a variety of foreign laws and regulations may increase our cost of doing business and our inability or failure to obtain required approvals could harm our international and domestic sales. Trade legislation in either the United States or other countries, such as a change in the current tariff structures, import/export compliance laws or other trade laws or policies, could adversely affect our ability to sell or to distribute in international markets. We incur additional legal compliance costs associated with our international operations and could become subject to legal penalties in foreign countries if we do not comply with local laws and regulations which may be substantially different from those in the United States. In many foreign countries, particularly in those with developing economies, it may be common to engage in business practices that are prohibited by United States laws and regulations, such as the Foreign Corrupt Practices Act, and by local laws, such as laws prohibiting corrupt payments to government officials. Although we implement policies and procedures designed to ensure compliance with these laws, there can be no assurance that all of our employees, contractors and agents, as well as those companies to which we outsource certain of our business operations, including those based in or from countries where practices which violate such laws may be customary, will not take actions in violation of our policies. Any such violation, even if prohibited by our policies, could have a material adverse effect on our business.</w:t>
      </w:r>
    </w:p>
    <w:p>
      <w:pPr>
        <w:spacing w:after="0" w:line="9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On June 23, 2016, the U.K. held a referendum in which voters approved an exit from the E.U., commonly referred to as “Brexit.” On March 29, 2017, the U.K. notified the European Council, in accordance with Article 50 of the Treaty on European Union, of the U.K.’s intention to withdraw from the European Union. As a result, the British government has begun negotiating the terms of the U.K.’s future relationship with the E.U. The effects of Brexit will depend on any agreements the U.K. makes to retain access to the E.U. markets either during a transitional period or more permanently. The measures could potentially disrupt the markets we serve and may cause us to lose customers, distributors and employees. If the U.K. loses access to the single E.U. market and the global trade deals negotiated by the E.U., it could have a detrimental impact on our U.K. growth. Such a decline could also make our doing business in Europe more difficult, which could negatively affect sales to consumers of our products. Without access to the single E.U. market, it may be more challenging and costly to distribute our products in Europe. In addition, Brexit could lead to legal uncertainty and potentially divergent national laws and regulations as the U.K. determines which E.U. laws to replace and replicate. If there are changes to U.K. immigration policy as a result of Brexit, this could affect our employees and their ability to move freely between the E.U. member states for work related matters.</w:t>
      </w:r>
    </w:p>
    <w:p>
      <w:pPr>
        <w:spacing w:after="0" w:line="9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If we are unable to protect the intellectual property relating to our software, the commercial value of our products will be adversely affected and our competitive position could be harmed.</w:t>
      </w:r>
    </w:p>
    <w:p>
      <w:pPr>
        <w:spacing w:after="0" w:line="224"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develop proprietary software and have obtained the rights to publish and distribute software developed by third-parties. We attempt to protect our software and production techniques under patent, copyright, trademark and trade secret laws as well as through contractual restrictions on disclosure, copying and distribution. Nonetheless, our software is susceptible to piracy and unauthorized copying, and third-parties may potentially exploit or misappropriate our intellectual property and proprietary information, causing significant reputational damage. Unauthorized third-parties, for example, may be able to copy or to reverse engineer our software to obtain and use programming or production techniques that we regard as proprietary. Well organized piracy operations have also proliferated in recent years, resulting in the ability to download pirated copies of our software over the Internet. Although we attempt to incorporate protective measures into our software, piracy of our products could negatively affect our future profitability. In addition, "cheating" programs or other unauthorized software tools and modifications that enable consumers to cheat in games harm the experience of players who play fairly and could negatively impact the volume of microtransactions or purchases of downloadable content. Also, vulnerabilities in the design of our applications and of the platforms upon which they</w:t>
      </w: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719" w:right="239" w:bottom="1440" w:gutter="0" w:footer="0" w:header="0"/>
        </w:sectPr>
      </w:pPr>
    </w:p>
    <w:bookmarkStart w:id="18" w:name="page19"/>
    <w:bookmarkEnd w:id="18"/>
    <w:p>
      <w:pPr>
        <w:jc w:val="both"/>
        <w:spacing w:after="0" w:line="277" w:lineRule="auto"/>
        <w:rPr>
          <w:sz w:val="20"/>
          <w:szCs w:val="20"/>
          <w:color w:val="auto"/>
        </w:rPr>
      </w:pPr>
      <w:r>
        <w:rPr>
          <w:rFonts w:ascii="Arial" w:cs="Arial" w:eastAsia="Arial" w:hAnsi="Arial"/>
          <w:sz w:val="18"/>
          <w:szCs w:val="18"/>
          <w:color w:val="auto"/>
        </w:rPr>
        <w:t>run could be discovered after their release. This may lead to lost revenues from paying consumers or increased cost of developing technological measures to respond to these, either of which could negatively affect our business.</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If we infringe on or are alleged to infringe on the intellectual property rights of third-parties, our business could be adversely affected.</w:t>
      </w:r>
    </w:p>
    <w:p>
      <w:pPr>
        <w:spacing w:after="0" w:line="29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As our industry grows, we may be subject to an increasing amount of litigation that is common in the software industry based on allegations of infringement or other alleged violations of patent, copyright and/or trademarks. In addition, we believe that interactive entertainment software will increasingly become the subject of claims that such software infringes on the intellectual property rights of others with both the growth of online functionality and advances in technology, game content and software graphics as games become more realistic. From time to time, we receive notices from third-parties or are named in lawsuits by third-parties alleging infringement of their proprietary rights. Although we believe that our software and technologies and the software and technologies of third-party developers and publishers with whom we have contractual relations do not and will not infringe or violate proprietary rights of others, it is possible that infringement of proprietary rights of others may occur. Any claims of infringement, with or without merit, could be time consuming, costly and difficult to defend. Moreover, intellectual property litigation or claims could require us to discontinue the distribution of products, obtain a license or redesign our products, which could result in additional substantial costs and material delays.</w:t>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software is susceptible to errors, which can harm our financial results and reputation.</w:t>
      </w:r>
    </w:p>
    <w:p>
      <w:pPr>
        <w:spacing w:after="0" w:line="279"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The technological advancements of new hardware platforms result in the development of more complex software products. As software products become more complex, the risk of undetected errors in new products increases. We may need to produce and distribute patches in order to repair such errors, which could be costly and may distract our developers from working on new products. If, despite testing, errors are found in new products or releases after shipments have been made, we may have to consider suspending distribution of defective products or offering refunds, and we could experience a loss of or delay in timely market acceptance, product returns, loss of revenue, increases in costs relating to the repair of such errors and damage to our reputation.</w:t>
      </w:r>
    </w:p>
    <w:p>
      <w:pPr>
        <w:spacing w:after="0" w:line="212"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If we acquire or invest in other businesses, intellectual properties or other assets, we may be unable to integrate them with our business, our financial performance may be impaired and/or we may not realize the anticipated financial and strategic goals for such transactions.</w:t>
      </w:r>
    </w:p>
    <w:p>
      <w:pPr>
        <w:spacing w:after="0" w:line="20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If appropriate opportunities present themselves, we may acquire or make investments in businesses, intellectual properties and other assets that we believe are strategic. We may not be able to identify, negotiate or finance any future acquisition or investment successfully. Even if we do succeed in acquiring or investing in a business, intellectual property or other asset, such acquisitions and investments involve a number of risks, including:</w:t>
      </w:r>
    </w:p>
    <w:p>
      <w:pPr>
        <w:spacing w:after="0" w:line="84"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retaining key employees and maintaining the key business and customer relationships of the businesses we acquire;</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cultural challenges associated with integrating employees from an acquired company or business into our organization;</w:t>
      </w:r>
    </w:p>
    <w:p>
      <w:pPr>
        <w:spacing w:after="0" w:line="117" w:lineRule="exact"/>
        <w:rPr>
          <w:rFonts w:ascii="Arial" w:cs="Arial" w:eastAsia="Arial" w:hAnsi="Arial"/>
          <w:sz w:val="18"/>
          <w:szCs w:val="18"/>
          <w:color w:val="auto"/>
        </w:rPr>
      </w:pPr>
    </w:p>
    <w:p>
      <w:pPr>
        <w:ind w:left="660" w:right="20" w:hanging="328"/>
        <w:spacing w:after="0" w:line="342" w:lineRule="auto"/>
        <w:tabs>
          <w:tab w:leader="none" w:pos="66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possibility that the combined company would not achieve the expected benefits, including any anticipated operating and product synergies, of the acquisition as quickly as anticipated or that the costs of, or operational difficulties arising from, an acquisition would be greater than anticipated;</w:t>
      </w:r>
    </w:p>
    <w:p>
      <w:pPr>
        <w:spacing w:after="0" w:line="15" w:lineRule="exact"/>
        <w:rPr>
          <w:rFonts w:ascii="Arial" w:cs="Arial" w:eastAsia="Arial" w:hAnsi="Arial"/>
          <w:sz w:val="16"/>
          <w:szCs w:val="16"/>
          <w:color w:val="auto"/>
        </w:rPr>
      </w:pPr>
    </w:p>
    <w:p>
      <w:pPr>
        <w:ind w:left="660" w:right="44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significant acquisition-related accounting adjustments, particularly relating to an acquired company's deferred revenue, that may cause reported revenue and profits of the combined company to be lower than the sum of their stand-alone revenue and profits;</w:t>
      </w:r>
    </w:p>
    <w:p>
      <w:pPr>
        <w:spacing w:after="0" w:line="62" w:lineRule="exact"/>
        <w:rPr>
          <w:rFonts w:ascii="Arial" w:cs="Arial" w:eastAsia="Arial" w:hAnsi="Arial"/>
          <w:sz w:val="18"/>
          <w:szCs w:val="18"/>
          <w:color w:val="auto"/>
        </w:rPr>
      </w:pPr>
    </w:p>
    <w:p>
      <w:pPr>
        <w:ind w:left="660" w:right="200" w:hanging="328"/>
        <w:spacing w:after="0" w:line="342" w:lineRule="auto"/>
        <w:tabs>
          <w:tab w:leader="none" w:pos="660" w:val="left"/>
        </w:tabs>
        <w:numPr>
          <w:ilvl w:val="0"/>
          <w:numId w:val="5"/>
        </w:numPr>
        <w:rPr>
          <w:rFonts w:ascii="Arial" w:cs="Arial" w:eastAsia="Arial" w:hAnsi="Arial"/>
          <w:sz w:val="16"/>
          <w:szCs w:val="16"/>
          <w:color w:val="auto"/>
        </w:rPr>
      </w:pPr>
      <w:r>
        <w:rPr>
          <w:rFonts w:ascii="Arial" w:cs="Arial" w:eastAsia="Arial" w:hAnsi="Arial"/>
          <w:sz w:val="16"/>
          <w:szCs w:val="16"/>
          <w:color w:val="auto"/>
        </w:rPr>
        <w:t>significant accounting charges resulting from the completion and integration of a sizeable acquisition and increased capital expenditures, including potential impairment charges incurred to write down the carrying amount of intangible assets generated as a result of an acquisition;</w:t>
      </w:r>
    </w:p>
    <w:p>
      <w:pPr>
        <w:spacing w:after="0" w:line="15" w:lineRule="exact"/>
        <w:rPr>
          <w:rFonts w:ascii="Arial" w:cs="Arial" w:eastAsia="Arial" w:hAnsi="Arial"/>
          <w:sz w:val="16"/>
          <w:szCs w:val="16"/>
          <w:color w:val="auto"/>
        </w:rPr>
      </w:pPr>
    </w:p>
    <w:p>
      <w:pPr>
        <w:ind w:left="660" w:right="140" w:hanging="328"/>
        <w:spacing w:after="0" w:line="27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possibility that significant acquisitions, when not managed cautiously, may result in the over-extension of our existing operating infrastructures, internal controls and information technology systems;</w:t>
      </w:r>
    </w:p>
    <w:p>
      <w:pPr>
        <w:spacing w:after="0" w:line="62" w:lineRule="exact"/>
        <w:rPr>
          <w:rFonts w:ascii="Arial" w:cs="Arial" w:eastAsia="Arial" w:hAnsi="Arial"/>
          <w:sz w:val="18"/>
          <w:szCs w:val="18"/>
          <w:color w:val="auto"/>
        </w:rPr>
      </w:pPr>
    </w:p>
    <w:p>
      <w:pPr>
        <w:ind w:left="660" w:right="140" w:hanging="328"/>
        <w:spacing w:after="0" w:line="264"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possibility that we will not discover important facts during due diligence that could have a material adverse effect on the value of the businesses we acquire, including the possibility that a change of control of a company we acquire triggers a termination of contractual or intellectual property rights important to the operation of its business;</w:t>
      </w:r>
    </w:p>
    <w:p>
      <w:pPr>
        <w:spacing w:after="0" w:line="73" w:lineRule="exact"/>
        <w:rPr>
          <w:rFonts w:ascii="Arial" w:cs="Arial" w:eastAsia="Arial" w:hAnsi="Arial"/>
          <w:sz w:val="18"/>
          <w:szCs w:val="18"/>
          <w:color w:val="auto"/>
        </w:rPr>
      </w:pPr>
    </w:p>
    <w:p>
      <w:pPr>
        <w:jc w:val="both"/>
        <w:ind w:left="660" w:right="520" w:hanging="328"/>
        <w:spacing w:after="0" w:line="286" w:lineRule="auto"/>
        <w:tabs>
          <w:tab w:leader="none" w:pos="660"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need to integrate an acquired company's accounting, management information, human resource and other administrative systems to permit effective management and timely reporting, and the need to implement or remediate controls, procedures and policies appropriate for a public company in an acquired company that, prior to the acquisition, lacked these controls, procedures and policies;</w:t>
      </w: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719" w:right="239" w:bottom="1440" w:gutter="0" w:footer="0" w:header="0"/>
        </w:sectPr>
      </w:pPr>
    </w:p>
    <w:bookmarkStart w:id="19" w:name="page20"/>
    <w:bookmarkEnd w:id="19"/>
    <w:p>
      <w:pPr>
        <w:ind w:left="660" w:right="800" w:hanging="328"/>
        <w:spacing w:after="0" w:line="277"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litigation or other claims in connection with, or inheritance of claims or litigation risks as a result of, an acquisition, including claims from terminated employees, customers or other third-parties; and</w:t>
      </w:r>
    </w:p>
    <w:p>
      <w:pPr>
        <w:spacing w:after="0" w:line="62" w:lineRule="exact"/>
        <w:rPr>
          <w:rFonts w:ascii="Arial" w:cs="Arial" w:eastAsia="Arial" w:hAnsi="Arial"/>
          <w:sz w:val="18"/>
          <w:szCs w:val="18"/>
          <w:color w:val="auto"/>
        </w:rPr>
      </w:pPr>
    </w:p>
    <w:p>
      <w:pPr>
        <w:ind w:left="660" w:right="120" w:hanging="328"/>
        <w:spacing w:after="0" w:line="264" w:lineRule="auto"/>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 the extent that we engage in strategic transactions outside of the United States, we face additional risks, including risks related to integration of operations across different cultures and languages, currency risks and the particular economic, political and regulatory risks associated with specific countries.</w:t>
      </w:r>
    </w:p>
    <w:p>
      <w:pPr>
        <w:spacing w:after="0" w:line="208"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Future acquisitions and investments could also involve the issuance of our equity and equity-linked securities (potentially diluting our existing stockholders), the incurrence of debt, contingent liabilities or amortization expenses, write-offs of goodwill, intangibles, or acquired in-process technology, or other increased cash and non-cash expenses such as stock-based compensation. Any of the foregoing factors could harm our financial condition or prevent us from achieving improvements in our financial condition and operating performance that could have otherwise been achieved by us on a stand-alone basis. Our stockholders may not have the opportunity to review, vote on or evaluate future acquisitions or investments.</w:t>
      </w:r>
    </w:p>
    <w:p>
      <w:pPr>
        <w:spacing w:after="0" w:line="22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b w:val="1"/>
          <w:bCs w:val="1"/>
          <w:i w:val="1"/>
          <w:iCs w:val="1"/>
          <w:color w:val="auto"/>
        </w:rPr>
        <w:t>Our ability to acquire and maintain licenses to intellectual property, especially for sports titles, affects our revenue and profitability. Competition for these licenses may make them more expensive and increase our costs.</w:t>
      </w:r>
    </w:p>
    <w:p>
      <w:pPr>
        <w:spacing w:after="0" w:line="224"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Certain of our products are based on or incorporate intellectual property owned by others. For example, certain of our 2K products include rights licensed from major sports leagues and players' associations. Similarly, some of our other titles are based on licenses of popular entertainment products. Competition for these licenses is intense. If we are unable to maintain and renew these licenses or obtain additional licenses on reasonable economic terms or with significant commercial value, our revenue and profitability could decline significantly. Competition for these licenses may also increase the advances, guarantees and royalties that we must pay to the licensor, which could significantly increase our costs and adversely affect our profitability. In addition, on certain intellectual property licenses, we are subject to guaranteed minimum payments, royalties or standards of performance and may not be able to terminate these agreements prior to their stated expiration. If such licensed products do not generate revenues in excess of such minimum guarantees, our profitability will be adversely affected.</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are subject to contractual covenants which place certain limitations on how we manage our business</w:t>
      </w:r>
      <w:r>
        <w:rPr>
          <w:rFonts w:ascii="Arial" w:cs="Arial" w:eastAsia="Arial" w:hAnsi="Arial"/>
          <w:sz w:val="18"/>
          <w:szCs w:val="18"/>
          <w:b w:val="1"/>
          <w:bCs w:val="1"/>
          <w:color w:val="auto"/>
        </w:rPr>
        <w:t>.</w:t>
      </w:r>
    </w:p>
    <w:p>
      <w:pPr>
        <w:spacing w:after="0" w:line="283"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Our Second Amended and Restated Credit Agreement (as amended, the "Credit Agreement") and the indentures governing our 1.00% Convertible Notes due 2018 issued in June 2013 (the "1.00% Convertible Notes") may limit our ability to take various actions, including incurring additional debt, paying dividends, repurchasing shares and acquiring or disposing of assets or businesses. In addition, we have granted a security interest in connection with certain compensatory arrangements which limits our ability to incur senior debt in excess of certain amounts. Accordingly, we may be restricted from taking actions that management believes would be desirable and in the best interests of us and our stockholders. Our Credit Agreement and the indentures also require us to satisfy specified financial and non-financial covenants. A breach of any of the covenants contained in our Credit Agreement could result in an event of default under the agreement and under the indentures governing our 1.00% Convertible Notes and would allow our lenders and noteholders to pursue various remedies, including accelerating the repayment of any outstanding indebtedness.</w:t>
      </w:r>
    </w:p>
    <w:p>
      <w:pPr>
        <w:spacing w:after="0" w:line="233"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business and products are subject to potential legislation. The adoption of such proposed legislation could limit the retail market for our products.</w:t>
      </w:r>
    </w:p>
    <w:p>
      <w:pPr>
        <w:spacing w:after="0" w:line="314"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Several proposals have been made for federal legislation to regulate our industry. Such proposals seek to prohibit the sale of products containing certain content included in some of our games. If any such proposals are enacted into law, it may limit the potential market for some of our games in the United States, and adversely affect our business, financial condition and operating results. Other countries, such as Germany, have adopted laws regulating content both in packaged games and those transmitted over the Internet that are stricter than current United States laws. In the United States, proposals have also been made by numerous state legislators to regulate and prohibit the sale of interactive entertainment software products containing certain types of violent or sexual content to under 17 or 18 audiences, such as the State of California's "ultraviolent video games law" that sought to ban the sale or rental of violent video games to minors. While such legislation to date has been enjoined by industry and retail groups or been found unconstitutional, the adoption into law of such legislation in federal and/or in state jurisdictions in which we do significant business could severely limit the retail market for some of our games.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 in government regulations relating to the Internet could have a negative impact on our business.</w:t>
      </w:r>
    </w:p>
    <w:p>
      <w:pPr>
        <w:spacing w:after="0" w:line="185"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We rely on our consumers' access to significant levels of Internet bandwidth for the sale and digital delivery of our content and the functionality of our games with online features. Changes in laws or regulations that adversely affect the growth, popularity or use of the Internet, including laws affecting "net neutrality," could decrease the demand for our products and services or increase our cost of doing business. Although certain jurisdictions have implemented laws and regulations intended to prevent Internet service providers from discriminating against particular types of legal traffic on their networks, other jurisdictions may lack such laws and regulations or repeal existing laws or regulations. For example, on December 14, 2017, the Federal Communications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584" w:right="239" w:bottom="1440" w:gutter="0" w:footer="0" w:header="0"/>
        </w:sectPr>
      </w:pPr>
    </w:p>
    <w:bookmarkStart w:id="20" w:name="page21"/>
    <w:bookmarkEnd w:id="20"/>
    <w:p>
      <w:pPr>
        <w:jc w:val="both"/>
        <w:spacing w:after="0" w:line="259" w:lineRule="auto"/>
        <w:rPr>
          <w:sz w:val="20"/>
          <w:szCs w:val="20"/>
          <w:color w:val="auto"/>
        </w:rPr>
      </w:pPr>
      <w:r>
        <w:rPr>
          <w:rFonts w:ascii="Arial" w:cs="Arial" w:eastAsia="Arial" w:hAnsi="Arial"/>
          <w:sz w:val="18"/>
          <w:szCs w:val="18"/>
          <w:color w:val="auto"/>
        </w:rPr>
        <w:t>Commission voted to repeal net neutrality regulations in the U.S. Given uncertainty around these rules, including changing interpretations, amendments, or repeal, coupled with the potentially significant political and economic power of local Internet service providers and the relatively significant level of Internet bandwidth access our products and services require, we could experience discriminatory or anti-competitive practices that could impede our growth, cause us to incur additional expenses, or otherwise negatively affect our business.</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required to record a significant charge to earnings if our goodwill becomes impaired.</w:t>
      </w:r>
    </w:p>
    <w:p>
      <w:pPr>
        <w:spacing w:after="0" w:line="279"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We are required under U.S. generally accepted accounting principles to review our goodwill for impairment at least annually or more frequently when events or changes in circumstances indicate the carrying value may not be recoverable. Factors that may be considered a change in circumstances, indicating a requirement to reevaluate whether our goodwill continues to be recoverable, include a significant decline in stock price and market capitalization, slower growth rates in our industry or other materially adverse events. We may be required to record a significant charge to earnings in our financial statements during the period in which any impairment of our goodwill is determined. This may adversely affect our operating results.</w:t>
      </w:r>
    </w:p>
    <w:p>
      <w:pPr>
        <w:spacing w:after="0" w:line="22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reported financial results could be adversely affected by the application of existing or future accounting standards to our business as it evolves.</w:t>
      </w:r>
    </w:p>
    <w:p>
      <w:pPr>
        <w:spacing w:after="0" w:line="302"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Our reported financial results are affected by the accounting policies promulgated by the SEC and national accounting standards bodies and the methods, estimates, and judgments that we use in applying our accounting policies. For example, standards regarding revenue recognition have and could further significantly affect the way we account for revenue related to our products and services. We expect that an increasing number of our games will be supported with material post-release activities, such as content updates and online-enabled features, and we could therefore be required to recognize more of the related revenues for those games over a period of time rather than at the time of sale. Further, as we increase our downloadable content and add new features to our online services, user playing patterns can affect our estimate of the service period may change and we could be required to recognize revenues, and defer related costs, over a shorter or longer period of time than we initially allocated. As we enhance, expand and diversify our business and product offerings, the application of existing or future financial accounting standards, particularly those relating to the way we account for revenue, could have a significant adverse effect on our reported results although not necessarily on our cash flows.</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common stock</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purposes of this section "Risks relating to our common stock," references to "the Company," "we," "our," and "us" refer only to Take-Two Interactive Software, Inc. and not to its subsidiaries.</w:t>
      </w:r>
    </w:p>
    <w:p>
      <w:pPr>
        <w:spacing w:after="0" w:line="22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Additional issuances or sales of equity securities by us would dilute the ownership of our existing stockholders and could adversely affect the market price of our common stock.</w:t>
      </w:r>
    </w:p>
    <w:p>
      <w:pPr>
        <w:spacing w:after="0" w:line="224"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may issue equity or equity-based securities (such as our 1.00% Convertible Notes) in the future in connection with acquisitions or strategic transactions, to adjust our ratio of debt to equity, including through repayment of outstanding debt, to fund expansion of our operations or for other purposes. To the extent we issue additional equity securities, including upon conversion of our outstanding 1.00% Convertible Notes, the percentage ownership of our existing stockholders would be reduced. The sale of substantial amounts of our common stock could adversely affect its price. The sale or the availability for sale of a large number of shares of our common stock in the public market could cause the price of our common stock to decline. The issuance of shares of our common stock upon conversion of our 1.00% Convertible Notes could also adversely affect the price of our common stock.</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There is no guarantee that we will do additional share repurchases in the future.</w:t>
      </w:r>
    </w:p>
    <w:p>
      <w:pPr>
        <w:spacing w:after="0" w:line="2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share repurchase program authorized by the Board of Directors, which authorized the repurchase of up to 14.2 million shares of our common stock and had 5.9 million shares available for repurchase as of the date of this filing, does not obligate the Company to make any purchases at any specific time or situation. Discontinuing repurchases could adversely affect the price of the Company's common stock. The program may be suspended or discontinued at any time for any reason.</w:t>
      </w: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stock price has been volatile and may continue to fluctuate significantly.</w:t>
      </w:r>
    </w:p>
    <w:p>
      <w:pPr>
        <w:spacing w:after="0" w:line="27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market price of our common stock historically has been, and we expect will continue to be, subject to significant fluctuations. These fluctuations may be due to factors specific to us including those discussed in the risk factors in this section as well as others not currently known to us or that we currently do not believe are material, to changes in securities analysts' earnings estimates or ratings, to our results or future financial guidance falling below our expectations and analysts' and investors' expectations, to factors affecting the computer, software, entertainment, media or electronics industries, or to national or international economic conditions.</w:t>
      </w:r>
    </w:p>
    <w:p>
      <w:pPr>
        <w:spacing w:after="0" w:line="3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584" w:right="239" w:bottom="1440" w:gutter="0" w:footer="0" w:header="0"/>
        </w:sectPr>
      </w:pPr>
    </w:p>
    <w:bookmarkStart w:id="21" w:name="page22"/>
    <w:bookmarkEnd w:id="21"/>
    <w:p>
      <w:pPr>
        <w:jc w:val="both"/>
        <w:spacing w:after="0" w:line="264" w:lineRule="auto"/>
        <w:rPr>
          <w:sz w:val="20"/>
          <w:szCs w:val="20"/>
          <w:color w:val="auto"/>
        </w:rPr>
      </w:pPr>
      <w:r>
        <w:rPr>
          <w:rFonts w:ascii="Arial" w:cs="Arial" w:eastAsia="Arial" w:hAnsi="Arial"/>
          <w:sz w:val="18"/>
          <w:szCs w:val="18"/>
          <w:color w:val="auto"/>
        </w:rPr>
        <w:t>Stock markets, in general, have experienced over the years, and continue to experience significant price and volume fluctuations that have affected market prices for companies such as ours and that may be unrelated or disproportionate to the operating performance of the affected companies. These broad market and industry fluctuations may adversely affect the price of our stock, regardless of our operating performance.</w:t>
      </w:r>
    </w:p>
    <w:p>
      <w:pPr>
        <w:spacing w:after="0" w:line="23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b w:val="1"/>
          <w:bCs w:val="1"/>
          <w:i w:val="1"/>
          <w:iCs w:val="1"/>
          <w:color w:val="auto"/>
        </w:rPr>
        <w:t>Delaware law, our charter documents and provisions of our debt agreements may impede or discourage a takeover, which could cause the market price of our shares to decline.</w:t>
      </w:r>
    </w:p>
    <w:p>
      <w:pPr>
        <w:spacing w:after="0" w:line="224"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are a Delaware corporation, and the anti-takeover provisions of Delaware law impose various impediments to the ability of a third-party to acquire control of us, even if a change in control would be beneficial to our existing stockholders. Our Board of Directors has the power, without stockholder approval, to adopt a stockholder rights plan and/or to designate the terms of one or more series of preferred stock and issue shares of preferred stock. The ability of our Board of Directors to create and issue a new series of preferred stock and certain provisions of Delaware law, our certificate of incorporation and bylaws could impede a merger, takeover or other business combination involving us or discourage a potential acquirer from making a tender offer for our common stock, which, under certain circumstances, could reduce the market price of our common stock and the value of any outstanding notes.</w:t>
      </w:r>
    </w:p>
    <w:p>
      <w:pPr>
        <w:spacing w:after="0" w:line="219" w:lineRule="exact"/>
        <w:rPr>
          <w:sz w:val="20"/>
          <w:szCs w:val="20"/>
          <w:color w:val="auto"/>
        </w:rPr>
      </w:pPr>
    </w:p>
    <w:p>
      <w:pPr>
        <w:jc w:val="both"/>
        <w:spacing w:after="0" w:line="308" w:lineRule="auto"/>
        <w:rPr>
          <w:sz w:val="20"/>
          <w:szCs w:val="20"/>
          <w:color w:val="auto"/>
        </w:rPr>
      </w:pPr>
      <w:r>
        <w:rPr>
          <w:rFonts w:ascii="Arial" w:cs="Arial" w:eastAsia="Arial" w:hAnsi="Arial"/>
          <w:sz w:val="17"/>
          <w:szCs w:val="17"/>
          <w:b w:val="1"/>
          <w:bCs w:val="1"/>
          <w:i w:val="1"/>
          <w:iCs w:val="1"/>
          <w:color w:val="auto"/>
        </w:rPr>
        <w:t>Our ability to use net operating loss and tax credit carryforwards to reduce future years' taxes could be substantially limited under Internal Revenue Code Sections 382 and 383 if we experience an ownership change as defined in the Internal Revenue Code Section 382.</w:t>
      </w:r>
    </w:p>
    <w:p>
      <w:pPr>
        <w:spacing w:after="0" w:line="201"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Section 382 of the Internal Revenue Code contains rules that limit the ability of a company to use its net operating loss and tax credit carryforwards in years after an ownership change, which is generally defined as any change in ownership of more than 50% of its stock over a three-year testing period. These rules generally operate by focusing on ownership changes among stockholders owning directly or indirectly 5% or more of the stock of a company and/or any change in ownership arising from a new issuance of stock by the company. If, as a result of future transactions involving our common stock, including purchases or sales of stock by 5% stockholders, we undergo cumulative ownership changes which exceed 50% over the testing period, our ability to use our net operating loss and tax credit carryforwards would be subject to additional limitations under Sections 382 and 383.</w:t>
      </w:r>
    </w:p>
    <w:p>
      <w:pPr>
        <w:spacing w:after="0" w:line="21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Generally, if an ownership change occurs, the annual taxable income limitation on the use of net operating loss and tax credit carryforwards is equal to the product of the applicable long-term tax exempt rate and the value of the company's stock immediately before the ownership change. Depending on the resulting limitation, a portion of our net operating loss and tax credit carryforwards could expire before we would be able to use them.</w:t>
      </w:r>
    </w:p>
    <w:p>
      <w:pPr>
        <w:spacing w:after="0" w:line="22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Our inability to fully utilize any net operating losses or tax credit carryforwards to reduce tax liability in the future could have a material and negative affect on our future financial position and results of operations.</w:t>
      </w:r>
    </w:p>
    <w:p>
      <w:pPr>
        <w:spacing w:after="0" w:line="220"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6"/>
          <w:szCs w:val="16"/>
          <w:b w:val="1"/>
          <w:bCs w:val="1"/>
          <w:color w:val="auto"/>
        </w:rPr>
        <w:t>Unresolved Staff Comments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7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Properties</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Our principal executive offices are located at 110 West 44th Street (also known as 1133 Avenue of the Americas), New York, New York, in approximately 61,000 square feet of space under a lease expiring in December 2032.</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We also lease approximately 64,000 square feet of space under a lease expiring in March 2023 at 622 Broadway, New York, New York.</w:t>
      </w:r>
    </w:p>
    <w:p>
      <w:pPr>
        <w:spacing w:after="0" w:line="27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Take-Two Interactive Software Europe Ltd, our wholly-owned subsidiary, leases 12,500 square feet of office space in Windsor, United Kingdom, which expires in January 2022. Rockstar North, our wholly-owned subsidiary, leases 72,000 square feet of office space in Edinburgh, Scotland, which expires in June 2024.</w:t>
      </w:r>
    </w:p>
    <w:p>
      <w:pPr>
        <w:spacing w:after="0" w:line="23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2K corporate offices and two development studios occupy approximately 123,000 square feet of leased office space in Novato, California. The lease expires in June 2023 with respect to approximately 59,000 square feet and July 2025 with respect to approximately 64,000 square feet.</w:t>
      </w:r>
    </w:p>
    <w:p>
      <w:pPr>
        <w:spacing w:after="0" w:line="22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addition, our other subsidiaries lease office space in Sydney, Australia; Oakville, Canada; Chengdu and Shanghai, China; Brno, Czech Republic; Paris, France; Munich, Germany; Budapest, Hungary; Bangalore, India; Tokyo, Japan; Breda, Netherlands; Auckland, New Zealand; Singapore; Seoul, South Korea; Madrid and Barcelona, Spain; Lucerne, Switzerland; Taipei, Taiwan; Brighton, London, Lincoln, Leeds, and Oxford, United Kingdom; and, in the United States, Petaluma and Carlsbad, California;</w:t>
      </w:r>
    </w:p>
    <w:p>
      <w:pPr>
        <w:sectPr>
          <w:pgSz w:w="11900" w:h="16838" w:orient="portrait"/>
          <w:cols w:equalWidth="0" w:num="1">
            <w:col w:w="11420"/>
          </w:cols>
          <w:pgMar w:left="240" w:top="719" w:right="239" w:bottom="1440" w:gutter="0" w:footer="0" w:header="0"/>
        </w:sect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20</w:t>
      </w:r>
    </w:p>
    <w:p>
      <w:pPr>
        <w:sectPr>
          <w:pgSz w:w="11900" w:h="16838" w:orient="portrait"/>
          <w:cols w:equalWidth="0" w:num="1">
            <w:col w:w="11420"/>
          </w:cols>
          <w:pgMar w:left="240" w:top="719" w:right="239" w:bottom="1440" w:gutter="0" w:footer="0" w:header="0"/>
          <w:type w:val="continuous"/>
        </w:sectPr>
      </w:pPr>
    </w:p>
    <w:bookmarkStart w:id="22" w:name="page23"/>
    <w:bookmarkEnd w:id="22"/>
    <w:p>
      <w:pPr>
        <w:spacing w:after="0"/>
        <w:rPr>
          <w:sz w:val="20"/>
          <w:szCs w:val="20"/>
          <w:color w:val="auto"/>
        </w:rPr>
      </w:pPr>
      <w:r>
        <w:rPr>
          <w:rFonts w:ascii="Arial" w:cs="Arial" w:eastAsia="Arial" w:hAnsi="Arial"/>
          <w:sz w:val="17"/>
          <w:szCs w:val="17"/>
          <w:color w:val="auto"/>
        </w:rPr>
        <w:t>Sparks, Maryland; Andover and Westwood, Massachusetts; Las Vegas, Nevada; Bethpage and New York, New York; and Kirkland, Washington.</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color w:val="auto"/>
        </w:rPr>
        <w:t>For information regarding our lease commitments, see Note 13 to the Consolidated Financial Statements.</w:t>
      </w:r>
    </w:p>
    <w:p>
      <w:pPr>
        <w:spacing w:after="0" w:line="275"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5"/>
          <w:szCs w:val="15"/>
          <w:b w:val="1"/>
          <w:bCs w:val="1"/>
          <w:color w:val="auto"/>
        </w:rPr>
        <w:t>Legal Proceedings</w:t>
      </w:r>
    </w:p>
    <w:p>
      <w:pPr>
        <w:spacing w:after="0" w:line="28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or may become, subject to demands and claims (including intellectual property claims) and are involved in routine litigation in the ordinary course of business which we do not believe to be material to our business or financial statements. We have appropriately accrued amounts related to certain of these claims and legal and other proceedings. While it is reasonably possible that a loss may be incurred in excess of the amounts accrued in our financial statements, we believe that such losses, unless otherwise disclosed, would not be material.</w:t>
      </w:r>
    </w:p>
    <w:p>
      <w:pPr>
        <w:spacing w:after="0" w:line="24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On April 11, 2016, we filed a declaratory judgment action in the United States District Court for the Southern District of New York seeking, among other things, a judicial declaration that Leslie Benzies, the former president of one of our subsidiaries with whom we had been in ongoing discussions regarding his separation of employment, is not entitled to any minimum allocation or financial parity with any other person under the applicable royalty plan. We believe we will prevail in this matter, although there can be no assurance of the outcome. On April 12, 2016, Mr. Benzies filed a complaint in the Supreme Court of the State of New York, New York County against us, and certain of our subsidiaries and employees. We removed this case to the United States District Court for the Southern District of New York, but the case was subsequently remanded to state court. The complaint claims damages of at least $150 million and contains allegations of breach of fiduciary duty; fraudulent inducement and fraudulent concealment; aiding and abetting breach of fiduciary duty; breach of various contracts; breach of implied duty of good faith and fair dealing; tortious interference with contract; unjust enrichment; reformation; constructive trust; declaration of rights; constructive discharge; defamation and fraud. We have asserted counterclaims for breach of contract, theft of trade secrets, and misappropriation.</w:t>
      </w:r>
    </w:p>
    <w:p>
      <w:pPr>
        <w:spacing w:after="0" w:line="23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a result of amended pleadings, motion practice and appeals to date, twelve of Mr. Benzies’ claims have been dismissed, leaving only six remaining claims: breach of various contracts, constructive discharge, breach of implied duty of good faith and fair dealing, and tortious interference with contract. Our federal court action has been stayed pending the conclusion of the state court action. We believe that we have meritorious defenses to the remaining claims, and we intend to vigorously defend against them and to pursue our counterclaims.</w:t>
      </w:r>
    </w:p>
    <w:p>
      <w:pPr>
        <w:spacing w:after="0" w:line="237"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Mine Safety Disclosures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719" w:right="239" w:bottom="1440" w:gutter="0" w:footer="0" w:header="0"/>
        </w:sectPr>
      </w:pPr>
    </w:p>
    <w:bookmarkStart w:id="23" w:name="page24"/>
    <w:bookmarkEnd w:id="23"/>
    <w:p>
      <w:pPr>
        <w:spacing w:after="0"/>
        <w:rPr>
          <w:sz w:val="20"/>
          <w:szCs w:val="20"/>
          <w:color w:val="auto"/>
        </w:rPr>
      </w:pPr>
      <w:r>
        <w:rPr>
          <w:rFonts w:ascii="Arial" w:cs="Arial" w:eastAsia="Arial" w:hAnsi="Arial"/>
          <w:sz w:val="18"/>
          <w:szCs w:val="18"/>
          <w:b w:val="1"/>
          <w:bCs w:val="1"/>
          <w:color w:val="auto"/>
        </w:rPr>
        <w:t>PART II</w:t>
      </w:r>
    </w:p>
    <w:p>
      <w:pPr>
        <w:spacing w:after="0" w:line="279"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Market for Registrant's Common Equity, Related Stockholder Matters and Issuer Purchases of Equity Securities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 Information and Holders</w:t>
      </w:r>
    </w:p>
    <w:p>
      <w:pPr>
        <w:spacing w:after="0" w:line="27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Our common stock trades on the NASDAQ Global Select Market under the symbol "TTWO." The following table sets forth, for the periods indicated, the range of the high and low sale prices for our common stock as reported by NASDAQ.</w:t>
      </w:r>
    </w:p>
    <w:p>
      <w:pPr>
        <w:spacing w:after="0" w:line="311" w:lineRule="exact"/>
        <w:rPr>
          <w:sz w:val="20"/>
          <w:szCs w:val="20"/>
          <w:color w:val="auto"/>
        </w:rPr>
      </w:pPr>
    </w:p>
    <w:tbl>
      <w:tblPr>
        <w:tblLayout w:type="fixed"/>
        <w:tblInd w:w="1620" w:type="dxa"/>
        <w:tblCellMar>
          <w:top w:w="0" w:type="dxa"/>
          <w:left w:w="0" w:type="dxa"/>
          <w:bottom w:w="0" w:type="dxa"/>
          <w:right w:w="0" w:type="dxa"/>
        </w:tblCellMar>
      </w:tblPr>
      <w:tr>
        <w:trPr>
          <w:trHeight w:val="192"/>
        </w:trPr>
        <w:tc>
          <w:tcPr>
            <w:tcW w:w="62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40" w:type="dxa"/>
            <w:vAlign w:val="bottom"/>
            <w:gridSpan w:val="2"/>
          </w:tcPr>
          <w:p>
            <w:pPr>
              <w:ind w:left="100"/>
              <w:spacing w:after="0"/>
              <w:rPr>
                <w:sz w:val="20"/>
                <w:szCs w:val="20"/>
                <w:color w:val="auto"/>
              </w:rPr>
            </w:pPr>
            <w:r>
              <w:rPr>
                <w:rFonts w:ascii="Arial" w:cs="Arial" w:eastAsia="Arial" w:hAnsi="Arial"/>
                <w:sz w:val="14"/>
                <w:szCs w:val="14"/>
                <w:b w:val="1"/>
                <w:bCs w:val="1"/>
                <w:color w:val="auto"/>
              </w:rPr>
              <w:t>High</w:t>
            </w:r>
          </w:p>
        </w:tc>
        <w:tc>
          <w:tcPr>
            <w:tcW w:w="220" w:type="dxa"/>
            <w:vAlign w:val="bottom"/>
          </w:tcPr>
          <w:p>
            <w:pPr>
              <w:spacing w:after="0"/>
              <w:rPr>
                <w:sz w:val="16"/>
                <w:szCs w:val="16"/>
                <w:color w:val="auto"/>
              </w:rPr>
            </w:pPr>
          </w:p>
        </w:tc>
        <w:tc>
          <w:tcPr>
            <w:tcW w:w="700" w:type="dxa"/>
            <w:vAlign w:val="bottom"/>
          </w:tcPr>
          <w:p>
            <w:pPr>
              <w:jc w:val="right"/>
              <w:ind w:right="252"/>
              <w:spacing w:after="0"/>
              <w:rPr>
                <w:sz w:val="20"/>
                <w:szCs w:val="20"/>
                <w:color w:val="auto"/>
              </w:rPr>
            </w:pPr>
            <w:r>
              <w:rPr>
                <w:rFonts w:ascii="Arial" w:cs="Arial" w:eastAsia="Arial" w:hAnsi="Arial"/>
                <w:sz w:val="14"/>
                <w:szCs w:val="14"/>
                <w:b w:val="1"/>
                <w:bCs w:val="1"/>
                <w:color w:val="auto"/>
              </w:rPr>
              <w:t>Low</w:t>
            </w:r>
          </w:p>
        </w:tc>
      </w:tr>
      <w:tr>
        <w:trPr>
          <w:trHeight w:val="250"/>
        </w:trPr>
        <w:tc>
          <w:tcPr>
            <w:tcW w:w="62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b w:val="1"/>
                <w:bCs w:val="1"/>
                <w:color w:val="auto"/>
              </w:rPr>
              <w:t>Fiscal Year Ended March 31, 2018</w:t>
            </w:r>
          </w:p>
        </w:tc>
        <w:tc>
          <w:tcPr>
            <w:tcW w:w="200" w:type="dxa"/>
            <w:vAlign w:val="bottom"/>
            <w:tcBorders>
              <w:top w:val="single" w:sz="8" w:color="auto"/>
              <w:bottom w:val="single" w:sz="8" w:color="CCEEFF"/>
            </w:tcBorders>
            <w:shd w:val="clear" w:color="auto" w:fill="CCEEFF"/>
          </w:tcPr>
          <w:p>
            <w:pPr>
              <w:spacing w:after="0"/>
              <w:rPr>
                <w:sz w:val="21"/>
                <w:szCs w:val="21"/>
                <w:color w:val="auto"/>
              </w:rPr>
            </w:pPr>
          </w:p>
        </w:tc>
        <w:tc>
          <w:tcPr>
            <w:tcW w:w="72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spacing w:after="0"/>
              <w:rPr>
                <w:sz w:val="21"/>
                <w:szCs w:val="21"/>
                <w:color w:val="auto"/>
              </w:rPr>
            </w:pPr>
          </w:p>
        </w:tc>
        <w:tc>
          <w:tcPr>
            <w:tcW w:w="700" w:type="dxa"/>
            <w:vAlign w:val="bottom"/>
            <w:tcBorders>
              <w:top w:val="single" w:sz="8" w:color="auto"/>
              <w:bottom w:val="single" w:sz="8" w:color="CCEEFF"/>
            </w:tcBorders>
            <w:shd w:val="clear" w:color="auto" w:fill="CCEEFF"/>
          </w:tcPr>
          <w:p>
            <w:pPr>
              <w:spacing w:after="0"/>
              <w:rPr>
                <w:sz w:val="21"/>
                <w:szCs w:val="21"/>
                <w:color w:val="auto"/>
              </w:rPr>
            </w:pPr>
          </w:p>
        </w:tc>
      </w:tr>
      <w:tr>
        <w:trPr>
          <w:trHeight w:val="243"/>
        </w:trPr>
        <w:tc>
          <w:tcPr>
            <w:tcW w:w="6240" w:type="dxa"/>
            <w:vAlign w:val="bottom"/>
          </w:tcPr>
          <w:p>
            <w:pPr>
              <w:ind w:left="20"/>
              <w:spacing w:after="0"/>
              <w:rPr>
                <w:sz w:val="20"/>
                <w:szCs w:val="20"/>
                <w:color w:val="auto"/>
              </w:rPr>
            </w:pPr>
            <w:r>
              <w:rPr>
                <w:rFonts w:ascii="Arial" w:cs="Arial" w:eastAsia="Arial" w:hAnsi="Arial"/>
                <w:sz w:val="18"/>
                <w:szCs w:val="18"/>
                <w:color w:val="auto"/>
              </w:rPr>
              <w:t>First Quarter ended June 30, 2017</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79.77</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57.53</w:t>
            </w:r>
          </w:p>
        </w:tc>
      </w:tr>
      <w:tr>
        <w:trPr>
          <w:trHeight w:val="27"/>
        </w:trPr>
        <w:tc>
          <w:tcPr>
            <w:tcW w:w="6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6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Second Quarter ended September 30, 2017</w:t>
            </w:r>
          </w:p>
        </w:tc>
        <w:tc>
          <w:tcPr>
            <w:tcW w:w="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102.96</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72.07</w:t>
            </w:r>
          </w:p>
        </w:tc>
      </w:tr>
      <w:tr>
        <w:trPr>
          <w:trHeight w:val="243"/>
        </w:trPr>
        <w:tc>
          <w:tcPr>
            <w:tcW w:w="6240" w:type="dxa"/>
            <w:vAlign w:val="bottom"/>
          </w:tcPr>
          <w:p>
            <w:pPr>
              <w:ind w:left="20"/>
              <w:spacing w:after="0"/>
              <w:rPr>
                <w:sz w:val="20"/>
                <w:szCs w:val="20"/>
                <w:color w:val="auto"/>
              </w:rPr>
            </w:pPr>
            <w:r>
              <w:rPr>
                <w:rFonts w:ascii="Arial" w:cs="Arial" w:eastAsia="Arial" w:hAnsi="Arial"/>
                <w:sz w:val="18"/>
                <w:szCs w:val="18"/>
                <w:color w:val="auto"/>
              </w:rPr>
              <w:t>Third Quarter ended December 31, 2017</w:t>
            </w:r>
          </w:p>
        </w:tc>
        <w:tc>
          <w:tcPr>
            <w:tcW w:w="20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119.02</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100.43</w:t>
            </w:r>
          </w:p>
        </w:tc>
      </w:tr>
      <w:tr>
        <w:trPr>
          <w:trHeight w:val="27"/>
        </w:trPr>
        <w:tc>
          <w:tcPr>
            <w:tcW w:w="6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6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Fourth Quarter ended March 31, 2018</w:t>
            </w:r>
          </w:p>
        </w:tc>
        <w:tc>
          <w:tcPr>
            <w:tcW w:w="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126.67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97.46</w:t>
            </w:r>
          </w:p>
        </w:tc>
      </w:tr>
      <w:tr>
        <w:trPr>
          <w:trHeight w:val="243"/>
        </w:trPr>
        <w:tc>
          <w:tcPr>
            <w:tcW w:w="6240" w:type="dxa"/>
            <w:vAlign w:val="bottom"/>
          </w:tcPr>
          <w:p>
            <w:pPr>
              <w:ind w:left="20"/>
              <w:spacing w:after="0"/>
              <w:rPr>
                <w:sz w:val="20"/>
                <w:szCs w:val="20"/>
                <w:color w:val="auto"/>
              </w:rPr>
            </w:pPr>
            <w:r>
              <w:rPr>
                <w:rFonts w:ascii="Arial" w:cs="Arial" w:eastAsia="Arial" w:hAnsi="Arial"/>
                <w:sz w:val="18"/>
                <w:szCs w:val="18"/>
                <w:b w:val="1"/>
                <w:bCs w:val="1"/>
                <w:color w:val="auto"/>
              </w:rPr>
              <w:t>Fiscal Year Ended March 31, 2017</w:t>
            </w:r>
          </w:p>
        </w:tc>
        <w:tc>
          <w:tcPr>
            <w:tcW w:w="2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spacing w:after="0"/>
              <w:rPr>
                <w:sz w:val="21"/>
                <w:szCs w:val="21"/>
                <w:color w:val="auto"/>
              </w:rPr>
            </w:pPr>
          </w:p>
        </w:tc>
      </w:tr>
      <w:tr>
        <w:trPr>
          <w:trHeight w:val="270"/>
        </w:trPr>
        <w:tc>
          <w:tcPr>
            <w:tcW w:w="6240" w:type="dxa"/>
            <w:vAlign w:val="bottom"/>
          </w:tcPr>
          <w:p>
            <w:pPr>
              <w:ind w:left="20"/>
              <w:spacing w:after="0"/>
              <w:rPr>
                <w:sz w:val="20"/>
                <w:szCs w:val="20"/>
                <w:color w:val="auto"/>
              </w:rPr>
            </w:pPr>
            <w:r>
              <w:rPr>
                <w:rFonts w:ascii="Arial" w:cs="Arial" w:eastAsia="Arial" w:hAnsi="Arial"/>
                <w:sz w:val="18"/>
                <w:szCs w:val="18"/>
                <w:color w:val="auto"/>
              </w:rPr>
              <w:t>First Quarter ended June 30, 2016</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720" w:type="dxa"/>
            <w:vAlign w:val="bottom"/>
          </w:tcPr>
          <w:p>
            <w:pPr>
              <w:jc w:val="right"/>
              <w:spacing w:after="0"/>
              <w:rPr>
                <w:sz w:val="20"/>
                <w:szCs w:val="20"/>
                <w:color w:val="auto"/>
              </w:rPr>
            </w:pPr>
            <w:r>
              <w:rPr>
                <w:rFonts w:ascii="Arial" w:cs="Arial" w:eastAsia="Arial" w:hAnsi="Arial"/>
                <w:sz w:val="18"/>
                <w:szCs w:val="18"/>
                <w:color w:val="auto"/>
              </w:rPr>
              <w:t>40.17</w:t>
            </w:r>
          </w:p>
        </w:tc>
        <w:tc>
          <w:tcPr>
            <w:tcW w:w="120" w:type="dxa"/>
            <w:vAlign w:val="bottom"/>
          </w:tcPr>
          <w:p>
            <w:pPr>
              <w:spacing w:after="0"/>
              <w:rPr>
                <w:sz w:val="23"/>
                <w:szCs w:val="23"/>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33.06</w:t>
            </w:r>
          </w:p>
        </w:tc>
      </w:tr>
      <w:tr>
        <w:trPr>
          <w:trHeight w:val="27"/>
        </w:trPr>
        <w:tc>
          <w:tcPr>
            <w:tcW w:w="6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50"/>
        </w:trPr>
        <w:tc>
          <w:tcPr>
            <w:tcW w:w="62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Second Quarter ended September 30, 2016</w:t>
            </w:r>
          </w:p>
        </w:tc>
        <w:tc>
          <w:tcPr>
            <w:tcW w:w="20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46.78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37.64</w:t>
            </w:r>
          </w:p>
        </w:tc>
      </w:tr>
      <w:tr>
        <w:trPr>
          <w:trHeight w:val="243"/>
        </w:trPr>
        <w:tc>
          <w:tcPr>
            <w:tcW w:w="6240" w:type="dxa"/>
            <w:vAlign w:val="bottom"/>
          </w:tcPr>
          <w:p>
            <w:pPr>
              <w:ind w:left="20"/>
              <w:spacing w:after="0"/>
              <w:rPr>
                <w:sz w:val="20"/>
                <w:szCs w:val="20"/>
                <w:color w:val="auto"/>
              </w:rPr>
            </w:pPr>
            <w:r>
              <w:rPr>
                <w:rFonts w:ascii="Arial" w:cs="Arial" w:eastAsia="Arial" w:hAnsi="Arial"/>
                <w:sz w:val="18"/>
                <w:szCs w:val="18"/>
                <w:color w:val="auto"/>
              </w:rPr>
              <w:t>Third Quarter ended December 31, 2016</w:t>
            </w:r>
          </w:p>
        </w:tc>
        <w:tc>
          <w:tcPr>
            <w:tcW w:w="20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51.34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41.70</w:t>
            </w:r>
          </w:p>
        </w:tc>
      </w:tr>
      <w:tr>
        <w:trPr>
          <w:trHeight w:val="27"/>
        </w:trPr>
        <w:tc>
          <w:tcPr>
            <w:tcW w:w="6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00" w:type="dxa"/>
            <w:vAlign w:val="bottom"/>
          </w:tcPr>
          <w:p>
            <w:pPr>
              <w:spacing w:after="0"/>
              <w:rPr>
                <w:sz w:val="2"/>
                <w:szCs w:val="2"/>
                <w:color w:val="auto"/>
              </w:rPr>
            </w:pPr>
          </w:p>
        </w:tc>
      </w:tr>
      <w:tr>
        <w:trPr>
          <w:trHeight w:val="243"/>
        </w:trPr>
        <w:tc>
          <w:tcPr>
            <w:tcW w:w="6240" w:type="dxa"/>
            <w:vAlign w:val="bottom"/>
            <w:shd w:val="clear" w:color="auto" w:fill="CCEEFF"/>
          </w:tcPr>
          <w:p>
            <w:pPr>
              <w:ind w:left="20"/>
              <w:spacing w:after="0"/>
              <w:rPr>
                <w:sz w:val="20"/>
                <w:szCs w:val="20"/>
                <w:color w:val="auto"/>
              </w:rPr>
            </w:pPr>
            <w:r>
              <w:rPr>
                <w:rFonts w:ascii="Arial" w:cs="Arial" w:eastAsia="Arial" w:hAnsi="Arial"/>
                <w:sz w:val="18"/>
                <w:szCs w:val="18"/>
                <w:color w:val="auto"/>
              </w:rPr>
              <w:t>Fourth Quarter ended March 31, 2017</w:t>
            </w:r>
          </w:p>
        </w:tc>
        <w:tc>
          <w:tcPr>
            <w:tcW w:w="200" w:type="dxa"/>
            <w:vAlign w:val="bottom"/>
            <w:shd w:val="clear" w:color="auto" w:fill="CCEEFF"/>
          </w:tcPr>
          <w:p>
            <w:pPr>
              <w:spacing w:after="0"/>
              <w:rPr>
                <w:sz w:val="21"/>
                <w:szCs w:val="21"/>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60.20</w:t>
            </w:r>
          </w:p>
        </w:tc>
        <w:tc>
          <w:tcPr>
            <w:tcW w:w="120" w:type="dxa"/>
            <w:vAlign w:val="bottom"/>
            <w:shd w:val="clear" w:color="auto" w:fill="CCEEFF"/>
          </w:tcPr>
          <w:p>
            <w:pPr>
              <w:spacing w:after="0"/>
              <w:rPr>
                <w:sz w:val="21"/>
                <w:szCs w:val="21"/>
                <w:color w:val="auto"/>
              </w:rPr>
            </w:pPr>
          </w:p>
        </w:tc>
        <w:tc>
          <w:tcPr>
            <w:tcW w:w="220" w:type="dxa"/>
            <w:vAlign w:val="bottom"/>
            <w:shd w:val="clear" w:color="auto" w:fill="CCEEFF"/>
          </w:tcPr>
          <w:p>
            <w:pPr>
              <w:spacing w:after="0"/>
              <w:rPr>
                <w:sz w:val="21"/>
                <w:szCs w:val="21"/>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48.58</w:t>
            </w:r>
          </w:p>
        </w:tc>
      </w:tr>
      <w:tr>
        <w:trPr>
          <w:trHeight w:val="27"/>
        </w:trPr>
        <w:tc>
          <w:tcPr>
            <w:tcW w:w="6240" w:type="dxa"/>
            <w:vAlign w:val="bottom"/>
            <w:shd w:val="clear" w:color="auto" w:fill="CCEEFF"/>
          </w:tcPr>
          <w:p>
            <w:pPr>
              <w:spacing w:after="0"/>
              <w:rPr>
                <w:sz w:val="2"/>
                <w:szCs w:val="2"/>
                <w:color w:val="auto"/>
              </w:rPr>
            </w:pPr>
          </w:p>
        </w:tc>
        <w:tc>
          <w:tcPr>
            <w:tcW w:w="200" w:type="dxa"/>
            <w:vAlign w:val="bottom"/>
            <w:shd w:val="clear" w:color="auto" w:fill="CCEEFF"/>
          </w:tcPr>
          <w:p>
            <w:pPr>
              <w:spacing w:after="0"/>
              <w:rPr>
                <w:sz w:val="2"/>
                <w:szCs w:val="2"/>
                <w:color w:val="auto"/>
              </w:rPr>
            </w:pPr>
          </w:p>
        </w:tc>
        <w:tc>
          <w:tcPr>
            <w:tcW w:w="72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700" w:type="dxa"/>
            <w:vAlign w:val="bottom"/>
            <w:shd w:val="clear" w:color="auto" w:fill="CCEEFF"/>
          </w:tcPr>
          <w:p>
            <w:pPr>
              <w:spacing w:after="0"/>
              <w:rPr>
                <w:sz w:val="2"/>
                <w:szCs w:val="2"/>
                <w:color w:val="auto"/>
              </w:rPr>
            </w:pPr>
          </w:p>
        </w:tc>
      </w:tr>
    </w:tbl>
    <w:p>
      <w:pPr>
        <w:spacing w:after="0" w:line="121" w:lineRule="exact"/>
        <w:rPr>
          <w:sz w:val="20"/>
          <w:szCs w:val="20"/>
          <w:color w:val="auto"/>
        </w:rPr>
      </w:pPr>
    </w:p>
    <w:p>
      <w:pPr>
        <w:spacing w:after="0"/>
        <w:rPr>
          <w:sz w:val="20"/>
          <w:szCs w:val="20"/>
          <w:color w:val="auto"/>
        </w:rPr>
      </w:pPr>
      <w:r>
        <w:rPr>
          <w:rFonts w:ascii="Arial" w:cs="Arial" w:eastAsia="Arial" w:hAnsi="Arial"/>
          <w:sz w:val="18"/>
          <w:szCs w:val="18"/>
          <w:color w:val="auto"/>
        </w:rPr>
        <w:t>The number of record holders of our common stock was 58 as of May 8, 2018.</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Dividend Policy</w:t>
      </w:r>
    </w:p>
    <w:p>
      <w:pPr>
        <w:spacing w:after="0" w:line="279" w:lineRule="exact"/>
        <w:rPr>
          <w:sz w:val="20"/>
          <w:szCs w:val="20"/>
          <w:color w:val="auto"/>
        </w:rPr>
      </w:pPr>
    </w:p>
    <w:p>
      <w:pPr>
        <w:jc w:val="both"/>
        <w:ind w:right="20"/>
        <w:spacing w:after="0" w:line="279" w:lineRule="auto"/>
        <w:rPr>
          <w:sz w:val="20"/>
          <w:szCs w:val="20"/>
          <w:color w:val="auto"/>
        </w:rPr>
      </w:pPr>
      <w:r>
        <w:rPr>
          <w:rFonts w:ascii="Arial" w:cs="Arial" w:eastAsia="Arial" w:hAnsi="Arial"/>
          <w:sz w:val="17"/>
          <w:szCs w:val="17"/>
          <w:color w:val="auto"/>
        </w:rPr>
        <w:t>We have never declared or paid cash dividends. We currently anticipate that all future earnings will be retained to finance the growth of our business and we do not expect to declare or pay any cash dividends in the foreseeable future. The payment of dividends in the future is within the discretion of our Board of Directors and will depend upon future earnings, capital requirements and other relevant factors. Our Credit Agreement restricts the payment of dividends on our stock. See "Liquidity and Capital Resources" under Item 7 for additional information on our Credit Agreement.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Securities Authorized for Issuance under Equity Compensation Plans</w:t>
      </w:r>
    </w:p>
    <w:p>
      <w:pPr>
        <w:spacing w:after="0" w:line="27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table setting forth this information is included in Part III—Item 12, Security Ownership of Certain Beneficial Owners and Management and Related Stockholder Matters.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 Performance Graph</w:t>
      </w:r>
    </w:p>
    <w:p>
      <w:pPr>
        <w:spacing w:after="0" w:line="27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following line graph compares, from March 31, 2013 through March 31, 2018, the cumulative total stockholder return on our common stock with the cumulative total return on the stocks comprising the NASDAQ Composite Index and the stocks comprising a peer group index consisting of Activision Blizzard, Inc. and Electronic Arts Inc. The comparison assumes $100 was invested on March 31, 2013 in our common stock and in each of the following indices and assumes reinvestment of all cash dividends, if any, paid on such securities. We have not paid any cash dividends and, therefore, our cumulative total return calculation is based solely upon stock price appreciation and not upon reinvestment of cash dividends. Historical stock price is not necessarily indicative of future stock price performance.</w:t>
      </w:r>
    </w:p>
    <w:p>
      <w:pPr>
        <w:spacing w:after="0" w:line="3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715" w:right="239" w:bottom="1440" w:gutter="0" w:footer="0" w:header="0"/>
        </w:sectPr>
      </w:pPr>
    </w:p>
    <w:bookmarkStart w:id="24" w:name="page25"/>
    <w:bookmarkEnd w:id="24"/>
    <w:p>
      <w:pPr>
        <w:jc w:val="center"/>
        <w:spacing w:after="0" w:line="442" w:lineRule="auto"/>
        <w:rPr>
          <w:sz w:val="20"/>
          <w:szCs w:val="20"/>
          <w:color w:val="auto"/>
        </w:rPr>
      </w:pPr>
      <w:r>
        <w:rPr>
          <w:rFonts w:ascii="Arial" w:cs="Arial" w:eastAsia="Arial" w:hAnsi="Arial"/>
          <w:sz w:val="18"/>
          <w:szCs w:val="18"/>
          <w:b w:val="1"/>
          <w:bCs w:val="1"/>
          <w:color w:val="auto"/>
        </w:rPr>
        <w:t>Comparison of 5 Year Cumulative Total Return* Among Take-Two Interactive Software, Inc., the NASDAQ Composite Index and a Peer Group March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299085</wp:posOffset>
            </wp:positionV>
            <wp:extent cx="5866130" cy="26155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66130" cy="26155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spacing w:after="0"/>
        <w:rPr>
          <w:sz w:val="20"/>
          <w:szCs w:val="20"/>
          <w:color w:val="auto"/>
        </w:rPr>
      </w:pPr>
      <w:r>
        <w:rPr>
          <w:rFonts w:ascii="Arial" w:cs="Arial" w:eastAsia="Arial" w:hAnsi="Arial"/>
          <w:sz w:val="18"/>
          <w:szCs w:val="18"/>
          <w:color w:val="auto"/>
        </w:rPr>
        <w:t>* $100 invested on March 31, 2013 in stock or index - including reinvestment of dividends.</w:t>
      </w:r>
    </w:p>
    <w:p>
      <w:pPr>
        <w:spacing w:after="0" w:line="230"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46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March 31,</w:t>
            </w:r>
          </w:p>
        </w:tc>
        <w:tc>
          <w:tcPr>
            <w:tcW w:w="7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r>
      <w:tr>
        <w:trPr>
          <w:trHeight w:val="264"/>
        </w:trPr>
        <w:tc>
          <w:tcPr>
            <w:tcW w:w="466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2013</w:t>
            </w:r>
          </w:p>
        </w:tc>
        <w:tc>
          <w:tcPr>
            <w:tcW w:w="12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2014</w:t>
            </w:r>
          </w:p>
        </w:tc>
        <w:tc>
          <w:tcPr>
            <w:tcW w:w="12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7"/>
              <w:spacing w:after="0"/>
              <w:rPr>
                <w:sz w:val="20"/>
                <w:szCs w:val="20"/>
                <w:color w:val="auto"/>
              </w:rPr>
            </w:pPr>
            <w:r>
              <w:rPr>
                <w:rFonts w:ascii="Arial" w:cs="Arial" w:eastAsia="Arial" w:hAnsi="Arial"/>
                <w:sz w:val="14"/>
                <w:szCs w:val="14"/>
                <w:b w:val="1"/>
                <w:bCs w:val="1"/>
                <w:color w:val="auto"/>
              </w:rPr>
              <w:t>2015</w:t>
            </w:r>
          </w:p>
        </w:tc>
        <w:tc>
          <w:tcPr>
            <w:tcW w:w="100" w:type="dxa"/>
            <w:vAlign w:val="bottom"/>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72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78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80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2018</w:t>
            </w:r>
          </w:p>
        </w:tc>
      </w:tr>
      <w:tr>
        <w:trPr>
          <w:trHeight w:val="243"/>
        </w:trPr>
        <w:tc>
          <w:tcPr>
            <w:tcW w:w="4660" w:type="dxa"/>
            <w:vAlign w:val="bottom"/>
          </w:tcPr>
          <w:p>
            <w:pPr>
              <w:spacing w:after="0"/>
              <w:rPr>
                <w:sz w:val="20"/>
                <w:szCs w:val="20"/>
                <w:color w:val="auto"/>
              </w:rPr>
            </w:pPr>
            <w:r>
              <w:rPr>
                <w:rFonts w:ascii="Arial" w:cs="Arial" w:eastAsia="Arial" w:hAnsi="Arial"/>
                <w:sz w:val="18"/>
                <w:szCs w:val="18"/>
                <w:color w:val="auto"/>
              </w:rPr>
              <w:t>Take-Two Interactive Software, Inc.</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ind w:right="14"/>
              <w:spacing w:after="0"/>
              <w:rPr>
                <w:sz w:val="20"/>
                <w:szCs w:val="20"/>
                <w:color w:val="auto"/>
              </w:rPr>
            </w:pPr>
            <w:r>
              <w:rPr>
                <w:rFonts w:ascii="Arial" w:cs="Arial" w:eastAsia="Arial" w:hAnsi="Arial"/>
                <w:sz w:val="18"/>
                <w:szCs w:val="18"/>
                <w:color w:val="auto"/>
              </w:rPr>
              <w:t>100.00</w:t>
            </w:r>
          </w:p>
        </w:tc>
        <w:tc>
          <w:tcPr>
            <w:tcW w:w="12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ind w:right="34"/>
              <w:spacing w:after="0"/>
              <w:rPr>
                <w:sz w:val="20"/>
                <w:szCs w:val="20"/>
                <w:color w:val="auto"/>
              </w:rPr>
            </w:pPr>
            <w:r>
              <w:rPr>
                <w:rFonts w:ascii="Arial" w:cs="Arial" w:eastAsia="Arial" w:hAnsi="Arial"/>
                <w:sz w:val="18"/>
                <w:szCs w:val="18"/>
                <w:color w:val="auto"/>
              </w:rPr>
              <w:t>135.79</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ind w:right="37"/>
              <w:spacing w:after="0"/>
              <w:rPr>
                <w:sz w:val="20"/>
                <w:szCs w:val="20"/>
                <w:color w:val="auto"/>
              </w:rPr>
            </w:pPr>
            <w:r>
              <w:rPr>
                <w:rFonts w:ascii="Arial" w:cs="Arial" w:eastAsia="Arial" w:hAnsi="Arial"/>
                <w:sz w:val="18"/>
                <w:szCs w:val="18"/>
                <w:color w:val="auto"/>
              </w:rPr>
              <w:t>157.65</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720" w:type="dxa"/>
            <w:vAlign w:val="bottom"/>
          </w:tcPr>
          <w:p>
            <w:pPr>
              <w:jc w:val="right"/>
              <w:ind w:right="34"/>
              <w:spacing w:after="0"/>
              <w:rPr>
                <w:sz w:val="20"/>
                <w:szCs w:val="20"/>
                <w:color w:val="auto"/>
              </w:rPr>
            </w:pPr>
            <w:r>
              <w:rPr>
                <w:rFonts w:ascii="Arial" w:cs="Arial" w:eastAsia="Arial" w:hAnsi="Arial"/>
                <w:sz w:val="18"/>
                <w:szCs w:val="18"/>
                <w:color w:val="auto"/>
              </w:rPr>
              <w:t>233.25</w:t>
            </w:r>
          </w:p>
        </w:tc>
        <w:tc>
          <w:tcPr>
            <w:tcW w:w="100" w:type="dxa"/>
            <w:vAlign w:val="bottom"/>
          </w:tcPr>
          <w:p>
            <w:pPr>
              <w:spacing w:after="0"/>
              <w:rPr>
                <w:sz w:val="21"/>
                <w:szCs w:val="21"/>
                <w:color w:val="auto"/>
              </w:rPr>
            </w:pP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780" w:type="dxa"/>
            <w:vAlign w:val="bottom"/>
          </w:tcPr>
          <w:p>
            <w:pPr>
              <w:jc w:val="right"/>
              <w:ind w:right="14"/>
              <w:spacing w:after="0"/>
              <w:rPr>
                <w:sz w:val="20"/>
                <w:szCs w:val="20"/>
                <w:color w:val="auto"/>
              </w:rPr>
            </w:pPr>
            <w:r>
              <w:rPr>
                <w:rFonts w:ascii="Arial" w:cs="Arial" w:eastAsia="Arial" w:hAnsi="Arial"/>
                <w:sz w:val="18"/>
                <w:szCs w:val="18"/>
                <w:color w:val="auto"/>
              </w:rPr>
              <w:t>367.00</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800" w:type="dxa"/>
            <w:vAlign w:val="bottom"/>
          </w:tcPr>
          <w:p>
            <w:pPr>
              <w:jc w:val="right"/>
              <w:ind w:right="34"/>
              <w:spacing w:after="0"/>
              <w:rPr>
                <w:sz w:val="20"/>
                <w:szCs w:val="20"/>
                <w:color w:val="auto"/>
              </w:rPr>
            </w:pPr>
            <w:r>
              <w:rPr>
                <w:rFonts w:ascii="Arial" w:cs="Arial" w:eastAsia="Arial" w:hAnsi="Arial"/>
                <w:sz w:val="18"/>
                <w:szCs w:val="18"/>
                <w:color w:val="auto"/>
              </w:rPr>
              <w:t>605.45</w:t>
            </w:r>
          </w:p>
        </w:tc>
      </w:tr>
      <w:tr>
        <w:trPr>
          <w:trHeight w:val="270"/>
        </w:trPr>
        <w:tc>
          <w:tcPr>
            <w:tcW w:w="4660" w:type="dxa"/>
            <w:vAlign w:val="bottom"/>
          </w:tcPr>
          <w:p>
            <w:pPr>
              <w:spacing w:after="0"/>
              <w:rPr>
                <w:sz w:val="20"/>
                <w:szCs w:val="20"/>
                <w:color w:val="auto"/>
              </w:rPr>
            </w:pPr>
            <w:r>
              <w:rPr>
                <w:rFonts w:ascii="Arial" w:cs="Arial" w:eastAsia="Arial" w:hAnsi="Arial"/>
                <w:sz w:val="18"/>
                <w:szCs w:val="18"/>
                <w:color w:val="auto"/>
              </w:rPr>
              <w:t>NASDAQ Composite Index</w:t>
            </w:r>
          </w:p>
        </w:tc>
        <w:tc>
          <w:tcPr>
            <w:tcW w:w="240" w:type="dxa"/>
            <w:vAlign w:val="bottom"/>
          </w:tcPr>
          <w:p>
            <w:pPr>
              <w:spacing w:after="0"/>
              <w:rPr>
                <w:sz w:val="23"/>
                <w:szCs w:val="23"/>
                <w:color w:val="auto"/>
              </w:rPr>
            </w:pPr>
          </w:p>
        </w:tc>
        <w:tc>
          <w:tcPr>
            <w:tcW w:w="800" w:type="dxa"/>
            <w:vAlign w:val="bottom"/>
          </w:tcPr>
          <w:p>
            <w:pPr>
              <w:jc w:val="right"/>
              <w:ind w:right="14"/>
              <w:spacing w:after="0"/>
              <w:rPr>
                <w:sz w:val="20"/>
                <w:szCs w:val="20"/>
                <w:color w:val="auto"/>
              </w:rPr>
            </w:pPr>
            <w:r>
              <w:rPr>
                <w:rFonts w:ascii="Arial" w:cs="Arial" w:eastAsia="Arial" w:hAnsi="Arial"/>
                <w:sz w:val="18"/>
                <w:szCs w:val="18"/>
                <w:color w:val="auto"/>
              </w:rPr>
              <w:t>100.00</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80" w:type="dxa"/>
            <w:vAlign w:val="bottom"/>
          </w:tcPr>
          <w:p>
            <w:pPr>
              <w:jc w:val="right"/>
              <w:ind w:right="34"/>
              <w:spacing w:after="0"/>
              <w:rPr>
                <w:sz w:val="20"/>
                <w:szCs w:val="20"/>
                <w:color w:val="auto"/>
              </w:rPr>
            </w:pPr>
            <w:r>
              <w:rPr>
                <w:rFonts w:ascii="Arial" w:cs="Arial" w:eastAsia="Arial" w:hAnsi="Arial"/>
                <w:sz w:val="18"/>
                <w:szCs w:val="18"/>
                <w:color w:val="auto"/>
              </w:rPr>
              <w:t>130.18</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37"/>
              <w:spacing w:after="0"/>
              <w:rPr>
                <w:sz w:val="20"/>
                <w:szCs w:val="20"/>
                <w:color w:val="auto"/>
              </w:rPr>
            </w:pPr>
            <w:r>
              <w:rPr>
                <w:rFonts w:ascii="Arial" w:cs="Arial" w:eastAsia="Arial" w:hAnsi="Arial"/>
                <w:sz w:val="18"/>
                <w:szCs w:val="18"/>
                <w:color w:val="auto"/>
              </w:rPr>
              <w:t>153.76</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20" w:type="dxa"/>
            <w:vAlign w:val="bottom"/>
          </w:tcPr>
          <w:p>
            <w:pPr>
              <w:jc w:val="right"/>
              <w:ind w:right="34"/>
              <w:spacing w:after="0"/>
              <w:rPr>
                <w:sz w:val="20"/>
                <w:szCs w:val="20"/>
                <w:color w:val="auto"/>
              </w:rPr>
            </w:pPr>
            <w:r>
              <w:rPr>
                <w:rFonts w:ascii="Arial" w:cs="Arial" w:eastAsia="Arial" w:hAnsi="Arial"/>
                <w:sz w:val="18"/>
                <w:szCs w:val="18"/>
                <w:color w:val="auto"/>
              </w:rPr>
              <w:t>154.62</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80" w:type="dxa"/>
            <w:vAlign w:val="bottom"/>
          </w:tcPr>
          <w:p>
            <w:pPr>
              <w:jc w:val="right"/>
              <w:ind w:right="14"/>
              <w:spacing w:after="0"/>
              <w:rPr>
                <w:sz w:val="20"/>
                <w:szCs w:val="20"/>
                <w:color w:val="auto"/>
              </w:rPr>
            </w:pPr>
            <w:r>
              <w:rPr>
                <w:rFonts w:ascii="Arial" w:cs="Arial" w:eastAsia="Arial" w:hAnsi="Arial"/>
                <w:sz w:val="18"/>
                <w:szCs w:val="18"/>
                <w:color w:val="auto"/>
              </w:rPr>
              <w:t>189.99</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34"/>
              <w:spacing w:after="0"/>
              <w:rPr>
                <w:sz w:val="20"/>
                <w:szCs w:val="20"/>
                <w:color w:val="auto"/>
              </w:rPr>
            </w:pPr>
            <w:r>
              <w:rPr>
                <w:rFonts w:ascii="Arial" w:cs="Arial" w:eastAsia="Arial" w:hAnsi="Arial"/>
                <w:sz w:val="18"/>
                <w:szCs w:val="18"/>
                <w:color w:val="auto"/>
              </w:rPr>
              <w:t>229.43</w:t>
            </w:r>
          </w:p>
        </w:tc>
      </w:tr>
      <w:tr>
        <w:trPr>
          <w:trHeight w:val="270"/>
        </w:trPr>
        <w:tc>
          <w:tcPr>
            <w:tcW w:w="4660" w:type="dxa"/>
            <w:vAlign w:val="bottom"/>
          </w:tcPr>
          <w:p>
            <w:pPr>
              <w:spacing w:after="0"/>
              <w:rPr>
                <w:sz w:val="20"/>
                <w:szCs w:val="20"/>
                <w:color w:val="auto"/>
              </w:rPr>
            </w:pPr>
            <w:r>
              <w:rPr>
                <w:rFonts w:ascii="Arial" w:cs="Arial" w:eastAsia="Arial" w:hAnsi="Arial"/>
                <w:sz w:val="18"/>
                <w:szCs w:val="18"/>
                <w:color w:val="auto"/>
              </w:rPr>
              <w:t>Peer Group</w:t>
            </w:r>
          </w:p>
        </w:tc>
        <w:tc>
          <w:tcPr>
            <w:tcW w:w="240" w:type="dxa"/>
            <w:vAlign w:val="bottom"/>
          </w:tcPr>
          <w:p>
            <w:pPr>
              <w:spacing w:after="0"/>
              <w:rPr>
                <w:sz w:val="23"/>
                <w:szCs w:val="23"/>
                <w:color w:val="auto"/>
              </w:rPr>
            </w:pPr>
          </w:p>
        </w:tc>
        <w:tc>
          <w:tcPr>
            <w:tcW w:w="800" w:type="dxa"/>
            <w:vAlign w:val="bottom"/>
          </w:tcPr>
          <w:p>
            <w:pPr>
              <w:jc w:val="right"/>
              <w:ind w:right="14"/>
              <w:spacing w:after="0"/>
              <w:rPr>
                <w:sz w:val="20"/>
                <w:szCs w:val="20"/>
                <w:color w:val="auto"/>
              </w:rPr>
            </w:pPr>
            <w:r>
              <w:rPr>
                <w:rFonts w:ascii="Arial" w:cs="Arial" w:eastAsia="Arial" w:hAnsi="Arial"/>
                <w:sz w:val="18"/>
                <w:szCs w:val="18"/>
                <w:color w:val="auto"/>
              </w:rPr>
              <w:t>100.00</w:t>
            </w:r>
          </w:p>
        </w:tc>
        <w:tc>
          <w:tcPr>
            <w:tcW w:w="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80" w:type="dxa"/>
            <w:vAlign w:val="bottom"/>
          </w:tcPr>
          <w:p>
            <w:pPr>
              <w:jc w:val="right"/>
              <w:ind w:right="34"/>
              <w:spacing w:after="0"/>
              <w:rPr>
                <w:sz w:val="20"/>
                <w:szCs w:val="20"/>
                <w:color w:val="auto"/>
              </w:rPr>
            </w:pPr>
            <w:r>
              <w:rPr>
                <w:rFonts w:ascii="Arial" w:cs="Arial" w:eastAsia="Arial" w:hAnsi="Arial"/>
                <w:sz w:val="18"/>
                <w:szCs w:val="18"/>
                <w:color w:val="auto"/>
              </w:rPr>
              <w:t>147.14</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37"/>
              <w:spacing w:after="0"/>
              <w:rPr>
                <w:sz w:val="20"/>
                <w:szCs w:val="20"/>
                <w:color w:val="auto"/>
              </w:rPr>
            </w:pPr>
            <w:r>
              <w:rPr>
                <w:rFonts w:ascii="Arial" w:cs="Arial" w:eastAsia="Arial" w:hAnsi="Arial"/>
                <w:sz w:val="18"/>
                <w:szCs w:val="18"/>
                <w:color w:val="auto"/>
              </w:rPr>
              <w:t>216.02</w:t>
            </w: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720" w:type="dxa"/>
            <w:vAlign w:val="bottom"/>
          </w:tcPr>
          <w:p>
            <w:pPr>
              <w:jc w:val="right"/>
              <w:ind w:right="34"/>
              <w:spacing w:after="0"/>
              <w:rPr>
                <w:sz w:val="20"/>
                <w:szCs w:val="20"/>
                <w:color w:val="auto"/>
              </w:rPr>
            </w:pPr>
            <w:r>
              <w:rPr>
                <w:rFonts w:ascii="Arial" w:cs="Arial" w:eastAsia="Arial" w:hAnsi="Arial"/>
                <w:sz w:val="18"/>
                <w:szCs w:val="18"/>
                <w:color w:val="auto"/>
              </w:rPr>
              <w:t>281.44</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780" w:type="dxa"/>
            <w:vAlign w:val="bottom"/>
          </w:tcPr>
          <w:p>
            <w:pPr>
              <w:jc w:val="right"/>
              <w:ind w:right="14"/>
              <w:spacing w:after="0"/>
              <w:rPr>
                <w:sz w:val="20"/>
                <w:szCs w:val="20"/>
                <w:color w:val="auto"/>
              </w:rPr>
            </w:pPr>
            <w:r>
              <w:rPr>
                <w:rFonts w:ascii="Arial" w:cs="Arial" w:eastAsia="Arial" w:hAnsi="Arial"/>
                <w:sz w:val="18"/>
                <w:szCs w:val="18"/>
                <w:color w:val="auto"/>
              </w:rPr>
              <w:t>400.93</w:t>
            </w: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00" w:type="dxa"/>
            <w:vAlign w:val="bottom"/>
          </w:tcPr>
          <w:p>
            <w:pPr>
              <w:jc w:val="right"/>
              <w:ind w:right="34"/>
              <w:spacing w:after="0"/>
              <w:rPr>
                <w:sz w:val="20"/>
                <w:szCs w:val="20"/>
                <w:color w:val="auto"/>
              </w:rPr>
            </w:pPr>
            <w:r>
              <w:rPr>
                <w:rFonts w:ascii="Arial" w:cs="Arial" w:eastAsia="Arial" w:hAnsi="Arial"/>
                <w:sz w:val="18"/>
                <w:szCs w:val="18"/>
                <w:color w:val="auto"/>
              </w:rPr>
              <w:t>544.26</w:t>
            </w: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Issuer Purchases of Equity Securities</w:t>
      </w:r>
    </w:p>
    <w:p>
      <w:pPr>
        <w:spacing w:after="0" w:line="27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Share Repurchase Program</w:t>
      </w:r>
      <w:r>
        <w:rPr>
          <w:rFonts w:ascii="Arial" w:cs="Arial" w:eastAsia="Arial" w:hAnsi="Arial"/>
          <w:sz w:val="18"/>
          <w:szCs w:val="18"/>
          <w:color w:val="auto"/>
        </w:rPr>
        <w:t>—Our Board of Directors has authorized the repurchase of up to 14,217,683 shares of our common stock. Under this program we</w:t>
      </w:r>
      <w:r>
        <w:rPr>
          <w:rFonts w:ascii="Arial" w:cs="Arial" w:eastAsia="Arial" w:hAnsi="Arial"/>
          <w:sz w:val="18"/>
          <w:szCs w:val="18"/>
          <w:i w:val="1"/>
          <w:iCs w:val="1"/>
          <w:color w:val="auto"/>
        </w:rPr>
        <w:t xml:space="preserve"> </w:t>
      </w:r>
      <w:r>
        <w:rPr>
          <w:rFonts w:ascii="Arial" w:cs="Arial" w:eastAsia="Arial" w:hAnsi="Arial"/>
          <w:sz w:val="18"/>
          <w:szCs w:val="18"/>
          <w:color w:val="auto"/>
        </w:rPr>
        <w:t>may purchase shares from time to time through a variety of methods, including in the open market or through privately negotiated transactions, in accordance with applicable securities laws. Repurchases are subject to the availability of stock, prevailing market conditions, the trading price of the stock, the Company's financial performance and other conditions. The program does not require us to repurchase shares and may be suspended or discontinued at any time for any reason.</w:t>
      </w:r>
    </w:p>
    <w:p>
      <w:pPr>
        <w:spacing w:after="0" w:line="24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the fiscal years ended March 31, 2018, 2017, and 2016 we repurchased 1,512,557, 0, and 953,647 shares of our common stock in the open market, respectively, for $154.8 million, $0.0 million, and $26.6 million, respectively, including commissions as part of the program. As of March 31, 2018, we had repurchased a total of 6,683,887 shares of our common stock under the program, and 7,533,796 shares of our common stock remained available for repurchase under the share repurchase program.</w:t>
      </w:r>
    </w:p>
    <w:p>
      <w:pPr>
        <w:spacing w:after="0" w:line="24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Subsequent to March 31, 2018 and through the date of this filing, we repurchased an additional 1,597,216 shares of our common stock in the open market for $153.5 million, including commissions. After these additional purchases, 5,936,580 shares of our common stock remain available for repurchase under the share repurchase program.</w:t>
      </w:r>
    </w:p>
    <w:p>
      <w:pPr>
        <w:spacing w:after="0" w:line="23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During the fiscal year ended March 31, 2018, we also repurchased 151,108 shares of our common stock for $13.5 million, in connection with our obligation to holders of restricted stock awards to withhold the number of shares required to satisfy the holders' tax liabilities in connection with the vesting of such shares. These 151,108 shares were not part of the publicly announced share repurchase program.</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All of the repurchased shares are classified as Treasury stock in our Consolidated Balance Sheets.</w:t>
      </w:r>
    </w:p>
    <w:p>
      <w:pPr>
        <w:sectPr>
          <w:pgSz w:w="11900" w:h="16838" w:orient="portrait"/>
          <w:cols w:equalWidth="0" w:num="1">
            <w:col w:w="11420"/>
          </w:cols>
          <w:pgMar w:left="240" w:top="634" w:right="239" w:bottom="1440" w:gutter="0" w:footer="0" w:header="0"/>
        </w:sectPr>
      </w:pP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23</w:t>
      </w:r>
    </w:p>
    <w:p>
      <w:pPr>
        <w:sectPr>
          <w:pgSz w:w="11900" w:h="16838" w:orient="portrait"/>
          <w:cols w:equalWidth="0" w:num="1">
            <w:col w:w="11420"/>
          </w:cols>
          <w:pgMar w:left="240" w:top="634" w:right="239" w:bottom="1440" w:gutter="0" w:footer="0" w:header="0"/>
          <w:type w:val="continuous"/>
        </w:sectPr>
      </w:pPr>
    </w:p>
    <w:bookmarkStart w:id="25" w:name="page26"/>
    <w:bookmarkEnd w:id="25"/>
    <w:p>
      <w:pPr>
        <w:spacing w:after="0"/>
        <w:rPr>
          <w:sz w:val="20"/>
          <w:szCs w:val="20"/>
          <w:color w:val="auto"/>
        </w:rPr>
      </w:pPr>
      <w:r>
        <w:rPr>
          <w:rFonts w:ascii="Arial" w:cs="Arial" w:eastAsia="Arial" w:hAnsi="Arial"/>
          <w:sz w:val="18"/>
          <w:szCs w:val="18"/>
          <w:i w:val="1"/>
          <w:iCs w:val="1"/>
          <w:color w:val="auto"/>
        </w:rPr>
        <w:t>Summary Table</w:t>
      </w:r>
      <w:r>
        <w:rPr>
          <w:rFonts w:ascii="Arial" w:cs="Arial" w:eastAsia="Arial" w:hAnsi="Arial"/>
          <w:sz w:val="18"/>
          <w:szCs w:val="18"/>
          <w:color w:val="auto"/>
        </w:rPr>
        <w:t>—The table below details the share repurchases that were made by us during the three months ended March 31, 2018:</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100" w:type="dxa"/>
            <w:vAlign w:val="bottom"/>
            <w:vMerge w:val="restart"/>
          </w:tcPr>
          <w:p>
            <w:pPr>
              <w:jc w:val="right"/>
              <w:ind w:right="277"/>
              <w:spacing w:after="0"/>
              <w:rPr>
                <w:sz w:val="20"/>
                <w:szCs w:val="20"/>
                <w:color w:val="auto"/>
              </w:rPr>
            </w:pPr>
            <w:r>
              <w:rPr>
                <w:rFonts w:ascii="Arial" w:cs="Arial" w:eastAsia="Arial" w:hAnsi="Arial"/>
                <w:sz w:val="14"/>
                <w:szCs w:val="14"/>
                <w:b w:val="1"/>
                <w:bCs w:val="1"/>
                <w:color w:val="auto"/>
              </w:rPr>
              <w:t>Shares</w:t>
            </w:r>
          </w:p>
        </w:tc>
        <w:tc>
          <w:tcPr>
            <w:tcW w:w="240" w:type="dxa"/>
            <w:vAlign w:val="bottom"/>
          </w:tcPr>
          <w:p>
            <w:pPr>
              <w:spacing w:after="0"/>
              <w:rPr>
                <w:sz w:val="14"/>
                <w:szCs w:val="14"/>
                <w:color w:val="auto"/>
              </w:rPr>
            </w:pPr>
          </w:p>
        </w:tc>
        <w:tc>
          <w:tcPr>
            <w:tcW w:w="116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Average price</w:t>
            </w:r>
          </w:p>
        </w:tc>
        <w:tc>
          <w:tcPr>
            <w:tcW w:w="25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Total number of shares</w:t>
            </w:r>
          </w:p>
        </w:tc>
        <w:tc>
          <w:tcPr>
            <w:tcW w:w="2660" w:type="dxa"/>
            <w:vAlign w:val="bottom"/>
          </w:tcPr>
          <w:p>
            <w:pPr>
              <w:jc w:val="center"/>
              <w:spacing w:after="0"/>
              <w:rPr>
                <w:sz w:val="20"/>
                <w:szCs w:val="20"/>
                <w:color w:val="auto"/>
              </w:rPr>
            </w:pPr>
            <w:r>
              <w:rPr>
                <w:rFonts w:ascii="Arial" w:cs="Arial" w:eastAsia="Arial" w:hAnsi="Arial"/>
                <w:sz w:val="14"/>
                <w:szCs w:val="14"/>
                <w:b w:val="1"/>
                <w:bCs w:val="1"/>
                <w:color w:val="auto"/>
                <w:w w:val="93"/>
              </w:rPr>
              <w:t>Maximum number of shares that</w:t>
            </w:r>
          </w:p>
        </w:tc>
        <w:tc>
          <w:tcPr>
            <w:tcW w:w="0" w:type="dxa"/>
            <w:vAlign w:val="bottom"/>
          </w:tcPr>
          <w:p>
            <w:pPr>
              <w:spacing w:after="0"/>
              <w:rPr>
                <w:sz w:val="1"/>
                <w:szCs w:val="1"/>
                <w:color w:val="auto"/>
              </w:rPr>
            </w:pPr>
          </w:p>
        </w:tc>
      </w:tr>
      <w:tr>
        <w:trPr>
          <w:trHeight w:val="149"/>
        </w:trPr>
        <w:tc>
          <w:tcPr>
            <w:tcW w:w="320" w:type="dxa"/>
            <w:vAlign w:val="bottom"/>
          </w:tcPr>
          <w:p>
            <w:pPr>
              <w:spacing w:after="0"/>
              <w:rPr>
                <w:sz w:val="12"/>
                <w:szCs w:val="12"/>
                <w:color w:val="auto"/>
              </w:rPr>
            </w:pPr>
          </w:p>
        </w:tc>
        <w:tc>
          <w:tcPr>
            <w:tcW w:w="30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Period</w:t>
            </w:r>
          </w:p>
        </w:tc>
        <w:tc>
          <w:tcPr>
            <w:tcW w:w="1100" w:type="dxa"/>
            <w:vAlign w:val="bottom"/>
            <w:vMerge w:val="continue"/>
          </w:tcPr>
          <w:p>
            <w:pPr>
              <w:spacing w:after="0"/>
              <w:rPr>
                <w:sz w:val="12"/>
                <w:szCs w:val="12"/>
                <w:color w:val="auto"/>
              </w:rPr>
            </w:pPr>
          </w:p>
        </w:tc>
        <w:tc>
          <w:tcPr>
            <w:tcW w:w="24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258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purchased as part of publicly</w:t>
            </w:r>
          </w:p>
        </w:tc>
        <w:tc>
          <w:tcPr>
            <w:tcW w:w="26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may yet be purchased under the</w:t>
            </w:r>
          </w:p>
        </w:tc>
        <w:tc>
          <w:tcPr>
            <w:tcW w:w="0" w:type="dxa"/>
            <w:vAlign w:val="bottom"/>
          </w:tcPr>
          <w:p>
            <w:pPr>
              <w:spacing w:after="0"/>
              <w:rPr>
                <w:sz w:val="1"/>
                <w:szCs w:val="1"/>
                <w:color w:val="auto"/>
              </w:rPr>
            </w:pPr>
          </w:p>
        </w:tc>
      </w:tr>
      <w:tr>
        <w:trPr>
          <w:trHeight w:val="192"/>
        </w:trPr>
        <w:tc>
          <w:tcPr>
            <w:tcW w:w="320" w:type="dxa"/>
            <w:vAlign w:val="bottom"/>
          </w:tcPr>
          <w:p>
            <w:pPr>
              <w:spacing w:after="0"/>
              <w:rPr>
                <w:sz w:val="16"/>
                <w:szCs w:val="16"/>
                <w:color w:val="auto"/>
              </w:rPr>
            </w:pPr>
          </w:p>
        </w:tc>
        <w:tc>
          <w:tcPr>
            <w:tcW w:w="3040" w:type="dxa"/>
            <w:vAlign w:val="bottom"/>
            <w:tcBorders>
              <w:bottom w:val="single" w:sz="8" w:color="CCEEFF"/>
            </w:tcBorders>
            <w:gridSpan w:val="2"/>
            <w:vMerge w:val="continue"/>
          </w:tcPr>
          <w:p>
            <w:pPr>
              <w:spacing w:after="0"/>
              <w:rPr>
                <w:sz w:val="16"/>
                <w:szCs w:val="16"/>
                <w:color w:val="auto"/>
              </w:rPr>
            </w:pPr>
          </w:p>
        </w:tc>
        <w:tc>
          <w:tcPr>
            <w:tcW w:w="1100" w:type="dxa"/>
            <w:vAlign w:val="bottom"/>
            <w:tcBorders>
              <w:bottom w:val="single" w:sz="8" w:color="auto"/>
            </w:tcBorders>
          </w:tcPr>
          <w:p>
            <w:pPr>
              <w:jc w:val="right"/>
              <w:ind w:right="117"/>
              <w:spacing w:after="0"/>
              <w:rPr>
                <w:sz w:val="20"/>
                <w:szCs w:val="20"/>
                <w:color w:val="auto"/>
              </w:rPr>
            </w:pPr>
            <w:r>
              <w:rPr>
                <w:rFonts w:ascii="Arial" w:cs="Arial" w:eastAsia="Arial" w:hAnsi="Arial"/>
                <w:sz w:val="14"/>
                <w:szCs w:val="14"/>
                <w:b w:val="1"/>
                <w:bCs w:val="1"/>
                <w:color w:val="auto"/>
              </w:rPr>
              <w:t>purchased*</w:t>
            </w:r>
          </w:p>
        </w:tc>
        <w:tc>
          <w:tcPr>
            <w:tcW w:w="24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jc w:val="right"/>
              <w:ind w:right="237"/>
              <w:spacing w:after="0"/>
              <w:rPr>
                <w:sz w:val="20"/>
                <w:szCs w:val="20"/>
                <w:color w:val="auto"/>
              </w:rPr>
            </w:pPr>
            <w:r>
              <w:rPr>
                <w:rFonts w:ascii="Arial" w:cs="Arial" w:eastAsia="Arial" w:hAnsi="Arial"/>
                <w:sz w:val="14"/>
                <w:szCs w:val="14"/>
                <w:b w:val="1"/>
                <w:bCs w:val="1"/>
                <w:color w:val="auto"/>
              </w:rPr>
              <w:t>per share</w:t>
            </w:r>
          </w:p>
        </w:tc>
        <w:tc>
          <w:tcPr>
            <w:tcW w:w="100" w:type="dxa"/>
            <w:vAlign w:val="bottom"/>
            <w:tcBorders>
              <w:bottom w:val="single" w:sz="8" w:color="CCEEFF"/>
            </w:tcBorders>
          </w:tcPr>
          <w:p>
            <w:pPr>
              <w:spacing w:after="0"/>
              <w:rPr>
                <w:sz w:val="16"/>
                <w:szCs w:val="16"/>
                <w:color w:val="auto"/>
              </w:rPr>
            </w:pPr>
          </w:p>
        </w:tc>
        <w:tc>
          <w:tcPr>
            <w:tcW w:w="24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announced plans or programs</w:t>
            </w:r>
          </w:p>
        </w:tc>
        <w:tc>
          <w:tcPr>
            <w:tcW w:w="120" w:type="dxa"/>
            <w:vAlign w:val="bottom"/>
            <w:tcBorders>
              <w:bottom w:val="single" w:sz="8" w:color="CCEEFF"/>
            </w:tcBorders>
          </w:tcPr>
          <w:p>
            <w:pPr>
              <w:spacing w:after="0"/>
              <w:rPr>
                <w:sz w:val="16"/>
                <w:szCs w:val="16"/>
                <w:color w:val="auto"/>
              </w:rPr>
            </w:pPr>
          </w:p>
        </w:tc>
        <w:tc>
          <w:tcPr>
            <w:tcW w:w="2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repurchase program</w:t>
            </w:r>
          </w:p>
        </w:tc>
        <w:tc>
          <w:tcPr>
            <w:tcW w:w="0" w:type="dxa"/>
            <w:vAlign w:val="bottom"/>
          </w:tcPr>
          <w:p>
            <w:pPr>
              <w:spacing w:after="0"/>
              <w:rPr>
                <w:sz w:val="1"/>
                <w:szCs w:val="1"/>
                <w:color w:val="auto"/>
              </w:rPr>
            </w:pPr>
          </w:p>
        </w:tc>
      </w:tr>
      <w:tr>
        <w:trPr>
          <w:trHeight w:val="250"/>
        </w:trPr>
        <w:tc>
          <w:tcPr>
            <w:tcW w:w="320" w:type="dxa"/>
            <w:vAlign w:val="bottom"/>
          </w:tcPr>
          <w:p>
            <w:pPr>
              <w:spacing w:after="0"/>
              <w:rPr>
                <w:sz w:val="21"/>
                <w:szCs w:val="21"/>
                <w:color w:val="auto"/>
              </w:rPr>
            </w:pPr>
          </w:p>
        </w:tc>
        <w:tc>
          <w:tcPr>
            <w:tcW w:w="30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January 1 - 31, 2018</w:t>
            </w:r>
          </w:p>
        </w:tc>
        <w:tc>
          <w:tcPr>
            <w:tcW w:w="1100" w:type="dxa"/>
            <w:vAlign w:val="bottom"/>
            <w:tcBorders>
              <w:bottom w:val="single" w:sz="8" w:color="CCEEFF"/>
            </w:tcBorders>
            <w:shd w:val="clear" w:color="auto" w:fill="CCEEFF"/>
          </w:tcPr>
          <w:p>
            <w:pPr>
              <w:jc w:val="right"/>
              <w:ind w:right="57"/>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58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7,982,603</w:t>
            </w:r>
          </w:p>
        </w:tc>
        <w:tc>
          <w:tcPr>
            <w:tcW w:w="0" w:type="dxa"/>
            <w:vAlign w:val="bottom"/>
          </w:tcPr>
          <w:p>
            <w:pPr>
              <w:spacing w:after="0"/>
              <w:rPr>
                <w:sz w:val="1"/>
                <w:szCs w:val="1"/>
                <w:color w:val="auto"/>
              </w:rPr>
            </w:pPr>
          </w:p>
        </w:tc>
      </w:tr>
      <w:tr>
        <w:trPr>
          <w:trHeight w:val="243"/>
        </w:trPr>
        <w:tc>
          <w:tcPr>
            <w:tcW w:w="320" w:type="dxa"/>
            <w:vAlign w:val="bottom"/>
          </w:tcPr>
          <w:p>
            <w:pPr>
              <w:spacing w:after="0"/>
              <w:rPr>
                <w:sz w:val="21"/>
                <w:szCs w:val="21"/>
                <w:color w:val="auto"/>
              </w:rPr>
            </w:pPr>
          </w:p>
        </w:tc>
        <w:tc>
          <w:tcPr>
            <w:tcW w:w="3040" w:type="dxa"/>
            <w:vAlign w:val="bottom"/>
            <w:gridSpan w:val="2"/>
          </w:tcPr>
          <w:p>
            <w:pPr>
              <w:ind w:left="20"/>
              <w:spacing w:after="0"/>
              <w:rPr>
                <w:sz w:val="20"/>
                <w:szCs w:val="20"/>
                <w:color w:val="auto"/>
              </w:rPr>
            </w:pPr>
            <w:r>
              <w:rPr>
                <w:rFonts w:ascii="Arial" w:cs="Arial" w:eastAsia="Arial" w:hAnsi="Arial"/>
                <w:sz w:val="18"/>
                <w:szCs w:val="18"/>
                <w:color w:val="auto"/>
              </w:rPr>
              <w:t>February 1 - 28, 2018</w:t>
            </w:r>
          </w:p>
        </w:tc>
        <w:tc>
          <w:tcPr>
            <w:tcW w:w="1100" w:type="dxa"/>
            <w:vAlign w:val="bottom"/>
          </w:tcPr>
          <w:p>
            <w:pPr>
              <w:jc w:val="right"/>
              <w:ind w:right="57"/>
              <w:spacing w:after="0"/>
              <w:rPr>
                <w:sz w:val="20"/>
                <w:szCs w:val="20"/>
                <w:color w:val="auto"/>
              </w:rPr>
            </w:pPr>
            <w:r>
              <w:rPr>
                <w:rFonts w:ascii="Arial" w:cs="Arial" w:eastAsia="Arial" w:hAnsi="Arial"/>
                <w:sz w:val="18"/>
                <w:szCs w:val="18"/>
                <w:color w:val="auto"/>
              </w:rPr>
              <w:t>63,195</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17"/>
              <w:spacing w:after="0"/>
              <w:rPr>
                <w:sz w:val="20"/>
                <w:szCs w:val="20"/>
                <w:color w:val="auto"/>
              </w:rPr>
            </w:pPr>
            <w:r>
              <w:rPr>
                <w:rFonts w:ascii="Arial" w:cs="Arial" w:eastAsia="Arial" w:hAnsi="Arial"/>
                <w:sz w:val="18"/>
                <w:szCs w:val="18"/>
                <w:color w:val="auto"/>
              </w:rPr>
              <w:t>104.01</w:t>
            </w:r>
          </w:p>
        </w:tc>
        <w:tc>
          <w:tcPr>
            <w:tcW w:w="100" w:type="dxa"/>
            <w:vAlign w:val="bottom"/>
          </w:tcPr>
          <w:p>
            <w:pPr>
              <w:spacing w:after="0"/>
              <w:rPr>
                <w:sz w:val="21"/>
                <w:szCs w:val="21"/>
                <w:color w:val="auto"/>
              </w:rPr>
            </w:pPr>
          </w:p>
        </w:tc>
        <w:tc>
          <w:tcPr>
            <w:tcW w:w="2460" w:type="dxa"/>
            <w:vAlign w:val="bottom"/>
          </w:tcPr>
          <w:p>
            <w:pPr>
              <w:jc w:val="right"/>
              <w:spacing w:after="0"/>
              <w:rPr>
                <w:sz w:val="20"/>
                <w:szCs w:val="20"/>
                <w:color w:val="auto"/>
              </w:rPr>
            </w:pPr>
            <w:r>
              <w:rPr>
                <w:rFonts w:ascii="Arial" w:cs="Arial" w:eastAsia="Arial" w:hAnsi="Arial"/>
                <w:sz w:val="18"/>
                <w:szCs w:val="18"/>
                <w:color w:val="auto"/>
              </w:rPr>
              <w:t>63,195</w:t>
            </w:r>
          </w:p>
        </w:tc>
        <w:tc>
          <w:tcPr>
            <w:tcW w:w="120" w:type="dxa"/>
            <w:vAlign w:val="bottom"/>
          </w:tcPr>
          <w:p>
            <w:pPr>
              <w:spacing w:after="0"/>
              <w:rPr>
                <w:sz w:val="21"/>
                <w:szCs w:val="21"/>
                <w:color w:val="auto"/>
              </w:rPr>
            </w:pPr>
          </w:p>
        </w:tc>
        <w:tc>
          <w:tcPr>
            <w:tcW w:w="2660" w:type="dxa"/>
            <w:vAlign w:val="bottom"/>
          </w:tcPr>
          <w:p>
            <w:pPr>
              <w:jc w:val="right"/>
              <w:spacing w:after="0"/>
              <w:rPr>
                <w:sz w:val="20"/>
                <w:szCs w:val="20"/>
                <w:color w:val="auto"/>
              </w:rPr>
            </w:pPr>
            <w:r>
              <w:rPr>
                <w:rFonts w:ascii="Arial" w:cs="Arial" w:eastAsia="Arial" w:hAnsi="Arial"/>
                <w:sz w:val="18"/>
                <w:szCs w:val="18"/>
                <w:color w:val="auto"/>
              </w:rPr>
              <w:t>7,919,408</w:t>
            </w:r>
          </w:p>
        </w:tc>
        <w:tc>
          <w:tcPr>
            <w:tcW w:w="0" w:type="dxa"/>
            <w:vAlign w:val="bottom"/>
          </w:tcPr>
          <w:p>
            <w:pPr>
              <w:spacing w:after="0"/>
              <w:rPr>
                <w:sz w:val="1"/>
                <w:szCs w:val="1"/>
                <w:color w:val="auto"/>
              </w:rPr>
            </w:pPr>
          </w:p>
        </w:tc>
      </w:tr>
      <w:tr>
        <w:trPr>
          <w:trHeight w:val="27"/>
        </w:trPr>
        <w:tc>
          <w:tcPr>
            <w:tcW w:w="32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20" w:type="dxa"/>
            <w:vAlign w:val="bottom"/>
          </w:tcPr>
          <w:p>
            <w:pPr>
              <w:spacing w:after="0"/>
              <w:rPr>
                <w:sz w:val="21"/>
                <w:szCs w:val="21"/>
                <w:color w:val="auto"/>
              </w:rPr>
            </w:pPr>
          </w:p>
        </w:tc>
        <w:tc>
          <w:tcPr>
            <w:tcW w:w="304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March 1 - 31, 2018</w:t>
            </w:r>
          </w:p>
        </w:tc>
        <w:tc>
          <w:tcPr>
            <w:tcW w:w="1100" w:type="dxa"/>
            <w:vAlign w:val="bottom"/>
            <w:tcBorders>
              <w:bottom w:val="single" w:sz="8" w:color="CCEEFF"/>
            </w:tcBorders>
            <w:shd w:val="clear" w:color="auto" w:fill="CCEEFF"/>
          </w:tcPr>
          <w:p>
            <w:pPr>
              <w:jc w:val="right"/>
              <w:ind w:right="57"/>
              <w:spacing w:after="0"/>
              <w:rPr>
                <w:sz w:val="20"/>
                <w:szCs w:val="20"/>
                <w:color w:val="auto"/>
              </w:rPr>
            </w:pPr>
            <w:r>
              <w:rPr>
                <w:rFonts w:ascii="Arial" w:cs="Arial" w:eastAsia="Arial" w:hAnsi="Arial"/>
                <w:sz w:val="18"/>
                <w:szCs w:val="18"/>
                <w:color w:val="auto"/>
              </w:rPr>
              <w:t>498,942</w:t>
            </w:r>
          </w:p>
        </w:tc>
        <w:tc>
          <w:tcPr>
            <w:tcW w:w="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98.91</w:t>
            </w:r>
          </w:p>
        </w:tc>
        <w:tc>
          <w:tcPr>
            <w:tcW w:w="100" w:type="dxa"/>
            <w:vAlign w:val="bottom"/>
            <w:tcBorders>
              <w:bottom w:val="single" w:sz="8" w:color="CCEEFF"/>
            </w:tcBorders>
            <w:shd w:val="clear" w:color="auto" w:fill="CCEEFF"/>
          </w:tcPr>
          <w:p>
            <w:pPr>
              <w:spacing w:after="0"/>
              <w:rPr>
                <w:sz w:val="21"/>
                <w:szCs w:val="21"/>
                <w:color w:val="auto"/>
              </w:rPr>
            </w:pPr>
          </w:p>
        </w:tc>
        <w:tc>
          <w:tcPr>
            <w:tcW w:w="24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385,612</w:t>
            </w:r>
          </w:p>
        </w:tc>
        <w:tc>
          <w:tcPr>
            <w:tcW w:w="120" w:type="dxa"/>
            <w:vAlign w:val="bottom"/>
            <w:tcBorders>
              <w:bottom w:val="single" w:sz="8" w:color="CCEEFF"/>
            </w:tcBorders>
            <w:shd w:val="clear" w:color="auto" w:fill="CCEEFF"/>
          </w:tcPr>
          <w:p>
            <w:pPr>
              <w:spacing w:after="0"/>
              <w:rPr>
                <w:sz w:val="21"/>
                <w:szCs w:val="21"/>
                <w:color w:val="auto"/>
              </w:rPr>
            </w:pPr>
          </w:p>
        </w:tc>
        <w:tc>
          <w:tcPr>
            <w:tcW w:w="2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7,533,796</w:t>
            </w:r>
          </w:p>
        </w:tc>
        <w:tc>
          <w:tcPr>
            <w:tcW w:w="0" w:type="dxa"/>
            <w:vAlign w:val="bottom"/>
          </w:tcPr>
          <w:p>
            <w:pPr>
              <w:spacing w:after="0"/>
              <w:rPr>
                <w:sz w:val="1"/>
                <w:szCs w:val="1"/>
                <w:color w:val="auto"/>
              </w:rPr>
            </w:pPr>
          </w:p>
        </w:tc>
      </w:tr>
      <w:tr>
        <w:trPr>
          <w:trHeight w:val="142"/>
        </w:trPr>
        <w:tc>
          <w:tcPr>
            <w:tcW w:w="320" w:type="dxa"/>
            <w:vAlign w:val="bottom"/>
            <w:tcBorders>
              <w:bottom w:val="single" w:sz="8" w:color="auto"/>
            </w:tcBorders>
          </w:tcPr>
          <w:p>
            <w:pPr>
              <w:spacing w:after="0"/>
              <w:rPr>
                <w:sz w:val="12"/>
                <w:szCs w:val="12"/>
                <w:color w:val="auto"/>
              </w:rPr>
            </w:pPr>
          </w:p>
        </w:tc>
        <w:tc>
          <w:tcPr>
            <w:tcW w:w="1900" w:type="dxa"/>
            <w:vAlign w:val="bottom"/>
            <w:tcBorders>
              <w:bottom w:val="single" w:sz="8" w:color="auto"/>
            </w:tcBorders>
          </w:tcPr>
          <w:p>
            <w:pPr>
              <w:spacing w:after="0"/>
              <w:rPr>
                <w:sz w:val="12"/>
                <w:szCs w:val="12"/>
                <w:color w:val="auto"/>
              </w:rPr>
            </w:pPr>
          </w:p>
        </w:tc>
        <w:tc>
          <w:tcPr>
            <w:tcW w:w="1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6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107" w:lineRule="exact"/>
        <w:rPr>
          <w:sz w:val="20"/>
          <w:szCs w:val="20"/>
          <w:color w:val="auto"/>
        </w:rPr>
      </w:pPr>
    </w:p>
    <w:p>
      <w:pPr>
        <w:ind w:left="500" w:right="500" w:hanging="492"/>
        <w:spacing w:after="0" w:line="264" w:lineRule="auto"/>
        <w:tabs>
          <w:tab w:leader="none" w:pos="500" w:val="left"/>
        </w:tabs>
        <w:numPr>
          <w:ilvl w:val="0"/>
          <w:numId w:val="7"/>
        </w:numPr>
        <w:rPr>
          <w:rFonts w:ascii="Arial" w:cs="Arial" w:eastAsia="Arial" w:hAnsi="Arial"/>
          <w:sz w:val="18"/>
          <w:szCs w:val="18"/>
          <w:color w:val="auto"/>
        </w:rPr>
      </w:pPr>
      <w:r>
        <w:rPr>
          <w:rFonts w:ascii="Arial" w:cs="Arial" w:eastAsia="Arial" w:hAnsi="Arial"/>
          <w:sz w:val="18"/>
          <w:szCs w:val="18"/>
          <w:color w:val="auto"/>
        </w:rPr>
        <w:t>113,330 of the shares repurchased during March 2018 were repurchased in connection with our obligation to holders of restricted stock units to withhold the number of shares required to satisfy the holders' tax liabilities in connection with the vesting of such shares and were not part of the publicly announced share repurchase program.</w:t>
      </w:r>
    </w:p>
    <w:p>
      <w:pPr>
        <w:spacing w:after="0" w:line="96"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Selected Financial Data</w:t>
      </w:r>
    </w:p>
    <w:p>
      <w:pPr>
        <w:spacing w:after="0" w:line="28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following Selected Financial Data should be read in conjunction with our Consolidated Financial Statements and related Notes, and Management's Discussion and Analysis of Financial Condition and Results of Operations included elsewhere in this Annual Report on Form 10-K. (in thousands, except per share data)</w:t>
      </w: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2740" w:type="dxa"/>
            <w:vAlign w:val="bottom"/>
            <w:tcBorders>
              <w:bottom w:val="single" w:sz="8" w:color="auto"/>
            </w:tcBorders>
            <w:gridSpan w:val="6"/>
          </w:tcPr>
          <w:p>
            <w:pPr>
              <w:jc w:val="center"/>
              <w:ind w:left="635"/>
              <w:spacing w:after="0"/>
              <w:rPr>
                <w:sz w:val="20"/>
                <w:szCs w:val="20"/>
                <w:color w:val="auto"/>
              </w:rPr>
            </w:pPr>
            <w:r>
              <w:rPr>
                <w:rFonts w:ascii="Arial" w:cs="Arial" w:eastAsia="Arial" w:hAnsi="Arial"/>
                <w:sz w:val="14"/>
                <w:szCs w:val="14"/>
                <w:b w:val="1"/>
                <w:bCs w:val="1"/>
                <w:color w:val="auto"/>
                <w:w w:val="94"/>
              </w:rPr>
              <w:t>Fiscal Year Ended March 31,</w:t>
            </w:r>
          </w:p>
        </w:tc>
        <w:tc>
          <w:tcPr>
            <w:tcW w:w="9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7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STATEMENT OF OPERATIONS DATA:</w:t>
            </w:r>
          </w:p>
        </w:tc>
        <w:tc>
          <w:tcPr>
            <w:tcW w:w="2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89"/>
              </w:rPr>
              <w:t>2016</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2015</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2014</w:t>
            </w:r>
          </w:p>
        </w:tc>
        <w:tc>
          <w:tcPr>
            <w:tcW w:w="0" w:type="dxa"/>
            <w:vAlign w:val="bottom"/>
          </w:tcPr>
          <w:p>
            <w:pPr>
              <w:spacing w:after="0"/>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revenue</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99"/>
              </w:rPr>
              <w:t>$</w:t>
            </w:r>
          </w:p>
        </w:tc>
        <w:tc>
          <w:tcPr>
            <w:tcW w:w="9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1,792,892</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1,779,748</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1,413,698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1,082,938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2,350,568</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Gross profit</w:t>
            </w:r>
          </w:p>
        </w:tc>
        <w:tc>
          <w:tcPr>
            <w:tcW w:w="280" w:type="dxa"/>
            <w:vAlign w:val="bottom"/>
          </w:tcPr>
          <w:p>
            <w:pPr>
              <w:spacing w:after="0"/>
              <w:rPr>
                <w:sz w:val="21"/>
                <w:szCs w:val="21"/>
                <w:color w:val="auto"/>
              </w:rPr>
            </w:pPr>
          </w:p>
        </w:tc>
        <w:tc>
          <w:tcPr>
            <w:tcW w:w="980" w:type="dxa"/>
            <w:vAlign w:val="bottom"/>
          </w:tcPr>
          <w:p>
            <w:pPr>
              <w:jc w:val="right"/>
              <w:ind w:right="14"/>
              <w:spacing w:after="0"/>
              <w:rPr>
                <w:sz w:val="20"/>
                <w:szCs w:val="20"/>
                <w:color w:val="auto"/>
              </w:rPr>
            </w:pPr>
            <w:r>
              <w:rPr>
                <w:rFonts w:ascii="Arial" w:cs="Arial" w:eastAsia="Arial" w:hAnsi="Arial"/>
                <w:sz w:val="18"/>
                <w:szCs w:val="18"/>
                <w:b w:val="1"/>
                <w:bCs w:val="1"/>
                <w:color w:val="auto"/>
              </w:rPr>
              <w:t>894,581</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756,789</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40" w:type="dxa"/>
            <w:vAlign w:val="bottom"/>
          </w:tcPr>
          <w:p>
            <w:pPr>
              <w:jc w:val="right"/>
              <w:ind w:right="35"/>
              <w:spacing w:after="0"/>
              <w:rPr>
                <w:sz w:val="20"/>
                <w:szCs w:val="20"/>
                <w:color w:val="auto"/>
              </w:rPr>
            </w:pPr>
            <w:r>
              <w:rPr>
                <w:rFonts w:ascii="Arial" w:cs="Arial" w:eastAsia="Arial" w:hAnsi="Arial"/>
                <w:sz w:val="18"/>
                <w:szCs w:val="18"/>
                <w:color w:val="auto"/>
              </w:rPr>
              <w:t>599,825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288,071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936,241</w:t>
            </w:r>
          </w:p>
        </w:tc>
        <w:tc>
          <w:tcPr>
            <w:tcW w:w="0" w:type="dxa"/>
            <w:vAlign w:val="bottom"/>
          </w:tcPr>
          <w:p>
            <w:pPr>
              <w:spacing w:after="0"/>
              <w:rPr>
                <w:sz w:val="1"/>
                <w:szCs w:val="1"/>
                <w:color w:val="auto"/>
              </w:rPr>
            </w:pPr>
          </w:p>
        </w:tc>
      </w:tr>
      <w:tr>
        <w:trPr>
          <w:trHeight w:val="27"/>
        </w:trPr>
        <w:tc>
          <w:tcPr>
            <w:tcW w:w="47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280" w:type="dxa"/>
            <w:vAlign w:val="bottom"/>
            <w:tcBorders>
              <w:bottom w:val="single" w:sz="8" w:color="auto"/>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$173,533</w:t>
            </w:r>
          </w:p>
        </w:tc>
        <w:tc>
          <w:tcPr>
            <w:tcW w:w="12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67,303</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(8,302)</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(279,470)</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361,605</w:t>
            </w:r>
          </w:p>
        </w:tc>
        <w:tc>
          <w:tcPr>
            <w:tcW w:w="0" w:type="dxa"/>
            <w:vAlign w:val="bottom"/>
          </w:tcPr>
          <w:p>
            <w:pPr>
              <w:spacing w:after="0"/>
              <w:rPr>
                <w:sz w:val="1"/>
                <w:szCs w:val="1"/>
                <w:color w:val="auto"/>
              </w:rPr>
            </w:pPr>
          </w:p>
        </w:tc>
      </w:tr>
      <w:tr>
        <w:trPr>
          <w:trHeight w:val="20"/>
        </w:trPr>
        <w:tc>
          <w:tcPr>
            <w:tcW w:w="4700" w:type="dxa"/>
            <w:vAlign w:val="bottom"/>
            <w:vMerge w:val="restart"/>
          </w:tcPr>
          <w:p>
            <w:pPr>
              <w:ind w:left="40"/>
              <w:spacing w:after="0"/>
              <w:rPr>
                <w:sz w:val="20"/>
                <w:szCs w:val="20"/>
                <w:color w:val="auto"/>
              </w:rPr>
            </w:pPr>
            <w:r>
              <w:rPr>
                <w:rFonts w:ascii="Arial" w:cs="Arial" w:eastAsia="Arial" w:hAnsi="Arial"/>
                <w:sz w:val="18"/>
                <w:szCs w:val="18"/>
                <w:color w:val="auto"/>
              </w:rPr>
              <w:t>Earnings (loss) per share:</w:t>
            </w: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700" w:type="dxa"/>
            <w:vAlign w:val="bottom"/>
            <w:vMerge w:val="continue"/>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Basic:</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00" w:type="dxa"/>
            <w:vAlign w:val="bottom"/>
          </w:tcPr>
          <w:p>
            <w:pPr>
              <w:ind w:left="180"/>
              <w:spacing w:after="0"/>
              <w:rPr>
                <w:sz w:val="20"/>
                <w:szCs w:val="20"/>
                <w:color w:val="auto"/>
              </w:rPr>
            </w:pPr>
            <w:r>
              <w:rPr>
                <w:rFonts w:ascii="Arial" w:cs="Arial" w:eastAsia="Arial" w:hAnsi="Arial"/>
                <w:sz w:val="18"/>
                <w:szCs w:val="18"/>
                <w:color w:val="auto"/>
              </w:rPr>
              <w:t>Earnings (loss) per share:</w:t>
            </w:r>
          </w:p>
        </w:tc>
        <w:tc>
          <w:tcPr>
            <w:tcW w:w="280" w:type="dxa"/>
            <w:vAlign w:val="bottom"/>
          </w:tcPr>
          <w:p>
            <w:pPr>
              <w:jc w:val="right"/>
              <w:ind w:right="70"/>
              <w:spacing w:after="0"/>
              <w:rPr>
                <w:sz w:val="20"/>
                <w:szCs w:val="20"/>
                <w:color w:val="auto"/>
              </w:rPr>
            </w:pPr>
            <w:r>
              <w:rPr>
                <w:rFonts w:ascii="Arial" w:cs="Arial" w:eastAsia="Arial" w:hAnsi="Arial"/>
                <w:sz w:val="18"/>
                <w:szCs w:val="18"/>
                <w:b w:val="1"/>
                <w:bCs w:val="1"/>
                <w:color w:val="auto"/>
                <w:w w:val="99"/>
              </w:rPr>
              <w:t>$</w:t>
            </w:r>
          </w:p>
        </w:tc>
        <w:tc>
          <w:tcPr>
            <w:tcW w:w="980" w:type="dxa"/>
            <w:vAlign w:val="bottom"/>
          </w:tcPr>
          <w:p>
            <w:pPr>
              <w:jc w:val="right"/>
              <w:ind w:right="14"/>
              <w:spacing w:after="0"/>
              <w:rPr>
                <w:sz w:val="20"/>
                <w:szCs w:val="20"/>
                <w:color w:val="auto"/>
              </w:rPr>
            </w:pPr>
            <w:r>
              <w:rPr>
                <w:rFonts w:ascii="Arial" w:cs="Arial" w:eastAsia="Arial" w:hAnsi="Arial"/>
                <w:sz w:val="18"/>
                <w:szCs w:val="18"/>
                <w:b w:val="1"/>
                <w:bCs w:val="1"/>
                <w:color w:val="auto"/>
              </w:rPr>
              <w:t>1.57</w:t>
            </w:r>
          </w:p>
        </w:tc>
        <w:tc>
          <w:tcPr>
            <w:tcW w:w="120" w:type="dxa"/>
            <w:vAlign w:val="bottom"/>
          </w:tcPr>
          <w:p>
            <w:pPr>
              <w:spacing w:after="0"/>
              <w:rPr>
                <w:sz w:val="21"/>
                <w:szCs w:val="21"/>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0.73</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(0.10)</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(3.48)</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3.79</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Diluted:</w:t>
            </w: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4700" w:type="dxa"/>
            <w:vAlign w:val="bottom"/>
          </w:tcPr>
          <w:p>
            <w:pPr>
              <w:ind w:left="180"/>
              <w:spacing w:after="0"/>
              <w:rPr>
                <w:sz w:val="20"/>
                <w:szCs w:val="20"/>
                <w:color w:val="auto"/>
              </w:rPr>
            </w:pPr>
            <w:r>
              <w:rPr>
                <w:rFonts w:ascii="Arial" w:cs="Arial" w:eastAsia="Arial" w:hAnsi="Arial"/>
                <w:sz w:val="18"/>
                <w:szCs w:val="18"/>
                <w:color w:val="auto"/>
              </w:rPr>
              <w:t>Earnings (loss) per share:</w:t>
            </w:r>
          </w:p>
        </w:tc>
        <w:tc>
          <w:tcPr>
            <w:tcW w:w="280" w:type="dxa"/>
            <w:vAlign w:val="bottom"/>
          </w:tcPr>
          <w:p>
            <w:pPr>
              <w:jc w:val="right"/>
              <w:ind w:right="70"/>
              <w:spacing w:after="0"/>
              <w:rPr>
                <w:sz w:val="20"/>
                <w:szCs w:val="20"/>
                <w:color w:val="auto"/>
              </w:rPr>
            </w:pPr>
            <w:r>
              <w:rPr>
                <w:rFonts w:ascii="Arial" w:cs="Arial" w:eastAsia="Arial" w:hAnsi="Arial"/>
                <w:sz w:val="18"/>
                <w:szCs w:val="18"/>
                <w:b w:val="1"/>
                <w:bCs w:val="1"/>
                <w:color w:val="auto"/>
                <w:w w:val="99"/>
              </w:rPr>
              <w:t>$</w:t>
            </w:r>
          </w:p>
        </w:tc>
        <w:tc>
          <w:tcPr>
            <w:tcW w:w="980" w:type="dxa"/>
            <w:vAlign w:val="bottom"/>
          </w:tcPr>
          <w:p>
            <w:pPr>
              <w:jc w:val="right"/>
              <w:ind w:right="14"/>
              <w:spacing w:after="0"/>
              <w:rPr>
                <w:sz w:val="20"/>
                <w:szCs w:val="20"/>
                <w:color w:val="auto"/>
              </w:rPr>
            </w:pPr>
            <w:r>
              <w:rPr>
                <w:rFonts w:ascii="Arial" w:cs="Arial" w:eastAsia="Arial" w:hAnsi="Arial"/>
                <w:sz w:val="18"/>
                <w:szCs w:val="18"/>
                <w:b w:val="1"/>
                <w:bCs w:val="1"/>
                <w:color w:val="auto"/>
              </w:rPr>
              <w:t>1.54</w:t>
            </w:r>
          </w:p>
        </w:tc>
        <w:tc>
          <w:tcPr>
            <w:tcW w:w="120" w:type="dxa"/>
            <w:vAlign w:val="bottom"/>
          </w:tcPr>
          <w:p>
            <w:pPr>
              <w:spacing w:after="0"/>
              <w:rPr>
                <w:sz w:val="21"/>
                <w:szCs w:val="21"/>
                <w:color w:val="auto"/>
              </w:rPr>
            </w:pPr>
          </w:p>
        </w:tc>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0.72</w:t>
            </w:r>
          </w:p>
        </w:tc>
        <w:tc>
          <w:tcPr>
            <w:tcW w:w="120" w:type="dxa"/>
            <w:vAlign w:val="bottom"/>
          </w:tcPr>
          <w:p>
            <w:pPr>
              <w:spacing w:after="0"/>
              <w:rPr>
                <w:sz w:val="21"/>
                <w:szCs w:val="21"/>
                <w:color w:val="auto"/>
              </w:rPr>
            </w:pPr>
          </w:p>
        </w:tc>
        <w:tc>
          <w:tcPr>
            <w:tcW w:w="12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(0.10)</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(3.48)</w:t>
            </w:r>
          </w:p>
        </w:tc>
        <w:tc>
          <w:tcPr>
            <w:tcW w:w="100" w:type="dxa"/>
            <w:vAlign w:val="bottom"/>
          </w:tcPr>
          <w:p>
            <w:pPr>
              <w:spacing w:after="0"/>
              <w:rPr>
                <w:sz w:val="21"/>
                <w:szCs w:val="21"/>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3.20</w:t>
            </w:r>
          </w:p>
        </w:tc>
        <w:tc>
          <w:tcPr>
            <w:tcW w:w="0" w:type="dxa"/>
            <w:vAlign w:val="bottom"/>
          </w:tcPr>
          <w:p>
            <w:pPr>
              <w:spacing w:after="0"/>
              <w:rPr>
                <w:sz w:val="1"/>
                <w:szCs w:val="1"/>
                <w:color w:val="auto"/>
              </w:rPr>
            </w:pPr>
          </w:p>
        </w:tc>
      </w:tr>
      <w:tr>
        <w:trPr>
          <w:trHeight w:val="642"/>
        </w:trPr>
        <w:tc>
          <w:tcPr>
            <w:tcW w:w="470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gridSpan w:val="2"/>
          </w:tcPr>
          <w:p>
            <w:pPr>
              <w:jc w:val="center"/>
              <w:ind w:right="220"/>
              <w:spacing w:after="0"/>
              <w:rPr>
                <w:sz w:val="20"/>
                <w:szCs w:val="20"/>
                <w:color w:val="auto"/>
              </w:rPr>
            </w:pPr>
            <w:r>
              <w:rPr>
                <w:rFonts w:ascii="Arial" w:cs="Arial" w:eastAsia="Arial" w:hAnsi="Arial"/>
                <w:sz w:val="14"/>
                <w:szCs w:val="14"/>
                <w:b w:val="1"/>
                <w:bCs w:val="1"/>
                <w:color w:val="auto"/>
                <w:w w:val="94"/>
              </w:rPr>
              <w:t>As of March 31,</w:t>
            </w: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4700" w:type="dxa"/>
            <w:vAlign w:val="bottom"/>
            <w:tcBorders>
              <w:bottom w:val="single" w:sz="8" w:color="CCEEFF"/>
            </w:tcBorders>
          </w:tcPr>
          <w:p>
            <w:pPr>
              <w:ind w:left="40"/>
              <w:spacing w:after="0"/>
              <w:rPr>
                <w:sz w:val="20"/>
                <w:szCs w:val="20"/>
                <w:color w:val="auto"/>
              </w:rPr>
            </w:pPr>
            <w:r>
              <w:rPr>
                <w:rFonts w:ascii="Arial" w:cs="Arial" w:eastAsia="Arial" w:hAnsi="Arial"/>
                <w:sz w:val="14"/>
                <w:szCs w:val="14"/>
                <w:b w:val="1"/>
                <w:bCs w:val="1"/>
                <w:color w:val="auto"/>
              </w:rPr>
              <w:t>BALANCE SHEET DATA:</w:t>
            </w:r>
          </w:p>
        </w:tc>
        <w:tc>
          <w:tcPr>
            <w:tcW w:w="2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395"/>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center"/>
              <w:ind w:right="55"/>
              <w:spacing w:after="0"/>
              <w:rPr>
                <w:sz w:val="20"/>
                <w:szCs w:val="20"/>
                <w:color w:val="auto"/>
              </w:rPr>
            </w:pPr>
            <w:r>
              <w:rPr>
                <w:rFonts w:ascii="Arial" w:cs="Arial" w:eastAsia="Arial" w:hAnsi="Arial"/>
                <w:sz w:val="14"/>
                <w:szCs w:val="14"/>
                <w:b w:val="1"/>
                <w:bCs w:val="1"/>
                <w:color w:val="auto"/>
                <w:w w:val="89"/>
              </w:rPr>
              <w:t>2016</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2015(1)</w:t>
            </w: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2014(1)</w:t>
            </w:r>
          </w:p>
        </w:tc>
        <w:tc>
          <w:tcPr>
            <w:tcW w:w="0" w:type="dxa"/>
            <w:vAlign w:val="bottom"/>
          </w:tcPr>
          <w:p>
            <w:pPr>
              <w:spacing w:after="0"/>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assets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b w:val="1"/>
                <w:bCs w:val="1"/>
                <w:color w:val="auto"/>
                <w:w w:val="99"/>
              </w:rPr>
              <w:t>$</w:t>
            </w:r>
          </w:p>
        </w:tc>
        <w:tc>
          <w:tcPr>
            <w:tcW w:w="9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3,737,841</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3,149,154</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2,590,277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2,228,073</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1,795,083</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Long-term debt</w:t>
            </w:r>
          </w:p>
        </w:tc>
        <w:tc>
          <w:tcPr>
            <w:tcW w:w="280" w:type="dxa"/>
            <w:vAlign w:val="bottom"/>
          </w:tcPr>
          <w:p>
            <w:pPr>
              <w:spacing w:after="0"/>
              <w:rPr>
                <w:sz w:val="21"/>
                <w:szCs w:val="21"/>
                <w:color w:val="auto"/>
              </w:rPr>
            </w:pPr>
          </w:p>
        </w:tc>
        <w:tc>
          <w:tcPr>
            <w:tcW w:w="980" w:type="dxa"/>
            <w:vAlign w:val="bottom"/>
          </w:tcPr>
          <w:p>
            <w:pPr>
              <w:jc w:val="right"/>
              <w:ind w:right="14"/>
              <w:spacing w:after="0"/>
              <w:rPr>
                <w:sz w:val="20"/>
                <w:szCs w:val="20"/>
                <w:color w:val="auto"/>
              </w:rPr>
            </w:pPr>
            <w:r>
              <w:rPr>
                <w:rFonts w:ascii="Arial" w:cs="Arial" w:eastAsia="Arial" w:hAnsi="Arial"/>
                <w:sz w:val="18"/>
                <w:szCs w:val="18"/>
                <w:b w:val="1"/>
                <w:bCs w:val="1"/>
                <w:color w:val="auto"/>
              </w:rPr>
              <w:t>8,068</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80" w:type="dxa"/>
            <w:vAlign w:val="bottom"/>
          </w:tcPr>
          <w:p>
            <w:pPr>
              <w:jc w:val="right"/>
              <w:ind w:right="15"/>
              <w:spacing w:after="0"/>
              <w:rPr>
                <w:sz w:val="20"/>
                <w:szCs w:val="20"/>
                <w:color w:val="auto"/>
              </w:rPr>
            </w:pPr>
            <w:r>
              <w:rPr>
                <w:rFonts w:ascii="Arial" w:cs="Arial" w:eastAsia="Arial" w:hAnsi="Arial"/>
                <w:sz w:val="18"/>
                <w:szCs w:val="18"/>
                <w:color w:val="auto"/>
              </w:rPr>
              <w:t>251,929</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140" w:type="dxa"/>
            <w:vAlign w:val="bottom"/>
          </w:tcPr>
          <w:p>
            <w:pPr>
              <w:jc w:val="right"/>
              <w:ind w:right="35"/>
              <w:spacing w:after="0"/>
              <w:rPr>
                <w:sz w:val="20"/>
                <w:szCs w:val="20"/>
                <w:color w:val="auto"/>
              </w:rPr>
            </w:pPr>
            <w:r>
              <w:rPr>
                <w:rFonts w:ascii="Arial" w:cs="Arial" w:eastAsia="Arial" w:hAnsi="Arial"/>
                <w:sz w:val="18"/>
                <w:szCs w:val="18"/>
                <w:color w:val="auto"/>
              </w:rPr>
              <w:t>497,935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ind w:right="34"/>
              <w:spacing w:after="0"/>
              <w:rPr>
                <w:sz w:val="20"/>
                <w:szCs w:val="20"/>
                <w:color w:val="auto"/>
              </w:rPr>
            </w:pPr>
            <w:r>
              <w:rPr>
                <w:rFonts w:ascii="Arial" w:cs="Arial" w:eastAsia="Arial" w:hAnsi="Arial"/>
                <w:sz w:val="18"/>
                <w:szCs w:val="18"/>
                <w:color w:val="auto"/>
              </w:rPr>
              <w:t>473,030</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449,484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141478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14780" cy="17145"/>
                    </a:xfrm>
                    <a:prstGeom prst="rect">
                      <a:avLst/>
                    </a:prstGeom>
                    <a:noFill/>
                  </pic:spPr>
                </pic:pic>
              </a:graphicData>
            </a:graphic>
          </wp:anchor>
        </w:drawing>
      </w:r>
    </w:p>
    <w:p>
      <w:pPr>
        <w:spacing w:after="0" w:line="276" w:lineRule="exact"/>
        <w:rPr>
          <w:sz w:val="20"/>
          <w:szCs w:val="20"/>
          <w:color w:val="auto"/>
        </w:rPr>
      </w:pPr>
    </w:p>
    <w:p>
      <w:pPr>
        <w:ind w:left="340" w:right="100" w:hanging="332"/>
        <w:spacing w:after="0" w:line="286" w:lineRule="auto"/>
        <w:tabs>
          <w:tab w:leader="none" w:pos="340" w:val="left"/>
        </w:tabs>
        <w:numPr>
          <w:ilvl w:val="0"/>
          <w:numId w:val="8"/>
        </w:numPr>
        <w:rPr>
          <w:rFonts w:ascii="Arial" w:cs="Arial" w:eastAsia="Arial" w:hAnsi="Arial"/>
          <w:sz w:val="17"/>
          <w:szCs w:val="17"/>
          <w:color w:val="auto"/>
        </w:rPr>
      </w:pPr>
      <w:r>
        <w:rPr>
          <w:rFonts w:ascii="Arial" w:cs="Arial" w:eastAsia="Arial" w:hAnsi="Arial"/>
          <w:sz w:val="17"/>
          <w:szCs w:val="17"/>
          <w:color w:val="auto"/>
        </w:rPr>
        <w:t>During fiscal 2016, we retrospectively adopted Accounting Standards Update 2015-03, "Simplifying the Presentation of Debt Issuance Costs," and as a result previously reported Total assets and Long-term debt have both decreased from previously reported amounts by $3,027 and $4,547 as of March 31, 2015 and 2014, respectively, to reflect the deduction of debt issuance costs from the carrying amount of the related debt liability.</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20"/>
          </w:cols>
          <w:pgMar w:left="240" w:top="719" w:right="239" w:bottom="1440" w:gutter="0" w:footer="0" w:header="0"/>
        </w:sectPr>
      </w:pPr>
    </w:p>
    <w:bookmarkStart w:id="26" w:name="page27"/>
    <w:bookmarkEnd w:id="26"/>
    <w:p>
      <w:pPr>
        <w:spacing w:after="0"/>
        <w:tabs>
          <w:tab w:leader="none" w:pos="7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6"/>
          <w:szCs w:val="16"/>
          <w:b w:val="1"/>
          <w:bCs w:val="1"/>
          <w:color w:val="auto"/>
        </w:rPr>
        <w:t>Management's Discussion and Analysis of Financial Condition and Results of Operations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Business</w:t>
      </w:r>
    </w:p>
    <w:p>
      <w:pPr>
        <w:spacing w:after="0" w:line="27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are a leading developer, publisher and marketer of interactive entertainment for consumers around the globe. Our products are currently designed for console gaming systems such as Sony's PS4 and PS3, Microsoft's Xbox One and Xbox 360, the Nintendo Switch, and PC, including smartphones and tablets. We deliver our products through physical retail, digital download, online platforms and cloud streaming services.</w:t>
      </w:r>
    </w:p>
    <w:p>
      <w:pPr>
        <w:spacing w:after="0" w:line="220"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endeavor to be the most creative, innovative and efficient company in our industry. Our core strategy is to capitalize on the popularity of video games by developing and publishing high-quality interactive entertainment experiences across a range of genres. We focus on building compelling entertainment franchises by publishing a select number of titles for which we can create sequels and incremental revenue opportunities through add-on content, microtransactions and online play. Most of our intellectual property is internally owned and developed, which we believe best positions us financially and competitively. We have established a portfolio of proprietary software content for the major hardware platforms in a wide range of genres, including action, adventure, family/casual, racing, role-playing, shooter, sports and strategy, which we distribute worldwide. We believe that our commitment to creativity and innovation is a distinguishing strength, enabling us to differentiate our products in the marketplace by combining advanced technology with compelling storylines and characters that provide unique gameplay experiences for consumers. We have created, acquired or licensed a group of highly recognizable brands to match the broad consumer demographics we serve, ranging from adults to children and game enthusiasts to casual gamers. Another cornerstone of our strategy is to support the success of our products in the marketplace through innovative marketing programs and global distribution on platforms and through channels that are relevant to our target audience.</w:t>
      </w:r>
    </w:p>
    <w:p>
      <w:pPr>
        <w:spacing w:after="0" w:line="23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revenue is primarily derived from the sale of internally developed software titles and software titles developed by third-parties. Operating margins are dependent in part upon our ability to release new, commercially successful software products and to manage effectively their development costs. We have internal development studios located in Australia, Canada, China, Czech Republic, Hungary, India, Spain, South Korea, the United Kingdom, and the United States.</w:t>
      </w:r>
    </w:p>
    <w:p>
      <w:pPr>
        <w:spacing w:after="0" w:line="24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 xml:space="preserve">Software titles published by our Rockstar Games label are primarily internally developed. We expect Rockstar Games, our wholly-owned publisher of the </w:t>
      </w:r>
      <w:r>
        <w:rPr>
          <w:rFonts w:ascii="Arial" w:cs="Arial" w:eastAsia="Arial" w:hAnsi="Arial"/>
          <w:sz w:val="17"/>
          <w:szCs w:val="17"/>
          <w:i w:val="1"/>
          <w:iCs w:val="1"/>
          <w:color w:val="auto"/>
        </w:rPr>
        <w:t>Grand Theft Auto</w:t>
      </w:r>
      <w:r>
        <w:rPr>
          <w:rFonts w:ascii="Arial" w:cs="Arial" w:eastAsia="Arial" w:hAnsi="Arial"/>
          <w:sz w:val="17"/>
          <w:szCs w:val="17"/>
          <w:color w:val="auto"/>
        </w:rPr>
        <w:t>,</w:t>
      </w:r>
      <w:r>
        <w:rPr>
          <w:rFonts w:ascii="Arial" w:cs="Arial" w:eastAsia="Arial" w:hAnsi="Arial"/>
          <w:sz w:val="17"/>
          <w:szCs w:val="17"/>
          <w:i w:val="1"/>
          <w:iCs w:val="1"/>
          <w:color w:val="auto"/>
        </w:rPr>
        <w:t xml:space="preserve"> Max Payne</w:t>
      </w:r>
      <w:r>
        <w:rPr>
          <w:rFonts w:ascii="Arial" w:cs="Arial" w:eastAsia="Arial" w:hAnsi="Arial"/>
          <w:sz w:val="17"/>
          <w:szCs w:val="17"/>
          <w:color w:val="auto"/>
        </w:rPr>
        <w:t>,</w:t>
      </w:r>
      <w:r>
        <w:rPr>
          <w:rFonts w:ascii="Arial" w:cs="Arial" w:eastAsia="Arial" w:hAnsi="Arial"/>
          <w:sz w:val="17"/>
          <w:szCs w:val="17"/>
          <w:i w:val="1"/>
          <w:iCs w:val="1"/>
          <w:color w:val="auto"/>
        </w:rPr>
        <w:t xml:space="preserve"> Midnight Club</w:t>
      </w:r>
      <w:r>
        <w:rPr>
          <w:rFonts w:ascii="Arial" w:cs="Arial" w:eastAsia="Arial" w:hAnsi="Arial"/>
          <w:sz w:val="17"/>
          <w:szCs w:val="17"/>
          <w:color w:val="auto"/>
        </w:rPr>
        <w:t>,</w:t>
      </w:r>
      <w:r>
        <w:rPr>
          <w:rFonts w:ascii="Arial" w:cs="Arial" w:eastAsia="Arial" w:hAnsi="Arial"/>
          <w:sz w:val="17"/>
          <w:szCs w:val="17"/>
          <w:i w:val="1"/>
          <w:iCs w:val="1"/>
          <w:color w:val="auto"/>
        </w:rPr>
        <w:t xml:space="preserve"> Red Dead </w:t>
      </w:r>
      <w:r>
        <w:rPr>
          <w:rFonts w:ascii="Arial" w:cs="Arial" w:eastAsia="Arial" w:hAnsi="Arial"/>
          <w:sz w:val="17"/>
          <w:szCs w:val="17"/>
          <w:color w:val="auto"/>
        </w:rPr>
        <w:t>and other popular franchises, to continue to be a leader in the action / adventure product category</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and to create groundbreaking entertainment by leveraging our existing titles as well as by developing new brands. We believe that Rockstar has established a uniquely original, popular cultural phenomenon with its </w:t>
      </w:r>
      <w:r>
        <w:rPr>
          <w:rFonts w:ascii="Arial" w:cs="Arial" w:eastAsia="Arial" w:hAnsi="Arial"/>
          <w:sz w:val="17"/>
          <w:szCs w:val="17"/>
          <w:i w:val="1"/>
          <w:iCs w:val="1"/>
          <w:color w:val="auto"/>
        </w:rPr>
        <w:t>Grand Theft Auto</w:t>
      </w:r>
      <w:r>
        <w:rPr>
          <w:rFonts w:ascii="Arial" w:cs="Arial" w:eastAsia="Arial" w:hAnsi="Arial"/>
          <w:sz w:val="17"/>
          <w:szCs w:val="17"/>
          <w:color w:val="auto"/>
        </w:rPr>
        <w:t xml:space="preserve"> series, which is the interactive entertainment industry's most iconic and critically acclaimed brand and has sold-in over 280 million units. The latest installment, </w:t>
      </w:r>
      <w:r>
        <w:rPr>
          <w:rFonts w:ascii="Arial" w:cs="Arial" w:eastAsia="Arial" w:hAnsi="Arial"/>
          <w:sz w:val="17"/>
          <w:szCs w:val="17"/>
          <w:i w:val="1"/>
          <w:iCs w:val="1"/>
          <w:color w:val="auto"/>
        </w:rPr>
        <w:t>Grand Theft Auto V</w:t>
      </w:r>
      <w:r>
        <w:rPr>
          <w:rFonts w:ascii="Arial" w:cs="Arial" w:eastAsia="Arial" w:hAnsi="Arial"/>
          <w:sz w:val="17"/>
          <w:szCs w:val="17"/>
          <w:color w:val="auto"/>
        </w:rPr>
        <w:t xml:space="preserve">, was released on Sony's PS3 and Microsoft's Xbox 360 in September 2013, on Sony's PS4 and Microsoft's Xbox One in November 2014, and on PC in April 2015. </w:t>
      </w:r>
      <w:r>
        <w:rPr>
          <w:rFonts w:ascii="Arial" w:cs="Arial" w:eastAsia="Arial" w:hAnsi="Arial"/>
          <w:sz w:val="17"/>
          <w:szCs w:val="17"/>
          <w:i w:val="1"/>
          <w:iCs w:val="1"/>
          <w:color w:val="auto"/>
        </w:rPr>
        <w:t>Grand Theft Auto V</w:t>
      </w:r>
      <w:r>
        <w:rPr>
          <w:rFonts w:ascii="Arial" w:cs="Arial" w:eastAsia="Arial" w:hAnsi="Arial"/>
          <w:sz w:val="17"/>
          <w:szCs w:val="17"/>
          <w:color w:val="auto"/>
        </w:rPr>
        <w:t xml:space="preserve"> includes access to </w:t>
      </w:r>
      <w:r>
        <w:rPr>
          <w:rFonts w:ascii="Arial" w:cs="Arial" w:eastAsia="Arial" w:hAnsi="Arial"/>
          <w:sz w:val="17"/>
          <w:szCs w:val="17"/>
          <w:i w:val="1"/>
          <w:iCs w:val="1"/>
          <w:color w:val="auto"/>
        </w:rPr>
        <w:t>Grand Theft</w:t>
      </w:r>
      <w:r>
        <w:rPr>
          <w:rFonts w:ascii="Arial" w:cs="Arial" w:eastAsia="Arial" w:hAnsi="Arial"/>
          <w:sz w:val="17"/>
          <w:szCs w:val="17"/>
          <w:color w:val="auto"/>
        </w:rPr>
        <w:t xml:space="preserve"> </w:t>
      </w:r>
      <w:r>
        <w:rPr>
          <w:rFonts w:ascii="Arial" w:cs="Arial" w:eastAsia="Arial" w:hAnsi="Arial"/>
          <w:sz w:val="17"/>
          <w:szCs w:val="17"/>
          <w:i w:val="1"/>
          <w:iCs w:val="1"/>
          <w:color w:val="auto"/>
        </w:rPr>
        <w:t>Auto Online</w:t>
      </w:r>
      <w:r>
        <w:rPr>
          <w:rFonts w:ascii="Arial" w:cs="Arial" w:eastAsia="Arial" w:hAnsi="Arial"/>
          <w:sz w:val="17"/>
          <w:szCs w:val="17"/>
          <w:color w:val="auto"/>
        </w:rPr>
        <w:t>, which initially launched in October 2013. Rockstar Games is also well known for developing brands in other genres, including the</w:t>
      </w:r>
      <w:r>
        <w:rPr>
          <w:rFonts w:ascii="Arial" w:cs="Arial" w:eastAsia="Arial" w:hAnsi="Arial"/>
          <w:sz w:val="17"/>
          <w:szCs w:val="17"/>
          <w:i w:val="1"/>
          <w:iCs w:val="1"/>
          <w:color w:val="auto"/>
        </w:rPr>
        <w:t xml:space="preserve"> L.A. Noire</w:t>
      </w:r>
      <w:r>
        <w:rPr>
          <w:rFonts w:ascii="Arial" w:cs="Arial" w:eastAsia="Arial" w:hAnsi="Arial"/>
          <w:sz w:val="17"/>
          <w:szCs w:val="17"/>
          <w:color w:val="auto"/>
        </w:rPr>
        <w:t>,</w:t>
      </w:r>
      <w:r>
        <w:rPr>
          <w:rFonts w:ascii="Arial" w:cs="Arial" w:eastAsia="Arial" w:hAnsi="Arial"/>
          <w:sz w:val="17"/>
          <w:szCs w:val="17"/>
          <w:i w:val="1"/>
          <w:iCs w:val="1"/>
          <w:color w:val="auto"/>
        </w:rPr>
        <w:t xml:space="preserve"> Bully </w:t>
      </w:r>
      <w:r>
        <w:rPr>
          <w:rFonts w:ascii="Arial" w:cs="Arial" w:eastAsia="Arial" w:hAnsi="Arial"/>
          <w:sz w:val="17"/>
          <w:szCs w:val="17"/>
          <w:color w:val="auto"/>
        </w:rPr>
        <w:t>and</w:t>
      </w:r>
      <w:r>
        <w:rPr>
          <w:rFonts w:ascii="Arial" w:cs="Arial" w:eastAsia="Arial" w:hAnsi="Arial"/>
          <w:sz w:val="17"/>
          <w:szCs w:val="17"/>
          <w:i w:val="1"/>
          <w:iCs w:val="1"/>
          <w:color w:val="auto"/>
        </w:rPr>
        <w:t xml:space="preserve"> Manhunt </w:t>
      </w:r>
      <w:r>
        <w:rPr>
          <w:rFonts w:ascii="Arial" w:cs="Arial" w:eastAsia="Arial" w:hAnsi="Arial"/>
          <w:sz w:val="17"/>
          <w:szCs w:val="17"/>
          <w:color w:val="auto"/>
        </w:rPr>
        <w:t>franchises. Rockstar Games continues to expand on our established franchises by developing sequels, offering downloadable episodes,</w:t>
      </w:r>
      <w:r>
        <w:rPr>
          <w:rFonts w:ascii="Arial" w:cs="Arial" w:eastAsia="Arial" w:hAnsi="Arial"/>
          <w:sz w:val="17"/>
          <w:szCs w:val="17"/>
          <w:i w:val="1"/>
          <w:iCs w:val="1"/>
          <w:color w:val="auto"/>
        </w:rPr>
        <w:t xml:space="preserve"> </w:t>
      </w:r>
      <w:r>
        <w:rPr>
          <w:rFonts w:ascii="Arial" w:cs="Arial" w:eastAsia="Arial" w:hAnsi="Arial"/>
          <w:sz w:val="17"/>
          <w:szCs w:val="17"/>
          <w:color w:val="auto"/>
        </w:rPr>
        <w:t>content and virtual currency, and releasing titles for smartphones and tablets.</w:t>
      </w:r>
    </w:p>
    <w:p>
      <w:pPr>
        <w:spacing w:after="0" w:line="236"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 xml:space="preserve">Our 2K label has published a variety of popular entertainment properties across all key platforms and across a range of genres including shooter, action, role-playing, strategy, sports and family/casual entertainment. We expect 2K to continue to develop new, successful franchises in the future. 2K's internally owned and developed franchises include the critically acclaimed, multi-million unit selling </w:t>
      </w:r>
      <w:r>
        <w:rPr>
          <w:rFonts w:ascii="Arial" w:cs="Arial" w:eastAsia="Arial" w:hAnsi="Arial"/>
          <w:sz w:val="17"/>
          <w:szCs w:val="17"/>
          <w:i w:val="1"/>
          <w:iCs w:val="1"/>
          <w:color w:val="auto"/>
        </w:rPr>
        <w:t>BioShock</w:t>
      </w:r>
      <w:r>
        <w:rPr>
          <w:rFonts w:ascii="Arial" w:cs="Arial" w:eastAsia="Arial" w:hAnsi="Arial"/>
          <w:sz w:val="17"/>
          <w:szCs w:val="17"/>
          <w:color w:val="auto"/>
        </w:rPr>
        <w:t xml:space="preserve">, </w:t>
      </w:r>
      <w:r>
        <w:rPr>
          <w:rFonts w:ascii="Arial" w:cs="Arial" w:eastAsia="Arial" w:hAnsi="Arial"/>
          <w:sz w:val="17"/>
          <w:szCs w:val="17"/>
          <w:i w:val="1"/>
          <w:iCs w:val="1"/>
          <w:color w:val="auto"/>
        </w:rPr>
        <w:t>Mafia</w:t>
      </w:r>
      <w:r>
        <w:rPr>
          <w:rFonts w:ascii="Arial" w:cs="Arial" w:eastAsia="Arial" w:hAnsi="Arial"/>
          <w:sz w:val="17"/>
          <w:szCs w:val="17"/>
          <w:color w:val="auto"/>
        </w:rPr>
        <w:t xml:space="preserve">, </w:t>
      </w:r>
      <w:r>
        <w:rPr>
          <w:rFonts w:ascii="Arial" w:cs="Arial" w:eastAsia="Arial" w:hAnsi="Arial"/>
          <w:sz w:val="17"/>
          <w:szCs w:val="17"/>
          <w:i w:val="1"/>
          <w:iCs w:val="1"/>
          <w:color w:val="auto"/>
        </w:rPr>
        <w:t>Sid Meier's Civilization</w:t>
      </w:r>
      <w:r>
        <w:rPr>
          <w:rFonts w:ascii="Arial" w:cs="Arial" w:eastAsia="Arial" w:hAnsi="Arial"/>
          <w:sz w:val="17"/>
          <w:szCs w:val="17"/>
          <w:color w:val="auto"/>
        </w:rPr>
        <w:t xml:space="preserve"> and </w:t>
      </w:r>
      <w:r>
        <w:rPr>
          <w:rFonts w:ascii="Arial" w:cs="Arial" w:eastAsia="Arial" w:hAnsi="Arial"/>
          <w:sz w:val="17"/>
          <w:szCs w:val="17"/>
          <w:i w:val="1"/>
          <w:iCs w:val="1"/>
          <w:color w:val="auto"/>
        </w:rPr>
        <w:t>XCOM</w:t>
      </w:r>
      <w:r>
        <w:rPr>
          <w:rFonts w:ascii="Arial" w:cs="Arial" w:eastAsia="Arial" w:hAnsi="Arial"/>
          <w:sz w:val="17"/>
          <w:szCs w:val="17"/>
          <w:color w:val="auto"/>
        </w:rPr>
        <w:t xml:space="preserve"> series. 2K also publishes successful externally developed franchises, such as </w:t>
      </w:r>
      <w:r>
        <w:rPr>
          <w:rFonts w:ascii="Arial" w:cs="Arial" w:eastAsia="Arial" w:hAnsi="Arial"/>
          <w:sz w:val="17"/>
          <w:szCs w:val="17"/>
          <w:i w:val="1"/>
          <w:iCs w:val="1"/>
          <w:color w:val="auto"/>
        </w:rPr>
        <w:t>Borderlands</w:t>
      </w:r>
      <w:r>
        <w:rPr>
          <w:rFonts w:ascii="Arial" w:cs="Arial" w:eastAsia="Arial" w:hAnsi="Arial"/>
          <w:sz w:val="17"/>
          <w:szCs w:val="17"/>
          <w:color w:val="auto"/>
        </w:rPr>
        <w:t xml:space="preserve"> and </w:t>
      </w:r>
      <w:r>
        <w:rPr>
          <w:rFonts w:ascii="Arial" w:cs="Arial" w:eastAsia="Arial" w:hAnsi="Arial"/>
          <w:sz w:val="17"/>
          <w:szCs w:val="17"/>
          <w:i w:val="1"/>
          <w:iCs w:val="1"/>
          <w:color w:val="auto"/>
        </w:rPr>
        <w:t>Evolve</w:t>
      </w:r>
      <w:r>
        <w:rPr>
          <w:rFonts w:ascii="Arial" w:cs="Arial" w:eastAsia="Arial" w:hAnsi="Arial"/>
          <w:sz w:val="17"/>
          <w:szCs w:val="17"/>
          <w:color w:val="auto"/>
        </w:rPr>
        <w:t xml:space="preserve">. 2K's realistic sports simulation titles include our flagship </w:t>
      </w:r>
      <w:r>
        <w:rPr>
          <w:rFonts w:ascii="Arial" w:cs="Arial" w:eastAsia="Arial" w:hAnsi="Arial"/>
          <w:sz w:val="17"/>
          <w:szCs w:val="17"/>
          <w:i w:val="1"/>
          <w:iCs w:val="1"/>
          <w:color w:val="auto"/>
        </w:rPr>
        <w:t>NBA 2K</w:t>
      </w:r>
      <w:r>
        <w:rPr>
          <w:rFonts w:ascii="Arial" w:cs="Arial" w:eastAsia="Arial" w:hAnsi="Arial"/>
          <w:sz w:val="17"/>
          <w:szCs w:val="17"/>
          <w:color w:val="auto"/>
        </w:rPr>
        <w:t xml:space="preserve"> series, which continues to be the top-ranked NBA basketball video game, and the </w:t>
      </w:r>
      <w:r>
        <w:rPr>
          <w:rFonts w:ascii="Arial" w:cs="Arial" w:eastAsia="Arial" w:hAnsi="Arial"/>
          <w:sz w:val="17"/>
          <w:szCs w:val="17"/>
          <w:i w:val="1"/>
          <w:iCs w:val="1"/>
          <w:color w:val="auto"/>
        </w:rPr>
        <w:t>WWE 2K</w:t>
      </w:r>
      <w:r>
        <w:rPr>
          <w:rFonts w:ascii="Arial" w:cs="Arial" w:eastAsia="Arial" w:hAnsi="Arial"/>
          <w:sz w:val="17"/>
          <w:szCs w:val="17"/>
          <w:color w:val="auto"/>
        </w:rPr>
        <w:t xml:space="preserve"> professional wrestling series.</w:t>
      </w:r>
    </w:p>
    <w:p>
      <w:pPr>
        <w:spacing w:after="0" w:line="22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are continuing to execute on our growth initiatives in Asia, where our strategy is to broaden the distribution of our existing products and expand our online gaming presence, especially in China and South Korea. 2K has a multi-year license from the NBA to develop an online version of the NBA simulation game in China, Taiwan, South Korea and Southeast Asia. In October 2012, </w:t>
      </w:r>
      <w:r>
        <w:rPr>
          <w:rFonts w:ascii="Arial" w:cs="Arial" w:eastAsia="Arial" w:hAnsi="Arial"/>
          <w:sz w:val="18"/>
          <w:szCs w:val="18"/>
          <w:i w:val="1"/>
          <w:iCs w:val="1"/>
          <w:color w:val="auto"/>
        </w:rPr>
        <w:t>NBA 2K Online</w:t>
      </w:r>
      <w:r>
        <w:rPr>
          <w:rFonts w:ascii="Arial" w:cs="Arial" w:eastAsia="Arial" w:hAnsi="Arial"/>
          <w:sz w:val="18"/>
          <w:szCs w:val="18"/>
          <w:color w:val="auto"/>
        </w:rPr>
        <w:t>, our free-to-play NBA simulation game, which was co-developed by 2K and Tencent, launched commercially on the Tencent Games portal in China.</w:t>
      </w:r>
    </w:p>
    <w:p>
      <w:pPr>
        <w:spacing w:after="0" w:line="241"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 xml:space="preserve">On December 14, 2017, we announced the formation of Private Division, our new label that is dedicated to bringing titles from top independent developers to market. Private Division will publish several upcoming titles based on new IP from renowned industry creative talent, including the previously announced </w:t>
      </w:r>
      <w:r>
        <w:rPr>
          <w:rFonts w:ascii="Arial" w:cs="Arial" w:eastAsia="Arial" w:hAnsi="Arial"/>
          <w:sz w:val="16"/>
          <w:szCs w:val="16"/>
          <w:i w:val="1"/>
          <w:iCs w:val="1"/>
          <w:color w:val="auto"/>
        </w:rPr>
        <w:t xml:space="preserve">Ancestors: The Humankind Odyssey </w:t>
      </w:r>
      <w:r>
        <w:rPr>
          <w:rFonts w:ascii="Arial" w:cs="Arial" w:eastAsia="Arial" w:hAnsi="Arial"/>
          <w:sz w:val="16"/>
          <w:szCs w:val="16"/>
          <w:color w:val="auto"/>
        </w:rPr>
        <w:t>from Panache Digital Game, a studio led by the creator of the</w:t>
      </w:r>
      <w:r>
        <w:rPr>
          <w:rFonts w:ascii="Arial" w:cs="Arial" w:eastAsia="Arial" w:hAnsi="Arial"/>
          <w:sz w:val="16"/>
          <w:szCs w:val="16"/>
          <w:i w:val="1"/>
          <w:iCs w:val="1"/>
          <w:color w:val="auto"/>
        </w:rPr>
        <w:t xml:space="preserve"> Assassin's Creed </w:t>
      </w:r>
      <w:r>
        <w:rPr>
          <w:rFonts w:ascii="Arial" w:cs="Arial" w:eastAsia="Arial" w:hAnsi="Arial"/>
          <w:sz w:val="16"/>
          <w:szCs w:val="16"/>
          <w:color w:val="auto"/>
        </w:rPr>
        <w:t>franchise Patrice Désilets; an</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unannounced role-playing game ("RPG") currently code-named </w:t>
      </w:r>
      <w:r>
        <w:rPr>
          <w:rFonts w:ascii="Arial" w:cs="Arial" w:eastAsia="Arial" w:hAnsi="Arial"/>
          <w:sz w:val="16"/>
          <w:szCs w:val="16"/>
          <w:i w:val="1"/>
          <w:iCs w:val="1"/>
          <w:color w:val="auto"/>
        </w:rPr>
        <w:t>Project Wight</w:t>
      </w:r>
      <w:r>
        <w:rPr>
          <w:rFonts w:ascii="Arial" w:cs="Arial" w:eastAsia="Arial" w:hAnsi="Arial"/>
          <w:sz w:val="16"/>
          <w:szCs w:val="16"/>
          <w:color w:val="auto"/>
        </w:rPr>
        <w:t xml:space="preserve"> from The Outsiders, a studio formed by ex-DICE developers David Goldfarb and Ben Cousins; an unannounced RPG from Obsidian Entertainment led by Tim Cain and Leonard Boyarsky, co-creators of </w:t>
      </w:r>
      <w:r>
        <w:rPr>
          <w:rFonts w:ascii="Arial" w:cs="Arial" w:eastAsia="Arial" w:hAnsi="Arial"/>
          <w:sz w:val="16"/>
          <w:szCs w:val="16"/>
          <w:i w:val="1"/>
          <w:iCs w:val="1"/>
          <w:color w:val="auto"/>
        </w:rPr>
        <w:t>Fallout</w:t>
      </w:r>
      <w:r>
        <w:rPr>
          <w:rFonts w:ascii="Arial" w:cs="Arial" w:eastAsia="Arial" w:hAnsi="Arial"/>
          <w:sz w:val="16"/>
          <w:szCs w:val="16"/>
          <w:color w:val="auto"/>
        </w:rPr>
        <w:t>; and an</w:t>
      </w: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20"/>
          </w:cols>
          <w:pgMar w:left="240" w:top="715" w:right="239" w:bottom="1440" w:gutter="0" w:footer="0" w:header="0"/>
        </w:sectPr>
      </w:pPr>
    </w:p>
    <w:bookmarkStart w:id="27" w:name="page28"/>
    <w:bookmarkEnd w:id="27"/>
    <w:p>
      <w:pPr>
        <w:jc w:val="both"/>
        <w:ind w:right="20"/>
        <w:spacing w:after="0" w:line="277" w:lineRule="auto"/>
        <w:rPr>
          <w:sz w:val="20"/>
          <w:szCs w:val="20"/>
          <w:color w:val="auto"/>
        </w:rPr>
      </w:pPr>
      <w:r>
        <w:rPr>
          <w:rFonts w:ascii="Arial" w:cs="Arial" w:eastAsia="Arial" w:hAnsi="Arial"/>
          <w:sz w:val="18"/>
          <w:szCs w:val="18"/>
          <w:color w:val="auto"/>
        </w:rPr>
        <w:t xml:space="preserve">unannounced sci-fi first-person shooter from V1 Interactive, a studio founded by </w:t>
      </w:r>
      <w:r>
        <w:rPr>
          <w:rFonts w:ascii="Arial" w:cs="Arial" w:eastAsia="Arial" w:hAnsi="Arial"/>
          <w:sz w:val="18"/>
          <w:szCs w:val="18"/>
          <w:i w:val="1"/>
          <w:iCs w:val="1"/>
          <w:color w:val="auto"/>
        </w:rPr>
        <w:t>Halo</w:t>
      </w:r>
      <w:r>
        <w:rPr>
          <w:rFonts w:ascii="Arial" w:cs="Arial" w:eastAsia="Arial" w:hAnsi="Arial"/>
          <w:sz w:val="18"/>
          <w:szCs w:val="18"/>
          <w:color w:val="auto"/>
        </w:rPr>
        <w:t xml:space="preserve"> co-creator Marcus Lehto. Additionally, Private Division is the publisher of </w:t>
      </w:r>
      <w:r>
        <w:rPr>
          <w:rFonts w:ascii="Arial" w:cs="Arial" w:eastAsia="Arial" w:hAnsi="Arial"/>
          <w:sz w:val="18"/>
          <w:szCs w:val="18"/>
          <w:i w:val="1"/>
          <w:iCs w:val="1"/>
          <w:color w:val="auto"/>
        </w:rPr>
        <w:t>Kerbal Space Program,</w:t>
      </w:r>
      <w:r>
        <w:rPr>
          <w:rFonts w:ascii="Arial" w:cs="Arial" w:eastAsia="Arial" w:hAnsi="Arial"/>
          <w:sz w:val="18"/>
          <w:szCs w:val="18"/>
          <w:color w:val="auto"/>
        </w:rPr>
        <w:t xml:space="preserve"> which we acquired in May 2017.</w:t>
      </w:r>
    </w:p>
    <w:p>
      <w:pPr>
        <w:spacing w:after="0" w:line="8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Social Point develops and publishes popular free-to-play mobile games that deliver high quality, deeply-engaging entertainment experiences, including its two most successful games, </w:t>
      </w:r>
      <w:r>
        <w:rPr>
          <w:rFonts w:ascii="Arial" w:cs="Arial" w:eastAsia="Arial" w:hAnsi="Arial"/>
          <w:sz w:val="18"/>
          <w:szCs w:val="18"/>
          <w:i w:val="1"/>
          <w:iCs w:val="1"/>
          <w:color w:val="auto"/>
        </w:rPr>
        <w:t>Dragon City</w:t>
      </w:r>
      <w:r>
        <w:rPr>
          <w:rFonts w:ascii="Arial" w:cs="Arial" w:eastAsia="Arial" w:hAnsi="Arial"/>
          <w:sz w:val="18"/>
          <w:szCs w:val="18"/>
          <w:color w:val="auto"/>
        </w:rPr>
        <w:t xml:space="preserve"> and </w:t>
      </w:r>
      <w:r>
        <w:rPr>
          <w:rFonts w:ascii="Arial" w:cs="Arial" w:eastAsia="Arial" w:hAnsi="Arial"/>
          <w:sz w:val="18"/>
          <w:szCs w:val="18"/>
          <w:i w:val="1"/>
          <w:iCs w:val="1"/>
          <w:color w:val="auto"/>
        </w:rPr>
        <w:t>Monster Legends</w:t>
      </w:r>
      <w:r>
        <w:rPr>
          <w:rFonts w:ascii="Arial" w:cs="Arial" w:eastAsia="Arial" w:hAnsi="Arial"/>
          <w:sz w:val="18"/>
          <w:szCs w:val="18"/>
          <w:color w:val="auto"/>
        </w:rPr>
        <w:t>. In addition, Social Point has a robust development pipeline with a number of exciting games planned for launch over the next two years.</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Trends and Factors Affecting our Business</w:t>
      </w:r>
    </w:p>
    <w:p>
      <w:pPr>
        <w:spacing w:after="0" w:line="2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 xml:space="preserve">Product Release Schedule. </w:t>
      </w:r>
      <w:r>
        <w:rPr>
          <w:rFonts w:ascii="Arial" w:cs="Arial" w:eastAsia="Arial" w:hAnsi="Arial"/>
          <w:sz w:val="18"/>
          <w:szCs w:val="18"/>
          <w:color w:val="auto"/>
        </w:rPr>
        <w:t>Our financial results are affected by the timing of our product releases and the commercial success of those titles. Our</w:t>
      </w:r>
      <w:r>
        <w:rPr>
          <w:rFonts w:ascii="Arial" w:cs="Arial" w:eastAsia="Arial" w:hAnsi="Arial"/>
          <w:sz w:val="18"/>
          <w:szCs w:val="18"/>
          <w:i w:val="1"/>
          <w:iCs w:val="1"/>
          <w:color w:val="auto"/>
        </w:rPr>
        <w:t xml:space="preserve"> Grand Theft Auto </w:t>
      </w:r>
      <w:r>
        <w:rPr>
          <w:rFonts w:ascii="Arial" w:cs="Arial" w:eastAsia="Arial" w:hAnsi="Arial"/>
          <w:sz w:val="18"/>
          <w:szCs w:val="18"/>
          <w:color w:val="auto"/>
        </w:rPr>
        <w:t>products in particular have historically accounted for a significant portion of our revenue. Sales of</w:t>
      </w:r>
      <w:r>
        <w:rPr>
          <w:rFonts w:ascii="Arial" w:cs="Arial" w:eastAsia="Arial" w:hAnsi="Arial"/>
          <w:sz w:val="18"/>
          <w:szCs w:val="18"/>
          <w:i w:val="1"/>
          <w:iCs w:val="1"/>
          <w:color w:val="auto"/>
        </w:rPr>
        <w:t xml:space="preserve"> Grand Theft Auto </w:t>
      </w:r>
      <w:r>
        <w:rPr>
          <w:rFonts w:ascii="Arial" w:cs="Arial" w:eastAsia="Arial" w:hAnsi="Arial"/>
          <w:sz w:val="18"/>
          <w:szCs w:val="18"/>
          <w:color w:val="auto"/>
        </w:rPr>
        <w:t>products generated 39.7% of</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our net revenue for the fiscal year ended March 31, 2018. The timing of our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product releases may affect our financial performance on a quarterly and annual basis.</w:t>
      </w:r>
    </w:p>
    <w:p>
      <w:pPr>
        <w:spacing w:after="0" w:line="241" w:lineRule="exact"/>
        <w:rPr>
          <w:sz w:val="20"/>
          <w:szCs w:val="20"/>
          <w:color w:val="auto"/>
        </w:rPr>
      </w:pPr>
    </w:p>
    <w:p>
      <w:pPr>
        <w:jc w:val="both"/>
        <w:spacing w:after="0" w:line="268" w:lineRule="auto"/>
        <w:rPr>
          <w:sz w:val="20"/>
          <w:szCs w:val="20"/>
          <w:color w:val="auto"/>
        </w:rPr>
      </w:pPr>
      <w:r>
        <w:rPr>
          <w:rFonts w:ascii="Arial" w:cs="Arial" w:eastAsia="Arial" w:hAnsi="Arial"/>
          <w:sz w:val="17"/>
          <w:szCs w:val="17"/>
          <w:i w:val="1"/>
          <w:iCs w:val="1"/>
          <w:color w:val="auto"/>
        </w:rPr>
        <w:t xml:space="preserve">Economic Environment and Retailer Performance. </w:t>
      </w:r>
      <w:r>
        <w:rPr>
          <w:rFonts w:ascii="Arial" w:cs="Arial" w:eastAsia="Arial" w:hAnsi="Arial"/>
          <w:sz w:val="17"/>
          <w:szCs w:val="17"/>
          <w:color w:val="auto"/>
        </w:rPr>
        <w:t>We continue to monitor economic conditions that may unfavorably affect our businesses, such as</w:t>
      </w:r>
      <w:r>
        <w:rPr>
          <w:rFonts w:ascii="Arial" w:cs="Arial" w:eastAsia="Arial" w:hAnsi="Arial"/>
          <w:sz w:val="17"/>
          <w:szCs w:val="17"/>
          <w:i w:val="1"/>
          <w:iCs w:val="1"/>
          <w:color w:val="auto"/>
        </w:rPr>
        <w:t xml:space="preserve"> </w:t>
      </w:r>
      <w:r>
        <w:rPr>
          <w:rFonts w:ascii="Arial" w:cs="Arial" w:eastAsia="Arial" w:hAnsi="Arial"/>
          <w:sz w:val="17"/>
          <w:szCs w:val="17"/>
          <w:color w:val="auto"/>
        </w:rPr>
        <w:t>deteriorating consumer demand, pricing pressure on our products, credit quality of our receivables, and foreign currency exchange rates. Our business is dependent upon a limited number of customers that account for a significant portion of our revenue. Our five largest customers accounted for 70.7%, 65.5% and 58.9% of net revenue during the fiscal years ended March 31, 2018, 2017 and 2016, respectively. As of March 31, 2018 and 2017, five customers comprised 65.4% and 69.9% of our gross accounts receivable, respectively, with our significant customers (those that individually comprised more than 10% of our gross accounts receivable balance) accounting for 53.2% and 57.6% of such balance at March 31, 2018 and 2017, respectively. We had two customers who accounted for 37.7% and 15.5% of our gross accounts receivable as of March 31, 2018 and two customers who accounted for 40.2% and 17.4% of our gross accounts receivable as of March 31, 2017. We did not have any additional customers that exceeded 10% of our gross accounts receivable as of March 31, 2018 and 2017. The economic environment has affected our customers in the past, and may do so in the future. Bankruptcies or consolidations of our large retail customers could seriously hurt our business, due to uncollectible accounts receivables and the concentration of purchasing power among the remaining large retailers. Certain of our large customers sell used copies of our games, which may negatively affect our business by reducing demand for new copies of our games. While the downloadable content that we now offer for certain of our titles may serve to reduce used game sales, we expect used game sales to continue to adversely affect our business.</w:t>
      </w:r>
    </w:p>
    <w:p>
      <w:pPr>
        <w:spacing w:after="0" w:line="242" w:lineRule="exact"/>
        <w:rPr>
          <w:sz w:val="20"/>
          <w:szCs w:val="20"/>
          <w:color w:val="auto"/>
        </w:rPr>
      </w:pPr>
    </w:p>
    <w:p>
      <w:pPr>
        <w:jc w:val="both"/>
        <w:spacing w:after="0" w:line="271" w:lineRule="auto"/>
        <w:rPr>
          <w:sz w:val="20"/>
          <w:szCs w:val="20"/>
          <w:color w:val="auto"/>
        </w:rPr>
      </w:pPr>
      <w:r>
        <w:rPr>
          <w:rFonts w:ascii="Arial" w:cs="Arial" w:eastAsia="Arial" w:hAnsi="Arial"/>
          <w:sz w:val="17"/>
          <w:szCs w:val="17"/>
          <w:i w:val="1"/>
          <w:iCs w:val="1"/>
          <w:color w:val="auto"/>
        </w:rPr>
        <w:t xml:space="preserve">Hardware Platforms. </w:t>
      </w:r>
      <w:r>
        <w:rPr>
          <w:rFonts w:ascii="Arial" w:cs="Arial" w:eastAsia="Arial" w:hAnsi="Arial"/>
          <w:sz w:val="17"/>
          <w:szCs w:val="17"/>
          <w:color w:val="auto"/>
        </w:rPr>
        <w:t>We derive most of our revenue from the sale of products made for video game consoles manufactured by third-parties, such as Sony's</w:t>
      </w:r>
      <w:r>
        <w:rPr>
          <w:rFonts w:ascii="Arial" w:cs="Arial" w:eastAsia="Arial" w:hAnsi="Arial"/>
          <w:sz w:val="17"/>
          <w:szCs w:val="17"/>
          <w:i w:val="1"/>
          <w:iCs w:val="1"/>
          <w:color w:val="auto"/>
        </w:rPr>
        <w:t xml:space="preserve"> </w:t>
      </w:r>
      <w:r>
        <w:rPr>
          <w:rFonts w:ascii="Arial" w:cs="Arial" w:eastAsia="Arial" w:hAnsi="Arial"/>
          <w:sz w:val="17"/>
          <w:szCs w:val="17"/>
          <w:color w:val="auto"/>
        </w:rPr>
        <w:t>PS4 and PS3, Microsoft's Xbox One and Xbox 360, and the Nintendo Switch, which comprised 81.6% of our net revenue by product platform for the fiscal year ended March 31, 2018. The success of our business is dependent upon the consumer acceptance of these consoles and continued growth in their installed base. When new hardware platforms are introduced, demand for software used on older platforms typically declines, which may negatively affect our business during the market transition to the new consoles. We continually monitor console hardware sales. We manage our product delivery on each current and future platform in a manner we believe to be most effective to maximize our revenue opportunities and achieve the desired return on our investments in product development. Accordingly, our strategy is to focus our development efforts on a select number of the highest quality titles for these platforms, while also expanding our offerings for emerging platforms such as tablets, smartphones and online games.</w:t>
      </w:r>
    </w:p>
    <w:p>
      <w:pPr>
        <w:spacing w:after="0" w:line="233" w:lineRule="exact"/>
        <w:rPr>
          <w:sz w:val="20"/>
          <w:szCs w:val="20"/>
          <w:color w:val="auto"/>
        </w:rPr>
      </w:pPr>
    </w:p>
    <w:p>
      <w:pPr>
        <w:jc w:val="both"/>
        <w:spacing w:after="0" w:line="254" w:lineRule="auto"/>
        <w:rPr>
          <w:sz w:val="20"/>
          <w:szCs w:val="20"/>
          <w:color w:val="auto"/>
        </w:rPr>
      </w:pPr>
      <w:r>
        <w:rPr>
          <w:rFonts w:ascii="Arial" w:cs="Arial" w:eastAsia="Arial" w:hAnsi="Arial"/>
          <w:sz w:val="18"/>
          <w:szCs w:val="18"/>
          <w:i w:val="1"/>
          <w:iCs w:val="1"/>
          <w:color w:val="auto"/>
        </w:rPr>
        <w:t xml:space="preserve">Online Content and Digital Distribution. </w:t>
      </w:r>
      <w:r>
        <w:rPr>
          <w:rFonts w:ascii="Arial" w:cs="Arial" w:eastAsia="Arial" w:hAnsi="Arial"/>
          <w:sz w:val="18"/>
          <w:szCs w:val="18"/>
          <w:color w:val="auto"/>
        </w:rPr>
        <w:t>The interactive entertainment software industry is delivering a growing amount of content through digital online</w:t>
      </w:r>
      <w:r>
        <w:rPr>
          <w:rFonts w:ascii="Arial" w:cs="Arial" w:eastAsia="Arial" w:hAnsi="Arial"/>
          <w:sz w:val="18"/>
          <w:szCs w:val="18"/>
          <w:i w:val="1"/>
          <w:iCs w:val="1"/>
          <w:color w:val="auto"/>
        </w:rPr>
        <w:t xml:space="preserve"> </w:t>
      </w:r>
      <w:r>
        <w:rPr>
          <w:rFonts w:ascii="Arial" w:cs="Arial" w:eastAsia="Arial" w:hAnsi="Arial"/>
          <w:sz w:val="18"/>
          <w:szCs w:val="18"/>
          <w:color w:val="auto"/>
        </w:rPr>
        <w:t>delivery methods. We provide a variety of online delivered products and offerings. Most of our titles that are available through retailers as packaged goods products are also available through direct digital download (from websites we own and others owned by third-parties). In addition, we aim to drive ongoing engagement and incremental revenue from recurrent consumer spending on our titles after their initial purchase through downloadable offerings, including add-on content, microtransactions and online play. We also publish an expanding variety of titles for tablets and smartphones, which are delivered to consumers through digital download via the Internet. Our "Results of Operations," discloses that net revenue from digital online channels comprised 63.1% of our net revenue for the fiscal year ended March 31, 2018. We expect online delivery of games and game offerings to continue to grow and to become an increasing part of our business over the long-term.</w:t>
      </w: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719" w:right="239" w:bottom="1440" w:gutter="0" w:footer="0" w:header="0"/>
        </w:sectPr>
      </w:pPr>
    </w:p>
    <w:bookmarkStart w:id="28" w:name="page29"/>
    <w:bookmarkEnd w:id="28"/>
    <w:p>
      <w:pPr>
        <w:spacing w:after="0"/>
        <w:rPr>
          <w:sz w:val="20"/>
          <w:szCs w:val="20"/>
          <w:color w:val="auto"/>
        </w:rPr>
      </w:pPr>
      <w:r>
        <w:rPr>
          <w:rFonts w:ascii="Arial" w:cs="Arial" w:eastAsia="Arial" w:hAnsi="Arial"/>
          <w:sz w:val="18"/>
          <w:szCs w:val="18"/>
          <w:b w:val="1"/>
          <w:bCs w:val="1"/>
          <w:i w:val="1"/>
          <w:iCs w:val="1"/>
          <w:color w:val="auto"/>
        </w:rPr>
        <w:t>Product Releases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We released the following key titles in fiscal year 2018:</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6"/>
              </w:rPr>
              <w:t>Internal or</w:t>
            </w:r>
          </w:p>
        </w:tc>
        <w:tc>
          <w:tcPr>
            <w:tcW w:w="2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2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Title</w:t>
            </w:r>
          </w:p>
        </w:tc>
        <w:tc>
          <w:tcPr>
            <w:tcW w:w="120" w:type="dxa"/>
            <w:vAlign w:val="bottom"/>
            <w:vMerge w:val="restart"/>
          </w:tcPr>
          <w:p>
            <w:pPr>
              <w:spacing w:after="0"/>
              <w:rPr>
                <w:sz w:val="12"/>
                <w:szCs w:val="12"/>
                <w:color w:val="auto"/>
              </w:rPr>
            </w:pPr>
          </w:p>
        </w:tc>
        <w:tc>
          <w:tcPr>
            <w:tcW w:w="1340" w:type="dxa"/>
            <w:vAlign w:val="bottom"/>
            <w:vMerge w:val="restart"/>
          </w:tcPr>
          <w:p>
            <w:pPr>
              <w:ind w:left="160"/>
              <w:spacing w:after="0"/>
              <w:rPr>
                <w:sz w:val="20"/>
                <w:szCs w:val="20"/>
                <w:color w:val="auto"/>
              </w:rPr>
            </w:pPr>
            <w:r>
              <w:rPr>
                <w:rFonts w:ascii="Arial" w:cs="Arial" w:eastAsia="Arial" w:hAnsi="Arial"/>
                <w:sz w:val="14"/>
                <w:szCs w:val="14"/>
                <w:b w:val="1"/>
                <w:bCs w:val="1"/>
                <w:color w:val="auto"/>
              </w:rPr>
              <w:t>Publishing Label</w:t>
            </w:r>
          </w:p>
        </w:tc>
        <w:tc>
          <w:tcPr>
            <w:tcW w:w="100" w:type="dxa"/>
            <w:vAlign w:val="bottom"/>
            <w:vMerge w:val="restart"/>
          </w:tcPr>
          <w:p>
            <w:pPr>
              <w:spacing w:after="0"/>
              <w:rPr>
                <w:sz w:val="12"/>
                <w:szCs w:val="12"/>
                <w:color w:val="auto"/>
              </w:rPr>
            </w:pPr>
          </w:p>
        </w:tc>
        <w:tc>
          <w:tcPr>
            <w:tcW w:w="14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External</w:t>
            </w:r>
          </w:p>
        </w:tc>
        <w:tc>
          <w:tcPr>
            <w:tcW w:w="2880" w:type="dxa"/>
            <w:vAlign w:val="bottom"/>
            <w:vMerge w:val="restart"/>
          </w:tcPr>
          <w:p>
            <w:pPr>
              <w:ind w:left="1080"/>
              <w:spacing w:after="0"/>
              <w:rPr>
                <w:sz w:val="20"/>
                <w:szCs w:val="20"/>
                <w:color w:val="auto"/>
              </w:rPr>
            </w:pPr>
            <w:r>
              <w:rPr>
                <w:rFonts w:ascii="Arial" w:cs="Arial" w:eastAsia="Arial" w:hAnsi="Arial"/>
                <w:sz w:val="14"/>
                <w:szCs w:val="14"/>
                <w:b w:val="1"/>
                <w:bCs w:val="1"/>
                <w:color w:val="auto"/>
              </w:rPr>
              <w:t>Platform(s)</w:t>
            </w:r>
          </w:p>
        </w:tc>
        <w:tc>
          <w:tcPr>
            <w:tcW w:w="100" w:type="dxa"/>
            <w:vAlign w:val="bottom"/>
            <w:vMerge w:val="restart"/>
          </w:tcPr>
          <w:p>
            <w:pPr>
              <w:spacing w:after="0"/>
              <w:rPr>
                <w:sz w:val="12"/>
                <w:szCs w:val="12"/>
                <w:color w:val="auto"/>
              </w:rPr>
            </w:pPr>
          </w:p>
        </w:tc>
        <w:tc>
          <w:tcPr>
            <w:tcW w:w="18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Date Released</w:t>
            </w:r>
          </w:p>
        </w:tc>
        <w:tc>
          <w:tcPr>
            <w:tcW w:w="0" w:type="dxa"/>
            <w:vAlign w:val="bottom"/>
          </w:tcPr>
          <w:p>
            <w:pPr>
              <w:spacing w:after="0"/>
              <w:rPr>
                <w:sz w:val="1"/>
                <w:szCs w:val="1"/>
                <w:color w:val="auto"/>
              </w:rPr>
            </w:pPr>
          </w:p>
        </w:tc>
      </w:tr>
      <w:tr>
        <w:trPr>
          <w:trHeight w:val="192"/>
        </w:trPr>
        <w:tc>
          <w:tcPr>
            <w:tcW w:w="32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3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Development</w:t>
            </w:r>
          </w:p>
        </w:tc>
        <w:tc>
          <w:tcPr>
            <w:tcW w:w="100" w:type="dxa"/>
            <w:vAlign w:val="bottom"/>
            <w:tcBorders>
              <w:bottom w:val="single" w:sz="8" w:color="CCEEFF"/>
            </w:tcBorders>
          </w:tcPr>
          <w:p>
            <w:pPr>
              <w:spacing w:after="0"/>
              <w:rPr>
                <w:sz w:val="16"/>
                <w:szCs w:val="16"/>
                <w:color w:val="auto"/>
              </w:rPr>
            </w:pPr>
          </w:p>
        </w:tc>
        <w:tc>
          <w:tcPr>
            <w:tcW w:w="28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8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3340" w:type="dxa"/>
            <w:vAlign w:val="bottom"/>
            <w:gridSpan w:val="2"/>
            <w:shd w:val="clear" w:color="auto" w:fill="CCEEFF"/>
          </w:tcPr>
          <w:p>
            <w:pPr>
              <w:ind w:left="40"/>
              <w:spacing w:after="0" w:line="157" w:lineRule="exact"/>
              <w:rPr>
                <w:sz w:val="20"/>
                <w:szCs w:val="20"/>
                <w:color w:val="auto"/>
              </w:rPr>
            </w:pPr>
            <w:r>
              <w:rPr>
                <w:rFonts w:ascii="Arial" w:cs="Arial" w:eastAsia="Arial" w:hAnsi="Arial"/>
                <w:sz w:val="14"/>
                <w:szCs w:val="14"/>
                <w:i w:val="1"/>
                <w:iCs w:val="1"/>
                <w:color w:val="auto"/>
              </w:rPr>
              <w:t>NBA 2K18</w:t>
            </w:r>
          </w:p>
        </w:tc>
        <w:tc>
          <w:tcPr>
            <w:tcW w:w="1440" w:type="dxa"/>
            <w:vAlign w:val="bottom"/>
            <w:gridSpan w:val="2"/>
            <w:shd w:val="clear" w:color="auto" w:fill="CCEEFF"/>
          </w:tcPr>
          <w:p>
            <w:pPr>
              <w:ind w:left="40"/>
              <w:spacing w:after="0" w:line="157" w:lineRule="exact"/>
              <w:rPr>
                <w:sz w:val="20"/>
                <w:szCs w:val="20"/>
                <w:color w:val="auto"/>
              </w:rPr>
            </w:pPr>
            <w:r>
              <w:rPr>
                <w:rFonts w:ascii="Arial" w:cs="Arial" w:eastAsia="Arial" w:hAnsi="Arial"/>
                <w:sz w:val="14"/>
                <w:szCs w:val="14"/>
                <w:color w:val="auto"/>
              </w:rPr>
              <w:t>2K</w:t>
            </w:r>
          </w:p>
        </w:tc>
        <w:tc>
          <w:tcPr>
            <w:tcW w:w="1440" w:type="dxa"/>
            <w:vAlign w:val="bottom"/>
            <w:gridSpan w:val="2"/>
            <w:shd w:val="clear" w:color="auto" w:fill="CCEEFF"/>
          </w:tcPr>
          <w:p>
            <w:pPr>
              <w:jc w:val="center"/>
              <w:ind w:right="100"/>
              <w:spacing w:after="0" w:line="157" w:lineRule="exact"/>
              <w:rPr>
                <w:sz w:val="20"/>
                <w:szCs w:val="20"/>
                <w:color w:val="auto"/>
              </w:rPr>
            </w:pPr>
            <w:r>
              <w:rPr>
                <w:rFonts w:ascii="Arial" w:cs="Arial" w:eastAsia="Arial" w:hAnsi="Arial"/>
                <w:sz w:val="14"/>
                <w:szCs w:val="14"/>
                <w:color w:val="auto"/>
                <w:w w:val="98"/>
              </w:rPr>
              <w:t>Internal</w:t>
            </w:r>
          </w:p>
        </w:tc>
        <w:tc>
          <w:tcPr>
            <w:tcW w:w="2980" w:type="dxa"/>
            <w:vAlign w:val="bottom"/>
            <w:gridSpan w:val="2"/>
            <w:shd w:val="clear" w:color="auto" w:fill="CCEEFF"/>
          </w:tcPr>
          <w:p>
            <w:pPr>
              <w:ind w:left="20"/>
              <w:spacing w:after="0" w:line="157" w:lineRule="exact"/>
              <w:rPr>
                <w:sz w:val="20"/>
                <w:szCs w:val="20"/>
                <w:color w:val="auto"/>
              </w:rPr>
            </w:pPr>
            <w:r>
              <w:rPr>
                <w:rFonts w:ascii="Arial" w:cs="Arial" w:eastAsia="Arial" w:hAnsi="Arial"/>
                <w:sz w:val="14"/>
                <w:szCs w:val="14"/>
                <w:color w:val="auto"/>
              </w:rPr>
              <w:t>Xbox 360, Xbox One, PS3, PS4, PC, Switch</w:t>
            </w:r>
          </w:p>
        </w:tc>
        <w:tc>
          <w:tcPr>
            <w:tcW w:w="1880" w:type="dxa"/>
            <w:vAlign w:val="bottom"/>
            <w:shd w:val="clear" w:color="auto" w:fill="CCEEFF"/>
          </w:tcPr>
          <w:p>
            <w:pPr>
              <w:jc w:val="center"/>
              <w:spacing w:after="0" w:line="157" w:lineRule="exact"/>
              <w:rPr>
                <w:sz w:val="20"/>
                <w:szCs w:val="20"/>
                <w:color w:val="auto"/>
              </w:rPr>
            </w:pPr>
            <w:r>
              <w:rPr>
                <w:rFonts w:ascii="Arial" w:cs="Arial" w:eastAsia="Arial" w:hAnsi="Arial"/>
                <w:sz w:val="14"/>
                <w:szCs w:val="14"/>
                <w:color w:val="auto"/>
                <w:w w:val="91"/>
              </w:rPr>
              <w:t>September 19, 2017</w:t>
            </w:r>
          </w:p>
        </w:tc>
        <w:tc>
          <w:tcPr>
            <w:tcW w:w="0" w:type="dxa"/>
            <w:vAlign w:val="bottom"/>
          </w:tcPr>
          <w:p>
            <w:pPr>
              <w:spacing w:after="0"/>
              <w:rPr>
                <w:sz w:val="1"/>
                <w:szCs w:val="1"/>
                <w:color w:val="auto"/>
              </w:rPr>
            </w:pPr>
          </w:p>
        </w:tc>
      </w:tr>
      <w:tr>
        <w:trPr>
          <w:trHeight w:val="194"/>
        </w:trPr>
        <w:tc>
          <w:tcPr>
            <w:tcW w:w="32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3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3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9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(digital)</w:t>
            </w:r>
          </w:p>
        </w:tc>
        <w:tc>
          <w:tcPr>
            <w:tcW w:w="188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7"/>
        </w:trPr>
        <w:tc>
          <w:tcPr>
            <w:tcW w:w="3340" w:type="dxa"/>
            <w:vAlign w:val="bottom"/>
            <w:gridSpan w:val="2"/>
          </w:tcPr>
          <w:p>
            <w:pPr>
              <w:ind w:left="40"/>
              <w:spacing w:after="0"/>
              <w:rPr>
                <w:sz w:val="20"/>
                <w:szCs w:val="20"/>
                <w:color w:val="auto"/>
              </w:rPr>
            </w:pPr>
            <w:r>
              <w:rPr>
                <w:rFonts w:ascii="Arial" w:cs="Arial" w:eastAsia="Arial" w:hAnsi="Arial"/>
                <w:sz w:val="14"/>
                <w:szCs w:val="14"/>
                <w:i w:val="1"/>
                <w:iCs w:val="1"/>
                <w:color w:val="auto"/>
              </w:rPr>
              <w:t>WWE 2K18</w:t>
            </w:r>
          </w:p>
        </w:tc>
        <w:tc>
          <w:tcPr>
            <w:tcW w:w="1440" w:type="dxa"/>
            <w:vAlign w:val="bottom"/>
            <w:gridSpan w:val="2"/>
          </w:tcPr>
          <w:p>
            <w:pPr>
              <w:ind w:left="40"/>
              <w:spacing w:after="0"/>
              <w:rPr>
                <w:sz w:val="20"/>
                <w:szCs w:val="20"/>
                <w:color w:val="auto"/>
              </w:rPr>
            </w:pPr>
            <w:r>
              <w:rPr>
                <w:rFonts w:ascii="Arial" w:cs="Arial" w:eastAsia="Arial" w:hAnsi="Arial"/>
                <w:sz w:val="14"/>
                <w:szCs w:val="14"/>
                <w:color w:val="auto"/>
              </w:rPr>
              <w:t>2K</w:t>
            </w:r>
          </w:p>
        </w:tc>
        <w:tc>
          <w:tcPr>
            <w:tcW w:w="1440" w:type="dxa"/>
            <w:vAlign w:val="bottom"/>
            <w:gridSpan w:val="2"/>
          </w:tcPr>
          <w:p>
            <w:pPr>
              <w:jc w:val="center"/>
              <w:ind w:right="100"/>
              <w:spacing w:after="0"/>
              <w:rPr>
                <w:sz w:val="20"/>
                <w:szCs w:val="20"/>
                <w:color w:val="auto"/>
              </w:rPr>
            </w:pPr>
            <w:r>
              <w:rPr>
                <w:rFonts w:ascii="Arial" w:cs="Arial" w:eastAsia="Arial" w:hAnsi="Arial"/>
                <w:sz w:val="14"/>
                <w:szCs w:val="14"/>
                <w:color w:val="auto"/>
                <w:w w:val="96"/>
              </w:rPr>
              <w:t>Internal/External</w:t>
            </w:r>
          </w:p>
        </w:tc>
        <w:tc>
          <w:tcPr>
            <w:tcW w:w="2980" w:type="dxa"/>
            <w:vAlign w:val="bottom"/>
            <w:gridSpan w:val="2"/>
          </w:tcPr>
          <w:p>
            <w:pPr>
              <w:ind w:left="20"/>
              <w:spacing w:after="0"/>
              <w:rPr>
                <w:sz w:val="20"/>
                <w:szCs w:val="20"/>
                <w:color w:val="auto"/>
              </w:rPr>
            </w:pPr>
            <w:r>
              <w:rPr>
                <w:rFonts w:ascii="Arial" w:cs="Arial" w:eastAsia="Arial" w:hAnsi="Arial"/>
                <w:sz w:val="14"/>
                <w:szCs w:val="14"/>
                <w:color w:val="auto"/>
              </w:rPr>
              <w:t>Xbox One, PS4</w:t>
            </w:r>
          </w:p>
        </w:tc>
        <w:tc>
          <w:tcPr>
            <w:tcW w:w="1880" w:type="dxa"/>
            <w:vAlign w:val="bottom"/>
          </w:tcPr>
          <w:p>
            <w:pPr>
              <w:jc w:val="center"/>
              <w:spacing w:after="0"/>
              <w:rPr>
                <w:sz w:val="20"/>
                <w:szCs w:val="20"/>
                <w:color w:val="auto"/>
              </w:rPr>
            </w:pPr>
            <w:r>
              <w:rPr>
                <w:rFonts w:ascii="Arial" w:cs="Arial" w:eastAsia="Arial" w:hAnsi="Arial"/>
                <w:sz w:val="14"/>
                <w:szCs w:val="14"/>
                <w:color w:val="auto"/>
                <w:w w:val="92"/>
              </w:rPr>
              <w:t>October 13, 2017</w:t>
            </w:r>
          </w:p>
        </w:tc>
        <w:tc>
          <w:tcPr>
            <w:tcW w:w="0" w:type="dxa"/>
            <w:vAlign w:val="bottom"/>
          </w:tcPr>
          <w:p>
            <w:pPr>
              <w:spacing w:after="0"/>
              <w:rPr>
                <w:sz w:val="1"/>
                <w:szCs w:val="1"/>
                <w:color w:val="auto"/>
              </w:rPr>
            </w:pPr>
          </w:p>
        </w:tc>
      </w:tr>
      <w:tr>
        <w:trPr>
          <w:trHeight w:val="209"/>
        </w:trPr>
        <w:tc>
          <w:tcPr>
            <w:tcW w:w="3340" w:type="dxa"/>
            <w:vAlign w:val="bottom"/>
            <w:gridSpan w:val="2"/>
            <w:shd w:val="clear" w:color="auto" w:fill="CCEEFF"/>
          </w:tcPr>
          <w:p>
            <w:pPr>
              <w:ind w:left="40"/>
              <w:spacing w:after="0"/>
              <w:rPr>
                <w:sz w:val="20"/>
                <w:szCs w:val="20"/>
                <w:color w:val="auto"/>
              </w:rPr>
            </w:pPr>
            <w:r>
              <w:rPr>
                <w:rFonts w:ascii="Arial" w:cs="Arial" w:eastAsia="Arial" w:hAnsi="Arial"/>
                <w:sz w:val="14"/>
                <w:szCs w:val="14"/>
                <w:i w:val="1"/>
                <w:iCs w:val="1"/>
                <w:color w:val="auto"/>
              </w:rPr>
              <w:t>NBA 2K18</w:t>
            </w:r>
          </w:p>
        </w:tc>
        <w:tc>
          <w:tcPr>
            <w:tcW w:w="14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2K</w:t>
            </w:r>
          </w:p>
        </w:tc>
        <w:tc>
          <w:tcPr>
            <w:tcW w:w="144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Internal</w:t>
            </w:r>
          </w:p>
        </w:tc>
        <w:tc>
          <w:tcPr>
            <w:tcW w:w="29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Switch (physical)</w:t>
            </w:r>
          </w:p>
        </w:tc>
        <w:tc>
          <w:tcPr>
            <w:tcW w:w="1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October 17, 2017</w:t>
            </w:r>
          </w:p>
        </w:tc>
        <w:tc>
          <w:tcPr>
            <w:tcW w:w="0" w:type="dxa"/>
            <w:vAlign w:val="bottom"/>
          </w:tcPr>
          <w:p>
            <w:pPr>
              <w:spacing w:after="0"/>
              <w:rPr>
                <w:sz w:val="1"/>
                <w:szCs w:val="1"/>
                <w:color w:val="auto"/>
              </w:rPr>
            </w:pPr>
          </w:p>
        </w:tc>
      </w:tr>
      <w:tr>
        <w:trPr>
          <w:trHeight w:val="197"/>
        </w:trPr>
        <w:tc>
          <w:tcPr>
            <w:tcW w:w="3340" w:type="dxa"/>
            <w:vAlign w:val="bottom"/>
            <w:gridSpan w:val="2"/>
          </w:tcPr>
          <w:p>
            <w:pPr>
              <w:ind w:left="40"/>
              <w:spacing w:after="0"/>
              <w:rPr>
                <w:sz w:val="20"/>
                <w:szCs w:val="20"/>
                <w:color w:val="auto"/>
              </w:rPr>
            </w:pPr>
            <w:r>
              <w:rPr>
                <w:rFonts w:ascii="Arial" w:cs="Arial" w:eastAsia="Arial" w:hAnsi="Arial"/>
                <w:sz w:val="14"/>
                <w:szCs w:val="14"/>
                <w:i w:val="1"/>
                <w:iCs w:val="1"/>
                <w:color w:val="auto"/>
              </w:rPr>
              <w:t>WWE 2K18</w:t>
            </w:r>
          </w:p>
        </w:tc>
        <w:tc>
          <w:tcPr>
            <w:tcW w:w="1440" w:type="dxa"/>
            <w:vAlign w:val="bottom"/>
            <w:gridSpan w:val="2"/>
          </w:tcPr>
          <w:p>
            <w:pPr>
              <w:ind w:left="40"/>
              <w:spacing w:after="0"/>
              <w:rPr>
                <w:sz w:val="20"/>
                <w:szCs w:val="20"/>
                <w:color w:val="auto"/>
              </w:rPr>
            </w:pPr>
            <w:r>
              <w:rPr>
                <w:rFonts w:ascii="Arial" w:cs="Arial" w:eastAsia="Arial" w:hAnsi="Arial"/>
                <w:sz w:val="14"/>
                <w:szCs w:val="14"/>
                <w:color w:val="auto"/>
              </w:rPr>
              <w:t>2K</w:t>
            </w:r>
          </w:p>
        </w:tc>
        <w:tc>
          <w:tcPr>
            <w:tcW w:w="1440" w:type="dxa"/>
            <w:vAlign w:val="bottom"/>
            <w:gridSpan w:val="2"/>
          </w:tcPr>
          <w:p>
            <w:pPr>
              <w:jc w:val="center"/>
              <w:ind w:right="100"/>
              <w:spacing w:after="0"/>
              <w:rPr>
                <w:sz w:val="20"/>
                <w:szCs w:val="20"/>
                <w:color w:val="auto"/>
              </w:rPr>
            </w:pPr>
            <w:r>
              <w:rPr>
                <w:rFonts w:ascii="Arial" w:cs="Arial" w:eastAsia="Arial" w:hAnsi="Arial"/>
                <w:sz w:val="14"/>
                <w:szCs w:val="14"/>
                <w:color w:val="auto"/>
                <w:w w:val="96"/>
              </w:rPr>
              <w:t>Internal/External</w:t>
            </w:r>
          </w:p>
        </w:tc>
        <w:tc>
          <w:tcPr>
            <w:tcW w:w="2980" w:type="dxa"/>
            <w:vAlign w:val="bottom"/>
            <w:gridSpan w:val="2"/>
          </w:tcPr>
          <w:p>
            <w:pPr>
              <w:ind w:left="20"/>
              <w:spacing w:after="0"/>
              <w:rPr>
                <w:sz w:val="20"/>
                <w:szCs w:val="20"/>
                <w:color w:val="auto"/>
              </w:rPr>
            </w:pPr>
            <w:r>
              <w:rPr>
                <w:rFonts w:ascii="Arial" w:cs="Arial" w:eastAsia="Arial" w:hAnsi="Arial"/>
                <w:sz w:val="14"/>
                <w:szCs w:val="14"/>
                <w:color w:val="auto"/>
              </w:rPr>
              <w:t>PC</w:t>
            </w:r>
          </w:p>
        </w:tc>
        <w:tc>
          <w:tcPr>
            <w:tcW w:w="1880" w:type="dxa"/>
            <w:vAlign w:val="bottom"/>
          </w:tcPr>
          <w:p>
            <w:pPr>
              <w:jc w:val="center"/>
              <w:spacing w:after="0"/>
              <w:rPr>
                <w:sz w:val="20"/>
                <w:szCs w:val="20"/>
                <w:color w:val="auto"/>
              </w:rPr>
            </w:pPr>
            <w:r>
              <w:rPr>
                <w:rFonts w:ascii="Arial" w:cs="Arial" w:eastAsia="Arial" w:hAnsi="Arial"/>
                <w:sz w:val="14"/>
                <w:szCs w:val="14"/>
                <w:color w:val="auto"/>
                <w:w w:val="92"/>
              </w:rPr>
              <w:t>October 17, 2017</w:t>
            </w:r>
          </w:p>
        </w:tc>
        <w:tc>
          <w:tcPr>
            <w:tcW w:w="0" w:type="dxa"/>
            <w:vAlign w:val="bottom"/>
          </w:tcPr>
          <w:p>
            <w:pPr>
              <w:spacing w:after="0"/>
              <w:rPr>
                <w:sz w:val="1"/>
                <w:szCs w:val="1"/>
                <w:color w:val="auto"/>
              </w:rPr>
            </w:pPr>
          </w:p>
        </w:tc>
      </w:tr>
      <w:tr>
        <w:trPr>
          <w:trHeight w:val="209"/>
        </w:trPr>
        <w:tc>
          <w:tcPr>
            <w:tcW w:w="3340" w:type="dxa"/>
            <w:vAlign w:val="bottom"/>
            <w:gridSpan w:val="2"/>
            <w:shd w:val="clear" w:color="auto" w:fill="CCEEFF"/>
          </w:tcPr>
          <w:p>
            <w:pPr>
              <w:ind w:left="40"/>
              <w:spacing w:after="0"/>
              <w:rPr>
                <w:sz w:val="20"/>
                <w:szCs w:val="20"/>
                <w:color w:val="auto"/>
              </w:rPr>
            </w:pPr>
            <w:r>
              <w:rPr>
                <w:rFonts w:ascii="Arial" w:cs="Arial" w:eastAsia="Arial" w:hAnsi="Arial"/>
                <w:sz w:val="14"/>
                <w:szCs w:val="14"/>
                <w:i w:val="1"/>
                <w:iCs w:val="1"/>
                <w:color w:val="auto"/>
              </w:rPr>
              <w:t>L.A. Noire</w:t>
            </w:r>
          </w:p>
        </w:tc>
        <w:tc>
          <w:tcPr>
            <w:tcW w:w="14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Rockstar Games</w:t>
            </w:r>
          </w:p>
        </w:tc>
        <w:tc>
          <w:tcPr>
            <w:tcW w:w="144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Internal</w:t>
            </w:r>
          </w:p>
        </w:tc>
        <w:tc>
          <w:tcPr>
            <w:tcW w:w="29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Xbox One, PS4, Switch</w:t>
            </w:r>
          </w:p>
        </w:tc>
        <w:tc>
          <w:tcPr>
            <w:tcW w:w="1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November 14, 2017</w:t>
            </w:r>
          </w:p>
        </w:tc>
        <w:tc>
          <w:tcPr>
            <w:tcW w:w="0" w:type="dxa"/>
            <w:vAlign w:val="bottom"/>
          </w:tcPr>
          <w:p>
            <w:pPr>
              <w:spacing w:after="0"/>
              <w:rPr>
                <w:sz w:val="1"/>
                <w:szCs w:val="1"/>
                <w:color w:val="auto"/>
              </w:rPr>
            </w:pPr>
          </w:p>
        </w:tc>
      </w:tr>
      <w:tr>
        <w:trPr>
          <w:trHeight w:val="197"/>
        </w:trPr>
        <w:tc>
          <w:tcPr>
            <w:tcW w:w="3340" w:type="dxa"/>
            <w:vAlign w:val="bottom"/>
            <w:gridSpan w:val="2"/>
          </w:tcPr>
          <w:p>
            <w:pPr>
              <w:ind w:left="40"/>
              <w:spacing w:after="0"/>
              <w:rPr>
                <w:sz w:val="20"/>
                <w:szCs w:val="20"/>
                <w:color w:val="auto"/>
              </w:rPr>
            </w:pPr>
            <w:r>
              <w:rPr>
                <w:rFonts w:ascii="Arial" w:cs="Arial" w:eastAsia="Arial" w:hAnsi="Arial"/>
                <w:sz w:val="14"/>
                <w:szCs w:val="14"/>
                <w:i w:val="1"/>
                <w:iCs w:val="1"/>
                <w:color w:val="auto"/>
              </w:rPr>
              <w:t>WWE 2K18</w:t>
            </w:r>
          </w:p>
        </w:tc>
        <w:tc>
          <w:tcPr>
            <w:tcW w:w="1440" w:type="dxa"/>
            <w:vAlign w:val="bottom"/>
            <w:gridSpan w:val="2"/>
          </w:tcPr>
          <w:p>
            <w:pPr>
              <w:ind w:left="40"/>
              <w:spacing w:after="0"/>
              <w:rPr>
                <w:sz w:val="20"/>
                <w:szCs w:val="20"/>
                <w:color w:val="auto"/>
              </w:rPr>
            </w:pPr>
            <w:r>
              <w:rPr>
                <w:rFonts w:ascii="Arial" w:cs="Arial" w:eastAsia="Arial" w:hAnsi="Arial"/>
                <w:sz w:val="14"/>
                <w:szCs w:val="14"/>
                <w:color w:val="auto"/>
              </w:rPr>
              <w:t>2K</w:t>
            </w:r>
          </w:p>
        </w:tc>
        <w:tc>
          <w:tcPr>
            <w:tcW w:w="1440" w:type="dxa"/>
            <w:vAlign w:val="bottom"/>
            <w:gridSpan w:val="2"/>
          </w:tcPr>
          <w:p>
            <w:pPr>
              <w:jc w:val="center"/>
              <w:ind w:right="100"/>
              <w:spacing w:after="0"/>
              <w:rPr>
                <w:sz w:val="20"/>
                <w:szCs w:val="20"/>
                <w:color w:val="auto"/>
              </w:rPr>
            </w:pPr>
            <w:r>
              <w:rPr>
                <w:rFonts w:ascii="Arial" w:cs="Arial" w:eastAsia="Arial" w:hAnsi="Arial"/>
                <w:sz w:val="14"/>
                <w:szCs w:val="14"/>
                <w:color w:val="auto"/>
                <w:w w:val="96"/>
              </w:rPr>
              <w:t>Internal/External</w:t>
            </w:r>
          </w:p>
        </w:tc>
        <w:tc>
          <w:tcPr>
            <w:tcW w:w="2980" w:type="dxa"/>
            <w:vAlign w:val="bottom"/>
            <w:gridSpan w:val="2"/>
          </w:tcPr>
          <w:p>
            <w:pPr>
              <w:ind w:left="20"/>
              <w:spacing w:after="0"/>
              <w:rPr>
                <w:sz w:val="20"/>
                <w:szCs w:val="20"/>
                <w:color w:val="auto"/>
              </w:rPr>
            </w:pPr>
            <w:r>
              <w:rPr>
                <w:rFonts w:ascii="Arial" w:cs="Arial" w:eastAsia="Arial" w:hAnsi="Arial"/>
                <w:sz w:val="14"/>
                <w:szCs w:val="14"/>
                <w:color w:val="auto"/>
              </w:rPr>
              <w:t>Switch</w:t>
            </w:r>
          </w:p>
        </w:tc>
        <w:tc>
          <w:tcPr>
            <w:tcW w:w="1880" w:type="dxa"/>
            <w:vAlign w:val="bottom"/>
          </w:tcPr>
          <w:p>
            <w:pPr>
              <w:jc w:val="center"/>
              <w:spacing w:after="0"/>
              <w:rPr>
                <w:sz w:val="20"/>
                <w:szCs w:val="20"/>
                <w:color w:val="auto"/>
              </w:rPr>
            </w:pPr>
            <w:r>
              <w:rPr>
                <w:rFonts w:ascii="Arial" w:cs="Arial" w:eastAsia="Arial" w:hAnsi="Arial"/>
                <w:sz w:val="14"/>
                <w:szCs w:val="14"/>
                <w:color w:val="auto"/>
                <w:w w:val="92"/>
              </w:rPr>
              <w:t>December 6, 2017</w:t>
            </w:r>
          </w:p>
        </w:tc>
        <w:tc>
          <w:tcPr>
            <w:tcW w:w="0" w:type="dxa"/>
            <w:vAlign w:val="bottom"/>
          </w:tcPr>
          <w:p>
            <w:pPr>
              <w:spacing w:after="0"/>
              <w:rPr>
                <w:sz w:val="1"/>
                <w:szCs w:val="1"/>
                <w:color w:val="auto"/>
              </w:rPr>
            </w:pPr>
          </w:p>
        </w:tc>
      </w:tr>
      <w:tr>
        <w:trPr>
          <w:trHeight w:val="197"/>
        </w:trPr>
        <w:tc>
          <w:tcPr>
            <w:tcW w:w="3340" w:type="dxa"/>
            <w:vAlign w:val="bottom"/>
            <w:gridSpan w:val="2"/>
            <w:shd w:val="clear" w:color="auto" w:fill="CCEEFF"/>
          </w:tcPr>
          <w:p>
            <w:pPr>
              <w:ind w:left="40"/>
              <w:spacing w:after="0"/>
              <w:rPr>
                <w:sz w:val="20"/>
                <w:szCs w:val="20"/>
                <w:color w:val="auto"/>
              </w:rPr>
            </w:pPr>
            <w:r>
              <w:rPr>
                <w:rFonts w:ascii="Arial" w:cs="Arial" w:eastAsia="Arial" w:hAnsi="Arial"/>
                <w:sz w:val="14"/>
                <w:szCs w:val="14"/>
                <w:i w:val="1"/>
                <w:iCs w:val="1"/>
                <w:color w:val="auto"/>
              </w:rPr>
              <w:t>L.A. Noire: The VR Case Files</w:t>
            </w:r>
          </w:p>
        </w:tc>
        <w:tc>
          <w:tcPr>
            <w:tcW w:w="14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Rockstar Games</w:t>
            </w:r>
          </w:p>
        </w:tc>
        <w:tc>
          <w:tcPr>
            <w:tcW w:w="144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Internal</w:t>
            </w:r>
          </w:p>
        </w:tc>
        <w:tc>
          <w:tcPr>
            <w:tcW w:w="29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HTC Vive</w:t>
            </w:r>
          </w:p>
        </w:tc>
        <w:tc>
          <w:tcPr>
            <w:tcW w:w="1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December 15, 2017</w:t>
            </w:r>
          </w:p>
        </w:tc>
        <w:tc>
          <w:tcPr>
            <w:tcW w:w="0" w:type="dxa"/>
            <w:vAlign w:val="bottom"/>
          </w:tcPr>
          <w:p>
            <w:pPr>
              <w:spacing w:after="0"/>
              <w:rPr>
                <w:sz w:val="1"/>
                <w:szCs w:val="1"/>
                <w:color w:val="auto"/>
              </w:rPr>
            </w:pPr>
          </w:p>
        </w:tc>
      </w:tr>
      <w:tr>
        <w:trPr>
          <w:trHeight w:val="80"/>
        </w:trPr>
        <w:tc>
          <w:tcPr>
            <w:tcW w:w="32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3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3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8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88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340" w:type="dxa"/>
            <w:vAlign w:val="bottom"/>
            <w:gridSpan w:val="2"/>
          </w:tcPr>
          <w:p>
            <w:pPr>
              <w:ind w:left="40"/>
              <w:spacing w:after="0"/>
              <w:rPr>
                <w:sz w:val="20"/>
                <w:szCs w:val="20"/>
                <w:color w:val="auto"/>
              </w:rPr>
            </w:pPr>
            <w:r>
              <w:rPr>
                <w:rFonts w:ascii="Arial" w:cs="Arial" w:eastAsia="Arial" w:hAnsi="Arial"/>
                <w:sz w:val="14"/>
                <w:szCs w:val="14"/>
                <w:i w:val="1"/>
                <w:iCs w:val="1"/>
                <w:color w:val="auto"/>
              </w:rPr>
              <w:t>Kerbal Space Program: Enhanced Edition</w:t>
            </w:r>
          </w:p>
        </w:tc>
        <w:tc>
          <w:tcPr>
            <w:tcW w:w="1440" w:type="dxa"/>
            <w:vAlign w:val="bottom"/>
            <w:gridSpan w:val="2"/>
          </w:tcPr>
          <w:p>
            <w:pPr>
              <w:ind w:left="40"/>
              <w:spacing w:after="0"/>
              <w:rPr>
                <w:sz w:val="20"/>
                <w:szCs w:val="20"/>
                <w:color w:val="auto"/>
              </w:rPr>
            </w:pPr>
            <w:r>
              <w:rPr>
                <w:rFonts w:ascii="Arial" w:cs="Arial" w:eastAsia="Arial" w:hAnsi="Arial"/>
                <w:sz w:val="14"/>
                <w:szCs w:val="14"/>
                <w:color w:val="auto"/>
              </w:rPr>
              <w:t>Private Division</w:t>
            </w:r>
          </w:p>
        </w:tc>
        <w:tc>
          <w:tcPr>
            <w:tcW w:w="1440" w:type="dxa"/>
            <w:vAlign w:val="bottom"/>
            <w:gridSpan w:val="2"/>
          </w:tcPr>
          <w:p>
            <w:pPr>
              <w:jc w:val="center"/>
              <w:ind w:right="100"/>
              <w:spacing w:after="0"/>
              <w:rPr>
                <w:sz w:val="20"/>
                <w:szCs w:val="20"/>
                <w:color w:val="auto"/>
              </w:rPr>
            </w:pPr>
            <w:r>
              <w:rPr>
                <w:rFonts w:ascii="Arial" w:cs="Arial" w:eastAsia="Arial" w:hAnsi="Arial"/>
                <w:sz w:val="14"/>
                <w:szCs w:val="14"/>
                <w:color w:val="auto"/>
                <w:w w:val="97"/>
              </w:rPr>
              <w:t>External</w:t>
            </w:r>
          </w:p>
        </w:tc>
        <w:tc>
          <w:tcPr>
            <w:tcW w:w="2980" w:type="dxa"/>
            <w:vAlign w:val="bottom"/>
            <w:gridSpan w:val="2"/>
          </w:tcPr>
          <w:p>
            <w:pPr>
              <w:ind w:left="20"/>
              <w:spacing w:after="0"/>
              <w:rPr>
                <w:sz w:val="20"/>
                <w:szCs w:val="20"/>
                <w:color w:val="auto"/>
              </w:rPr>
            </w:pPr>
            <w:r>
              <w:rPr>
                <w:rFonts w:ascii="Arial" w:cs="Arial" w:eastAsia="Arial" w:hAnsi="Arial"/>
                <w:sz w:val="14"/>
                <w:szCs w:val="14"/>
                <w:color w:val="auto"/>
              </w:rPr>
              <w:t>Xbox One, PS4</w:t>
            </w:r>
          </w:p>
        </w:tc>
        <w:tc>
          <w:tcPr>
            <w:tcW w:w="1880" w:type="dxa"/>
            <w:vAlign w:val="bottom"/>
          </w:tcPr>
          <w:p>
            <w:pPr>
              <w:jc w:val="center"/>
              <w:spacing w:after="0"/>
              <w:rPr>
                <w:sz w:val="20"/>
                <w:szCs w:val="20"/>
                <w:color w:val="auto"/>
              </w:rPr>
            </w:pPr>
            <w:r>
              <w:rPr>
                <w:rFonts w:ascii="Arial" w:cs="Arial" w:eastAsia="Arial" w:hAnsi="Arial"/>
                <w:sz w:val="14"/>
                <w:szCs w:val="14"/>
                <w:color w:val="auto"/>
                <w:w w:val="90"/>
              </w:rPr>
              <w:t>January 16, 2018</w:t>
            </w:r>
          </w:p>
        </w:tc>
        <w:tc>
          <w:tcPr>
            <w:tcW w:w="0" w:type="dxa"/>
            <w:vAlign w:val="bottom"/>
          </w:tcPr>
          <w:p>
            <w:pPr>
              <w:spacing w:after="0"/>
              <w:rPr>
                <w:sz w:val="1"/>
                <w:szCs w:val="1"/>
                <w:color w:val="auto"/>
              </w:rPr>
            </w:pPr>
          </w:p>
        </w:tc>
      </w:tr>
      <w:tr>
        <w:trPr>
          <w:trHeight w:val="80"/>
        </w:trPr>
        <w:tc>
          <w:tcPr>
            <w:tcW w:w="32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8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340" w:type="dxa"/>
            <w:vAlign w:val="bottom"/>
            <w:gridSpan w:val="2"/>
            <w:shd w:val="clear" w:color="auto" w:fill="CCEEFF"/>
          </w:tcPr>
          <w:p>
            <w:pPr>
              <w:ind w:left="40"/>
              <w:spacing w:after="0"/>
              <w:rPr>
                <w:sz w:val="20"/>
                <w:szCs w:val="20"/>
                <w:color w:val="auto"/>
              </w:rPr>
            </w:pPr>
            <w:r>
              <w:rPr>
                <w:rFonts w:ascii="Arial" w:cs="Arial" w:eastAsia="Arial" w:hAnsi="Arial"/>
                <w:sz w:val="14"/>
                <w:szCs w:val="14"/>
                <w:i w:val="1"/>
                <w:iCs w:val="1"/>
                <w:color w:val="auto"/>
              </w:rPr>
              <w:t>XCOM 2 Collection</w:t>
            </w:r>
          </w:p>
        </w:tc>
        <w:tc>
          <w:tcPr>
            <w:tcW w:w="14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2K</w:t>
            </w:r>
          </w:p>
        </w:tc>
        <w:tc>
          <w:tcPr>
            <w:tcW w:w="144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7"/>
              </w:rPr>
              <w:t>External</w:t>
            </w:r>
          </w:p>
        </w:tc>
        <w:tc>
          <w:tcPr>
            <w:tcW w:w="29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PC</w:t>
            </w:r>
          </w:p>
        </w:tc>
        <w:tc>
          <w:tcPr>
            <w:tcW w:w="1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February 1, 2018</w:t>
            </w:r>
          </w:p>
        </w:tc>
        <w:tc>
          <w:tcPr>
            <w:tcW w:w="0" w:type="dxa"/>
            <w:vAlign w:val="bottom"/>
          </w:tcPr>
          <w:p>
            <w:pPr>
              <w:spacing w:after="0"/>
              <w:rPr>
                <w:sz w:val="1"/>
                <w:szCs w:val="1"/>
                <w:color w:val="auto"/>
              </w:rPr>
            </w:pPr>
          </w:p>
        </w:tc>
      </w:tr>
      <w:tr>
        <w:trPr>
          <w:trHeight w:val="80"/>
        </w:trPr>
        <w:tc>
          <w:tcPr>
            <w:tcW w:w="32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3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3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8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88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340" w:type="dxa"/>
            <w:vAlign w:val="bottom"/>
            <w:gridSpan w:val="2"/>
          </w:tcPr>
          <w:p>
            <w:pPr>
              <w:ind w:left="40"/>
              <w:spacing w:after="0"/>
              <w:rPr>
                <w:sz w:val="20"/>
                <w:szCs w:val="20"/>
                <w:color w:val="auto"/>
              </w:rPr>
            </w:pPr>
            <w:r>
              <w:rPr>
                <w:rFonts w:ascii="Arial" w:cs="Arial" w:eastAsia="Arial" w:hAnsi="Arial"/>
                <w:sz w:val="14"/>
                <w:szCs w:val="14"/>
                <w:i w:val="1"/>
                <w:iCs w:val="1"/>
                <w:color w:val="auto"/>
              </w:rPr>
              <w:t>Sid Meier's Civilization VI: Rise and Fall (DLC)</w:t>
            </w:r>
          </w:p>
        </w:tc>
        <w:tc>
          <w:tcPr>
            <w:tcW w:w="1440" w:type="dxa"/>
            <w:vAlign w:val="bottom"/>
            <w:gridSpan w:val="2"/>
          </w:tcPr>
          <w:p>
            <w:pPr>
              <w:ind w:left="40"/>
              <w:spacing w:after="0"/>
              <w:rPr>
                <w:sz w:val="20"/>
                <w:szCs w:val="20"/>
                <w:color w:val="auto"/>
              </w:rPr>
            </w:pPr>
            <w:r>
              <w:rPr>
                <w:rFonts w:ascii="Arial" w:cs="Arial" w:eastAsia="Arial" w:hAnsi="Arial"/>
                <w:sz w:val="14"/>
                <w:szCs w:val="14"/>
                <w:color w:val="auto"/>
              </w:rPr>
              <w:t>2K</w:t>
            </w:r>
          </w:p>
        </w:tc>
        <w:tc>
          <w:tcPr>
            <w:tcW w:w="144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Internal</w:t>
            </w:r>
          </w:p>
        </w:tc>
        <w:tc>
          <w:tcPr>
            <w:tcW w:w="2980" w:type="dxa"/>
            <w:vAlign w:val="bottom"/>
            <w:gridSpan w:val="2"/>
          </w:tcPr>
          <w:p>
            <w:pPr>
              <w:ind w:left="20"/>
              <w:spacing w:after="0"/>
              <w:rPr>
                <w:sz w:val="20"/>
                <w:szCs w:val="20"/>
                <w:color w:val="auto"/>
              </w:rPr>
            </w:pPr>
            <w:r>
              <w:rPr>
                <w:rFonts w:ascii="Arial" w:cs="Arial" w:eastAsia="Arial" w:hAnsi="Arial"/>
                <w:sz w:val="14"/>
                <w:szCs w:val="14"/>
                <w:color w:val="auto"/>
              </w:rPr>
              <w:t>PC</w:t>
            </w:r>
          </w:p>
        </w:tc>
        <w:tc>
          <w:tcPr>
            <w:tcW w:w="1880" w:type="dxa"/>
            <w:vAlign w:val="bottom"/>
          </w:tcPr>
          <w:p>
            <w:pPr>
              <w:jc w:val="center"/>
              <w:spacing w:after="0"/>
              <w:rPr>
                <w:sz w:val="20"/>
                <w:szCs w:val="20"/>
                <w:color w:val="auto"/>
              </w:rPr>
            </w:pPr>
            <w:r>
              <w:rPr>
                <w:rFonts w:ascii="Arial" w:cs="Arial" w:eastAsia="Arial" w:hAnsi="Arial"/>
                <w:sz w:val="14"/>
                <w:szCs w:val="14"/>
                <w:color w:val="auto"/>
                <w:w w:val="91"/>
              </w:rPr>
              <w:t>February 8, 2018</w:t>
            </w:r>
          </w:p>
        </w:tc>
        <w:tc>
          <w:tcPr>
            <w:tcW w:w="0" w:type="dxa"/>
            <w:vAlign w:val="bottom"/>
          </w:tcPr>
          <w:p>
            <w:pPr>
              <w:spacing w:after="0"/>
              <w:rPr>
                <w:sz w:val="1"/>
                <w:szCs w:val="1"/>
                <w:color w:val="auto"/>
              </w:rPr>
            </w:pPr>
          </w:p>
        </w:tc>
      </w:tr>
      <w:tr>
        <w:trPr>
          <w:trHeight w:val="80"/>
        </w:trPr>
        <w:tc>
          <w:tcPr>
            <w:tcW w:w="32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8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340" w:type="dxa"/>
            <w:vAlign w:val="bottom"/>
            <w:gridSpan w:val="2"/>
            <w:shd w:val="clear" w:color="auto" w:fill="CCEEFF"/>
          </w:tcPr>
          <w:p>
            <w:pPr>
              <w:ind w:left="40"/>
              <w:spacing w:after="0"/>
              <w:rPr>
                <w:sz w:val="20"/>
                <w:szCs w:val="20"/>
                <w:color w:val="auto"/>
              </w:rPr>
            </w:pPr>
            <w:r>
              <w:rPr>
                <w:rFonts w:ascii="Arial" w:cs="Arial" w:eastAsia="Arial" w:hAnsi="Arial"/>
                <w:sz w:val="14"/>
                <w:szCs w:val="14"/>
                <w:i w:val="1"/>
                <w:iCs w:val="1"/>
                <w:color w:val="auto"/>
              </w:rPr>
              <w:t>XCOM 2 Collection</w:t>
            </w:r>
          </w:p>
        </w:tc>
        <w:tc>
          <w:tcPr>
            <w:tcW w:w="14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2K</w:t>
            </w:r>
          </w:p>
        </w:tc>
        <w:tc>
          <w:tcPr>
            <w:tcW w:w="144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7"/>
              </w:rPr>
              <w:t>External</w:t>
            </w:r>
          </w:p>
        </w:tc>
        <w:tc>
          <w:tcPr>
            <w:tcW w:w="29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PS4, Xbox One</w:t>
            </w:r>
          </w:p>
        </w:tc>
        <w:tc>
          <w:tcPr>
            <w:tcW w:w="1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February 21, 2018</w:t>
            </w:r>
          </w:p>
        </w:tc>
        <w:tc>
          <w:tcPr>
            <w:tcW w:w="0" w:type="dxa"/>
            <w:vAlign w:val="bottom"/>
          </w:tcPr>
          <w:p>
            <w:pPr>
              <w:spacing w:after="0"/>
              <w:rPr>
                <w:sz w:val="1"/>
                <w:szCs w:val="1"/>
                <w:color w:val="auto"/>
              </w:rPr>
            </w:pPr>
          </w:p>
        </w:tc>
      </w:tr>
      <w:tr>
        <w:trPr>
          <w:trHeight w:val="80"/>
        </w:trPr>
        <w:tc>
          <w:tcPr>
            <w:tcW w:w="32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3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3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8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88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340" w:type="dxa"/>
            <w:vAlign w:val="bottom"/>
            <w:gridSpan w:val="2"/>
          </w:tcPr>
          <w:p>
            <w:pPr>
              <w:ind w:left="40"/>
              <w:spacing w:after="0"/>
              <w:rPr>
                <w:sz w:val="20"/>
                <w:szCs w:val="20"/>
                <w:color w:val="auto"/>
              </w:rPr>
            </w:pPr>
            <w:r>
              <w:rPr>
                <w:rFonts w:ascii="Arial" w:cs="Arial" w:eastAsia="Arial" w:hAnsi="Arial"/>
                <w:sz w:val="14"/>
                <w:szCs w:val="14"/>
                <w:i w:val="1"/>
                <w:iCs w:val="1"/>
                <w:color w:val="auto"/>
              </w:rPr>
              <w:t>L.A. Noire: The VR Case Files</w:t>
            </w:r>
          </w:p>
        </w:tc>
        <w:tc>
          <w:tcPr>
            <w:tcW w:w="1440" w:type="dxa"/>
            <w:vAlign w:val="bottom"/>
            <w:gridSpan w:val="2"/>
          </w:tcPr>
          <w:p>
            <w:pPr>
              <w:ind w:left="40"/>
              <w:spacing w:after="0"/>
              <w:rPr>
                <w:sz w:val="20"/>
                <w:szCs w:val="20"/>
                <w:color w:val="auto"/>
              </w:rPr>
            </w:pPr>
            <w:r>
              <w:rPr>
                <w:rFonts w:ascii="Arial" w:cs="Arial" w:eastAsia="Arial" w:hAnsi="Arial"/>
                <w:sz w:val="14"/>
                <w:szCs w:val="14"/>
                <w:color w:val="auto"/>
              </w:rPr>
              <w:t>Rockstar Games</w:t>
            </w:r>
          </w:p>
        </w:tc>
        <w:tc>
          <w:tcPr>
            <w:tcW w:w="144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Internal</w:t>
            </w:r>
          </w:p>
        </w:tc>
        <w:tc>
          <w:tcPr>
            <w:tcW w:w="2980" w:type="dxa"/>
            <w:vAlign w:val="bottom"/>
            <w:gridSpan w:val="2"/>
          </w:tcPr>
          <w:p>
            <w:pPr>
              <w:ind w:left="20"/>
              <w:spacing w:after="0"/>
              <w:rPr>
                <w:sz w:val="20"/>
                <w:szCs w:val="20"/>
                <w:color w:val="auto"/>
              </w:rPr>
            </w:pPr>
            <w:r>
              <w:rPr>
                <w:rFonts w:ascii="Arial" w:cs="Arial" w:eastAsia="Arial" w:hAnsi="Arial"/>
                <w:sz w:val="14"/>
                <w:szCs w:val="14"/>
                <w:color w:val="auto"/>
              </w:rPr>
              <w:t>Oculus Rift</w:t>
            </w:r>
          </w:p>
        </w:tc>
        <w:tc>
          <w:tcPr>
            <w:tcW w:w="1880" w:type="dxa"/>
            <w:vAlign w:val="bottom"/>
          </w:tcPr>
          <w:p>
            <w:pPr>
              <w:jc w:val="center"/>
              <w:spacing w:after="0"/>
              <w:rPr>
                <w:sz w:val="20"/>
                <w:szCs w:val="20"/>
                <w:color w:val="auto"/>
              </w:rPr>
            </w:pPr>
            <w:r>
              <w:rPr>
                <w:rFonts w:ascii="Arial" w:cs="Arial" w:eastAsia="Arial" w:hAnsi="Arial"/>
                <w:sz w:val="14"/>
                <w:szCs w:val="14"/>
                <w:color w:val="auto"/>
                <w:w w:val="94"/>
              </w:rPr>
              <w:t>March 29, 2018</w:t>
            </w:r>
          </w:p>
        </w:tc>
        <w:tc>
          <w:tcPr>
            <w:tcW w:w="0" w:type="dxa"/>
            <w:vAlign w:val="bottom"/>
          </w:tcPr>
          <w:p>
            <w:pPr>
              <w:spacing w:after="0"/>
              <w:rPr>
                <w:sz w:val="1"/>
                <w:szCs w:val="1"/>
                <w:color w:val="auto"/>
              </w:rPr>
            </w:pPr>
          </w:p>
        </w:tc>
      </w:tr>
      <w:tr>
        <w:trPr>
          <w:trHeight w:val="80"/>
        </w:trPr>
        <w:tc>
          <w:tcPr>
            <w:tcW w:w="32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3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8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340" w:type="dxa"/>
            <w:vAlign w:val="bottom"/>
            <w:gridSpan w:val="2"/>
            <w:shd w:val="clear" w:color="auto" w:fill="CCEEFF"/>
          </w:tcPr>
          <w:p>
            <w:pPr>
              <w:ind w:left="40"/>
              <w:spacing w:after="0"/>
              <w:rPr>
                <w:sz w:val="20"/>
                <w:szCs w:val="20"/>
                <w:color w:val="auto"/>
              </w:rPr>
            </w:pPr>
            <w:r>
              <w:rPr>
                <w:rFonts w:ascii="Arial" w:cs="Arial" w:eastAsia="Arial" w:hAnsi="Arial"/>
                <w:sz w:val="14"/>
                <w:szCs w:val="14"/>
                <w:i w:val="1"/>
                <w:iCs w:val="1"/>
                <w:color w:val="auto"/>
              </w:rPr>
              <w:t>Grand Theft Auto V: Premium Online Edition</w:t>
            </w:r>
          </w:p>
        </w:tc>
        <w:tc>
          <w:tcPr>
            <w:tcW w:w="14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Rockstar Games</w:t>
            </w:r>
          </w:p>
        </w:tc>
        <w:tc>
          <w:tcPr>
            <w:tcW w:w="144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Internal</w:t>
            </w:r>
          </w:p>
        </w:tc>
        <w:tc>
          <w:tcPr>
            <w:tcW w:w="29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PS4, Xbox One, PC</w:t>
            </w:r>
          </w:p>
        </w:tc>
        <w:tc>
          <w:tcPr>
            <w:tcW w:w="1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April 20, 2018</w:t>
            </w:r>
          </w:p>
        </w:tc>
        <w:tc>
          <w:tcPr>
            <w:tcW w:w="0" w:type="dxa"/>
            <w:vAlign w:val="bottom"/>
          </w:tcPr>
          <w:p>
            <w:pPr>
              <w:spacing w:after="0"/>
              <w:rPr>
                <w:sz w:val="1"/>
                <w:szCs w:val="1"/>
                <w:color w:val="auto"/>
              </w:rPr>
            </w:pPr>
          </w:p>
        </w:tc>
      </w:tr>
      <w:tr>
        <w:trPr>
          <w:trHeight w:val="80"/>
        </w:trPr>
        <w:tc>
          <w:tcPr>
            <w:tcW w:w="32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3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34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288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88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Product Pipeline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We have announced the following key titles to date (this list does not represent all titles currently in development):</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6"/>
              </w:rPr>
              <w:t>Internal or</w:t>
            </w:r>
          </w:p>
        </w:tc>
        <w:tc>
          <w:tcPr>
            <w:tcW w:w="28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322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Title</w:t>
            </w:r>
          </w:p>
        </w:tc>
        <w:tc>
          <w:tcPr>
            <w:tcW w:w="120" w:type="dxa"/>
            <w:vAlign w:val="bottom"/>
            <w:vMerge w:val="restart"/>
          </w:tcPr>
          <w:p>
            <w:pPr>
              <w:spacing w:after="0"/>
              <w:rPr>
                <w:sz w:val="12"/>
                <w:szCs w:val="12"/>
                <w:color w:val="auto"/>
              </w:rPr>
            </w:pPr>
          </w:p>
        </w:tc>
        <w:tc>
          <w:tcPr>
            <w:tcW w:w="1340" w:type="dxa"/>
            <w:vAlign w:val="bottom"/>
            <w:vMerge w:val="restart"/>
          </w:tcPr>
          <w:p>
            <w:pPr>
              <w:ind w:left="160"/>
              <w:spacing w:after="0"/>
              <w:rPr>
                <w:sz w:val="20"/>
                <w:szCs w:val="20"/>
                <w:color w:val="auto"/>
              </w:rPr>
            </w:pPr>
            <w:r>
              <w:rPr>
                <w:rFonts w:ascii="Arial" w:cs="Arial" w:eastAsia="Arial" w:hAnsi="Arial"/>
                <w:sz w:val="14"/>
                <w:szCs w:val="14"/>
                <w:b w:val="1"/>
                <w:bCs w:val="1"/>
                <w:color w:val="auto"/>
              </w:rPr>
              <w:t>Publishing Label</w:t>
            </w:r>
          </w:p>
        </w:tc>
        <w:tc>
          <w:tcPr>
            <w:tcW w:w="100" w:type="dxa"/>
            <w:vAlign w:val="bottom"/>
            <w:vMerge w:val="restart"/>
          </w:tcPr>
          <w:p>
            <w:pPr>
              <w:spacing w:after="0"/>
              <w:rPr>
                <w:sz w:val="12"/>
                <w:szCs w:val="12"/>
                <w:color w:val="auto"/>
              </w:rPr>
            </w:pPr>
          </w:p>
        </w:tc>
        <w:tc>
          <w:tcPr>
            <w:tcW w:w="14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7"/>
              </w:rPr>
              <w:t>External</w:t>
            </w:r>
          </w:p>
        </w:tc>
        <w:tc>
          <w:tcPr>
            <w:tcW w:w="2880" w:type="dxa"/>
            <w:vAlign w:val="bottom"/>
            <w:vMerge w:val="restart"/>
          </w:tcPr>
          <w:p>
            <w:pPr>
              <w:ind w:left="1080"/>
              <w:spacing w:after="0"/>
              <w:rPr>
                <w:sz w:val="20"/>
                <w:szCs w:val="20"/>
                <w:color w:val="auto"/>
              </w:rPr>
            </w:pPr>
            <w:r>
              <w:rPr>
                <w:rFonts w:ascii="Arial" w:cs="Arial" w:eastAsia="Arial" w:hAnsi="Arial"/>
                <w:sz w:val="14"/>
                <w:szCs w:val="14"/>
                <w:b w:val="1"/>
                <w:bCs w:val="1"/>
                <w:color w:val="auto"/>
              </w:rPr>
              <w:t>Platform(s)</w:t>
            </w:r>
          </w:p>
        </w:tc>
        <w:tc>
          <w:tcPr>
            <w:tcW w:w="100" w:type="dxa"/>
            <w:vAlign w:val="bottom"/>
            <w:vMerge w:val="restart"/>
          </w:tcPr>
          <w:p>
            <w:pPr>
              <w:spacing w:after="0"/>
              <w:rPr>
                <w:sz w:val="12"/>
                <w:szCs w:val="12"/>
                <w:color w:val="auto"/>
              </w:rPr>
            </w:pPr>
          </w:p>
        </w:tc>
        <w:tc>
          <w:tcPr>
            <w:tcW w:w="18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Expected Release Date</w:t>
            </w:r>
          </w:p>
        </w:tc>
        <w:tc>
          <w:tcPr>
            <w:tcW w:w="0" w:type="dxa"/>
            <w:vAlign w:val="bottom"/>
          </w:tcPr>
          <w:p>
            <w:pPr>
              <w:spacing w:after="0"/>
              <w:rPr>
                <w:sz w:val="1"/>
                <w:szCs w:val="1"/>
                <w:color w:val="auto"/>
              </w:rPr>
            </w:pPr>
          </w:p>
        </w:tc>
      </w:tr>
      <w:tr>
        <w:trPr>
          <w:trHeight w:val="192"/>
        </w:trPr>
        <w:tc>
          <w:tcPr>
            <w:tcW w:w="322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3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Development</w:t>
            </w:r>
          </w:p>
        </w:tc>
        <w:tc>
          <w:tcPr>
            <w:tcW w:w="100" w:type="dxa"/>
            <w:vAlign w:val="bottom"/>
            <w:tcBorders>
              <w:bottom w:val="single" w:sz="8" w:color="CCEEFF"/>
            </w:tcBorders>
          </w:tcPr>
          <w:p>
            <w:pPr>
              <w:spacing w:after="0"/>
              <w:rPr>
                <w:sz w:val="16"/>
                <w:szCs w:val="16"/>
                <w:color w:val="auto"/>
              </w:rPr>
            </w:pPr>
          </w:p>
        </w:tc>
        <w:tc>
          <w:tcPr>
            <w:tcW w:w="28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8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3340" w:type="dxa"/>
            <w:vAlign w:val="bottom"/>
            <w:gridSpan w:val="2"/>
            <w:shd w:val="clear" w:color="auto" w:fill="CCEEFF"/>
          </w:tcPr>
          <w:p>
            <w:pPr>
              <w:ind w:left="40"/>
              <w:spacing w:after="0"/>
              <w:rPr>
                <w:sz w:val="20"/>
                <w:szCs w:val="20"/>
                <w:color w:val="auto"/>
              </w:rPr>
            </w:pPr>
            <w:r>
              <w:rPr>
                <w:rFonts w:ascii="Arial" w:cs="Arial" w:eastAsia="Arial" w:hAnsi="Arial"/>
                <w:sz w:val="14"/>
                <w:szCs w:val="14"/>
                <w:i w:val="1"/>
                <w:iCs w:val="1"/>
                <w:color w:val="auto"/>
              </w:rPr>
              <w:t>Red Dead Redemption 2</w:t>
            </w:r>
          </w:p>
        </w:tc>
        <w:tc>
          <w:tcPr>
            <w:tcW w:w="14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Rockstar Games</w:t>
            </w:r>
          </w:p>
        </w:tc>
        <w:tc>
          <w:tcPr>
            <w:tcW w:w="144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8"/>
              </w:rPr>
              <w:t>Internal</w:t>
            </w:r>
          </w:p>
        </w:tc>
        <w:tc>
          <w:tcPr>
            <w:tcW w:w="29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Xbox One, PS4</w:t>
            </w:r>
          </w:p>
        </w:tc>
        <w:tc>
          <w:tcPr>
            <w:tcW w:w="1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October 26, 2018</w:t>
            </w:r>
          </w:p>
        </w:tc>
        <w:tc>
          <w:tcPr>
            <w:tcW w:w="0" w:type="dxa"/>
            <w:vAlign w:val="bottom"/>
          </w:tcPr>
          <w:p>
            <w:pPr>
              <w:spacing w:after="0"/>
              <w:rPr>
                <w:sz w:val="1"/>
                <w:szCs w:val="1"/>
                <w:color w:val="auto"/>
              </w:rPr>
            </w:pPr>
          </w:p>
        </w:tc>
      </w:tr>
      <w:tr>
        <w:trPr>
          <w:trHeight w:val="264"/>
        </w:trPr>
        <w:tc>
          <w:tcPr>
            <w:tcW w:w="3340" w:type="dxa"/>
            <w:vAlign w:val="bottom"/>
            <w:gridSpan w:val="2"/>
          </w:tcPr>
          <w:p>
            <w:pPr>
              <w:ind w:left="40"/>
              <w:spacing w:after="0"/>
              <w:rPr>
                <w:sz w:val="20"/>
                <w:szCs w:val="20"/>
                <w:color w:val="auto"/>
              </w:rPr>
            </w:pPr>
            <w:r>
              <w:rPr>
                <w:rFonts w:ascii="Arial" w:cs="Arial" w:eastAsia="Arial" w:hAnsi="Arial"/>
                <w:sz w:val="14"/>
                <w:szCs w:val="14"/>
                <w:i w:val="1"/>
                <w:iCs w:val="1"/>
                <w:color w:val="auto"/>
              </w:rPr>
              <w:t>NBA 2K19</w:t>
            </w:r>
          </w:p>
        </w:tc>
        <w:tc>
          <w:tcPr>
            <w:tcW w:w="1440" w:type="dxa"/>
            <w:vAlign w:val="bottom"/>
            <w:gridSpan w:val="2"/>
          </w:tcPr>
          <w:p>
            <w:pPr>
              <w:ind w:left="40"/>
              <w:spacing w:after="0"/>
              <w:rPr>
                <w:sz w:val="20"/>
                <w:szCs w:val="20"/>
                <w:color w:val="auto"/>
              </w:rPr>
            </w:pPr>
            <w:r>
              <w:rPr>
                <w:rFonts w:ascii="Arial" w:cs="Arial" w:eastAsia="Arial" w:hAnsi="Arial"/>
                <w:sz w:val="14"/>
                <w:szCs w:val="14"/>
                <w:color w:val="auto"/>
              </w:rPr>
              <w:t>2K</w:t>
            </w:r>
          </w:p>
        </w:tc>
        <w:tc>
          <w:tcPr>
            <w:tcW w:w="1440" w:type="dxa"/>
            <w:vAlign w:val="bottom"/>
            <w:gridSpan w:val="2"/>
          </w:tcPr>
          <w:p>
            <w:pPr>
              <w:jc w:val="center"/>
              <w:ind w:right="100"/>
              <w:spacing w:after="0"/>
              <w:rPr>
                <w:sz w:val="20"/>
                <w:szCs w:val="20"/>
                <w:color w:val="auto"/>
              </w:rPr>
            </w:pPr>
            <w:r>
              <w:rPr>
                <w:rFonts w:ascii="Arial" w:cs="Arial" w:eastAsia="Arial" w:hAnsi="Arial"/>
                <w:sz w:val="14"/>
                <w:szCs w:val="14"/>
                <w:color w:val="auto"/>
                <w:w w:val="98"/>
              </w:rPr>
              <w:t>Internal</w:t>
            </w:r>
          </w:p>
        </w:tc>
        <w:tc>
          <w:tcPr>
            <w:tcW w:w="2980" w:type="dxa"/>
            <w:vAlign w:val="bottom"/>
            <w:gridSpan w:val="2"/>
          </w:tcPr>
          <w:p>
            <w:pPr>
              <w:ind w:left="20"/>
              <w:spacing w:after="0"/>
              <w:rPr>
                <w:sz w:val="20"/>
                <w:szCs w:val="20"/>
                <w:color w:val="auto"/>
              </w:rPr>
            </w:pPr>
            <w:r>
              <w:rPr>
                <w:rFonts w:ascii="Arial" w:cs="Arial" w:eastAsia="Arial" w:hAnsi="Arial"/>
                <w:sz w:val="14"/>
                <w:szCs w:val="14"/>
                <w:color w:val="auto"/>
              </w:rPr>
              <w:t>TBA</w:t>
            </w:r>
          </w:p>
        </w:tc>
        <w:tc>
          <w:tcPr>
            <w:tcW w:w="1880" w:type="dxa"/>
            <w:vAlign w:val="bottom"/>
          </w:tcPr>
          <w:p>
            <w:pPr>
              <w:jc w:val="center"/>
              <w:spacing w:after="0"/>
              <w:rPr>
                <w:sz w:val="20"/>
                <w:szCs w:val="20"/>
                <w:color w:val="auto"/>
              </w:rPr>
            </w:pPr>
            <w:r>
              <w:rPr>
                <w:rFonts w:ascii="Arial" w:cs="Arial" w:eastAsia="Arial" w:hAnsi="Arial"/>
                <w:sz w:val="14"/>
                <w:szCs w:val="14"/>
                <w:color w:val="auto"/>
                <w:w w:val="97"/>
              </w:rPr>
              <w:t>Fall 2018</w:t>
            </w:r>
          </w:p>
        </w:tc>
        <w:tc>
          <w:tcPr>
            <w:tcW w:w="0" w:type="dxa"/>
            <w:vAlign w:val="bottom"/>
          </w:tcPr>
          <w:p>
            <w:pPr>
              <w:spacing w:after="0"/>
              <w:rPr>
                <w:sz w:val="1"/>
                <w:szCs w:val="1"/>
                <w:color w:val="auto"/>
              </w:rPr>
            </w:pPr>
          </w:p>
        </w:tc>
      </w:tr>
      <w:tr>
        <w:trPr>
          <w:trHeight w:val="276"/>
        </w:trPr>
        <w:tc>
          <w:tcPr>
            <w:tcW w:w="3340" w:type="dxa"/>
            <w:vAlign w:val="bottom"/>
            <w:gridSpan w:val="2"/>
            <w:shd w:val="clear" w:color="auto" w:fill="CCEEFF"/>
          </w:tcPr>
          <w:p>
            <w:pPr>
              <w:ind w:left="40"/>
              <w:spacing w:after="0"/>
              <w:rPr>
                <w:sz w:val="20"/>
                <w:szCs w:val="20"/>
                <w:color w:val="auto"/>
              </w:rPr>
            </w:pPr>
            <w:r>
              <w:rPr>
                <w:rFonts w:ascii="Arial" w:cs="Arial" w:eastAsia="Arial" w:hAnsi="Arial"/>
                <w:sz w:val="14"/>
                <w:szCs w:val="14"/>
                <w:i w:val="1"/>
                <w:iCs w:val="1"/>
                <w:color w:val="auto"/>
              </w:rPr>
              <w:t>WWE 2K19</w:t>
            </w:r>
          </w:p>
        </w:tc>
        <w:tc>
          <w:tcPr>
            <w:tcW w:w="144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2K</w:t>
            </w:r>
          </w:p>
        </w:tc>
        <w:tc>
          <w:tcPr>
            <w:tcW w:w="1440" w:type="dxa"/>
            <w:vAlign w:val="bottom"/>
            <w:gridSpan w:val="2"/>
            <w:shd w:val="clear" w:color="auto" w:fill="CCEEFF"/>
          </w:tcPr>
          <w:p>
            <w:pPr>
              <w:jc w:val="center"/>
              <w:ind w:right="100"/>
              <w:spacing w:after="0"/>
              <w:rPr>
                <w:sz w:val="20"/>
                <w:szCs w:val="20"/>
                <w:color w:val="auto"/>
              </w:rPr>
            </w:pPr>
            <w:r>
              <w:rPr>
                <w:rFonts w:ascii="Arial" w:cs="Arial" w:eastAsia="Arial" w:hAnsi="Arial"/>
                <w:sz w:val="14"/>
                <w:szCs w:val="14"/>
                <w:color w:val="auto"/>
                <w:w w:val="96"/>
              </w:rPr>
              <w:t>Internal/External</w:t>
            </w:r>
          </w:p>
        </w:tc>
        <w:tc>
          <w:tcPr>
            <w:tcW w:w="2980" w:type="dxa"/>
            <w:vAlign w:val="bottom"/>
            <w:gridSpan w:val="2"/>
            <w:shd w:val="clear" w:color="auto" w:fill="CCEEFF"/>
          </w:tcPr>
          <w:p>
            <w:pPr>
              <w:ind w:left="20"/>
              <w:spacing w:after="0"/>
              <w:rPr>
                <w:sz w:val="20"/>
                <w:szCs w:val="20"/>
                <w:color w:val="auto"/>
              </w:rPr>
            </w:pPr>
            <w:r>
              <w:rPr>
                <w:rFonts w:ascii="Arial" w:cs="Arial" w:eastAsia="Arial" w:hAnsi="Arial"/>
                <w:sz w:val="14"/>
                <w:szCs w:val="14"/>
                <w:color w:val="auto"/>
              </w:rPr>
              <w:t>TBA</w:t>
            </w:r>
          </w:p>
        </w:tc>
        <w:tc>
          <w:tcPr>
            <w:tcW w:w="18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7"/>
              </w:rPr>
              <w:t>Fall 2018</w:t>
            </w:r>
          </w:p>
        </w:tc>
        <w:tc>
          <w:tcPr>
            <w:tcW w:w="0" w:type="dxa"/>
            <w:vAlign w:val="bottom"/>
          </w:tcPr>
          <w:p>
            <w:pPr>
              <w:spacing w:after="0"/>
              <w:rPr>
                <w:sz w:val="1"/>
                <w:szCs w:val="1"/>
                <w:color w:val="auto"/>
              </w:rPr>
            </w:pPr>
          </w:p>
        </w:tc>
      </w:tr>
    </w:tbl>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Fiscal 2018 Financial Summary</w:t>
      </w:r>
    </w:p>
    <w:p>
      <w:pPr>
        <w:spacing w:after="0" w:line="279"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 xml:space="preserve">Our net revenue for fiscal year ended March 31, 2018 was led by titles from a variety of our top franchises, primarily </w:t>
      </w:r>
      <w:r>
        <w:rPr>
          <w:rFonts w:ascii="Arial" w:cs="Arial" w:eastAsia="Arial" w:hAnsi="Arial"/>
          <w:sz w:val="17"/>
          <w:szCs w:val="17"/>
          <w:i w:val="1"/>
          <w:iCs w:val="1"/>
          <w:color w:val="auto"/>
        </w:rPr>
        <w:t>Grand Theft Auto</w:t>
      </w:r>
      <w:r>
        <w:rPr>
          <w:rFonts w:ascii="Arial" w:cs="Arial" w:eastAsia="Arial" w:hAnsi="Arial"/>
          <w:sz w:val="17"/>
          <w:szCs w:val="17"/>
          <w:color w:val="auto"/>
        </w:rPr>
        <w:t xml:space="preserve">, </w:t>
      </w:r>
      <w:r>
        <w:rPr>
          <w:rFonts w:ascii="Arial" w:cs="Arial" w:eastAsia="Arial" w:hAnsi="Arial"/>
          <w:sz w:val="17"/>
          <w:szCs w:val="17"/>
          <w:i w:val="1"/>
          <w:iCs w:val="1"/>
          <w:color w:val="auto"/>
        </w:rPr>
        <w:t>NBA 2K,</w:t>
      </w:r>
      <w:r>
        <w:rPr>
          <w:rFonts w:ascii="Arial" w:cs="Arial" w:eastAsia="Arial" w:hAnsi="Arial"/>
          <w:sz w:val="17"/>
          <w:szCs w:val="17"/>
          <w:color w:val="auto"/>
        </w:rPr>
        <w:t xml:space="preserve"> and </w:t>
      </w:r>
      <w:r>
        <w:rPr>
          <w:rFonts w:ascii="Arial" w:cs="Arial" w:eastAsia="Arial" w:hAnsi="Arial"/>
          <w:sz w:val="17"/>
          <w:szCs w:val="17"/>
          <w:i w:val="1"/>
          <w:iCs w:val="1"/>
          <w:color w:val="auto"/>
        </w:rPr>
        <w:t>WWE</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2K. </w:t>
      </w:r>
      <w:r>
        <w:rPr>
          <w:rFonts w:ascii="Arial" w:cs="Arial" w:eastAsia="Arial" w:hAnsi="Arial"/>
          <w:sz w:val="17"/>
          <w:szCs w:val="17"/>
          <w:color w:val="auto"/>
        </w:rPr>
        <w:t>Our net revenue increased to $1,792.9 million, an increase of $13.1 million or 0.7% compared to the fiscal year ended March 31, 2017.</w:t>
      </w:r>
    </w:p>
    <w:p>
      <w:pPr>
        <w:spacing w:after="0" w:line="201"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For the fiscal year ended March 31, 2018, our net income was $173.5 million, as compared to a net income of $67.3 million in the prior year. Diluted earnings per share for the fiscal year ended March 31, 2018 was $1.54, as compared to diluted income per share of $0.72 for the fiscal year ended March 31, 2017. Our operating income for the fiscal year ended March 31, 2018 increased compared to the operating income for fiscal year ended March 31, 2017, due primarily to higher gross profit due primarily to lower Software development costs and royalties and Product costs due to having released more titles in the prior year period, partially offset by higher Research and development costs related to titles that have not reached technological feasibility.</w:t>
      </w:r>
    </w:p>
    <w:p>
      <w:pPr>
        <w:spacing w:after="0" w:line="21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At March 31, 2018 we had $809.0 million of cash and cash equivalents, compared to $943.4 million at March 31, 2017. The decrease in cash and cash equivalents from March 31, 2017 was due primarily to cash used in financing and investing activities, partially offset by cash provided by operating activities. Net cash used in financing activities was primarily related to repurchases of common stock under our share repurchase program and tax payments related to net share settlements of our restricted stock awards. Net cash used in investing activities was primarily related to net purchases of available for sale securities, purchases of fixed assets, and our asset acquisition of </w:t>
      </w:r>
      <w:r>
        <w:rPr>
          <w:rFonts w:ascii="Arial" w:cs="Arial" w:eastAsia="Arial" w:hAnsi="Arial"/>
          <w:sz w:val="18"/>
          <w:szCs w:val="18"/>
          <w:i w:val="1"/>
          <w:iCs w:val="1"/>
          <w:color w:val="auto"/>
        </w:rPr>
        <w:t>Kerbal Space Program</w:t>
      </w:r>
      <w:r>
        <w:rPr>
          <w:rFonts w:ascii="Arial" w:cs="Arial" w:eastAsia="Arial" w:hAnsi="Arial"/>
          <w:sz w:val="18"/>
          <w:szCs w:val="18"/>
          <w:color w:val="auto"/>
        </w:rPr>
        <w:t xml:space="preserve">. Net cash provided by operating activities was due primarily to cash generated from sales of virtual currency, </w:t>
      </w:r>
      <w:r>
        <w:rPr>
          <w:rFonts w:ascii="Arial" w:cs="Arial" w:eastAsia="Arial" w:hAnsi="Arial"/>
          <w:sz w:val="18"/>
          <w:szCs w:val="18"/>
          <w:i w:val="1"/>
          <w:iCs w:val="1"/>
          <w:color w:val="auto"/>
        </w:rPr>
        <w:t>NBA 2K18, Grand Theft Auto V,</w:t>
      </w:r>
      <w:r>
        <w:rPr>
          <w:rFonts w:ascii="Arial" w:cs="Arial" w:eastAsia="Arial" w:hAnsi="Arial"/>
          <w:sz w:val="18"/>
          <w:szCs w:val="18"/>
          <w:color w:val="auto"/>
        </w:rPr>
        <w:t xml:space="preserve"> and </w:t>
      </w:r>
      <w:r>
        <w:rPr>
          <w:rFonts w:ascii="Arial" w:cs="Arial" w:eastAsia="Arial" w:hAnsi="Arial"/>
          <w:sz w:val="18"/>
          <w:szCs w:val="18"/>
          <w:i w:val="1"/>
          <w:iCs w:val="1"/>
          <w:color w:val="auto"/>
        </w:rPr>
        <w:t>WWE 2K18,</w:t>
      </w:r>
      <w:r>
        <w:rPr>
          <w:rFonts w:ascii="Arial" w:cs="Arial" w:eastAsia="Arial" w:hAnsi="Arial"/>
          <w:sz w:val="18"/>
          <w:szCs w:val="18"/>
          <w:color w:val="auto"/>
        </w:rPr>
        <w:t xml:space="preserve"> partially offset by investments in software development and licenses as well as the funding of internal royalty payments.</w:t>
      </w:r>
    </w:p>
    <w:p>
      <w:pPr>
        <w:spacing w:after="0" w:line="3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719" w:right="2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48"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Our most critical accounting policies, which are those that require significant judgment, include revenue recognition; price protection and allowances for returns; capitalization and recognition of software development costs and licenses; fair value estimates including valuation of goodwill, intangible assets, and long-lived assets; valuation and recognition of stock-based compensation; and income taxes. See Note 1 - Basis of Presentation and Significant Accounting Policies in the Notes to our Consolidated Financial Statements in this Annual Report on Form 10-K.</w:t>
      </w:r>
    </w:p>
    <w:p>
      <w:pPr>
        <w:spacing w:after="0" w:line="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and Recently Issued Accounting Pronouncements</w:t>
      </w:r>
    </w:p>
    <w:p>
      <w:pPr>
        <w:spacing w:after="0" w:line="148" w:lineRule="exact"/>
        <w:rPr>
          <w:sz w:val="20"/>
          <w:szCs w:val="20"/>
          <w:color w:val="auto"/>
        </w:rPr>
      </w:pPr>
    </w:p>
    <w:p>
      <w:pPr>
        <w:spacing w:after="0"/>
        <w:rPr>
          <w:sz w:val="20"/>
          <w:szCs w:val="20"/>
          <w:color w:val="auto"/>
        </w:rPr>
      </w:pPr>
      <w:r>
        <w:rPr>
          <w:rFonts w:ascii="Arial" w:cs="Arial" w:eastAsia="Arial" w:hAnsi="Arial"/>
          <w:sz w:val="18"/>
          <w:szCs w:val="18"/>
          <w:color w:val="auto"/>
        </w:rPr>
        <w:t>See Note 1 - Basis of Presentation and Significant Accounting Policies.</w:t>
      </w:r>
    </w:p>
    <w:p>
      <w:pPr>
        <w:spacing w:after="0" w:line="14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8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following table sets forth, for the periods indicated, our statements of operations, net revenue by geographic region, net revenue by platform and net revenue by distribution channel:</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gridSpan w:val="7"/>
          </w:tcPr>
          <w:p>
            <w:pPr>
              <w:ind w:left="100"/>
              <w:spacing w:after="0"/>
              <w:rPr>
                <w:sz w:val="20"/>
                <w:szCs w:val="20"/>
                <w:color w:val="auto"/>
              </w:rPr>
            </w:pPr>
            <w:r>
              <w:rPr>
                <w:rFonts w:ascii="Arial" w:cs="Arial" w:eastAsia="Arial" w:hAnsi="Arial"/>
                <w:sz w:val="14"/>
                <w:szCs w:val="14"/>
                <w:b w:val="1"/>
                <w:bCs w:val="1"/>
                <w:color w:val="auto"/>
              </w:rPr>
              <w:t>Fiscal Year Ended March 31,</w:t>
            </w:r>
          </w:p>
        </w:tc>
        <w:tc>
          <w:tcPr>
            <w:tcW w:w="4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r>
      <w:tr>
        <w:trPr>
          <w:trHeight w:val="264"/>
        </w:trPr>
        <w:tc>
          <w:tcPr>
            <w:tcW w:w="418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gridSpan w:val="3"/>
          </w:tcPr>
          <w:p>
            <w:pPr>
              <w:jc w:val="right"/>
              <w:ind w:right="260"/>
              <w:spacing w:after="0"/>
              <w:rPr>
                <w:sz w:val="20"/>
                <w:szCs w:val="20"/>
                <w:color w:val="auto"/>
              </w:rPr>
            </w:pPr>
            <w:r>
              <w:rPr>
                <w:rFonts w:ascii="Arial" w:cs="Arial" w:eastAsia="Arial" w:hAnsi="Arial"/>
                <w:sz w:val="14"/>
                <w:szCs w:val="14"/>
                <w:b w:val="1"/>
                <w:bCs w:val="1"/>
                <w:color w:val="auto"/>
              </w:rPr>
              <w:t>2018</w:t>
            </w:r>
          </w:p>
        </w:tc>
        <w:tc>
          <w:tcPr>
            <w:tcW w:w="78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gridSpan w:val="3"/>
          </w:tcPr>
          <w:p>
            <w:pPr>
              <w:jc w:val="right"/>
              <w:ind w:right="200"/>
              <w:spacing w:after="0"/>
              <w:rPr>
                <w:sz w:val="20"/>
                <w:szCs w:val="20"/>
                <w:color w:val="auto"/>
              </w:rPr>
            </w:pPr>
            <w:r>
              <w:rPr>
                <w:rFonts w:ascii="Arial" w:cs="Arial" w:eastAsia="Arial" w:hAnsi="Arial"/>
                <w:sz w:val="14"/>
                <w:szCs w:val="14"/>
                <w:b w:val="1"/>
                <w:bCs w:val="1"/>
                <w:color w:val="auto"/>
              </w:rPr>
              <w:t>2017</w:t>
            </w:r>
          </w:p>
        </w:tc>
        <w:tc>
          <w:tcPr>
            <w:tcW w:w="760" w:type="dxa"/>
            <w:vAlign w:val="bottom"/>
            <w:tcBorders>
              <w:bottom w:val="single" w:sz="8" w:color="auto"/>
            </w:tcBorders>
          </w:tcPr>
          <w:p>
            <w:pPr>
              <w:spacing w:after="0"/>
              <w:rPr>
                <w:sz w:val="22"/>
                <w:szCs w:val="22"/>
                <w:color w:val="auto"/>
              </w:rPr>
            </w:pPr>
          </w:p>
        </w:tc>
        <w:tc>
          <w:tcPr>
            <w:tcW w:w="60" w:type="dxa"/>
            <w:vAlign w:val="bottom"/>
            <w:tcBorders>
              <w:bottom w:val="single" w:sz="8" w:color="CCEEFF"/>
            </w:tcBorders>
          </w:tcPr>
          <w:p>
            <w:pPr>
              <w:spacing w:after="0"/>
              <w:rPr>
                <w:sz w:val="22"/>
                <w:szCs w:val="22"/>
                <w:color w:val="auto"/>
              </w:rPr>
            </w:pPr>
          </w:p>
        </w:tc>
        <w:tc>
          <w:tcPr>
            <w:tcW w:w="60" w:type="dxa"/>
            <w:vAlign w:val="bottom"/>
            <w:tcBorders>
              <w:bottom w:val="single" w:sz="8" w:color="CCEEFF"/>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gridSpan w:val="3"/>
          </w:tcPr>
          <w:p>
            <w:pPr>
              <w:jc w:val="right"/>
              <w:ind w:right="180"/>
              <w:spacing w:after="0"/>
              <w:rPr>
                <w:sz w:val="20"/>
                <w:szCs w:val="20"/>
                <w:color w:val="auto"/>
              </w:rPr>
            </w:pPr>
            <w:r>
              <w:rPr>
                <w:rFonts w:ascii="Arial" w:cs="Arial" w:eastAsia="Arial" w:hAnsi="Arial"/>
                <w:sz w:val="14"/>
                <w:szCs w:val="14"/>
                <w:b w:val="1"/>
                <w:bCs w:val="1"/>
                <w:color w:val="auto"/>
              </w:rPr>
              <w:t>2016</w:t>
            </w:r>
          </w:p>
        </w:tc>
        <w:tc>
          <w:tcPr>
            <w:tcW w:w="800" w:type="dxa"/>
            <w:vAlign w:val="bottom"/>
            <w:tcBorders>
              <w:bottom w:val="single" w:sz="8" w:color="auto"/>
            </w:tcBorders>
          </w:tcPr>
          <w:p>
            <w:pPr>
              <w:spacing w:after="0"/>
              <w:rPr>
                <w:sz w:val="22"/>
                <w:szCs w:val="22"/>
                <w:color w:val="auto"/>
              </w:rPr>
            </w:pPr>
          </w:p>
        </w:tc>
      </w:tr>
      <w:tr>
        <w:trPr>
          <w:trHeight w:val="250"/>
        </w:trPr>
        <w:tc>
          <w:tcPr>
            <w:tcW w:w="4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revenue</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w w:val="97"/>
              </w:rPr>
              <w:t>1,792,892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100.0 %</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gridSpan w:val="2"/>
            <w:shd w:val="clear" w:color="auto" w:fill="CCEEFF"/>
          </w:tcPr>
          <w:p>
            <w:pPr>
              <w:jc w:val="right"/>
              <w:ind w:right="48"/>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w w:val="97"/>
              </w:rPr>
              <w:t>1,779,748</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w w:val="97"/>
              </w:rPr>
              <w:t>1,413,698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r>
      <w:tr>
        <w:trPr>
          <w:trHeight w:val="243"/>
        </w:trPr>
        <w:tc>
          <w:tcPr>
            <w:tcW w:w="4280" w:type="dxa"/>
            <w:vAlign w:val="bottom"/>
            <w:gridSpan w:val="2"/>
          </w:tcPr>
          <w:p>
            <w:pPr>
              <w:ind w:left="40"/>
              <w:spacing w:after="0"/>
              <w:rPr>
                <w:sz w:val="20"/>
                <w:szCs w:val="20"/>
                <w:color w:val="auto"/>
              </w:rPr>
            </w:pPr>
            <w:r>
              <w:rPr>
                <w:rFonts w:ascii="Arial" w:cs="Arial" w:eastAsia="Arial" w:hAnsi="Arial"/>
                <w:sz w:val="18"/>
                <w:szCs w:val="18"/>
                <w:color w:val="auto"/>
              </w:rPr>
              <w:t>Cost of goods sold</w:t>
            </w: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1"/>
              <w:spacing w:after="0"/>
              <w:rPr>
                <w:sz w:val="20"/>
                <w:szCs w:val="20"/>
                <w:color w:val="auto"/>
              </w:rPr>
            </w:pPr>
            <w:r>
              <w:rPr>
                <w:rFonts w:ascii="Arial" w:cs="Arial" w:eastAsia="Arial" w:hAnsi="Arial"/>
                <w:sz w:val="18"/>
                <w:szCs w:val="18"/>
                <w:b w:val="1"/>
                <w:bCs w:val="1"/>
                <w:color w:val="auto"/>
              </w:rPr>
              <w:t>898,311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50.1 %</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w w:val="97"/>
              </w:rPr>
              <w:t>1,022,959</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57.5 %</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813,873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57.6 %</w:t>
            </w:r>
          </w:p>
        </w:tc>
      </w:tr>
      <w:tr>
        <w:trPr>
          <w:trHeight w:val="27"/>
        </w:trPr>
        <w:tc>
          <w:tcPr>
            <w:tcW w:w="4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64"/>
        </w:trPr>
        <w:tc>
          <w:tcPr>
            <w:tcW w:w="4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14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894,581</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49.9 %</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756,789</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42.5 %</w:t>
            </w:r>
          </w:p>
        </w:tc>
        <w:tc>
          <w:tcPr>
            <w:tcW w:w="60" w:type="dxa"/>
            <w:vAlign w:val="bottom"/>
            <w:tcBorders>
              <w:bottom w:val="single" w:sz="8" w:color="CCEEFF"/>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599,825</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42.4 %</w:t>
            </w:r>
          </w:p>
        </w:tc>
      </w:tr>
      <w:tr>
        <w:trPr>
          <w:trHeight w:val="237"/>
        </w:trPr>
        <w:tc>
          <w:tcPr>
            <w:tcW w:w="418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rPr>
              <w:t>Selling and marketing</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b w:val="1"/>
                <w:bCs w:val="1"/>
                <w:color w:val="auto"/>
              </w:rPr>
              <w:t>256,092</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14.3 %</w:t>
            </w:r>
          </w:p>
        </w:tc>
        <w:tc>
          <w:tcPr>
            <w:tcW w:w="10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285,453</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16.0 %</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198,309</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14.0 %</w:t>
            </w:r>
          </w:p>
        </w:tc>
      </w:tr>
      <w:tr>
        <w:trPr>
          <w:trHeight w:val="27"/>
        </w:trPr>
        <w:tc>
          <w:tcPr>
            <w:tcW w:w="4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2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General and administrative</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247,828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13.8 %</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211,409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11.9 %</w:t>
            </w: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192,452</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13.6 %</w:t>
            </w:r>
          </w:p>
        </w:tc>
      </w:tr>
      <w:tr>
        <w:trPr>
          <w:trHeight w:val="243"/>
        </w:trPr>
        <w:tc>
          <w:tcPr>
            <w:tcW w:w="4280" w:type="dxa"/>
            <w:vAlign w:val="bottom"/>
            <w:gridSpan w:val="2"/>
          </w:tcPr>
          <w:p>
            <w:pPr>
              <w:ind w:left="180"/>
              <w:spacing w:after="0"/>
              <w:rPr>
                <w:sz w:val="20"/>
                <w:szCs w:val="20"/>
                <w:color w:val="auto"/>
              </w:rPr>
            </w:pPr>
            <w:r>
              <w:rPr>
                <w:rFonts w:ascii="Arial" w:cs="Arial" w:eastAsia="Arial" w:hAnsi="Arial"/>
                <w:sz w:val="18"/>
                <w:szCs w:val="18"/>
                <w:color w:val="auto"/>
              </w:rPr>
              <w:t>Research and development</w:t>
            </w: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1"/>
              <w:spacing w:after="0"/>
              <w:rPr>
                <w:sz w:val="20"/>
                <w:szCs w:val="20"/>
                <w:color w:val="auto"/>
              </w:rPr>
            </w:pPr>
            <w:r>
              <w:rPr>
                <w:rFonts w:ascii="Arial" w:cs="Arial" w:eastAsia="Arial" w:hAnsi="Arial"/>
                <w:sz w:val="18"/>
                <w:szCs w:val="18"/>
                <w:b w:val="1"/>
                <w:bCs w:val="1"/>
                <w:color w:val="auto"/>
              </w:rPr>
              <w:t>196,373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11.0 %</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137,915</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7.8 %</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119,807</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8.5 %</w:t>
            </w:r>
          </w:p>
        </w:tc>
      </w:tr>
      <w:tr>
        <w:trPr>
          <w:trHeight w:val="27"/>
        </w:trPr>
        <w:tc>
          <w:tcPr>
            <w:tcW w:w="4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2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Business reorganization</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14,742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0.8 %</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gridSpan w:val="3"/>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 %</w:t>
            </w: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71,285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5.1 %</w:t>
            </w:r>
          </w:p>
        </w:tc>
      </w:tr>
      <w:tr>
        <w:trPr>
          <w:trHeight w:val="243"/>
        </w:trPr>
        <w:tc>
          <w:tcPr>
            <w:tcW w:w="4280" w:type="dxa"/>
            <w:vAlign w:val="bottom"/>
            <w:gridSpan w:val="2"/>
          </w:tcPr>
          <w:p>
            <w:pPr>
              <w:ind w:left="180"/>
              <w:spacing w:after="0"/>
              <w:rPr>
                <w:sz w:val="20"/>
                <w:szCs w:val="20"/>
                <w:color w:val="auto"/>
              </w:rPr>
            </w:pPr>
            <w:r>
              <w:rPr>
                <w:rFonts w:ascii="Arial" w:cs="Arial" w:eastAsia="Arial" w:hAnsi="Arial"/>
                <w:sz w:val="18"/>
                <w:szCs w:val="18"/>
                <w:color w:val="auto"/>
              </w:rPr>
              <w:t>Depreciation and amortization</w:t>
            </w: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1"/>
              <w:spacing w:after="0"/>
              <w:rPr>
                <w:sz w:val="20"/>
                <w:szCs w:val="20"/>
                <w:color w:val="auto"/>
              </w:rPr>
            </w:pPr>
            <w:r>
              <w:rPr>
                <w:rFonts w:ascii="Arial" w:cs="Arial" w:eastAsia="Arial" w:hAnsi="Arial"/>
                <w:sz w:val="18"/>
                <w:szCs w:val="18"/>
                <w:b w:val="1"/>
                <w:bCs w:val="1"/>
                <w:color w:val="auto"/>
              </w:rPr>
              <w:t>43,969</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2.5 %</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30,707</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1.7 %</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28,800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2.0 %</w:t>
            </w:r>
          </w:p>
        </w:tc>
      </w:tr>
      <w:tr>
        <w:trPr>
          <w:trHeight w:val="27"/>
        </w:trPr>
        <w:tc>
          <w:tcPr>
            <w:tcW w:w="4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64"/>
        </w:trPr>
        <w:tc>
          <w:tcPr>
            <w:tcW w:w="4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operating expenses</w:t>
            </w:r>
          </w:p>
        </w:tc>
        <w:tc>
          <w:tcPr>
            <w:tcW w:w="14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759,004</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42.3 %</w:t>
            </w:r>
          </w:p>
        </w:tc>
        <w:tc>
          <w:tcPr>
            <w:tcW w:w="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665,484</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37.4 %</w:t>
            </w:r>
          </w:p>
        </w:tc>
        <w:tc>
          <w:tcPr>
            <w:tcW w:w="60" w:type="dxa"/>
            <w:vAlign w:val="bottom"/>
            <w:tcBorders>
              <w:bottom w:val="single" w:sz="8" w:color="CCEEFF"/>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4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610,653</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43.2 %</w:t>
            </w:r>
          </w:p>
        </w:tc>
      </w:tr>
      <w:tr>
        <w:trPr>
          <w:trHeight w:val="237"/>
        </w:trPr>
        <w:tc>
          <w:tcPr>
            <w:tcW w:w="418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Income (loss) from operations</w:t>
            </w:r>
          </w:p>
        </w:tc>
        <w:tc>
          <w:tcPr>
            <w:tcW w:w="100" w:type="dxa"/>
            <w:vAlign w:val="bottom"/>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b w:val="1"/>
                <w:bCs w:val="1"/>
                <w:color w:val="auto"/>
              </w:rPr>
              <w:t>135,577</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7.6 %</w:t>
            </w:r>
          </w:p>
        </w:tc>
        <w:tc>
          <w:tcPr>
            <w:tcW w:w="100" w:type="dxa"/>
            <w:vAlign w:val="bottom"/>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4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91,305</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5.1 %</w:t>
            </w: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(10,828)</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(0.8)%</w:t>
            </w:r>
          </w:p>
        </w:tc>
      </w:tr>
      <w:tr>
        <w:trPr>
          <w:trHeight w:val="27"/>
        </w:trPr>
        <w:tc>
          <w:tcPr>
            <w:tcW w:w="4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Interest and other, net</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1,048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0.1 %</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(15,690)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(0.9)%</w:t>
            </w: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(30,205)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w:t>
            </w:r>
          </w:p>
        </w:tc>
      </w:tr>
      <w:tr>
        <w:trPr>
          <w:trHeight w:val="243"/>
        </w:trPr>
        <w:tc>
          <w:tcPr>
            <w:tcW w:w="4280" w:type="dxa"/>
            <w:vAlign w:val="bottom"/>
            <w:gridSpan w:val="2"/>
          </w:tcPr>
          <w:p>
            <w:pPr>
              <w:ind w:left="40"/>
              <w:spacing w:after="0"/>
              <w:rPr>
                <w:sz w:val="20"/>
                <w:szCs w:val="20"/>
                <w:color w:val="auto"/>
              </w:rPr>
            </w:pPr>
            <w:r>
              <w:rPr>
                <w:rFonts w:ascii="Arial" w:cs="Arial" w:eastAsia="Arial" w:hAnsi="Arial"/>
                <w:sz w:val="18"/>
                <w:szCs w:val="18"/>
                <w:color w:val="auto"/>
              </w:rPr>
              <w:t>Gain on long-term investments, net</w:t>
            </w: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280" w:type="dxa"/>
            <w:vAlign w:val="bottom"/>
            <w:gridSpan w:val="3"/>
          </w:tcPr>
          <w:p>
            <w:pPr>
              <w:jc w:val="right"/>
              <w:ind w:right="480"/>
              <w:spacing w:after="0"/>
              <w:rPr>
                <w:sz w:val="20"/>
                <w:szCs w:val="20"/>
                <w:color w:val="auto"/>
              </w:rPr>
            </w:pPr>
            <w:r>
              <w:rPr>
                <w:rFonts w:ascii="Arial" w:cs="Arial" w:eastAsia="Arial" w:hAnsi="Arial"/>
                <w:sz w:val="18"/>
                <w:szCs w:val="18"/>
                <w:b w:val="1"/>
                <w:bCs w:val="1"/>
                <w:color w:val="auto"/>
              </w:rPr>
              <w:t>—</w:t>
            </w:r>
          </w:p>
        </w:tc>
        <w:tc>
          <w:tcPr>
            <w:tcW w:w="8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 %</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1,350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0.1 %</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2,683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0.2 %</w:t>
            </w:r>
          </w:p>
        </w:tc>
      </w:tr>
      <w:tr>
        <w:trPr>
          <w:trHeight w:val="27"/>
        </w:trPr>
        <w:tc>
          <w:tcPr>
            <w:tcW w:w="4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136,625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7.6 %</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76,965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4.3 %</w:t>
            </w: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(38,350)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w:t>
            </w:r>
          </w:p>
        </w:tc>
      </w:tr>
      <w:tr>
        <w:trPr>
          <w:trHeight w:val="243"/>
        </w:trPr>
        <w:tc>
          <w:tcPr>
            <w:tcW w:w="4280" w:type="dxa"/>
            <w:vAlign w:val="bottom"/>
            <w:gridSpan w:val="2"/>
          </w:tcPr>
          <w:p>
            <w:pPr>
              <w:ind w:left="40"/>
              <w:spacing w:after="0"/>
              <w:rPr>
                <w:sz w:val="20"/>
                <w:szCs w:val="20"/>
                <w:color w:val="auto"/>
              </w:rPr>
            </w:pPr>
            <w:r>
              <w:rPr>
                <w:rFonts w:ascii="Arial" w:cs="Arial" w:eastAsia="Arial" w:hAnsi="Arial"/>
                <w:sz w:val="18"/>
                <w:szCs w:val="18"/>
                <w:color w:val="auto"/>
              </w:rPr>
              <w:t>(Benefit from) provision for income taxes</w:t>
            </w: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8"/>
                <w:szCs w:val="18"/>
                <w:b w:val="1"/>
                <w:bCs w:val="1"/>
                <w:color w:val="auto"/>
              </w:rPr>
              <w:t>(36,908)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b w:val="1"/>
                <w:bCs w:val="1"/>
                <w:color w:val="auto"/>
              </w:rPr>
              <w:t>(2.1)%</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9,662</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0.5 %</w:t>
            </w: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(30,048)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(2.1)%</w:t>
            </w:r>
          </w:p>
        </w:tc>
      </w:tr>
      <w:tr>
        <w:trPr>
          <w:trHeight w:val="27"/>
        </w:trPr>
        <w:tc>
          <w:tcPr>
            <w:tcW w:w="41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r>
      <w:tr>
        <w:trPr>
          <w:trHeight w:val="269"/>
        </w:trPr>
        <w:tc>
          <w:tcPr>
            <w:tcW w:w="4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200" w:type="dxa"/>
            <w:vAlign w:val="bottom"/>
            <w:tcBorders>
              <w:bottom w:val="single" w:sz="8" w:color="CCEEFF"/>
            </w:tcBorders>
            <w:shd w:val="clear" w:color="auto" w:fill="CCEEFF"/>
          </w:tcPr>
          <w:p>
            <w:pPr>
              <w:spacing w:after="0"/>
              <w:rPr>
                <w:sz w:val="22"/>
                <w:szCs w:val="22"/>
                <w:color w:val="auto"/>
              </w:rPr>
            </w:pPr>
          </w:p>
        </w:tc>
        <w:tc>
          <w:tcPr>
            <w:tcW w:w="92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173,533</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9.7 %</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gridSpan w:val="2"/>
            <w:shd w:val="clear" w:color="auto" w:fill="CCEEFF"/>
          </w:tcPr>
          <w:p>
            <w:pPr>
              <w:jc w:val="right"/>
              <w:ind w:right="48"/>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67,303</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3.8 %</w:t>
            </w:r>
          </w:p>
        </w:tc>
        <w:tc>
          <w:tcPr>
            <w:tcW w:w="60" w:type="dxa"/>
            <w:vAlign w:val="bottom"/>
            <w:tcBorders>
              <w:bottom w:val="single" w:sz="8" w:color="CCEEFF"/>
            </w:tcBorders>
            <w:shd w:val="clear" w:color="auto" w:fill="CCEEFF"/>
          </w:tcPr>
          <w:p>
            <w:pPr>
              <w:spacing w:after="0"/>
              <w:rPr>
                <w:sz w:val="22"/>
                <w:szCs w:val="22"/>
                <w:color w:val="auto"/>
              </w:rPr>
            </w:pPr>
          </w:p>
        </w:tc>
        <w:tc>
          <w:tcPr>
            <w:tcW w:w="6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(8,302)</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w:t>
            </w:r>
          </w:p>
        </w:tc>
      </w:tr>
      <w:tr>
        <w:trPr>
          <w:trHeight w:val="20"/>
        </w:trPr>
        <w:tc>
          <w:tcPr>
            <w:tcW w:w="4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gridSpan w:val="2"/>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r>
      <w:tr>
        <w:trPr>
          <w:trHeight w:val="332"/>
        </w:trPr>
        <w:tc>
          <w:tcPr>
            <w:tcW w:w="4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80" w:type="dxa"/>
            <w:vAlign w:val="bottom"/>
            <w:gridSpan w:val="5"/>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r>
      <w:tr>
        <w:trPr>
          <w:trHeight w:val="264"/>
        </w:trPr>
        <w:tc>
          <w:tcPr>
            <w:tcW w:w="418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200" w:type="dxa"/>
            <w:vAlign w:val="bottom"/>
            <w:tcBorders>
              <w:bottom w:val="single" w:sz="8" w:color="auto"/>
            </w:tcBorders>
            <w:shd w:val="clear" w:color="auto" w:fill="CCEEFF"/>
          </w:tcPr>
          <w:p>
            <w:pPr>
              <w:spacing w:after="0"/>
              <w:rPr>
                <w:sz w:val="22"/>
                <w:szCs w:val="22"/>
                <w:color w:val="auto"/>
              </w:rPr>
            </w:pPr>
          </w:p>
        </w:tc>
        <w:tc>
          <w:tcPr>
            <w:tcW w:w="92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spacing w:after="0"/>
              <w:rPr>
                <w:sz w:val="22"/>
                <w:szCs w:val="22"/>
                <w:color w:val="auto"/>
              </w:rPr>
            </w:pPr>
          </w:p>
        </w:tc>
        <w:tc>
          <w:tcPr>
            <w:tcW w:w="78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140" w:type="dxa"/>
            <w:vAlign w:val="bottom"/>
            <w:tcBorders>
              <w:bottom w:val="single" w:sz="8" w:color="auto"/>
            </w:tcBorders>
            <w:shd w:val="clear" w:color="auto" w:fill="CCEEFF"/>
          </w:tcPr>
          <w:p>
            <w:pPr>
              <w:spacing w:after="0"/>
              <w:rPr>
                <w:sz w:val="22"/>
                <w:szCs w:val="22"/>
                <w:color w:val="auto"/>
              </w:rPr>
            </w:pPr>
          </w:p>
        </w:tc>
        <w:tc>
          <w:tcPr>
            <w:tcW w:w="2140" w:type="dxa"/>
            <w:vAlign w:val="bottom"/>
            <w:tcBorders>
              <w:bottom w:val="single" w:sz="8" w:color="auto"/>
            </w:tcBorders>
            <w:gridSpan w:val="6"/>
            <w:shd w:val="clear" w:color="auto" w:fill="CCEEFF"/>
          </w:tcPr>
          <w:p>
            <w:pPr>
              <w:jc w:val="center"/>
              <w:ind w:right="320"/>
              <w:spacing w:after="0"/>
              <w:rPr>
                <w:sz w:val="20"/>
                <w:szCs w:val="20"/>
                <w:color w:val="auto"/>
              </w:rPr>
            </w:pPr>
            <w:r>
              <w:rPr>
                <w:rFonts w:ascii="Arial" w:cs="Arial" w:eastAsia="Arial" w:hAnsi="Arial"/>
                <w:sz w:val="14"/>
                <w:szCs w:val="14"/>
                <w:b w:val="1"/>
                <w:bCs w:val="1"/>
                <w:color w:val="auto"/>
                <w:w w:val="94"/>
              </w:rPr>
              <w:t>Fiscal Year Ended March 31,</w:t>
            </w:r>
          </w:p>
        </w:tc>
        <w:tc>
          <w:tcPr>
            <w:tcW w:w="40" w:type="dxa"/>
            <w:vAlign w:val="bottom"/>
            <w:tcBorders>
              <w:bottom w:val="single" w:sz="8" w:color="auto"/>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spacing w:after="0"/>
              <w:rPr>
                <w:sz w:val="22"/>
                <w:szCs w:val="22"/>
                <w:color w:val="auto"/>
              </w:rPr>
            </w:pPr>
          </w:p>
        </w:tc>
        <w:tc>
          <w:tcPr>
            <w:tcW w:w="900" w:type="dxa"/>
            <w:vAlign w:val="bottom"/>
            <w:tcBorders>
              <w:bottom w:val="single" w:sz="8" w:color="auto"/>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spacing w:after="0"/>
              <w:rPr>
                <w:sz w:val="22"/>
                <w:szCs w:val="22"/>
                <w:color w:val="auto"/>
              </w:rPr>
            </w:pPr>
          </w:p>
        </w:tc>
        <w:tc>
          <w:tcPr>
            <w:tcW w:w="800" w:type="dxa"/>
            <w:vAlign w:val="bottom"/>
            <w:tcBorders>
              <w:bottom w:val="single" w:sz="8" w:color="auto"/>
            </w:tcBorders>
            <w:shd w:val="clear" w:color="auto" w:fill="CCEEFF"/>
          </w:tcPr>
          <w:p>
            <w:pPr>
              <w:spacing w:after="0"/>
              <w:rPr>
                <w:sz w:val="22"/>
                <w:szCs w:val="22"/>
                <w:color w:val="auto"/>
              </w:rPr>
            </w:pPr>
          </w:p>
        </w:tc>
      </w:tr>
      <w:tr>
        <w:trPr>
          <w:trHeight w:val="264"/>
        </w:trPr>
        <w:tc>
          <w:tcPr>
            <w:tcW w:w="418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gridSpan w:val="3"/>
          </w:tcPr>
          <w:p>
            <w:pPr>
              <w:jc w:val="right"/>
              <w:ind w:right="160"/>
              <w:spacing w:after="0"/>
              <w:rPr>
                <w:sz w:val="20"/>
                <w:szCs w:val="20"/>
                <w:color w:val="auto"/>
              </w:rPr>
            </w:pPr>
            <w:r>
              <w:rPr>
                <w:rFonts w:ascii="Arial" w:cs="Arial" w:eastAsia="Arial" w:hAnsi="Arial"/>
                <w:sz w:val="14"/>
                <w:szCs w:val="14"/>
                <w:b w:val="1"/>
                <w:bCs w:val="1"/>
                <w:color w:val="auto"/>
              </w:rPr>
              <w:t>2018</w:t>
            </w:r>
          </w:p>
        </w:tc>
        <w:tc>
          <w:tcPr>
            <w:tcW w:w="7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260" w:type="dxa"/>
            <w:vAlign w:val="bottom"/>
            <w:tcBorders>
              <w:bottom w:val="single" w:sz="8" w:color="auto"/>
            </w:tcBorders>
            <w:gridSpan w:val="3"/>
          </w:tcPr>
          <w:p>
            <w:pPr>
              <w:jc w:val="right"/>
              <w:ind w:right="140"/>
              <w:spacing w:after="0"/>
              <w:rPr>
                <w:sz w:val="20"/>
                <w:szCs w:val="20"/>
                <w:color w:val="auto"/>
              </w:rPr>
            </w:pPr>
            <w:r>
              <w:rPr>
                <w:rFonts w:ascii="Arial" w:cs="Arial" w:eastAsia="Arial" w:hAnsi="Arial"/>
                <w:sz w:val="14"/>
                <w:szCs w:val="14"/>
                <w:b w:val="1"/>
                <w:bCs w:val="1"/>
                <w:color w:val="auto"/>
              </w:rPr>
              <w:t>2017</w:t>
            </w:r>
          </w:p>
        </w:tc>
        <w:tc>
          <w:tcPr>
            <w:tcW w:w="76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60" w:type="dxa"/>
            <w:vAlign w:val="bottom"/>
            <w:tcBorders>
              <w:bottom w:val="single" w:sz="8" w:color="CCEEFF"/>
            </w:tcBorders>
          </w:tcPr>
          <w:p>
            <w:pPr>
              <w:spacing w:after="0"/>
              <w:rPr>
                <w:sz w:val="22"/>
                <w:szCs w:val="22"/>
                <w:color w:val="auto"/>
              </w:rPr>
            </w:pPr>
          </w:p>
        </w:tc>
        <w:tc>
          <w:tcPr>
            <w:tcW w:w="4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gridSpan w:val="3"/>
          </w:tcPr>
          <w:p>
            <w:pPr>
              <w:jc w:val="right"/>
              <w:ind w:right="140"/>
              <w:spacing w:after="0"/>
              <w:rPr>
                <w:sz w:val="20"/>
                <w:szCs w:val="20"/>
                <w:color w:val="auto"/>
              </w:rPr>
            </w:pPr>
            <w:r>
              <w:rPr>
                <w:rFonts w:ascii="Arial" w:cs="Arial" w:eastAsia="Arial" w:hAnsi="Arial"/>
                <w:sz w:val="14"/>
                <w:szCs w:val="14"/>
                <w:b w:val="1"/>
                <w:bCs w:val="1"/>
                <w:color w:val="auto"/>
              </w:rPr>
              <w:t>2016</w:t>
            </w:r>
          </w:p>
        </w:tc>
        <w:tc>
          <w:tcPr>
            <w:tcW w:w="800" w:type="dxa"/>
            <w:vAlign w:val="bottom"/>
            <w:tcBorders>
              <w:bottom w:val="single" w:sz="8" w:color="auto"/>
            </w:tcBorders>
          </w:tcPr>
          <w:p>
            <w:pPr>
              <w:spacing w:after="0"/>
              <w:rPr>
                <w:sz w:val="22"/>
                <w:szCs w:val="22"/>
                <w:color w:val="auto"/>
              </w:rPr>
            </w:pPr>
          </w:p>
        </w:tc>
      </w:tr>
      <w:tr>
        <w:trPr>
          <w:trHeight w:val="250"/>
        </w:trPr>
        <w:tc>
          <w:tcPr>
            <w:tcW w:w="4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Net revenue by geographic region:</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4280" w:type="dxa"/>
            <w:vAlign w:val="bottom"/>
            <w:gridSpan w:val="2"/>
          </w:tcPr>
          <w:p>
            <w:pPr>
              <w:ind w:left="180"/>
              <w:spacing w:after="0"/>
              <w:rPr>
                <w:sz w:val="20"/>
                <w:szCs w:val="20"/>
                <w:color w:val="auto"/>
              </w:rPr>
            </w:pPr>
            <w:r>
              <w:rPr>
                <w:rFonts w:ascii="Arial" w:cs="Arial" w:eastAsia="Arial" w:hAnsi="Arial"/>
                <w:sz w:val="18"/>
                <w:szCs w:val="18"/>
                <w:color w:val="auto"/>
              </w:rPr>
              <w:t>United States</w:t>
            </w:r>
          </w:p>
        </w:tc>
        <w:tc>
          <w:tcPr>
            <w:tcW w:w="340" w:type="dxa"/>
            <w:vAlign w:val="bottom"/>
            <w:gridSpan w:val="2"/>
          </w:tcPr>
          <w:p>
            <w:pPr>
              <w:jc w:val="right"/>
              <w:ind w:right="100"/>
              <w:spacing w:after="0"/>
              <w:rPr>
                <w:sz w:val="20"/>
                <w:szCs w:val="20"/>
                <w:color w:val="auto"/>
              </w:rPr>
            </w:pPr>
            <w:r>
              <w:rPr>
                <w:rFonts w:ascii="Arial" w:cs="Arial" w:eastAsia="Arial" w:hAnsi="Arial"/>
                <w:sz w:val="18"/>
                <w:szCs w:val="18"/>
                <w:b w:val="1"/>
                <w:bCs w:val="1"/>
                <w:color w:val="auto"/>
              </w:rPr>
              <w:t>$</w:t>
            </w:r>
          </w:p>
        </w:tc>
        <w:tc>
          <w:tcPr>
            <w:tcW w:w="10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1,052,313</w:t>
            </w:r>
          </w:p>
        </w:tc>
        <w:tc>
          <w:tcPr>
            <w:tcW w:w="260" w:type="dxa"/>
            <w:vAlign w:val="bottom"/>
          </w:tcPr>
          <w:p>
            <w:pPr>
              <w:spacing w:after="0"/>
              <w:rPr>
                <w:sz w:val="21"/>
                <w:szCs w:val="21"/>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58.7%</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999,128</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56.1%</w:t>
            </w:r>
          </w:p>
        </w:tc>
        <w:tc>
          <w:tcPr>
            <w:tcW w:w="60" w:type="dxa"/>
            <w:vAlign w:val="bottom"/>
          </w:tcPr>
          <w:p>
            <w:pPr>
              <w:spacing w:after="0"/>
              <w:rPr>
                <w:sz w:val="21"/>
                <w:szCs w:val="21"/>
                <w:color w:val="auto"/>
              </w:rPr>
            </w:pPr>
          </w:p>
        </w:tc>
        <w:tc>
          <w:tcPr>
            <w:tcW w:w="2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900" w:type="dxa"/>
            <w:vAlign w:val="bottom"/>
          </w:tcPr>
          <w:p>
            <w:pPr>
              <w:jc w:val="right"/>
              <w:spacing w:after="0"/>
              <w:rPr>
                <w:sz w:val="20"/>
                <w:szCs w:val="20"/>
                <w:color w:val="auto"/>
              </w:rPr>
            </w:pPr>
            <w:r>
              <w:rPr>
                <w:rFonts w:ascii="Arial" w:cs="Arial" w:eastAsia="Arial" w:hAnsi="Arial"/>
                <w:sz w:val="18"/>
                <w:szCs w:val="18"/>
                <w:color w:val="auto"/>
              </w:rPr>
              <w:t>742,963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52.6%</w:t>
            </w:r>
          </w:p>
        </w:tc>
      </w:tr>
      <w:tr>
        <w:trPr>
          <w:trHeight w:val="27"/>
        </w:trPr>
        <w:tc>
          <w:tcPr>
            <w:tcW w:w="42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2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International</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740,579</w:t>
            </w: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41.3%</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780,620</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43.9%</w:t>
            </w: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670,735</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47.4%</w:t>
            </w:r>
          </w:p>
        </w:tc>
      </w:tr>
      <w:tr>
        <w:trPr>
          <w:trHeight w:val="243"/>
        </w:trPr>
        <w:tc>
          <w:tcPr>
            <w:tcW w:w="4280" w:type="dxa"/>
            <w:vAlign w:val="bottom"/>
            <w:gridSpan w:val="2"/>
          </w:tcPr>
          <w:p>
            <w:pPr>
              <w:ind w:left="40"/>
              <w:spacing w:after="0"/>
              <w:rPr>
                <w:sz w:val="20"/>
                <w:szCs w:val="20"/>
                <w:color w:val="auto"/>
              </w:rPr>
            </w:pPr>
            <w:r>
              <w:rPr>
                <w:rFonts w:ascii="Arial" w:cs="Arial" w:eastAsia="Arial" w:hAnsi="Arial"/>
                <w:sz w:val="18"/>
                <w:szCs w:val="18"/>
                <w:b w:val="1"/>
                <w:bCs w:val="1"/>
                <w:color w:val="auto"/>
              </w:rPr>
              <w:t>Net revenue by platform:</w:t>
            </w: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spacing w:after="0"/>
              <w:rPr>
                <w:sz w:val="21"/>
                <w:szCs w:val="21"/>
                <w:color w:val="auto"/>
              </w:rPr>
            </w:pPr>
          </w:p>
        </w:tc>
      </w:tr>
      <w:tr>
        <w:trPr>
          <w:trHeight w:val="27"/>
        </w:trPr>
        <w:tc>
          <w:tcPr>
            <w:tcW w:w="42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2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Console</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1,463,306</w:t>
            </w: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81.6%</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1,440,724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81.0%</w:t>
            </w: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1,167,623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82.6%</w:t>
            </w:r>
          </w:p>
        </w:tc>
      </w:tr>
      <w:tr>
        <w:trPr>
          <w:trHeight w:val="243"/>
        </w:trPr>
        <w:tc>
          <w:tcPr>
            <w:tcW w:w="4280" w:type="dxa"/>
            <w:vAlign w:val="bottom"/>
            <w:gridSpan w:val="2"/>
          </w:tcPr>
          <w:p>
            <w:pPr>
              <w:ind w:left="180"/>
              <w:spacing w:after="0"/>
              <w:rPr>
                <w:sz w:val="20"/>
                <w:szCs w:val="20"/>
                <w:color w:val="auto"/>
              </w:rPr>
            </w:pPr>
            <w:r>
              <w:rPr>
                <w:rFonts w:ascii="Arial" w:cs="Arial" w:eastAsia="Arial" w:hAnsi="Arial"/>
                <w:sz w:val="18"/>
                <w:szCs w:val="18"/>
                <w:color w:val="auto"/>
              </w:rPr>
              <w:t>PC and other</w:t>
            </w: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329,586</w:t>
            </w:r>
          </w:p>
        </w:tc>
        <w:tc>
          <w:tcPr>
            <w:tcW w:w="260" w:type="dxa"/>
            <w:vAlign w:val="bottom"/>
          </w:tcPr>
          <w:p>
            <w:pPr>
              <w:spacing w:after="0"/>
              <w:rPr>
                <w:sz w:val="21"/>
                <w:szCs w:val="21"/>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18.4%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339,024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19.0%</w:t>
            </w: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246,075</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17.4%</w:t>
            </w:r>
          </w:p>
        </w:tc>
      </w:tr>
      <w:tr>
        <w:trPr>
          <w:trHeight w:val="27"/>
        </w:trPr>
        <w:tc>
          <w:tcPr>
            <w:tcW w:w="42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60" w:type="dxa"/>
            <w:vAlign w:val="bottom"/>
          </w:tcPr>
          <w:p>
            <w:pPr>
              <w:spacing w:after="0"/>
              <w:rPr>
                <w:sz w:val="2"/>
                <w:szCs w:val="2"/>
                <w:color w:val="auto"/>
              </w:rPr>
            </w:pPr>
          </w:p>
        </w:tc>
        <w:tc>
          <w:tcPr>
            <w:tcW w:w="60" w:type="dxa"/>
            <w:vAlign w:val="bottom"/>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2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Net revenue by distribution channel:</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r>
      <w:tr>
        <w:trPr>
          <w:trHeight w:val="243"/>
        </w:trPr>
        <w:tc>
          <w:tcPr>
            <w:tcW w:w="4280" w:type="dxa"/>
            <w:vAlign w:val="bottom"/>
            <w:gridSpan w:val="2"/>
          </w:tcPr>
          <w:p>
            <w:pPr>
              <w:ind w:left="180"/>
              <w:spacing w:after="0"/>
              <w:rPr>
                <w:sz w:val="20"/>
                <w:szCs w:val="20"/>
                <w:color w:val="auto"/>
              </w:rPr>
            </w:pPr>
            <w:r>
              <w:rPr>
                <w:rFonts w:ascii="Arial" w:cs="Arial" w:eastAsia="Arial" w:hAnsi="Arial"/>
                <w:sz w:val="18"/>
                <w:szCs w:val="18"/>
                <w:color w:val="auto"/>
              </w:rPr>
              <w:t>Digital online</w:t>
            </w:r>
          </w:p>
        </w:tc>
        <w:tc>
          <w:tcPr>
            <w:tcW w:w="1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20" w:type="dxa"/>
            <w:vAlign w:val="bottom"/>
            <w:gridSpan w:val="2"/>
          </w:tcPr>
          <w:p>
            <w:pPr>
              <w:jc w:val="right"/>
              <w:ind w:right="80"/>
              <w:spacing w:after="0"/>
              <w:rPr>
                <w:sz w:val="20"/>
                <w:szCs w:val="20"/>
                <w:color w:val="auto"/>
              </w:rPr>
            </w:pPr>
            <w:r>
              <w:rPr>
                <w:rFonts w:ascii="Arial" w:cs="Arial" w:eastAsia="Arial" w:hAnsi="Arial"/>
                <w:sz w:val="18"/>
                <w:szCs w:val="18"/>
                <w:b w:val="1"/>
                <w:bCs w:val="1"/>
                <w:color w:val="auto"/>
              </w:rPr>
              <w:t>1,130,946</w:t>
            </w:r>
          </w:p>
        </w:tc>
        <w:tc>
          <w:tcPr>
            <w:tcW w:w="260" w:type="dxa"/>
            <w:vAlign w:val="bottom"/>
          </w:tcPr>
          <w:p>
            <w:pPr>
              <w:spacing w:after="0"/>
              <w:rPr>
                <w:sz w:val="21"/>
                <w:szCs w:val="21"/>
                <w:color w:val="auto"/>
              </w:rPr>
            </w:pPr>
          </w:p>
        </w:tc>
        <w:tc>
          <w:tcPr>
            <w:tcW w:w="880" w:type="dxa"/>
            <w:vAlign w:val="bottom"/>
            <w:gridSpan w:val="2"/>
          </w:tcPr>
          <w:p>
            <w:pPr>
              <w:jc w:val="right"/>
              <w:ind w:right="40"/>
              <w:spacing w:after="0"/>
              <w:rPr>
                <w:sz w:val="20"/>
                <w:szCs w:val="20"/>
                <w:color w:val="auto"/>
              </w:rPr>
            </w:pPr>
            <w:r>
              <w:rPr>
                <w:rFonts w:ascii="Arial" w:cs="Arial" w:eastAsia="Arial" w:hAnsi="Arial"/>
                <w:sz w:val="18"/>
                <w:szCs w:val="18"/>
                <w:b w:val="1"/>
                <w:bCs w:val="1"/>
                <w:color w:val="auto"/>
              </w:rPr>
              <w:t>63.1%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921,734</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51.8%</w:t>
            </w:r>
          </w:p>
        </w:tc>
        <w:tc>
          <w:tcPr>
            <w:tcW w:w="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697,658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49.3%</w:t>
            </w:r>
          </w:p>
        </w:tc>
      </w:tr>
      <w:tr>
        <w:trPr>
          <w:trHeight w:val="27"/>
        </w:trPr>
        <w:tc>
          <w:tcPr>
            <w:tcW w:w="428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2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8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gridSpan w:val="2"/>
          </w:tcPr>
          <w:p>
            <w:pPr>
              <w:spacing w:after="0"/>
              <w:rPr>
                <w:sz w:val="2"/>
                <w:szCs w:val="2"/>
                <w:color w:val="auto"/>
              </w:rPr>
            </w:pPr>
          </w:p>
        </w:tc>
        <w:tc>
          <w:tcPr>
            <w:tcW w:w="60" w:type="dxa"/>
            <w:vAlign w:val="bottom"/>
          </w:tcPr>
          <w:p>
            <w:pPr>
              <w:spacing w:after="0"/>
              <w:rPr>
                <w:sz w:val="2"/>
                <w:szCs w:val="2"/>
                <w:color w:val="auto"/>
              </w:rPr>
            </w:pPr>
          </w:p>
        </w:tc>
        <w:tc>
          <w:tcPr>
            <w:tcW w:w="4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r>
      <w:tr>
        <w:trPr>
          <w:trHeight w:val="250"/>
        </w:trPr>
        <w:tc>
          <w:tcPr>
            <w:tcW w:w="42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Physical retail and other</w:t>
            </w:r>
          </w:p>
        </w:tc>
        <w:tc>
          <w:tcPr>
            <w:tcW w:w="14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b w:val="1"/>
                <w:bCs w:val="1"/>
                <w:color w:val="auto"/>
              </w:rPr>
              <w:t>661,946</w:t>
            </w:r>
          </w:p>
        </w:tc>
        <w:tc>
          <w:tcPr>
            <w:tcW w:w="2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b w:val="1"/>
                <w:bCs w:val="1"/>
                <w:color w:val="auto"/>
              </w:rPr>
              <w:t>36.9%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858,014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48.2%</w:t>
            </w:r>
          </w:p>
        </w:tc>
        <w:tc>
          <w:tcPr>
            <w:tcW w:w="6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716,040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50.7%</w:t>
            </w:r>
          </w:p>
        </w:tc>
      </w:tr>
      <w:tr>
        <w:trPr>
          <w:trHeight w:val="459"/>
        </w:trPr>
        <w:tc>
          <w:tcPr>
            <w:tcW w:w="4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80" w:type="dxa"/>
            <w:vAlign w:val="bottom"/>
            <w:gridSpan w:val="3"/>
          </w:tcPr>
          <w:p>
            <w:pPr>
              <w:jc w:val="right"/>
              <w:ind w:right="100"/>
              <w:spacing w:after="0"/>
              <w:rPr>
                <w:sz w:val="20"/>
                <w:szCs w:val="20"/>
                <w:color w:val="auto"/>
              </w:rPr>
            </w:pPr>
            <w:r>
              <w:rPr>
                <w:rFonts w:ascii="Arial" w:cs="Arial" w:eastAsia="Arial" w:hAnsi="Arial"/>
                <w:sz w:val="18"/>
                <w:szCs w:val="18"/>
                <w:color w:val="auto"/>
              </w:rPr>
              <w:t>28</w:t>
            </w: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tcPr>
          <w:p>
            <w:pPr>
              <w:spacing w:after="0"/>
              <w:rPr>
                <w:sz w:val="24"/>
                <w:szCs w:val="24"/>
                <w:color w:val="auto"/>
              </w:rPr>
            </w:pPr>
          </w:p>
        </w:tc>
      </w:tr>
    </w:tbl>
    <w:p>
      <w:pPr>
        <w:sectPr>
          <w:pgSz w:w="11900" w:h="16838" w:orient="portrait"/>
          <w:cols w:equalWidth="0" w:num="1">
            <w:col w:w="11420"/>
          </w:cols>
          <w:pgMar w:left="240" w:top="715" w:right="2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Fiscal Years ended March 31, 2018 and 2017</w:t>
      </w: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800" w:type="dxa"/>
            <w:vAlign w:val="bottom"/>
            <w:gridSpan w:val="4"/>
            <w:vMerge w:val="restart"/>
          </w:tcPr>
          <w:p>
            <w:pPr>
              <w:ind w:left="40"/>
              <w:spacing w:after="0"/>
              <w:rPr>
                <w:sz w:val="20"/>
                <w:szCs w:val="20"/>
                <w:color w:val="auto"/>
              </w:rPr>
            </w:pPr>
            <w:r>
              <w:rPr>
                <w:rFonts w:ascii="Arial" w:cs="Arial" w:eastAsia="Arial" w:hAnsi="Arial"/>
                <w:sz w:val="14"/>
                <w:szCs w:val="14"/>
                <w:b w:val="1"/>
                <w:bCs w:val="1"/>
                <w:color w:val="auto"/>
              </w:rPr>
              <w:t>(thousands of dollars)</w:t>
            </w:r>
          </w:p>
        </w:tc>
        <w:tc>
          <w:tcPr>
            <w:tcW w:w="260" w:type="dxa"/>
            <w:vAlign w:val="bottom"/>
          </w:tcPr>
          <w:p>
            <w:pPr>
              <w:spacing w:after="0"/>
              <w:rPr>
                <w:sz w:val="14"/>
                <w:szCs w:val="14"/>
                <w:color w:val="auto"/>
              </w:rPr>
            </w:pPr>
          </w:p>
        </w:tc>
        <w:tc>
          <w:tcPr>
            <w:tcW w:w="980" w:type="dxa"/>
            <w:vAlign w:val="bottom"/>
            <w:vMerge w:val="restart"/>
          </w:tcPr>
          <w:p>
            <w:pPr>
              <w:jc w:val="right"/>
              <w:ind w:right="392"/>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4"/>
                <w:szCs w:val="14"/>
                <w:color w:val="auto"/>
              </w:rPr>
            </w:pPr>
          </w:p>
        </w:tc>
        <w:tc>
          <w:tcPr>
            <w:tcW w:w="1180" w:type="dxa"/>
            <w:vAlign w:val="bottom"/>
            <w:gridSpan w:val="2"/>
          </w:tcPr>
          <w:p>
            <w:pPr>
              <w:ind w:left="280"/>
              <w:spacing w:after="0"/>
              <w:rPr>
                <w:sz w:val="20"/>
                <w:szCs w:val="20"/>
                <w:color w:val="auto"/>
              </w:rPr>
            </w:pPr>
            <w:r>
              <w:rPr>
                <w:rFonts w:ascii="Arial" w:cs="Arial" w:eastAsia="Arial" w:hAnsi="Arial"/>
                <w:sz w:val="14"/>
                <w:szCs w:val="14"/>
                <w:b w:val="1"/>
                <w:bCs w:val="1"/>
                <w:color w:val="auto"/>
              </w:rPr>
              <w:t>% of net</w:t>
            </w:r>
          </w:p>
        </w:tc>
        <w:tc>
          <w:tcPr>
            <w:tcW w:w="220" w:type="dxa"/>
            <w:vAlign w:val="bottom"/>
          </w:tcPr>
          <w:p>
            <w:pPr>
              <w:spacing w:after="0"/>
              <w:rPr>
                <w:sz w:val="14"/>
                <w:szCs w:val="14"/>
                <w:color w:val="auto"/>
              </w:rPr>
            </w:pPr>
          </w:p>
        </w:tc>
        <w:tc>
          <w:tcPr>
            <w:tcW w:w="900" w:type="dxa"/>
            <w:vAlign w:val="bottom"/>
            <w:vMerge w:val="restart"/>
          </w:tcPr>
          <w:p>
            <w:pPr>
              <w:jc w:val="right"/>
              <w:ind w:right="312"/>
              <w:spacing w:after="0"/>
              <w:rPr>
                <w:sz w:val="20"/>
                <w:szCs w:val="20"/>
                <w:color w:val="auto"/>
              </w:rPr>
            </w:pPr>
            <w:r>
              <w:rPr>
                <w:rFonts w:ascii="Arial" w:cs="Arial" w:eastAsia="Arial" w:hAnsi="Arial"/>
                <w:sz w:val="14"/>
                <w:szCs w:val="14"/>
                <w:b w:val="1"/>
                <w:bCs w:val="1"/>
                <w:color w:val="auto"/>
              </w:rPr>
              <w:t>2017</w:t>
            </w:r>
          </w:p>
        </w:tc>
        <w:tc>
          <w:tcPr>
            <w:tcW w:w="120" w:type="dxa"/>
            <w:vAlign w:val="bottom"/>
          </w:tcPr>
          <w:p>
            <w:pPr>
              <w:spacing w:after="0"/>
              <w:rPr>
                <w:sz w:val="14"/>
                <w:szCs w:val="14"/>
                <w:color w:val="auto"/>
              </w:rPr>
            </w:pPr>
          </w:p>
        </w:tc>
        <w:tc>
          <w:tcPr>
            <w:tcW w:w="1160" w:type="dxa"/>
            <w:vAlign w:val="bottom"/>
            <w:gridSpan w:val="2"/>
          </w:tcPr>
          <w:p>
            <w:pPr>
              <w:ind w:left="260"/>
              <w:spacing w:after="0"/>
              <w:rPr>
                <w:sz w:val="20"/>
                <w:szCs w:val="20"/>
                <w:color w:val="auto"/>
              </w:rPr>
            </w:pPr>
            <w:r>
              <w:rPr>
                <w:rFonts w:ascii="Arial" w:cs="Arial" w:eastAsia="Arial" w:hAnsi="Arial"/>
                <w:sz w:val="14"/>
                <w:szCs w:val="14"/>
                <w:b w:val="1"/>
                <w:bCs w:val="1"/>
                <w:color w:val="auto"/>
              </w:rPr>
              <w:t>% of net</w:t>
            </w:r>
          </w:p>
        </w:tc>
        <w:tc>
          <w:tcPr>
            <w:tcW w:w="136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w w:val="99"/>
              </w:rPr>
              <w:t>Increase/(decrease)</w:t>
            </w:r>
          </w:p>
        </w:tc>
        <w:tc>
          <w:tcPr>
            <w:tcW w:w="1340" w:type="dxa"/>
            <w:vAlign w:val="bottom"/>
          </w:tcPr>
          <w:p>
            <w:pPr>
              <w:jc w:val="right"/>
              <w:ind w:right="514"/>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58"/>
        </w:trPr>
        <w:tc>
          <w:tcPr>
            <w:tcW w:w="3800" w:type="dxa"/>
            <w:vAlign w:val="bottom"/>
            <w:gridSpan w:val="4"/>
            <w:vMerge w:val="continue"/>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2"/>
          </w:tcPr>
          <w:p>
            <w:pPr>
              <w:ind w:left="300"/>
              <w:spacing w:after="0" w:line="158" w:lineRule="exact"/>
              <w:rPr>
                <w:sz w:val="20"/>
                <w:szCs w:val="20"/>
                <w:color w:val="auto"/>
              </w:rPr>
            </w:pPr>
            <w:r>
              <w:rPr>
                <w:rFonts w:ascii="Arial" w:cs="Arial" w:eastAsia="Arial" w:hAnsi="Arial"/>
                <w:sz w:val="14"/>
                <w:szCs w:val="14"/>
                <w:b w:val="1"/>
                <w:bCs w:val="1"/>
                <w:color w:val="auto"/>
              </w:rPr>
              <w:t>revenue</w:t>
            </w:r>
          </w:p>
        </w:tc>
        <w:tc>
          <w:tcPr>
            <w:tcW w:w="220" w:type="dxa"/>
            <w:vAlign w:val="bottom"/>
          </w:tcPr>
          <w:p>
            <w:pPr>
              <w:spacing w:after="0"/>
              <w:rPr>
                <w:sz w:val="13"/>
                <w:szCs w:val="13"/>
                <w:color w:val="auto"/>
              </w:rPr>
            </w:pPr>
          </w:p>
        </w:tc>
        <w:tc>
          <w:tcPr>
            <w:tcW w:w="90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160" w:type="dxa"/>
            <w:vAlign w:val="bottom"/>
            <w:gridSpan w:val="2"/>
          </w:tcPr>
          <w:p>
            <w:pPr>
              <w:ind w:left="280"/>
              <w:spacing w:after="0" w:line="158" w:lineRule="exact"/>
              <w:rPr>
                <w:sz w:val="20"/>
                <w:szCs w:val="20"/>
                <w:color w:val="auto"/>
              </w:rPr>
            </w:pPr>
            <w:r>
              <w:rPr>
                <w:rFonts w:ascii="Arial" w:cs="Arial" w:eastAsia="Arial" w:hAnsi="Arial"/>
                <w:sz w:val="14"/>
                <w:szCs w:val="14"/>
                <w:b w:val="1"/>
                <w:bCs w:val="1"/>
                <w:color w:val="auto"/>
              </w:rPr>
              <w:t>revenue</w:t>
            </w:r>
          </w:p>
        </w:tc>
        <w:tc>
          <w:tcPr>
            <w:tcW w:w="1360" w:type="dxa"/>
            <w:vAlign w:val="bottom"/>
            <w:gridSpan w:val="3"/>
            <w:vMerge w:val="continue"/>
          </w:tcPr>
          <w:p>
            <w:pPr>
              <w:spacing w:after="0"/>
              <w:rPr>
                <w:sz w:val="13"/>
                <w:szCs w:val="13"/>
                <w:color w:val="auto"/>
              </w:rPr>
            </w:pPr>
          </w:p>
        </w:tc>
        <w:tc>
          <w:tcPr>
            <w:tcW w:w="1340" w:type="dxa"/>
            <w:vAlign w:val="bottom"/>
          </w:tcPr>
          <w:p>
            <w:pPr>
              <w:jc w:val="right"/>
              <w:spacing w:after="0" w:line="158" w:lineRule="exact"/>
              <w:rPr>
                <w:sz w:val="20"/>
                <w:szCs w:val="20"/>
                <w:color w:val="auto"/>
              </w:rPr>
            </w:pPr>
            <w:r>
              <w:rPr>
                <w:rFonts w:ascii="Arial" w:cs="Arial" w:eastAsia="Arial" w:hAnsi="Arial"/>
                <w:sz w:val="14"/>
                <w:szCs w:val="14"/>
                <w:b w:val="1"/>
                <w:bCs w:val="1"/>
                <w:color w:val="auto"/>
                <w:w w:val="94"/>
              </w:rPr>
              <w:t>Increase/(decrease)</w:t>
            </w:r>
          </w:p>
        </w:tc>
        <w:tc>
          <w:tcPr>
            <w:tcW w:w="0" w:type="dxa"/>
            <w:vAlign w:val="bottom"/>
          </w:tcPr>
          <w:p>
            <w:pPr>
              <w:spacing w:after="0"/>
              <w:rPr>
                <w:sz w:val="1"/>
                <w:szCs w:val="1"/>
                <w:color w:val="auto"/>
              </w:rPr>
            </w:pPr>
          </w:p>
        </w:tc>
      </w:tr>
      <w:tr>
        <w:trPr>
          <w:trHeight w:val="21"/>
        </w:trPr>
        <w:tc>
          <w:tcPr>
            <w:tcW w:w="40" w:type="dxa"/>
            <w:vAlign w:val="bottom"/>
            <w:tcBorders>
              <w:bottom w:val="single" w:sz="8" w:color="CCEEFF"/>
            </w:tcBorders>
          </w:tcPr>
          <w:p>
            <w:pPr>
              <w:spacing w:after="0" w:line="20" w:lineRule="exact"/>
              <w:rPr>
                <w:sz w:val="1"/>
                <w:szCs w:val="1"/>
                <w:color w:val="auto"/>
              </w:rPr>
            </w:pPr>
          </w:p>
        </w:tc>
        <w:tc>
          <w:tcPr>
            <w:tcW w:w="1340" w:type="dxa"/>
            <w:vAlign w:val="bottom"/>
            <w:tcBorders>
              <w:top w:val="single" w:sz="8" w:color="auto"/>
              <w:bottom w:val="single" w:sz="8" w:color="CCEEFF"/>
            </w:tcBorders>
          </w:tcPr>
          <w:p>
            <w:pPr>
              <w:spacing w:after="0" w:line="20" w:lineRule="exact"/>
              <w:rPr>
                <w:sz w:val="1"/>
                <w:szCs w:val="1"/>
                <w:color w:val="auto"/>
              </w:rPr>
            </w:pPr>
          </w:p>
        </w:tc>
        <w:tc>
          <w:tcPr>
            <w:tcW w:w="23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380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color w:val="auto"/>
              </w:rPr>
              <w:t>Net revenue</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9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1,792,892</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w w:val="97"/>
              </w:rPr>
              <w:t>1,779,748</w:t>
            </w:r>
          </w:p>
        </w:tc>
        <w:tc>
          <w:tcPr>
            <w:tcW w:w="1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13,144</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0.7 %</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3760" w:type="dxa"/>
            <w:vAlign w:val="bottom"/>
            <w:gridSpan w:val="3"/>
          </w:tcPr>
          <w:p>
            <w:pPr>
              <w:ind w:left="140"/>
              <w:spacing w:after="0"/>
              <w:rPr>
                <w:sz w:val="20"/>
                <w:szCs w:val="20"/>
                <w:color w:val="auto"/>
              </w:rPr>
            </w:pPr>
            <w:r>
              <w:rPr>
                <w:rFonts w:ascii="Arial" w:cs="Arial" w:eastAsia="Arial" w:hAnsi="Arial"/>
                <w:sz w:val="18"/>
                <w:szCs w:val="18"/>
                <w:color w:val="auto"/>
              </w:rPr>
              <w:t>Internal royalties</w:t>
            </w:r>
          </w:p>
        </w:tc>
        <w:tc>
          <w:tcPr>
            <w:tcW w:w="260" w:type="dxa"/>
            <w:vAlign w:val="bottom"/>
          </w:tcPr>
          <w:p>
            <w:pPr>
              <w:spacing w:after="0"/>
              <w:rPr>
                <w:sz w:val="21"/>
                <w:szCs w:val="21"/>
                <w:color w:val="auto"/>
              </w:rPr>
            </w:pPr>
          </w:p>
        </w:tc>
        <w:tc>
          <w:tcPr>
            <w:tcW w:w="980" w:type="dxa"/>
            <w:vAlign w:val="bottom"/>
          </w:tcPr>
          <w:p>
            <w:pPr>
              <w:jc w:val="right"/>
              <w:ind w:right="32"/>
              <w:spacing w:after="0"/>
              <w:rPr>
                <w:sz w:val="20"/>
                <w:szCs w:val="20"/>
                <w:color w:val="auto"/>
              </w:rPr>
            </w:pPr>
            <w:r>
              <w:rPr>
                <w:rFonts w:ascii="Arial" w:cs="Arial" w:eastAsia="Arial" w:hAnsi="Arial"/>
                <w:sz w:val="18"/>
                <w:szCs w:val="18"/>
                <w:b w:val="1"/>
                <w:bCs w:val="1"/>
                <w:color w:val="auto"/>
              </w:rPr>
              <w:t>383,020</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21.4%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330,782</w:t>
            </w:r>
          </w:p>
        </w:tc>
        <w:tc>
          <w:tcPr>
            <w:tcW w:w="1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18.6%</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0"/>
              <w:spacing w:after="0"/>
              <w:rPr>
                <w:sz w:val="20"/>
                <w:szCs w:val="20"/>
                <w:color w:val="auto"/>
              </w:rPr>
            </w:pPr>
            <w:r>
              <w:rPr>
                <w:rFonts w:ascii="Arial" w:cs="Arial" w:eastAsia="Arial" w:hAnsi="Arial"/>
                <w:sz w:val="18"/>
                <w:szCs w:val="18"/>
                <w:color w:val="auto"/>
              </w:rPr>
              <w:t>52,238</w:t>
            </w:r>
          </w:p>
        </w:tc>
        <w:tc>
          <w:tcPr>
            <w:tcW w:w="1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15.8 %</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0" w:type="dxa"/>
            <w:vAlign w:val="bottom"/>
            <w:tcBorders>
              <w:bottom w:val="single" w:sz="8" w:color="CCEEFF"/>
            </w:tcBorders>
            <w:shd w:val="clear" w:color="auto" w:fill="CCEEFF"/>
          </w:tcPr>
          <w:p>
            <w:pPr>
              <w:spacing w:after="0"/>
              <w:rPr>
                <w:sz w:val="21"/>
                <w:szCs w:val="21"/>
                <w:color w:val="auto"/>
              </w:rPr>
            </w:pPr>
          </w:p>
        </w:tc>
        <w:tc>
          <w:tcPr>
            <w:tcW w:w="3760" w:type="dxa"/>
            <w:vAlign w:val="bottom"/>
            <w:tcBorders>
              <w:bottom w:val="single" w:sz="8" w:color="CCEEFF"/>
            </w:tcBorders>
            <w:gridSpan w:val="3"/>
            <w:shd w:val="clear" w:color="auto" w:fill="CCEEFF"/>
          </w:tcPr>
          <w:p>
            <w:pPr>
              <w:ind w:left="140"/>
              <w:spacing w:after="0"/>
              <w:rPr>
                <w:sz w:val="20"/>
                <w:szCs w:val="20"/>
                <w:color w:val="auto"/>
              </w:rPr>
            </w:pPr>
            <w:r>
              <w:rPr>
                <w:rFonts w:ascii="Arial" w:cs="Arial" w:eastAsia="Arial" w:hAnsi="Arial"/>
                <w:sz w:val="18"/>
                <w:szCs w:val="18"/>
                <w:color w:val="auto"/>
              </w:rPr>
              <w:t>Product costs</w:t>
            </w:r>
          </w:p>
        </w:tc>
        <w:tc>
          <w:tcPr>
            <w:tcW w:w="2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203,301</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255,914</w:t>
            </w:r>
          </w:p>
        </w:tc>
        <w:tc>
          <w:tcPr>
            <w:tcW w:w="12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(52,613)</w:t>
            </w:r>
          </w:p>
        </w:tc>
        <w:tc>
          <w:tcPr>
            <w:tcW w:w="10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(20.6)%</w:t>
            </w:r>
          </w:p>
        </w:tc>
        <w:tc>
          <w:tcPr>
            <w:tcW w:w="0" w:type="dxa"/>
            <w:vAlign w:val="bottom"/>
          </w:tcPr>
          <w:p>
            <w:pPr>
              <w:spacing w:after="0"/>
              <w:rPr>
                <w:sz w:val="1"/>
                <w:szCs w:val="1"/>
                <w:color w:val="auto"/>
              </w:rPr>
            </w:pPr>
          </w:p>
        </w:tc>
      </w:tr>
      <w:tr>
        <w:trPr>
          <w:trHeight w:val="243"/>
        </w:trPr>
        <w:tc>
          <w:tcPr>
            <w:tcW w:w="40" w:type="dxa"/>
            <w:vAlign w:val="bottom"/>
          </w:tcPr>
          <w:p>
            <w:pPr>
              <w:spacing w:after="0"/>
              <w:rPr>
                <w:sz w:val="21"/>
                <w:szCs w:val="21"/>
                <w:color w:val="auto"/>
              </w:rPr>
            </w:pPr>
          </w:p>
        </w:tc>
        <w:tc>
          <w:tcPr>
            <w:tcW w:w="3760" w:type="dxa"/>
            <w:vAlign w:val="bottom"/>
            <w:gridSpan w:val="3"/>
          </w:tcPr>
          <w:p>
            <w:pPr>
              <w:ind w:left="140"/>
              <w:spacing w:after="0"/>
              <w:rPr>
                <w:sz w:val="20"/>
                <w:szCs w:val="20"/>
                <w:color w:val="auto"/>
              </w:rPr>
            </w:pPr>
            <w:r>
              <w:rPr>
                <w:rFonts w:ascii="Arial" w:cs="Arial" w:eastAsia="Arial" w:hAnsi="Arial"/>
                <w:sz w:val="18"/>
                <w:szCs w:val="18"/>
                <w:color w:val="auto"/>
              </w:rPr>
              <w:t>Software development costs and royalties(1)</w:t>
            </w:r>
          </w:p>
        </w:tc>
        <w:tc>
          <w:tcPr>
            <w:tcW w:w="260" w:type="dxa"/>
            <w:vAlign w:val="bottom"/>
          </w:tcPr>
          <w:p>
            <w:pPr>
              <w:spacing w:after="0"/>
              <w:rPr>
                <w:sz w:val="21"/>
                <w:szCs w:val="21"/>
                <w:color w:val="auto"/>
              </w:rPr>
            </w:pPr>
          </w:p>
        </w:tc>
        <w:tc>
          <w:tcPr>
            <w:tcW w:w="980" w:type="dxa"/>
            <w:vAlign w:val="bottom"/>
          </w:tcPr>
          <w:p>
            <w:pPr>
              <w:jc w:val="right"/>
              <w:ind w:right="32"/>
              <w:spacing w:after="0"/>
              <w:rPr>
                <w:sz w:val="20"/>
                <w:szCs w:val="20"/>
                <w:color w:val="auto"/>
              </w:rPr>
            </w:pPr>
            <w:r>
              <w:rPr>
                <w:rFonts w:ascii="Arial" w:cs="Arial" w:eastAsia="Arial" w:hAnsi="Arial"/>
                <w:sz w:val="18"/>
                <w:szCs w:val="18"/>
                <w:b w:val="1"/>
                <w:bCs w:val="1"/>
                <w:color w:val="auto"/>
              </w:rPr>
              <w:t>191,400</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10.7%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00" w:type="dxa"/>
            <w:vAlign w:val="bottom"/>
          </w:tcPr>
          <w:p>
            <w:pPr>
              <w:jc w:val="right"/>
              <w:ind w:right="12"/>
              <w:spacing w:after="0"/>
              <w:rPr>
                <w:sz w:val="20"/>
                <w:szCs w:val="20"/>
                <w:color w:val="auto"/>
              </w:rPr>
            </w:pPr>
            <w:r>
              <w:rPr>
                <w:rFonts w:ascii="Arial" w:cs="Arial" w:eastAsia="Arial" w:hAnsi="Arial"/>
                <w:sz w:val="18"/>
                <w:szCs w:val="18"/>
                <w:color w:val="auto"/>
              </w:rPr>
              <w:t>335,675</w:t>
            </w:r>
          </w:p>
        </w:tc>
        <w:tc>
          <w:tcPr>
            <w:tcW w:w="12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18.9%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(144,275)</w:t>
            </w:r>
          </w:p>
        </w:tc>
        <w:tc>
          <w:tcPr>
            <w:tcW w:w="10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(43.0)%</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0" w:type="dxa"/>
            <w:vAlign w:val="bottom"/>
            <w:tcBorders>
              <w:bottom w:val="single" w:sz="8" w:color="CCEEFF"/>
            </w:tcBorders>
            <w:shd w:val="clear" w:color="auto" w:fill="CCEEFF"/>
          </w:tcPr>
          <w:p>
            <w:pPr>
              <w:spacing w:after="0"/>
              <w:rPr>
                <w:sz w:val="23"/>
                <w:szCs w:val="23"/>
                <w:color w:val="auto"/>
              </w:rPr>
            </w:pPr>
          </w:p>
        </w:tc>
        <w:tc>
          <w:tcPr>
            <w:tcW w:w="3760" w:type="dxa"/>
            <w:vAlign w:val="bottom"/>
            <w:tcBorders>
              <w:bottom w:val="single" w:sz="8" w:color="CCEEFF"/>
            </w:tcBorders>
            <w:gridSpan w:val="3"/>
            <w:shd w:val="clear" w:color="auto" w:fill="CCEEFF"/>
          </w:tcPr>
          <w:p>
            <w:pPr>
              <w:ind w:left="140"/>
              <w:spacing w:after="0"/>
              <w:rPr>
                <w:sz w:val="20"/>
                <w:szCs w:val="20"/>
                <w:color w:val="auto"/>
              </w:rPr>
            </w:pPr>
            <w:r>
              <w:rPr>
                <w:rFonts w:ascii="Arial" w:cs="Arial" w:eastAsia="Arial" w:hAnsi="Arial"/>
                <w:sz w:val="18"/>
                <w:szCs w:val="18"/>
                <w:color w:val="auto"/>
              </w:rPr>
              <w:t>Licenses</w:t>
            </w:r>
          </w:p>
        </w:tc>
        <w:tc>
          <w:tcPr>
            <w:tcW w:w="2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120,590</w:t>
            </w:r>
          </w:p>
        </w:tc>
        <w:tc>
          <w:tcPr>
            <w:tcW w:w="1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6.7%</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100,588</w:t>
            </w:r>
          </w:p>
        </w:tc>
        <w:tc>
          <w:tcPr>
            <w:tcW w:w="1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20,002</w:t>
            </w:r>
          </w:p>
        </w:tc>
        <w:tc>
          <w:tcPr>
            <w:tcW w:w="10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19.9 %</w:t>
            </w:r>
          </w:p>
        </w:tc>
        <w:tc>
          <w:tcPr>
            <w:tcW w:w="0" w:type="dxa"/>
            <w:vAlign w:val="bottom"/>
          </w:tcPr>
          <w:p>
            <w:pPr>
              <w:spacing w:after="0"/>
              <w:rPr>
                <w:sz w:val="1"/>
                <w:szCs w:val="1"/>
                <w:color w:val="auto"/>
              </w:rPr>
            </w:pPr>
          </w:p>
        </w:tc>
      </w:tr>
      <w:tr>
        <w:trPr>
          <w:trHeight w:val="237"/>
        </w:trPr>
        <w:tc>
          <w:tcPr>
            <w:tcW w:w="3700" w:type="dxa"/>
            <w:vAlign w:val="bottom"/>
            <w:tcBorders>
              <w:top w:val="single" w:sz="8" w:color="auto"/>
            </w:tcBorders>
            <w:gridSpan w:val="3"/>
          </w:tcPr>
          <w:p>
            <w:pPr>
              <w:ind w:left="40"/>
              <w:spacing w:after="0"/>
              <w:rPr>
                <w:sz w:val="20"/>
                <w:szCs w:val="20"/>
                <w:color w:val="auto"/>
              </w:rPr>
            </w:pPr>
            <w:r>
              <w:rPr>
                <w:rFonts w:ascii="Arial" w:cs="Arial" w:eastAsia="Arial" w:hAnsi="Arial"/>
                <w:sz w:val="18"/>
                <w:szCs w:val="18"/>
                <w:color w:val="auto"/>
              </w:rPr>
              <w:t>Cost of goods sold</w:t>
            </w:r>
          </w:p>
        </w:tc>
        <w:tc>
          <w:tcPr>
            <w:tcW w:w="100" w:type="dxa"/>
            <w:vAlign w:val="bottom"/>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98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b w:val="1"/>
                <w:bCs w:val="1"/>
                <w:color w:val="auto"/>
              </w:rPr>
              <w:t>898,311</w:t>
            </w:r>
          </w:p>
        </w:tc>
        <w:tc>
          <w:tcPr>
            <w:tcW w:w="100" w:type="dxa"/>
            <w:vAlign w:val="bottom"/>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50.1%</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w w:val="97"/>
              </w:rPr>
              <w:t>1,022,959</w:t>
            </w:r>
          </w:p>
        </w:tc>
        <w:tc>
          <w:tcPr>
            <w:tcW w:w="120" w:type="dxa"/>
            <w:vAlign w:val="bottom"/>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57.5%</w:t>
            </w:r>
          </w:p>
        </w:tc>
        <w:tc>
          <w:tcPr>
            <w:tcW w:w="10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9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(124,648)</w:t>
            </w:r>
          </w:p>
        </w:tc>
        <w:tc>
          <w:tcPr>
            <w:tcW w:w="10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(12.2)%</w:t>
            </w:r>
          </w:p>
        </w:tc>
        <w:tc>
          <w:tcPr>
            <w:tcW w:w="0" w:type="dxa"/>
            <w:vAlign w:val="bottom"/>
          </w:tcPr>
          <w:p>
            <w:pPr>
              <w:spacing w:after="0"/>
              <w:rPr>
                <w:sz w:val="1"/>
                <w:szCs w:val="1"/>
                <w:color w:val="auto"/>
              </w:rPr>
            </w:pPr>
          </w:p>
        </w:tc>
      </w:tr>
      <w:tr>
        <w:trPr>
          <w:trHeight w:val="27"/>
        </w:trPr>
        <w:tc>
          <w:tcPr>
            <w:tcW w:w="4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800" w:type="dxa"/>
            <w:vAlign w:val="bottom"/>
            <w:tcBorders>
              <w:bottom w:val="single" w:sz="8" w:color="CCEEFF"/>
            </w:tcBorders>
            <w:gridSpan w:val="4"/>
            <w:shd w:val="clear" w:color="auto" w:fill="CCEEFF"/>
          </w:tcPr>
          <w:p>
            <w:pPr>
              <w:ind w:left="40"/>
              <w:spacing w:after="0"/>
              <w:rPr>
                <w:sz w:val="20"/>
                <w:szCs w:val="20"/>
                <w:color w:val="auto"/>
              </w:rPr>
            </w:pPr>
            <w:r>
              <w:rPr>
                <w:rFonts w:ascii="Arial" w:cs="Arial" w:eastAsia="Arial" w:hAnsi="Arial"/>
                <w:sz w:val="18"/>
                <w:szCs w:val="18"/>
                <w:b w:val="1"/>
                <w:bCs w:val="1"/>
                <w:color w:val="auto"/>
              </w:rPr>
              <w:t>Gross profit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98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b w:val="1"/>
                <w:bCs w:val="1"/>
                <w:color w:val="auto"/>
              </w:rPr>
              <w:t>894,581</w:t>
            </w:r>
          </w:p>
        </w:tc>
        <w:tc>
          <w:tcPr>
            <w:tcW w:w="1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49.9%</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756,789</w:t>
            </w:r>
          </w:p>
        </w:tc>
        <w:tc>
          <w:tcPr>
            <w:tcW w:w="120" w:type="dxa"/>
            <w:vAlign w:val="bottom"/>
            <w:tcBorders>
              <w:bottom w:val="single" w:sz="8" w:color="CCEEFF"/>
            </w:tcBorders>
            <w:shd w:val="clear" w:color="auto" w:fill="CCEEFF"/>
          </w:tcPr>
          <w:p>
            <w:pPr>
              <w:spacing w:after="0"/>
              <w:rPr>
                <w:sz w:val="22"/>
                <w:szCs w:val="22"/>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42.5%</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6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137,792</w:t>
            </w:r>
          </w:p>
        </w:tc>
        <w:tc>
          <w:tcPr>
            <w:tcW w:w="10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18.2 %</w:t>
            </w:r>
          </w:p>
        </w:tc>
        <w:tc>
          <w:tcPr>
            <w:tcW w:w="0" w:type="dxa"/>
            <w:vAlign w:val="bottom"/>
          </w:tcPr>
          <w:p>
            <w:pPr>
              <w:spacing w:after="0"/>
              <w:rPr>
                <w:sz w:val="1"/>
                <w:szCs w:val="1"/>
                <w:color w:val="auto"/>
              </w:rPr>
            </w:pPr>
          </w:p>
        </w:tc>
      </w:tr>
      <w:tr>
        <w:trPr>
          <w:trHeight w:val="20"/>
        </w:trPr>
        <w:tc>
          <w:tcPr>
            <w:tcW w:w="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2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(1) Includes $24,610 and $21,056 of stock-based compensation expense in 2018 and 2017, respectively.</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For the fiscal year ended March 31, 2018, net revenue increased by $13.1 million, as compared to the prior year. This increase was due primarily to an increase of $159.4 million in revenues from our </w:t>
      </w:r>
      <w:r>
        <w:rPr>
          <w:rFonts w:ascii="Arial" w:cs="Arial" w:eastAsia="Arial" w:hAnsi="Arial"/>
          <w:sz w:val="18"/>
          <w:szCs w:val="18"/>
          <w:i w:val="1"/>
          <w:iCs w:val="1"/>
          <w:color w:val="auto"/>
        </w:rPr>
        <w:t>NBA 2K</w:t>
      </w:r>
      <w:r>
        <w:rPr>
          <w:rFonts w:ascii="Arial" w:cs="Arial" w:eastAsia="Arial" w:hAnsi="Arial"/>
          <w:sz w:val="18"/>
          <w:szCs w:val="18"/>
          <w:color w:val="auto"/>
        </w:rPr>
        <w:t xml:space="preserve"> franchise, partially offset by a decrease of $134.9 million in net revenue from </w:t>
      </w:r>
      <w:r>
        <w:rPr>
          <w:rFonts w:ascii="Arial" w:cs="Arial" w:eastAsia="Arial" w:hAnsi="Arial"/>
          <w:sz w:val="18"/>
          <w:szCs w:val="18"/>
          <w:i w:val="1"/>
          <w:iCs w:val="1"/>
          <w:color w:val="auto"/>
        </w:rPr>
        <w:t>Mafia III</w:t>
      </w:r>
      <w:r>
        <w:rPr>
          <w:rFonts w:ascii="Arial" w:cs="Arial" w:eastAsia="Arial" w:hAnsi="Arial"/>
          <w:sz w:val="18"/>
          <w:szCs w:val="18"/>
          <w:color w:val="auto"/>
        </w:rPr>
        <w:t>, which released in October 2016</w:t>
      </w:r>
      <w:r>
        <w:rPr>
          <w:rFonts w:ascii="Arial" w:cs="Arial" w:eastAsia="Arial" w:hAnsi="Arial"/>
          <w:sz w:val="18"/>
          <w:szCs w:val="18"/>
          <w:i w:val="1"/>
          <w:iCs w:val="1"/>
          <w:color w:val="auto"/>
        </w:rPr>
        <w:t>.</w:t>
      </w:r>
      <w:r>
        <w:rPr>
          <w:rFonts w:ascii="Arial" w:cs="Arial" w:eastAsia="Arial" w:hAnsi="Arial"/>
          <w:sz w:val="18"/>
          <w:szCs w:val="18"/>
          <w:color w:val="auto"/>
        </w:rPr>
        <w:t xml:space="preserve"> Net revenue from our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franchise increased $32.0 million as compared to the prior year. This increase was due primarily to an increase of $114.9 million in net revenue from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 partially offset by a decrease of $78.0 million from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w:t>
      </w:r>
      <w:r>
        <w:rPr>
          <w:rFonts w:ascii="Arial" w:cs="Arial" w:eastAsia="Arial" w:hAnsi="Arial"/>
          <w:sz w:val="18"/>
          <w:szCs w:val="18"/>
          <w:i w:val="1"/>
          <w:iCs w:val="1"/>
          <w:color w:val="auto"/>
        </w:rPr>
        <w:t>V.</w:t>
      </w:r>
    </w:p>
    <w:p>
      <w:pPr>
        <w:spacing w:after="0" w:line="18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 xml:space="preserve">Net revenue from console games increased by $22.6 million and accounted for 81.6% of our total net revenue in the fiscal year ended March 31, 2018, as compared to 81.0% in the prior year. The increase in net revenue from console games was due primarily to higher net revenue from our </w:t>
      </w:r>
      <w:r>
        <w:rPr>
          <w:rFonts w:ascii="Arial" w:cs="Arial" w:eastAsia="Arial" w:hAnsi="Arial"/>
          <w:sz w:val="17"/>
          <w:szCs w:val="17"/>
          <w:i w:val="1"/>
          <w:iCs w:val="1"/>
          <w:color w:val="auto"/>
        </w:rPr>
        <w:t>NBA 2K</w:t>
      </w:r>
      <w:r>
        <w:rPr>
          <w:rFonts w:ascii="Arial" w:cs="Arial" w:eastAsia="Arial" w:hAnsi="Arial"/>
          <w:sz w:val="17"/>
          <w:szCs w:val="17"/>
          <w:color w:val="auto"/>
        </w:rPr>
        <w:t xml:space="preserve"> franchise, partially offset by lower net revenues from </w:t>
      </w:r>
      <w:r>
        <w:rPr>
          <w:rFonts w:ascii="Arial" w:cs="Arial" w:eastAsia="Arial" w:hAnsi="Arial"/>
          <w:sz w:val="17"/>
          <w:szCs w:val="17"/>
          <w:i w:val="1"/>
          <w:iCs w:val="1"/>
          <w:color w:val="auto"/>
        </w:rPr>
        <w:t>Mafia III,</w:t>
      </w:r>
      <w:r>
        <w:rPr>
          <w:rFonts w:ascii="Arial" w:cs="Arial" w:eastAsia="Arial" w:hAnsi="Arial"/>
          <w:sz w:val="17"/>
          <w:szCs w:val="17"/>
          <w:color w:val="auto"/>
        </w:rPr>
        <w:t xml:space="preserve"> which released in October 2016. Net revenue from PC and other decreased by $9.4 million as compared to the prior year and decreased as a percentage of net revenue to 18.4% compared to 19.0% in the prior year. The decrease in net revenue from PC and other was due primarily to lower net revenue from </w:t>
      </w:r>
      <w:r>
        <w:rPr>
          <w:rFonts w:ascii="Arial" w:cs="Arial" w:eastAsia="Arial" w:hAnsi="Arial"/>
          <w:sz w:val="17"/>
          <w:szCs w:val="17"/>
          <w:i w:val="1"/>
          <w:iCs w:val="1"/>
          <w:color w:val="auto"/>
        </w:rPr>
        <w:t>Civilization VI</w:t>
      </w:r>
      <w:r>
        <w:rPr>
          <w:rFonts w:ascii="Arial" w:cs="Arial" w:eastAsia="Arial" w:hAnsi="Arial"/>
          <w:sz w:val="17"/>
          <w:szCs w:val="17"/>
          <w:color w:val="auto"/>
        </w:rPr>
        <w:t>, which released on the PC in the prior year, partially offset by higher net revenue from Social Point titles for which we had only two months of net revenue in the prior year as it was acquired in January 2017.</w:t>
      </w:r>
    </w:p>
    <w:p>
      <w:pPr>
        <w:spacing w:after="0" w:line="17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Net revenue from digital online channels increased by $209.2 million and accounted for 63.1% of our total net revenue for the fiscal year ended March 31, 2018, as compared to 51.8% in the prior year. The increase in net revenue from digital online channels was due primarily to higher revenue related to our </w:t>
      </w:r>
      <w:r>
        <w:rPr>
          <w:rFonts w:ascii="Arial" w:cs="Arial" w:eastAsia="Arial" w:hAnsi="Arial"/>
          <w:sz w:val="18"/>
          <w:szCs w:val="18"/>
          <w:i w:val="1"/>
          <w:iCs w:val="1"/>
          <w:color w:val="auto"/>
        </w:rPr>
        <w:t xml:space="preserve">NBA 2K </w:t>
      </w:r>
      <w:r>
        <w:rPr>
          <w:rFonts w:ascii="Arial" w:cs="Arial" w:eastAsia="Arial" w:hAnsi="Arial"/>
          <w:sz w:val="18"/>
          <w:szCs w:val="18"/>
          <w:color w:val="auto"/>
        </w:rPr>
        <w:t>franchise and</w:t>
      </w:r>
      <w:r>
        <w:rPr>
          <w:rFonts w:ascii="Arial" w:cs="Arial" w:eastAsia="Arial" w:hAnsi="Arial"/>
          <w:sz w:val="18"/>
          <w:szCs w:val="18"/>
          <w:i w:val="1"/>
          <w:iCs w:val="1"/>
          <w:color w:val="auto"/>
        </w:rPr>
        <w:t xml:space="preserve"> Grand Theft Auto Online, </w:t>
      </w:r>
      <w:r>
        <w:rPr>
          <w:rFonts w:ascii="Arial" w:cs="Arial" w:eastAsia="Arial" w:hAnsi="Arial"/>
          <w:sz w:val="18"/>
          <w:szCs w:val="18"/>
          <w:color w:val="auto"/>
        </w:rPr>
        <w:t>partially offset by lower net revenue from</w:t>
      </w:r>
      <w:r>
        <w:rPr>
          <w:rFonts w:ascii="Arial" w:cs="Arial" w:eastAsia="Arial" w:hAnsi="Arial"/>
          <w:sz w:val="18"/>
          <w:szCs w:val="18"/>
          <w:i w:val="1"/>
          <w:iCs w:val="1"/>
          <w:color w:val="auto"/>
        </w:rPr>
        <w:t xml:space="preserve"> Civilization VI </w:t>
      </w:r>
      <w:r>
        <w:rPr>
          <w:rFonts w:ascii="Arial" w:cs="Arial" w:eastAsia="Arial" w:hAnsi="Arial"/>
          <w:sz w:val="18"/>
          <w:szCs w:val="18"/>
          <w:color w:val="auto"/>
        </w:rPr>
        <w:t>and</w:t>
      </w:r>
      <w:r>
        <w:rPr>
          <w:rFonts w:ascii="Arial" w:cs="Arial" w:eastAsia="Arial" w:hAnsi="Arial"/>
          <w:sz w:val="18"/>
          <w:szCs w:val="18"/>
          <w:i w:val="1"/>
          <w:iCs w:val="1"/>
          <w:color w:val="auto"/>
        </w:rPr>
        <w:t xml:space="preserve"> Grand Theft Auto V</w:t>
      </w:r>
      <w:r>
        <w:rPr>
          <w:rFonts w:ascii="Arial" w:cs="Arial" w:eastAsia="Arial" w:hAnsi="Arial"/>
          <w:sz w:val="18"/>
          <w:szCs w:val="18"/>
          <w:color w:val="auto"/>
        </w:rPr>
        <w:t>. Net revenue from</w:t>
      </w:r>
      <w:r>
        <w:rPr>
          <w:rFonts w:ascii="Arial" w:cs="Arial" w:eastAsia="Arial" w:hAnsi="Arial"/>
          <w:sz w:val="18"/>
          <w:szCs w:val="18"/>
          <w:i w:val="1"/>
          <w:iCs w:val="1"/>
          <w:color w:val="auto"/>
        </w:rPr>
        <w:t xml:space="preserve"> </w:t>
      </w:r>
      <w:r>
        <w:rPr>
          <w:rFonts w:ascii="Arial" w:cs="Arial" w:eastAsia="Arial" w:hAnsi="Arial"/>
          <w:sz w:val="18"/>
          <w:szCs w:val="18"/>
          <w:color w:val="auto"/>
        </w:rPr>
        <w:t xml:space="preserve">physical retail and other channels decreased by $196.1 million and accounted for 36.9% of our total net revenue for the fiscal year ended March 31, 2018, as compared to 48.2% for the prior year. The decrease in net revenue from physical retail and other channels was due primarily to lower net revenue from </w:t>
      </w:r>
      <w:r>
        <w:rPr>
          <w:rFonts w:ascii="Arial" w:cs="Arial" w:eastAsia="Arial" w:hAnsi="Arial"/>
          <w:sz w:val="18"/>
          <w:szCs w:val="18"/>
          <w:i w:val="1"/>
          <w:iCs w:val="1"/>
          <w:color w:val="auto"/>
        </w:rPr>
        <w:t>Mafia</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III, Grand Theft Auto V, </w:t>
      </w:r>
      <w:r>
        <w:rPr>
          <w:rFonts w:ascii="Arial" w:cs="Arial" w:eastAsia="Arial" w:hAnsi="Arial"/>
          <w:sz w:val="18"/>
          <w:szCs w:val="18"/>
          <w:color w:val="auto"/>
        </w:rPr>
        <w:t>and</w:t>
      </w:r>
      <w:r>
        <w:rPr>
          <w:rFonts w:ascii="Arial" w:cs="Arial" w:eastAsia="Arial" w:hAnsi="Arial"/>
          <w:sz w:val="18"/>
          <w:szCs w:val="18"/>
          <w:i w:val="1"/>
          <w:iCs w:val="1"/>
          <w:color w:val="auto"/>
        </w:rPr>
        <w:t xml:space="preserve"> BioShock: The Collection</w:t>
      </w:r>
      <w:r>
        <w:rPr>
          <w:rFonts w:ascii="Arial" w:cs="Arial" w:eastAsia="Arial" w:hAnsi="Arial"/>
          <w:sz w:val="18"/>
          <w:szCs w:val="18"/>
          <w:color w:val="auto"/>
        </w:rPr>
        <w:t>, which released in September 2016, partially offset by higher net revenue from</w:t>
      </w:r>
      <w:r>
        <w:rPr>
          <w:rFonts w:ascii="Arial" w:cs="Arial" w:eastAsia="Arial" w:hAnsi="Arial"/>
          <w:sz w:val="18"/>
          <w:szCs w:val="18"/>
          <w:i w:val="1"/>
          <w:iCs w:val="1"/>
          <w:color w:val="auto"/>
        </w:rPr>
        <w:t xml:space="preserve"> L.A. Noire </w:t>
      </w:r>
      <w:r>
        <w:rPr>
          <w:rFonts w:ascii="Arial" w:cs="Arial" w:eastAsia="Arial" w:hAnsi="Arial"/>
          <w:sz w:val="18"/>
          <w:szCs w:val="18"/>
          <w:color w:val="auto"/>
        </w:rPr>
        <w:t>due to</w:t>
      </w:r>
      <w:r>
        <w:rPr>
          <w:rFonts w:ascii="Arial" w:cs="Arial" w:eastAsia="Arial" w:hAnsi="Arial"/>
          <w:sz w:val="18"/>
          <w:szCs w:val="18"/>
          <w:i w:val="1"/>
          <w:iCs w:val="1"/>
          <w:color w:val="auto"/>
        </w:rPr>
        <w:t xml:space="preserve"> </w:t>
      </w:r>
      <w:r>
        <w:rPr>
          <w:rFonts w:ascii="Arial" w:cs="Arial" w:eastAsia="Arial" w:hAnsi="Arial"/>
          <w:sz w:val="18"/>
          <w:szCs w:val="18"/>
          <w:color w:val="auto"/>
        </w:rPr>
        <w:t>releases on PS4, Xbox One, Switch, and HTC Vive</w:t>
      </w:r>
      <w:r>
        <w:rPr>
          <w:rFonts w:ascii="Arial" w:cs="Arial" w:eastAsia="Arial" w:hAnsi="Arial"/>
          <w:sz w:val="18"/>
          <w:szCs w:val="18"/>
          <w:i w:val="1"/>
          <w:iCs w:val="1"/>
          <w:color w:val="auto"/>
        </w:rPr>
        <w:t>.</w:t>
      </w:r>
    </w:p>
    <w:p>
      <w:pPr>
        <w:spacing w:after="0" w:line="18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Net revenue from recurrent consumer spending on our titles through virtual currency, add-on content, and microtransactions increased by $287.9 million and accounted for 41.6% of net revenue for the fiscal year ended March 31, 2018, as compared to 25.8% for the prior year. The increase in recurrent consumer spending was due primarily to higher virtual currency net revenue from </w:t>
      </w:r>
      <w:r>
        <w:rPr>
          <w:rFonts w:ascii="Arial" w:cs="Arial" w:eastAsia="Arial" w:hAnsi="Arial"/>
          <w:sz w:val="18"/>
          <w:szCs w:val="18"/>
          <w:i w:val="1"/>
          <w:iCs w:val="1"/>
          <w:color w:val="auto"/>
        </w:rPr>
        <w:t>Grand Theft Auto Online,</w:t>
      </w:r>
      <w:r>
        <w:rPr>
          <w:rFonts w:ascii="Arial" w:cs="Arial" w:eastAsia="Arial" w:hAnsi="Arial"/>
          <w:sz w:val="18"/>
          <w:szCs w:val="18"/>
          <w:color w:val="auto"/>
        </w:rPr>
        <w:t xml:space="preserve"> our </w:t>
      </w:r>
      <w:r>
        <w:rPr>
          <w:rFonts w:ascii="Arial" w:cs="Arial" w:eastAsia="Arial" w:hAnsi="Arial"/>
          <w:sz w:val="18"/>
          <w:szCs w:val="18"/>
          <w:i w:val="1"/>
          <w:iCs w:val="1"/>
          <w:color w:val="auto"/>
        </w:rPr>
        <w:t>NBA 2K</w:t>
      </w:r>
      <w:r>
        <w:rPr>
          <w:rFonts w:ascii="Arial" w:cs="Arial" w:eastAsia="Arial" w:hAnsi="Arial"/>
          <w:sz w:val="18"/>
          <w:szCs w:val="18"/>
          <w:color w:val="auto"/>
        </w:rPr>
        <w:t xml:space="preserve"> franchise, and Social Point titles with only two months of net revenue in the prior year as it was acquired in January 2017.</w:t>
      </w:r>
    </w:p>
    <w:p>
      <w:pPr>
        <w:spacing w:after="0" w:line="10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Gross profit as a percentage of net revenue for the fiscal year ended March 31, 2018 was 49.9%, as compared to 42.5% in the prior year. The percentage increase was due primarily to lower software development costs as a percentage of net revenue due to </w:t>
      </w:r>
      <w:r>
        <w:rPr>
          <w:rFonts w:ascii="Arial" w:cs="Arial" w:eastAsia="Arial" w:hAnsi="Arial"/>
          <w:sz w:val="18"/>
          <w:szCs w:val="18"/>
          <w:i w:val="1"/>
          <w:iCs w:val="1"/>
          <w:color w:val="auto"/>
        </w:rPr>
        <w:t>Mafia III</w:t>
      </w:r>
      <w:r>
        <w:rPr>
          <w:rFonts w:ascii="Arial" w:cs="Arial" w:eastAsia="Arial" w:hAnsi="Arial"/>
          <w:sz w:val="18"/>
          <w:szCs w:val="18"/>
          <w:color w:val="auto"/>
        </w:rPr>
        <w:t xml:space="preserve"> and </w:t>
      </w:r>
      <w:r>
        <w:rPr>
          <w:rFonts w:ascii="Arial" w:cs="Arial" w:eastAsia="Arial" w:hAnsi="Arial"/>
          <w:sz w:val="18"/>
          <w:szCs w:val="18"/>
          <w:i w:val="1"/>
          <w:iCs w:val="1"/>
          <w:color w:val="auto"/>
        </w:rPr>
        <w:t>Civilization VI</w:t>
      </w:r>
      <w:r>
        <w:rPr>
          <w:rFonts w:ascii="Arial" w:cs="Arial" w:eastAsia="Arial" w:hAnsi="Arial"/>
          <w:sz w:val="18"/>
          <w:szCs w:val="18"/>
          <w:color w:val="auto"/>
        </w:rPr>
        <w:t xml:space="preserve"> releasing in the prior year, as well as lower product costs as a percentage of net revenue due to the decrease in net revenue from physical retail sales. The increase was offset by higher internal royalties as a percentage of net revenue due to the timing of when royalties are earned and to a lesser extent higher stock-based compensation costs as a percentage of net revenue.</w:t>
      </w:r>
    </w:p>
    <w:p>
      <w:pPr>
        <w:spacing w:after="0" w:line="24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Net revenue earned outside of the United States decreased by $40.0 million and accounted for 41.3% of our total net revenue in the fiscal year ended March 31, 2018, as compared to 43.9%. The decrease in net revenue was due primarily to a decrease in net revenue from </w:t>
      </w:r>
      <w:r>
        <w:rPr>
          <w:rFonts w:ascii="Arial" w:cs="Arial" w:eastAsia="Arial" w:hAnsi="Arial"/>
          <w:sz w:val="18"/>
          <w:szCs w:val="18"/>
          <w:i w:val="1"/>
          <w:iCs w:val="1"/>
          <w:color w:val="auto"/>
        </w:rPr>
        <w:t>Mafia III,</w:t>
      </w:r>
      <w:r>
        <w:rPr>
          <w:rFonts w:ascii="Arial" w:cs="Arial" w:eastAsia="Arial" w:hAnsi="Arial"/>
          <w:sz w:val="18"/>
          <w:szCs w:val="18"/>
          <w:color w:val="auto"/>
        </w:rPr>
        <w:t xml:space="preserve"> partially offset by higher net revenues from our </w:t>
      </w:r>
      <w:r>
        <w:rPr>
          <w:rFonts w:ascii="Arial" w:cs="Arial" w:eastAsia="Arial" w:hAnsi="Arial"/>
          <w:sz w:val="18"/>
          <w:szCs w:val="18"/>
          <w:i w:val="1"/>
          <w:iCs w:val="1"/>
          <w:color w:val="auto"/>
        </w:rPr>
        <w:t>NBA 2K</w:t>
      </w:r>
      <w:r>
        <w:rPr>
          <w:rFonts w:ascii="Arial" w:cs="Arial" w:eastAsia="Arial" w:hAnsi="Arial"/>
          <w:sz w:val="18"/>
          <w:szCs w:val="18"/>
          <w:color w:val="auto"/>
        </w:rPr>
        <w:t xml:space="preserve"> franchise. Changes in foreign currency exchange rates increased net revenue and gross profit by $9.8 million and $6.7 million, respectively, in the fiscal year ended March 31, 2018 as compared to the prior year.</w:t>
      </w: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715" w:right="2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85"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3880" w:type="dxa"/>
            <w:vAlign w:val="bottom"/>
            <w:gridSpan w:val="4"/>
            <w:vMerge w:val="restart"/>
          </w:tcPr>
          <w:p>
            <w:pPr>
              <w:ind w:left="20"/>
              <w:spacing w:after="0"/>
              <w:rPr>
                <w:sz w:val="20"/>
                <w:szCs w:val="20"/>
                <w:color w:val="auto"/>
              </w:rPr>
            </w:pPr>
            <w:r>
              <w:rPr>
                <w:rFonts w:ascii="Arial" w:cs="Arial" w:eastAsia="Arial" w:hAnsi="Arial"/>
                <w:sz w:val="14"/>
                <w:szCs w:val="14"/>
                <w:b w:val="1"/>
                <w:bCs w:val="1"/>
                <w:color w:val="auto"/>
              </w:rPr>
              <w:t>(thousands of dollars)</w:t>
            </w:r>
          </w:p>
        </w:tc>
        <w:tc>
          <w:tcPr>
            <w:tcW w:w="260" w:type="dxa"/>
            <w:vAlign w:val="bottom"/>
          </w:tcPr>
          <w:p>
            <w:pPr>
              <w:spacing w:after="0"/>
              <w:rPr>
                <w:sz w:val="14"/>
                <w:szCs w:val="14"/>
                <w:color w:val="auto"/>
              </w:rPr>
            </w:pPr>
          </w:p>
        </w:tc>
        <w:tc>
          <w:tcPr>
            <w:tcW w:w="860" w:type="dxa"/>
            <w:vAlign w:val="bottom"/>
            <w:vMerge w:val="restart"/>
          </w:tcPr>
          <w:p>
            <w:pPr>
              <w:jc w:val="right"/>
              <w:ind w:right="333"/>
              <w:spacing w:after="0"/>
              <w:rPr>
                <w:sz w:val="20"/>
                <w:szCs w:val="20"/>
                <w:color w:val="auto"/>
              </w:rPr>
            </w:pPr>
            <w:r>
              <w:rPr>
                <w:rFonts w:ascii="Arial" w:cs="Arial" w:eastAsia="Arial" w:hAnsi="Arial"/>
                <w:sz w:val="14"/>
                <w:szCs w:val="14"/>
                <w:b w:val="1"/>
                <w:bCs w:val="1"/>
                <w:color w:val="auto"/>
              </w:rPr>
              <w:t>2018</w:t>
            </w:r>
          </w:p>
        </w:tc>
        <w:tc>
          <w:tcPr>
            <w:tcW w:w="100" w:type="dxa"/>
            <w:vAlign w:val="bottom"/>
          </w:tcPr>
          <w:p>
            <w:pPr>
              <w:spacing w:after="0"/>
              <w:rPr>
                <w:sz w:val="14"/>
                <w:szCs w:val="14"/>
                <w:color w:val="auto"/>
              </w:rPr>
            </w:pPr>
          </w:p>
        </w:tc>
        <w:tc>
          <w:tcPr>
            <w:tcW w:w="1180" w:type="dxa"/>
            <w:vAlign w:val="bottom"/>
            <w:gridSpan w:val="2"/>
          </w:tcPr>
          <w:p>
            <w:pPr>
              <w:ind w:left="280"/>
              <w:spacing w:after="0"/>
              <w:rPr>
                <w:sz w:val="20"/>
                <w:szCs w:val="20"/>
                <w:color w:val="auto"/>
              </w:rPr>
            </w:pPr>
            <w:r>
              <w:rPr>
                <w:rFonts w:ascii="Arial" w:cs="Arial" w:eastAsia="Arial" w:hAnsi="Arial"/>
                <w:sz w:val="14"/>
                <w:szCs w:val="14"/>
                <w:b w:val="1"/>
                <w:bCs w:val="1"/>
                <w:color w:val="auto"/>
              </w:rPr>
              <w:t>% of net</w:t>
            </w:r>
          </w:p>
        </w:tc>
        <w:tc>
          <w:tcPr>
            <w:tcW w:w="280" w:type="dxa"/>
            <w:vAlign w:val="bottom"/>
          </w:tcPr>
          <w:p>
            <w:pPr>
              <w:spacing w:after="0"/>
              <w:rPr>
                <w:sz w:val="14"/>
                <w:szCs w:val="14"/>
                <w:color w:val="auto"/>
              </w:rPr>
            </w:pPr>
          </w:p>
        </w:tc>
        <w:tc>
          <w:tcPr>
            <w:tcW w:w="840" w:type="dxa"/>
            <w:vAlign w:val="bottom"/>
            <w:vMerge w:val="restart"/>
          </w:tcPr>
          <w:p>
            <w:pPr>
              <w:jc w:val="right"/>
              <w:ind w:right="333"/>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4"/>
                <w:szCs w:val="14"/>
                <w:color w:val="auto"/>
              </w:rPr>
            </w:pPr>
          </w:p>
        </w:tc>
        <w:tc>
          <w:tcPr>
            <w:tcW w:w="1160" w:type="dxa"/>
            <w:vAlign w:val="bottom"/>
            <w:gridSpan w:val="2"/>
          </w:tcPr>
          <w:p>
            <w:pPr>
              <w:ind w:left="260"/>
              <w:spacing w:after="0"/>
              <w:rPr>
                <w:sz w:val="20"/>
                <w:szCs w:val="20"/>
                <w:color w:val="auto"/>
              </w:rPr>
            </w:pPr>
            <w:r>
              <w:rPr>
                <w:rFonts w:ascii="Arial" w:cs="Arial" w:eastAsia="Arial" w:hAnsi="Arial"/>
                <w:sz w:val="14"/>
                <w:szCs w:val="14"/>
                <w:b w:val="1"/>
                <w:bCs w:val="1"/>
                <w:color w:val="auto"/>
              </w:rPr>
              <w:t>% of net</w:t>
            </w:r>
          </w:p>
        </w:tc>
        <w:tc>
          <w:tcPr>
            <w:tcW w:w="136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w w:val="99"/>
              </w:rPr>
              <w:t>Increase/(decrease)</w:t>
            </w:r>
          </w:p>
        </w:tc>
        <w:tc>
          <w:tcPr>
            <w:tcW w:w="1340" w:type="dxa"/>
            <w:vAlign w:val="bottom"/>
          </w:tcPr>
          <w:p>
            <w:pPr>
              <w:jc w:val="right"/>
              <w:ind w:right="514"/>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58"/>
        </w:trPr>
        <w:tc>
          <w:tcPr>
            <w:tcW w:w="3880" w:type="dxa"/>
            <w:vAlign w:val="bottom"/>
            <w:gridSpan w:val="4"/>
            <w:vMerge w:val="continue"/>
          </w:tcPr>
          <w:p>
            <w:pPr>
              <w:spacing w:after="0"/>
              <w:rPr>
                <w:sz w:val="13"/>
                <w:szCs w:val="13"/>
                <w:color w:val="auto"/>
              </w:rPr>
            </w:pPr>
          </w:p>
        </w:tc>
        <w:tc>
          <w:tcPr>
            <w:tcW w:w="260" w:type="dxa"/>
            <w:vAlign w:val="bottom"/>
          </w:tcPr>
          <w:p>
            <w:pPr>
              <w:spacing w:after="0"/>
              <w:rPr>
                <w:sz w:val="13"/>
                <w:szCs w:val="13"/>
                <w:color w:val="auto"/>
              </w:rPr>
            </w:pPr>
          </w:p>
        </w:tc>
        <w:tc>
          <w:tcPr>
            <w:tcW w:w="86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180" w:type="dxa"/>
            <w:vAlign w:val="bottom"/>
            <w:gridSpan w:val="2"/>
          </w:tcPr>
          <w:p>
            <w:pPr>
              <w:ind w:left="300"/>
              <w:spacing w:after="0" w:line="158" w:lineRule="exact"/>
              <w:rPr>
                <w:sz w:val="20"/>
                <w:szCs w:val="20"/>
                <w:color w:val="auto"/>
              </w:rPr>
            </w:pPr>
            <w:r>
              <w:rPr>
                <w:rFonts w:ascii="Arial" w:cs="Arial" w:eastAsia="Arial" w:hAnsi="Arial"/>
                <w:sz w:val="14"/>
                <w:szCs w:val="14"/>
                <w:b w:val="1"/>
                <w:bCs w:val="1"/>
                <w:color w:val="auto"/>
              </w:rPr>
              <w:t>revenue</w:t>
            </w:r>
          </w:p>
        </w:tc>
        <w:tc>
          <w:tcPr>
            <w:tcW w:w="280" w:type="dxa"/>
            <w:vAlign w:val="bottom"/>
          </w:tcPr>
          <w:p>
            <w:pPr>
              <w:spacing w:after="0"/>
              <w:rPr>
                <w:sz w:val="13"/>
                <w:szCs w:val="13"/>
                <w:color w:val="auto"/>
              </w:rPr>
            </w:pPr>
          </w:p>
        </w:tc>
        <w:tc>
          <w:tcPr>
            <w:tcW w:w="8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gridSpan w:val="2"/>
          </w:tcPr>
          <w:p>
            <w:pPr>
              <w:ind w:left="280"/>
              <w:spacing w:after="0" w:line="158" w:lineRule="exact"/>
              <w:rPr>
                <w:sz w:val="20"/>
                <w:szCs w:val="20"/>
                <w:color w:val="auto"/>
              </w:rPr>
            </w:pPr>
            <w:r>
              <w:rPr>
                <w:rFonts w:ascii="Arial" w:cs="Arial" w:eastAsia="Arial" w:hAnsi="Arial"/>
                <w:sz w:val="14"/>
                <w:szCs w:val="14"/>
                <w:b w:val="1"/>
                <w:bCs w:val="1"/>
                <w:color w:val="auto"/>
              </w:rPr>
              <w:t>revenue</w:t>
            </w:r>
          </w:p>
        </w:tc>
        <w:tc>
          <w:tcPr>
            <w:tcW w:w="1360" w:type="dxa"/>
            <w:vAlign w:val="bottom"/>
            <w:gridSpan w:val="3"/>
            <w:vMerge w:val="continue"/>
          </w:tcPr>
          <w:p>
            <w:pPr>
              <w:spacing w:after="0"/>
              <w:rPr>
                <w:sz w:val="13"/>
                <w:szCs w:val="13"/>
                <w:color w:val="auto"/>
              </w:rPr>
            </w:pPr>
          </w:p>
        </w:tc>
        <w:tc>
          <w:tcPr>
            <w:tcW w:w="1340" w:type="dxa"/>
            <w:vAlign w:val="bottom"/>
          </w:tcPr>
          <w:p>
            <w:pPr>
              <w:jc w:val="right"/>
              <w:spacing w:after="0" w:line="158" w:lineRule="exact"/>
              <w:rPr>
                <w:sz w:val="20"/>
                <w:szCs w:val="20"/>
                <w:color w:val="auto"/>
              </w:rPr>
            </w:pPr>
            <w:r>
              <w:rPr>
                <w:rFonts w:ascii="Arial" w:cs="Arial" w:eastAsia="Arial" w:hAnsi="Arial"/>
                <w:sz w:val="14"/>
                <w:szCs w:val="14"/>
                <w:b w:val="1"/>
                <w:bCs w:val="1"/>
                <w:color w:val="auto"/>
                <w:w w:val="94"/>
              </w:rPr>
              <w:t>Increase/(decrease)</w:t>
            </w:r>
          </w:p>
        </w:tc>
        <w:tc>
          <w:tcPr>
            <w:tcW w:w="0" w:type="dxa"/>
            <w:vAlign w:val="bottom"/>
          </w:tcPr>
          <w:p>
            <w:pPr>
              <w:spacing w:after="0"/>
              <w:rPr>
                <w:sz w:val="1"/>
                <w:szCs w:val="1"/>
                <w:color w:val="auto"/>
              </w:rPr>
            </w:pPr>
          </w:p>
        </w:tc>
      </w:tr>
      <w:tr>
        <w:trPr>
          <w:trHeight w:val="21"/>
        </w:trPr>
        <w:tc>
          <w:tcPr>
            <w:tcW w:w="20" w:type="dxa"/>
            <w:vAlign w:val="bottom"/>
            <w:tcBorders>
              <w:bottom w:val="single" w:sz="8" w:color="CCEEFF"/>
            </w:tcBorders>
          </w:tcPr>
          <w:p>
            <w:pPr>
              <w:spacing w:after="0" w:line="20" w:lineRule="exact"/>
              <w:rPr>
                <w:sz w:val="1"/>
                <w:szCs w:val="1"/>
                <w:color w:val="auto"/>
              </w:rPr>
            </w:pPr>
          </w:p>
        </w:tc>
        <w:tc>
          <w:tcPr>
            <w:tcW w:w="1340" w:type="dxa"/>
            <w:vAlign w:val="bottom"/>
            <w:tcBorders>
              <w:top w:val="single" w:sz="8" w:color="auto"/>
              <w:bottom w:val="single" w:sz="8" w:color="CCEEFF"/>
            </w:tcBorders>
          </w:tcPr>
          <w:p>
            <w:pPr>
              <w:spacing w:after="0" w:line="20" w:lineRule="exact"/>
              <w:rPr>
                <w:sz w:val="1"/>
                <w:szCs w:val="1"/>
                <w:color w:val="auto"/>
              </w:rPr>
            </w:pPr>
          </w:p>
        </w:tc>
        <w:tc>
          <w:tcPr>
            <w:tcW w:w="24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44"/>
        </w:trPr>
        <w:tc>
          <w:tcPr>
            <w:tcW w:w="3880" w:type="dxa"/>
            <w:vAlign w:val="bottom"/>
            <w:tcBorders>
              <w:bottom w:val="single" w:sz="8" w:color="CCEEFF"/>
            </w:tcBorders>
            <w:gridSpan w:val="4"/>
            <w:shd w:val="clear" w:color="auto" w:fill="CCEEFF"/>
          </w:tcPr>
          <w:p>
            <w:pPr>
              <w:ind w:left="20"/>
              <w:spacing w:after="0"/>
              <w:rPr>
                <w:sz w:val="20"/>
                <w:szCs w:val="20"/>
                <w:color w:val="auto"/>
              </w:rPr>
            </w:pPr>
            <w:r>
              <w:rPr>
                <w:rFonts w:ascii="Arial" w:cs="Arial" w:eastAsia="Arial" w:hAnsi="Arial"/>
                <w:sz w:val="18"/>
                <w:szCs w:val="18"/>
                <w:color w:val="auto"/>
              </w:rPr>
              <w:t>Selling and marketing</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8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b w:val="1"/>
                <w:bCs w:val="1"/>
                <w:color w:val="auto"/>
              </w:rPr>
              <w:t>256,092</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285,453</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(29,361)</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(10.3)%</w:t>
            </w:r>
          </w:p>
        </w:tc>
        <w:tc>
          <w:tcPr>
            <w:tcW w:w="0" w:type="dxa"/>
            <w:vAlign w:val="bottom"/>
          </w:tcPr>
          <w:p>
            <w:pPr>
              <w:spacing w:after="0"/>
              <w:rPr>
                <w:sz w:val="1"/>
                <w:szCs w:val="1"/>
                <w:color w:val="auto"/>
              </w:rPr>
            </w:pPr>
          </w:p>
        </w:tc>
      </w:tr>
      <w:tr>
        <w:trPr>
          <w:trHeight w:val="243"/>
        </w:trPr>
        <w:tc>
          <w:tcPr>
            <w:tcW w:w="3880" w:type="dxa"/>
            <w:vAlign w:val="bottom"/>
            <w:gridSpan w:val="4"/>
          </w:tcPr>
          <w:p>
            <w:pPr>
              <w:ind w:left="20"/>
              <w:spacing w:after="0"/>
              <w:rPr>
                <w:sz w:val="20"/>
                <w:szCs w:val="20"/>
                <w:color w:val="auto"/>
              </w:rPr>
            </w:pPr>
            <w:r>
              <w:rPr>
                <w:rFonts w:ascii="Arial" w:cs="Arial" w:eastAsia="Arial" w:hAnsi="Arial"/>
                <w:sz w:val="18"/>
                <w:szCs w:val="18"/>
                <w:color w:val="auto"/>
              </w:rPr>
              <w:t>General and administrative</w:t>
            </w:r>
          </w:p>
        </w:tc>
        <w:tc>
          <w:tcPr>
            <w:tcW w:w="260" w:type="dxa"/>
            <w:vAlign w:val="bottom"/>
          </w:tcPr>
          <w:p>
            <w:pPr>
              <w:spacing w:after="0"/>
              <w:rPr>
                <w:sz w:val="21"/>
                <w:szCs w:val="21"/>
                <w:color w:val="auto"/>
              </w:rPr>
            </w:pPr>
          </w:p>
        </w:tc>
        <w:tc>
          <w:tcPr>
            <w:tcW w:w="860" w:type="dxa"/>
            <w:vAlign w:val="bottom"/>
          </w:tcPr>
          <w:p>
            <w:pPr>
              <w:jc w:val="right"/>
              <w:ind w:right="33"/>
              <w:spacing w:after="0"/>
              <w:rPr>
                <w:sz w:val="20"/>
                <w:szCs w:val="20"/>
                <w:color w:val="auto"/>
              </w:rPr>
            </w:pPr>
            <w:r>
              <w:rPr>
                <w:rFonts w:ascii="Arial" w:cs="Arial" w:eastAsia="Arial" w:hAnsi="Arial"/>
                <w:sz w:val="18"/>
                <w:szCs w:val="18"/>
                <w:b w:val="1"/>
                <w:bCs w:val="1"/>
                <w:color w:val="auto"/>
              </w:rPr>
              <w:t>247,828</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13.8%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ind w:right="33"/>
              <w:spacing w:after="0"/>
              <w:rPr>
                <w:sz w:val="20"/>
                <w:szCs w:val="20"/>
                <w:color w:val="auto"/>
              </w:rPr>
            </w:pPr>
            <w:r>
              <w:rPr>
                <w:rFonts w:ascii="Arial" w:cs="Arial" w:eastAsia="Arial" w:hAnsi="Arial"/>
                <w:sz w:val="18"/>
                <w:szCs w:val="18"/>
                <w:color w:val="auto"/>
              </w:rPr>
              <w:t>211,409</w:t>
            </w:r>
          </w:p>
        </w:tc>
        <w:tc>
          <w:tcPr>
            <w:tcW w:w="1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11.9%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36,419</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17.2 %</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880" w:type="dxa"/>
            <w:vAlign w:val="bottom"/>
            <w:tcBorders>
              <w:bottom w:val="single" w:sz="8" w:color="CCEEFF"/>
            </w:tcBorders>
            <w:gridSpan w:val="4"/>
            <w:shd w:val="clear" w:color="auto" w:fill="CCEEFF"/>
          </w:tcPr>
          <w:p>
            <w:pPr>
              <w:ind w:left="20"/>
              <w:spacing w:after="0"/>
              <w:rPr>
                <w:sz w:val="20"/>
                <w:szCs w:val="20"/>
                <w:color w:val="auto"/>
              </w:rPr>
            </w:pPr>
            <w:r>
              <w:rPr>
                <w:rFonts w:ascii="Arial" w:cs="Arial" w:eastAsia="Arial" w:hAnsi="Arial"/>
                <w:sz w:val="18"/>
                <w:szCs w:val="18"/>
                <w:color w:val="auto"/>
              </w:rPr>
              <w:t>Research and development</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b w:val="1"/>
                <w:bCs w:val="1"/>
                <w:color w:val="auto"/>
              </w:rPr>
              <w:t>196,373</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137,915</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58,458</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42.4 %</w:t>
            </w:r>
          </w:p>
        </w:tc>
        <w:tc>
          <w:tcPr>
            <w:tcW w:w="0" w:type="dxa"/>
            <w:vAlign w:val="bottom"/>
          </w:tcPr>
          <w:p>
            <w:pPr>
              <w:spacing w:after="0"/>
              <w:rPr>
                <w:sz w:val="1"/>
                <w:szCs w:val="1"/>
                <w:color w:val="auto"/>
              </w:rPr>
            </w:pPr>
          </w:p>
        </w:tc>
      </w:tr>
      <w:tr>
        <w:trPr>
          <w:trHeight w:val="243"/>
        </w:trPr>
        <w:tc>
          <w:tcPr>
            <w:tcW w:w="3880" w:type="dxa"/>
            <w:vAlign w:val="bottom"/>
            <w:gridSpan w:val="4"/>
          </w:tcPr>
          <w:p>
            <w:pPr>
              <w:ind w:left="20"/>
              <w:spacing w:after="0"/>
              <w:rPr>
                <w:sz w:val="20"/>
                <w:szCs w:val="20"/>
                <w:color w:val="auto"/>
              </w:rPr>
            </w:pPr>
            <w:r>
              <w:rPr>
                <w:rFonts w:ascii="Arial" w:cs="Arial" w:eastAsia="Arial" w:hAnsi="Arial"/>
                <w:sz w:val="18"/>
                <w:szCs w:val="18"/>
                <w:color w:val="auto"/>
              </w:rPr>
              <w:t>Depreciation and amortization</w:t>
            </w:r>
          </w:p>
        </w:tc>
        <w:tc>
          <w:tcPr>
            <w:tcW w:w="260" w:type="dxa"/>
            <w:vAlign w:val="bottom"/>
          </w:tcPr>
          <w:p>
            <w:pPr>
              <w:spacing w:after="0"/>
              <w:rPr>
                <w:sz w:val="21"/>
                <w:szCs w:val="21"/>
                <w:color w:val="auto"/>
              </w:rPr>
            </w:pPr>
          </w:p>
        </w:tc>
        <w:tc>
          <w:tcPr>
            <w:tcW w:w="860" w:type="dxa"/>
            <w:vAlign w:val="bottom"/>
          </w:tcPr>
          <w:p>
            <w:pPr>
              <w:jc w:val="right"/>
              <w:ind w:right="33"/>
              <w:spacing w:after="0"/>
              <w:rPr>
                <w:sz w:val="20"/>
                <w:szCs w:val="20"/>
                <w:color w:val="auto"/>
              </w:rPr>
            </w:pPr>
            <w:r>
              <w:rPr>
                <w:rFonts w:ascii="Arial" w:cs="Arial" w:eastAsia="Arial" w:hAnsi="Arial"/>
                <w:sz w:val="18"/>
                <w:szCs w:val="18"/>
                <w:b w:val="1"/>
                <w:bCs w:val="1"/>
                <w:color w:val="auto"/>
              </w:rPr>
              <w:t>43,969</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2.5%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ind w:right="33"/>
              <w:spacing w:after="0"/>
              <w:rPr>
                <w:sz w:val="20"/>
                <w:szCs w:val="20"/>
                <w:color w:val="auto"/>
              </w:rPr>
            </w:pPr>
            <w:r>
              <w:rPr>
                <w:rFonts w:ascii="Arial" w:cs="Arial" w:eastAsia="Arial" w:hAnsi="Arial"/>
                <w:sz w:val="18"/>
                <w:szCs w:val="18"/>
                <w:color w:val="auto"/>
              </w:rPr>
              <w:t>30,707</w:t>
            </w:r>
          </w:p>
        </w:tc>
        <w:tc>
          <w:tcPr>
            <w:tcW w:w="1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13,262</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43.2 %</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880" w:type="dxa"/>
            <w:vAlign w:val="bottom"/>
            <w:tcBorders>
              <w:bottom w:val="single" w:sz="8" w:color="CCEEFF"/>
            </w:tcBorders>
            <w:gridSpan w:val="4"/>
            <w:shd w:val="clear" w:color="auto" w:fill="CCEEFF"/>
          </w:tcPr>
          <w:p>
            <w:pPr>
              <w:ind w:left="20"/>
              <w:spacing w:after="0"/>
              <w:rPr>
                <w:sz w:val="20"/>
                <w:szCs w:val="20"/>
                <w:color w:val="auto"/>
              </w:rPr>
            </w:pPr>
            <w:r>
              <w:rPr>
                <w:rFonts w:ascii="Arial" w:cs="Arial" w:eastAsia="Arial" w:hAnsi="Arial"/>
                <w:sz w:val="18"/>
                <w:szCs w:val="18"/>
                <w:color w:val="auto"/>
              </w:rPr>
              <w:t>Business reorganization</w:t>
            </w:r>
          </w:p>
        </w:tc>
        <w:tc>
          <w:tcPr>
            <w:tcW w:w="26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b w:val="1"/>
                <w:bCs w:val="1"/>
                <w:color w:val="auto"/>
              </w:rPr>
              <w:t>14,742</w:t>
            </w:r>
          </w:p>
        </w:tc>
        <w:tc>
          <w:tcPr>
            <w:tcW w:w="1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0.8%</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14,742</w:t>
            </w: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c>
          <w:tcPr>
            <w:tcW w:w="0" w:type="dxa"/>
            <w:vAlign w:val="bottom"/>
          </w:tcPr>
          <w:p>
            <w:pPr>
              <w:spacing w:after="0"/>
              <w:rPr>
                <w:sz w:val="1"/>
                <w:szCs w:val="1"/>
                <w:color w:val="auto"/>
              </w:rPr>
            </w:pPr>
          </w:p>
        </w:tc>
      </w:tr>
      <w:tr>
        <w:trPr>
          <w:trHeight w:val="237"/>
        </w:trPr>
        <w:tc>
          <w:tcPr>
            <w:tcW w:w="3780" w:type="dxa"/>
            <w:vAlign w:val="bottom"/>
            <w:tcBorders>
              <w:top w:val="single" w:sz="8" w:color="auto"/>
            </w:tcBorders>
            <w:gridSpan w:val="3"/>
          </w:tcPr>
          <w:p>
            <w:pPr>
              <w:ind w:left="20"/>
              <w:spacing w:after="0"/>
              <w:rPr>
                <w:sz w:val="20"/>
                <w:szCs w:val="20"/>
                <w:color w:val="auto"/>
              </w:rPr>
            </w:pPr>
            <w:r>
              <w:rPr>
                <w:rFonts w:ascii="Arial" w:cs="Arial" w:eastAsia="Arial" w:hAnsi="Arial"/>
                <w:sz w:val="18"/>
                <w:szCs w:val="18"/>
                <w:b w:val="1"/>
                <w:bCs w:val="1"/>
                <w:color w:val="auto"/>
              </w:rPr>
              <w:t>Total operating expenses</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86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b w:val="1"/>
                <w:bCs w:val="1"/>
                <w:color w:val="auto"/>
              </w:rPr>
              <w:t>759,004</w:t>
            </w:r>
          </w:p>
        </w:tc>
        <w:tc>
          <w:tcPr>
            <w:tcW w:w="100" w:type="dxa"/>
            <w:vAlign w:val="bottom"/>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42.3%</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665,484</w:t>
            </w:r>
          </w:p>
        </w:tc>
        <w:tc>
          <w:tcPr>
            <w:tcW w:w="100" w:type="dxa"/>
            <w:vAlign w:val="bottom"/>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37.4%</w:t>
            </w:r>
          </w:p>
        </w:tc>
        <w:tc>
          <w:tcPr>
            <w:tcW w:w="100" w:type="dxa"/>
            <w:vAlign w:val="bottom"/>
          </w:tcPr>
          <w:p>
            <w:pPr>
              <w:spacing w:after="0"/>
              <w:rPr>
                <w:sz w:val="20"/>
                <w:szCs w:val="20"/>
                <w:color w:val="auto"/>
              </w:rPr>
            </w:pPr>
          </w:p>
        </w:tc>
        <w:tc>
          <w:tcPr>
            <w:tcW w:w="36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w:t>
            </w:r>
          </w:p>
        </w:tc>
        <w:tc>
          <w:tcPr>
            <w:tcW w:w="8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93,520</w:t>
            </w:r>
          </w:p>
        </w:tc>
        <w:tc>
          <w:tcPr>
            <w:tcW w:w="12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14.1 %</w:t>
            </w:r>
          </w:p>
        </w:tc>
        <w:tc>
          <w:tcPr>
            <w:tcW w:w="0" w:type="dxa"/>
            <w:vAlign w:val="bottom"/>
          </w:tcPr>
          <w:p>
            <w:pPr>
              <w:spacing w:after="0"/>
              <w:rPr>
                <w:sz w:val="1"/>
                <w:szCs w:val="1"/>
                <w:color w:val="auto"/>
              </w:rPr>
            </w:pPr>
          </w:p>
        </w:tc>
      </w:tr>
      <w:tr>
        <w:trPr>
          <w:trHeight w:val="27"/>
        </w:trPr>
        <w:tc>
          <w:tcPr>
            <w:tcW w:w="2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24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(1) Includes stock-based compensation expense, which was allocated as follows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98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2017</w:t>
            </w:r>
          </w:p>
        </w:tc>
      </w:tr>
      <w:tr>
        <w:trPr>
          <w:trHeight w:val="256"/>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Selling and marketing</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13,258</w:t>
            </w:r>
          </w:p>
        </w:tc>
        <w:tc>
          <w:tcPr>
            <w:tcW w:w="12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9,963</w:t>
            </w:r>
          </w:p>
        </w:tc>
      </w:tr>
      <w:tr>
        <w:trPr>
          <w:trHeight w:val="264"/>
        </w:trPr>
        <w:tc>
          <w:tcPr>
            <w:tcW w:w="2980" w:type="dxa"/>
            <w:vAlign w:val="bottom"/>
          </w:tcPr>
          <w:p>
            <w:pPr>
              <w:ind w:left="180"/>
              <w:spacing w:after="0"/>
              <w:rPr>
                <w:sz w:val="20"/>
                <w:szCs w:val="20"/>
                <w:color w:val="auto"/>
              </w:rPr>
            </w:pPr>
            <w:r>
              <w:rPr>
                <w:rFonts w:ascii="Arial" w:cs="Arial" w:eastAsia="Arial" w:hAnsi="Arial"/>
                <w:sz w:val="14"/>
                <w:szCs w:val="14"/>
                <w:color w:val="auto"/>
              </w:rPr>
              <w:t>General and administrative</w:t>
            </w:r>
          </w:p>
        </w:tc>
        <w:tc>
          <w:tcPr>
            <w:tcW w:w="220" w:type="dxa"/>
            <w:vAlign w:val="bottom"/>
          </w:tcPr>
          <w:p>
            <w:pPr>
              <w:jc w:val="right"/>
              <w:ind w:right="48"/>
              <w:spacing w:after="0"/>
              <w:rPr>
                <w:sz w:val="20"/>
                <w:szCs w:val="20"/>
                <w:color w:val="auto"/>
              </w:rPr>
            </w:pPr>
            <w:r>
              <w:rPr>
                <w:rFonts w:ascii="Arial" w:cs="Arial" w:eastAsia="Arial" w:hAnsi="Arial"/>
                <w:sz w:val="14"/>
                <w:szCs w:val="14"/>
                <w:b w:val="1"/>
                <w:bCs w:val="1"/>
                <w:color w:val="auto"/>
              </w:rPr>
              <w:t>$</w:t>
            </w:r>
          </w:p>
        </w:tc>
        <w:tc>
          <w:tcPr>
            <w:tcW w:w="760" w:type="dxa"/>
            <w:vAlign w:val="bottom"/>
          </w:tcPr>
          <w:p>
            <w:pPr>
              <w:jc w:val="right"/>
              <w:spacing w:after="0"/>
              <w:rPr>
                <w:sz w:val="20"/>
                <w:szCs w:val="20"/>
                <w:color w:val="auto"/>
              </w:rPr>
            </w:pPr>
            <w:r>
              <w:rPr>
                <w:rFonts w:ascii="Arial" w:cs="Arial" w:eastAsia="Arial" w:hAnsi="Arial"/>
                <w:sz w:val="14"/>
                <w:szCs w:val="14"/>
                <w:b w:val="1"/>
                <w:bCs w:val="1"/>
                <w:color w:val="auto"/>
              </w:rPr>
              <w:t>58,037</w:t>
            </w:r>
          </w:p>
        </w:tc>
        <w:tc>
          <w:tcPr>
            <w:tcW w:w="12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tcPr>
          <w:p>
            <w:pPr>
              <w:jc w:val="right"/>
              <w:spacing w:after="0"/>
              <w:rPr>
                <w:sz w:val="20"/>
                <w:szCs w:val="20"/>
                <w:color w:val="auto"/>
              </w:rPr>
            </w:pPr>
            <w:r>
              <w:rPr>
                <w:rFonts w:ascii="Arial" w:cs="Arial" w:eastAsia="Arial" w:hAnsi="Arial"/>
                <w:sz w:val="14"/>
                <w:szCs w:val="14"/>
                <w:color w:val="auto"/>
              </w:rPr>
              <w:t>42,908</w:t>
            </w:r>
          </w:p>
        </w:tc>
      </w:tr>
      <w:tr>
        <w:trPr>
          <w:trHeight w:val="276"/>
        </w:trPr>
        <w:tc>
          <w:tcPr>
            <w:tcW w:w="2980" w:type="dxa"/>
            <w:vAlign w:val="bottom"/>
            <w:shd w:val="clear" w:color="auto" w:fill="CCEEFF"/>
          </w:tcPr>
          <w:p>
            <w:pPr>
              <w:ind w:left="180"/>
              <w:spacing w:after="0"/>
              <w:rPr>
                <w:sz w:val="20"/>
                <w:szCs w:val="20"/>
                <w:color w:val="auto"/>
              </w:rPr>
            </w:pPr>
            <w:r>
              <w:rPr>
                <w:rFonts w:ascii="Arial" w:cs="Arial" w:eastAsia="Arial" w:hAnsi="Arial"/>
                <w:sz w:val="14"/>
                <w:szCs w:val="14"/>
                <w:color w:val="auto"/>
              </w:rPr>
              <w:t>Research and development</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18,020</w:t>
            </w:r>
          </w:p>
        </w:tc>
        <w:tc>
          <w:tcPr>
            <w:tcW w:w="12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7,952</w:t>
            </w:r>
          </w:p>
        </w:tc>
      </w:tr>
      <w:tr>
        <w:trPr>
          <w:trHeight w:val="258"/>
        </w:trPr>
        <w:tc>
          <w:tcPr>
            <w:tcW w:w="2980" w:type="dxa"/>
            <w:vAlign w:val="bottom"/>
          </w:tcPr>
          <w:p>
            <w:pPr>
              <w:ind w:left="180"/>
              <w:spacing w:after="0"/>
              <w:rPr>
                <w:sz w:val="20"/>
                <w:szCs w:val="20"/>
                <w:color w:val="auto"/>
              </w:rPr>
            </w:pPr>
            <w:r>
              <w:rPr>
                <w:rFonts w:ascii="Arial" w:cs="Arial" w:eastAsia="Arial" w:hAnsi="Arial"/>
                <w:sz w:val="14"/>
                <w:szCs w:val="14"/>
                <w:color w:val="auto"/>
              </w:rPr>
              <w:t>Business reorganization</w:t>
            </w:r>
          </w:p>
        </w:tc>
        <w:tc>
          <w:tcPr>
            <w:tcW w:w="220" w:type="dxa"/>
            <w:vAlign w:val="bottom"/>
          </w:tcPr>
          <w:p>
            <w:pPr>
              <w:spacing w:after="0"/>
              <w:rPr>
                <w:sz w:val="22"/>
                <w:szCs w:val="22"/>
                <w:color w:val="auto"/>
              </w:rPr>
            </w:pPr>
          </w:p>
        </w:tc>
        <w:tc>
          <w:tcPr>
            <w:tcW w:w="760" w:type="dxa"/>
            <w:vAlign w:val="bottom"/>
          </w:tcPr>
          <w:p>
            <w:pPr>
              <w:jc w:val="right"/>
              <w:spacing w:after="0"/>
              <w:rPr>
                <w:sz w:val="20"/>
                <w:szCs w:val="20"/>
                <w:color w:val="auto"/>
              </w:rPr>
            </w:pPr>
            <w:r>
              <w:rPr>
                <w:rFonts w:ascii="Arial" w:cs="Arial" w:eastAsia="Arial" w:hAnsi="Arial"/>
                <w:sz w:val="14"/>
                <w:szCs w:val="14"/>
                <w:b w:val="1"/>
                <w:bCs w:val="1"/>
                <w:color w:val="auto"/>
              </w:rPr>
              <w:t>2,424</w:t>
            </w: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740" w:type="dxa"/>
            <w:vAlign w:val="bottom"/>
          </w:tcPr>
          <w:p>
            <w:pPr>
              <w:jc w:val="right"/>
              <w:spacing w:after="0"/>
              <w:rPr>
                <w:sz w:val="20"/>
                <w:szCs w:val="20"/>
                <w:color w:val="auto"/>
              </w:rPr>
            </w:pPr>
            <w:r>
              <w:rPr>
                <w:rFonts w:ascii="Arial" w:cs="Arial" w:eastAsia="Arial" w:hAnsi="Arial"/>
                <w:sz w:val="14"/>
                <w:szCs w:val="14"/>
                <w:color w:val="auto"/>
              </w:rPr>
              <w:t>—</w:t>
            </w:r>
          </w:p>
        </w:tc>
      </w:tr>
    </w:tbl>
    <w:p>
      <w:pPr>
        <w:spacing w:after="0" w:line="133" w:lineRule="exact"/>
        <w:rPr>
          <w:sz w:val="20"/>
          <w:szCs w:val="20"/>
          <w:color w:val="auto"/>
        </w:rPr>
      </w:pPr>
    </w:p>
    <w:p>
      <w:pPr>
        <w:spacing w:after="0"/>
        <w:rPr>
          <w:sz w:val="20"/>
          <w:szCs w:val="20"/>
          <w:color w:val="auto"/>
        </w:rPr>
      </w:pPr>
      <w:r>
        <w:rPr>
          <w:rFonts w:ascii="Arial" w:cs="Arial" w:eastAsia="Arial" w:hAnsi="Arial"/>
          <w:sz w:val="16"/>
          <w:szCs w:val="16"/>
          <w:color w:val="auto"/>
        </w:rPr>
        <w:t>Foreign currency exchange rates increased total operating expenses by $8.4 million in the fiscal year ended March 31, 2018 as compared to the prior year.</w:t>
      </w: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Selling and marketing</w:t>
      </w:r>
    </w:p>
    <w:p>
      <w:pPr>
        <w:spacing w:after="0" w:line="279"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 xml:space="preserve">Selling and marketing expenses decreased by $29.4 million in the fiscal year ended March 31, 2018 as compared to the prior year, due primarily to $44.2 million in lower advertising expenses. Advertising expenses were lower in the current year due primarily to the releases of </w:t>
      </w:r>
      <w:r>
        <w:rPr>
          <w:rFonts w:ascii="Arial" w:cs="Arial" w:eastAsia="Arial" w:hAnsi="Arial"/>
          <w:sz w:val="16"/>
          <w:szCs w:val="16"/>
          <w:i w:val="1"/>
          <w:iCs w:val="1"/>
          <w:color w:val="auto"/>
        </w:rPr>
        <w:t>Mafia III</w:t>
      </w:r>
      <w:r>
        <w:rPr>
          <w:rFonts w:ascii="Arial" w:cs="Arial" w:eastAsia="Arial" w:hAnsi="Arial"/>
          <w:sz w:val="16"/>
          <w:szCs w:val="16"/>
          <w:color w:val="auto"/>
        </w:rPr>
        <w:t xml:space="preserve"> and </w:t>
      </w:r>
      <w:r>
        <w:rPr>
          <w:rFonts w:ascii="Arial" w:cs="Arial" w:eastAsia="Arial" w:hAnsi="Arial"/>
          <w:sz w:val="16"/>
          <w:szCs w:val="16"/>
          <w:i w:val="1"/>
          <w:iCs w:val="1"/>
          <w:color w:val="auto"/>
        </w:rPr>
        <w:t>Civilization VI</w:t>
      </w:r>
      <w:r>
        <w:rPr>
          <w:rFonts w:ascii="Arial" w:cs="Arial" w:eastAsia="Arial" w:hAnsi="Arial"/>
          <w:sz w:val="16"/>
          <w:szCs w:val="16"/>
          <w:color w:val="auto"/>
        </w:rPr>
        <w:t xml:space="preserve"> in October 2016 and </w:t>
      </w:r>
      <w:r>
        <w:rPr>
          <w:rFonts w:ascii="Arial" w:cs="Arial" w:eastAsia="Arial" w:hAnsi="Arial"/>
          <w:sz w:val="16"/>
          <w:szCs w:val="16"/>
          <w:i w:val="1"/>
          <w:iCs w:val="1"/>
          <w:color w:val="auto"/>
        </w:rPr>
        <w:t>Battleborn</w:t>
      </w:r>
      <w:r>
        <w:rPr>
          <w:rFonts w:ascii="Arial" w:cs="Arial" w:eastAsia="Arial" w:hAnsi="Arial"/>
          <w:sz w:val="16"/>
          <w:szCs w:val="16"/>
          <w:color w:val="auto"/>
        </w:rPr>
        <w:t xml:space="preserve"> in May 2016, partially offset by higher marketing in the current year period for </w:t>
      </w:r>
      <w:r>
        <w:rPr>
          <w:rFonts w:ascii="Arial" w:cs="Arial" w:eastAsia="Arial" w:hAnsi="Arial"/>
          <w:sz w:val="16"/>
          <w:szCs w:val="16"/>
          <w:i w:val="1"/>
          <w:iCs w:val="1"/>
          <w:color w:val="auto"/>
        </w:rPr>
        <w:t>Grand Theft Auto Online</w:t>
      </w:r>
      <w:r>
        <w:rPr>
          <w:rFonts w:ascii="Arial" w:cs="Arial" w:eastAsia="Arial" w:hAnsi="Arial"/>
          <w:sz w:val="16"/>
          <w:szCs w:val="16"/>
          <w:color w:val="auto"/>
        </w:rPr>
        <w:t xml:space="preserve"> and </w:t>
      </w:r>
      <w:r>
        <w:rPr>
          <w:rFonts w:ascii="Arial" w:cs="Arial" w:eastAsia="Arial" w:hAnsi="Arial"/>
          <w:sz w:val="16"/>
          <w:szCs w:val="16"/>
          <w:i w:val="1"/>
          <w:iCs w:val="1"/>
          <w:color w:val="auto"/>
        </w:rPr>
        <w:t>Red Dead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Redemption 2. </w:t>
      </w:r>
      <w:r>
        <w:rPr>
          <w:rFonts w:ascii="Arial" w:cs="Arial" w:eastAsia="Arial" w:hAnsi="Arial"/>
          <w:sz w:val="16"/>
          <w:szCs w:val="16"/>
          <w:color w:val="auto"/>
        </w:rPr>
        <w:t>The decrease was partially offset by higher personnel expenses, primarily due to higher incentive compensation expense.</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General and administrative</w:t>
      </w:r>
    </w:p>
    <w:p>
      <w:pPr>
        <w:spacing w:after="0" w:line="279"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General and administrative expenses increased by $36.4 million for the fiscal year ended March 31, 2018, as compared to the prior year, due primarily to (i) increases in personnel expenses, including stock and incentive compensation expense, due to additional headcount, including our acquisition of Social Point,</w:t>
      </w:r>
    </w:p>
    <w:p>
      <w:pPr>
        <w:jc w:val="both"/>
        <w:ind w:firstLine="8"/>
        <w:spacing w:after="0" w:line="252" w:lineRule="auto"/>
        <w:tabs>
          <w:tab w:leader="none" w:pos="29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increases in professional fees, related primarily to our management agreement with ZelnickMedia as a result of the increase in our share price, (iii) increases in IT related expenses from the purchase of computer hardware and software, and (iv) increases in rent expense due to new locations, including our new corporate headquarters in New York and for Social Point, as well as increased rent in other locations. This overall increase was partially offset primarily by a $6.5 million reduction of expense related to reversing a contingent consideration liability recognized in connection with the Social Point acquisition as we determined that the fair value of this contingent consideration was $0 based on the lower probability of Social Point achieving certain performance measures in the 24-month period following the acquisition.</w:t>
      </w:r>
    </w:p>
    <w:p>
      <w:pPr>
        <w:spacing w:after="0" w:line="248"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General and administrative expenses for the fiscal years ended March 31, 2018 and 2017 include occupancy expense (primarily rent, utilities and office expenses) of $18.2 million and $15.8 million, respectively, related to our development studios.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Research and development</w:t>
      </w:r>
    </w:p>
    <w:p>
      <w:pPr>
        <w:spacing w:after="0" w:line="279"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Research and development expenses increased by $58.5 million for the fiscal year ended March 31, 2018, as compared to the prior year, due primarily to increased personnel expense due to (i) increased headcount, including our acquisition of Social Point, and (ii) higher stock-based compensation. These increases were partially offset by lower production expenses for titles that have not reached technological feasibility.</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Depreciation and amortization</w:t>
      </w:r>
    </w:p>
    <w:p>
      <w:pPr>
        <w:spacing w:after="0" w:line="27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Depreciation and amortization expenses increased by $13.3 million for the fiscal year ended March 31, 2018, as compared to the prior year, due primarily to the recognition of a $11.3 million impairment charge as a result of our decision not to proceed with further development of a certain in-process research and development ("IPR&amp;D") intangible asset from our acquisition of Social Point.</w:t>
      </w:r>
    </w:p>
    <w:p>
      <w:pPr>
        <w:sectPr>
          <w:pgSz w:w="11900" w:h="16838" w:orient="portrait"/>
          <w:cols w:equalWidth="0" w:num="1">
            <w:col w:w="11420"/>
          </w:cols>
          <w:pgMar w:left="240" w:top="719" w:right="239" w:bottom="1440" w:gutter="0" w:footer="0" w:header="0"/>
        </w:sect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30</w:t>
      </w:r>
    </w:p>
    <w:p>
      <w:pPr>
        <w:sectPr>
          <w:pgSz w:w="11900" w:h="16838" w:orient="portrait"/>
          <w:cols w:equalWidth="0" w:num="1">
            <w:col w:w="11420"/>
          </w:cols>
          <w:pgMar w:left="240" w:top="719" w:right="239" w:bottom="1440" w:gutter="0" w:footer="0" w:header="0"/>
          <w:type w:val="continuous"/>
        </w:sectPr>
      </w:pPr>
    </w:p>
    <w:bookmarkStart w:id="32" w:name="page33"/>
    <w:bookmarkEnd w:id="32"/>
    <w:p>
      <w:pPr>
        <w:spacing w:after="0"/>
        <w:rPr>
          <w:sz w:val="20"/>
          <w:szCs w:val="20"/>
          <w:color w:val="auto"/>
        </w:rPr>
      </w:pPr>
      <w:r>
        <w:rPr>
          <w:rFonts w:ascii="Arial" w:cs="Arial" w:eastAsia="Arial" w:hAnsi="Arial"/>
          <w:sz w:val="18"/>
          <w:szCs w:val="18"/>
          <w:u w:val="single" w:color="auto"/>
          <w:color w:val="auto"/>
        </w:rPr>
        <w:t>Business Reorganization</w:t>
      </w:r>
    </w:p>
    <w:p>
      <w:pPr>
        <w:spacing w:after="0" w:line="27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During the fiscal year ended March 31, 2018, we announced and initiated actions to implement a strategic reorganization at one of our labels. In connection with this initiative we incurred business reorganization expenses of $14.7 million for the fiscal year ended March 31, 2018, due primarily to employee separation costs with no corresponding costs in the prior year. Although we may record additional expense or benefit in future periods to true-up estimates, we do not expect to incur additional reorganization costs in connection with this reorganization. See Note 20 - Business Reorganization.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and other, net</w:t>
      </w:r>
    </w:p>
    <w:p>
      <w:pPr>
        <w:spacing w:after="0" w:line="200" w:lineRule="exact"/>
        <w:rPr>
          <w:sz w:val="20"/>
          <w:szCs w:val="20"/>
          <w:color w:val="auto"/>
        </w:rPr>
      </w:pPr>
    </w:p>
    <w:p>
      <w:pPr>
        <w:spacing w:after="0" w:line="220"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3700" w:type="dxa"/>
            <w:vAlign w:val="bottom"/>
            <w:vMerge w:val="restart"/>
            <w:shd w:val="clear" w:color="auto" w:fill="CCEEFF"/>
          </w:tcPr>
          <w:p>
            <w:pPr>
              <w:ind w:left="20"/>
              <w:spacing w:after="0"/>
              <w:rPr>
                <w:sz w:val="20"/>
                <w:szCs w:val="20"/>
                <w:color w:val="auto"/>
              </w:rPr>
            </w:pPr>
            <w:r>
              <w:rPr>
                <w:rFonts w:ascii="Arial" w:cs="Arial" w:eastAsia="Arial" w:hAnsi="Arial"/>
                <w:sz w:val="14"/>
                <w:szCs w:val="14"/>
                <w:b w:val="1"/>
                <w:bCs w:val="1"/>
                <w:color w:val="auto"/>
              </w:rPr>
              <w:t>(thousands of dollars)</w:t>
            </w:r>
          </w:p>
        </w:tc>
        <w:tc>
          <w:tcPr>
            <w:tcW w:w="120" w:type="dxa"/>
            <w:vAlign w:val="bottom"/>
            <w:vMerge w:val="restart"/>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840" w:type="dxa"/>
            <w:vAlign w:val="bottom"/>
            <w:vMerge w:val="restart"/>
            <w:shd w:val="clear" w:color="auto" w:fill="CCEEFF"/>
          </w:tcPr>
          <w:p>
            <w:pPr>
              <w:jc w:val="right"/>
              <w:ind w:right="334"/>
              <w:spacing w:after="0"/>
              <w:rPr>
                <w:sz w:val="20"/>
                <w:szCs w:val="20"/>
                <w:color w:val="auto"/>
              </w:rPr>
            </w:pPr>
            <w:r>
              <w:rPr>
                <w:rFonts w:ascii="Arial" w:cs="Arial" w:eastAsia="Arial" w:hAnsi="Arial"/>
                <w:sz w:val="14"/>
                <w:szCs w:val="14"/>
                <w:b w:val="1"/>
                <w:bCs w:val="1"/>
                <w:color w:val="auto"/>
              </w:rPr>
              <w:t>2018</w:t>
            </w:r>
          </w:p>
        </w:tc>
        <w:tc>
          <w:tcPr>
            <w:tcW w:w="100" w:type="dxa"/>
            <w:vAlign w:val="bottom"/>
            <w:shd w:val="clear" w:color="auto" w:fill="CCEEFF"/>
          </w:tcPr>
          <w:p>
            <w:pPr>
              <w:spacing w:after="0"/>
              <w:rPr>
                <w:sz w:val="14"/>
                <w:szCs w:val="14"/>
                <w:color w:val="auto"/>
              </w:rPr>
            </w:pPr>
          </w:p>
        </w:tc>
        <w:tc>
          <w:tcPr>
            <w:tcW w:w="1120" w:type="dxa"/>
            <w:vAlign w:val="bottom"/>
            <w:vMerge w:val="restart"/>
            <w:shd w:val="clear" w:color="auto" w:fill="CCEEFF"/>
          </w:tcPr>
          <w:p>
            <w:pPr>
              <w:jc w:val="right"/>
              <w:spacing w:after="0"/>
              <w:rPr>
                <w:sz w:val="20"/>
                <w:szCs w:val="20"/>
                <w:color w:val="auto"/>
              </w:rPr>
            </w:pPr>
            <w:r>
              <w:rPr>
                <w:rFonts w:ascii="Arial" w:cs="Arial" w:eastAsia="Arial" w:hAnsi="Arial"/>
                <w:sz w:val="14"/>
                <w:szCs w:val="14"/>
                <w:b w:val="1"/>
                <w:bCs w:val="1"/>
                <w:color w:val="auto"/>
                <w:w w:val="94"/>
              </w:rPr>
              <w:t>% of net revenue</w:t>
            </w:r>
          </w:p>
        </w:tc>
        <w:tc>
          <w:tcPr>
            <w:tcW w:w="100" w:type="dxa"/>
            <w:vAlign w:val="bottom"/>
            <w:vMerge w:val="restart"/>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840" w:type="dxa"/>
            <w:vAlign w:val="bottom"/>
            <w:vMerge w:val="restart"/>
            <w:shd w:val="clear" w:color="auto" w:fill="CCEEFF"/>
          </w:tcPr>
          <w:p>
            <w:pPr>
              <w:jc w:val="right"/>
              <w:ind w:right="334"/>
              <w:spacing w:after="0"/>
              <w:rPr>
                <w:sz w:val="20"/>
                <w:szCs w:val="20"/>
                <w:color w:val="auto"/>
              </w:rPr>
            </w:pPr>
            <w:r>
              <w:rPr>
                <w:rFonts w:ascii="Arial" w:cs="Arial" w:eastAsia="Arial" w:hAnsi="Arial"/>
                <w:sz w:val="14"/>
                <w:szCs w:val="14"/>
                <w:b w:val="1"/>
                <w:bCs w:val="1"/>
                <w:color w:val="auto"/>
              </w:rPr>
              <w:t>2017</w:t>
            </w:r>
          </w:p>
        </w:tc>
        <w:tc>
          <w:tcPr>
            <w:tcW w:w="100" w:type="dxa"/>
            <w:vAlign w:val="bottom"/>
            <w:shd w:val="clear" w:color="auto" w:fill="CCEEFF"/>
          </w:tcPr>
          <w:p>
            <w:pPr>
              <w:spacing w:after="0"/>
              <w:rPr>
                <w:sz w:val="14"/>
                <w:szCs w:val="14"/>
                <w:color w:val="auto"/>
              </w:rPr>
            </w:pPr>
          </w:p>
        </w:tc>
        <w:tc>
          <w:tcPr>
            <w:tcW w:w="1200" w:type="dxa"/>
            <w:vAlign w:val="bottom"/>
            <w:gridSpan w:val="2"/>
            <w:shd w:val="clear" w:color="auto" w:fill="CCEEFF"/>
          </w:tcPr>
          <w:p>
            <w:pPr>
              <w:ind w:left="280"/>
              <w:spacing w:after="0"/>
              <w:rPr>
                <w:sz w:val="20"/>
                <w:szCs w:val="20"/>
                <w:color w:val="auto"/>
              </w:rPr>
            </w:pPr>
            <w:r>
              <w:rPr>
                <w:rFonts w:ascii="Arial" w:cs="Arial" w:eastAsia="Arial" w:hAnsi="Arial"/>
                <w:sz w:val="14"/>
                <w:szCs w:val="14"/>
                <w:b w:val="1"/>
                <w:bCs w:val="1"/>
                <w:color w:val="auto"/>
              </w:rPr>
              <w:t>% of net</w:t>
            </w:r>
          </w:p>
        </w:tc>
        <w:tc>
          <w:tcPr>
            <w:tcW w:w="1240" w:type="dxa"/>
            <w:vAlign w:val="bottom"/>
            <w:gridSpan w:val="2"/>
            <w:vMerge w:val="restart"/>
            <w:shd w:val="clear" w:color="auto" w:fill="CCEEFF"/>
          </w:tcPr>
          <w:p>
            <w:pPr>
              <w:ind w:left="40"/>
              <w:spacing w:after="0"/>
              <w:rPr>
                <w:sz w:val="20"/>
                <w:szCs w:val="20"/>
                <w:color w:val="auto"/>
              </w:rPr>
            </w:pPr>
            <w:r>
              <w:rPr>
                <w:rFonts w:ascii="Arial" w:cs="Arial" w:eastAsia="Arial" w:hAnsi="Arial"/>
                <w:sz w:val="14"/>
                <w:szCs w:val="14"/>
                <w:b w:val="1"/>
                <w:bCs w:val="1"/>
                <w:color w:val="auto"/>
                <w:w w:val="90"/>
              </w:rPr>
              <w:t>Increase/(decrease)</w:t>
            </w:r>
          </w:p>
        </w:tc>
        <w:tc>
          <w:tcPr>
            <w:tcW w:w="120" w:type="dxa"/>
            <w:vAlign w:val="bottom"/>
            <w:vMerge w:val="restart"/>
            <w:shd w:val="clear" w:color="auto" w:fill="CCEEFF"/>
          </w:tcPr>
          <w:p>
            <w:pPr>
              <w:spacing w:after="0"/>
              <w:rPr>
                <w:sz w:val="14"/>
                <w:szCs w:val="14"/>
                <w:color w:val="auto"/>
              </w:rPr>
            </w:pPr>
          </w:p>
        </w:tc>
        <w:tc>
          <w:tcPr>
            <w:tcW w:w="1340" w:type="dxa"/>
            <w:vAlign w:val="bottom"/>
            <w:shd w:val="clear" w:color="auto" w:fill="CCEEFF"/>
          </w:tcPr>
          <w:p>
            <w:pPr>
              <w:jc w:val="right"/>
              <w:ind w:right="516"/>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370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vMerge w:val="continue"/>
            <w:shd w:val="clear" w:color="auto" w:fill="CCEEFF"/>
          </w:tcPr>
          <w:p>
            <w:pPr>
              <w:spacing w:after="0"/>
              <w:rPr>
                <w:sz w:val="16"/>
                <w:szCs w:val="16"/>
                <w:color w:val="auto"/>
              </w:rPr>
            </w:pPr>
          </w:p>
        </w:tc>
        <w:tc>
          <w:tcPr>
            <w:tcW w:w="26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2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vMerge w:val="continue"/>
            <w:shd w:val="clear" w:color="auto" w:fill="CCEEFF"/>
          </w:tcPr>
          <w:p>
            <w:pPr>
              <w:spacing w:after="0"/>
              <w:rPr>
                <w:sz w:val="16"/>
                <w:szCs w:val="16"/>
                <w:color w:val="auto"/>
              </w:rPr>
            </w:pPr>
          </w:p>
        </w:tc>
        <w:tc>
          <w:tcPr>
            <w:tcW w:w="280" w:type="dxa"/>
            <w:vAlign w:val="bottom"/>
            <w:tcBorders>
              <w:bottom w:val="single" w:sz="8" w:color="auto"/>
            </w:tcBorders>
            <w:shd w:val="clear" w:color="auto" w:fill="CCEEFF"/>
          </w:tcPr>
          <w:p>
            <w:pPr>
              <w:spacing w:after="0"/>
              <w:rPr>
                <w:sz w:val="16"/>
                <w:szCs w:val="16"/>
                <w:color w:val="auto"/>
              </w:rPr>
            </w:pPr>
          </w:p>
        </w:tc>
        <w:tc>
          <w:tcPr>
            <w:tcW w:w="84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100" w:type="dxa"/>
            <w:vAlign w:val="bottom"/>
            <w:tcBorders>
              <w:bottom w:val="single" w:sz="8" w:color="auto"/>
            </w:tcBorders>
            <w:shd w:val="clear" w:color="auto" w:fill="CCEEFF"/>
          </w:tcPr>
          <w:p>
            <w:pPr>
              <w:jc w:val="right"/>
              <w:ind w:right="216"/>
              <w:spacing w:after="0"/>
              <w:rPr>
                <w:sz w:val="20"/>
                <w:szCs w:val="20"/>
                <w:color w:val="auto"/>
              </w:rPr>
            </w:pPr>
            <w:r>
              <w:rPr>
                <w:rFonts w:ascii="Arial" w:cs="Arial" w:eastAsia="Arial" w:hAnsi="Arial"/>
                <w:sz w:val="14"/>
                <w:szCs w:val="14"/>
                <w:b w:val="1"/>
                <w:bCs w:val="1"/>
                <w:color w:val="auto"/>
              </w:rPr>
              <w:t>revenue</w:t>
            </w:r>
          </w:p>
        </w:tc>
        <w:tc>
          <w:tcPr>
            <w:tcW w:w="100" w:type="dxa"/>
            <w:vAlign w:val="bottom"/>
            <w:shd w:val="clear" w:color="auto" w:fill="CCEEFF"/>
          </w:tcPr>
          <w:p>
            <w:pPr>
              <w:spacing w:after="0"/>
              <w:rPr>
                <w:sz w:val="16"/>
                <w:szCs w:val="16"/>
                <w:color w:val="auto"/>
              </w:rPr>
            </w:pPr>
          </w:p>
        </w:tc>
        <w:tc>
          <w:tcPr>
            <w:tcW w:w="1240" w:type="dxa"/>
            <w:vAlign w:val="bottom"/>
            <w:tcBorders>
              <w:bottom w:val="single" w:sz="8" w:color="auto"/>
            </w:tcBorders>
            <w:gridSpan w:val="2"/>
            <w:vMerge w:val="continue"/>
            <w:shd w:val="clear" w:color="auto" w:fill="CCEEFF"/>
          </w:tcPr>
          <w:p>
            <w:pPr>
              <w:spacing w:after="0"/>
              <w:rPr>
                <w:sz w:val="16"/>
                <w:szCs w:val="16"/>
                <w:color w:val="auto"/>
              </w:rPr>
            </w:pPr>
          </w:p>
        </w:tc>
        <w:tc>
          <w:tcPr>
            <w:tcW w:w="120" w:type="dxa"/>
            <w:vAlign w:val="bottom"/>
            <w:vMerge w:val="continue"/>
            <w:shd w:val="clear" w:color="auto" w:fill="CCEEFF"/>
          </w:tcPr>
          <w:p>
            <w:pPr>
              <w:spacing w:after="0"/>
              <w:rPr>
                <w:sz w:val="16"/>
                <w:szCs w:val="16"/>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b w:val="1"/>
                <w:bCs w:val="1"/>
                <w:color w:val="auto"/>
                <w:w w:val="94"/>
              </w:rPr>
              <w:t>Increase/(decrease)</w:t>
            </w:r>
          </w:p>
        </w:tc>
        <w:tc>
          <w:tcPr>
            <w:tcW w:w="0" w:type="dxa"/>
            <w:vAlign w:val="bottom"/>
          </w:tcPr>
          <w:p>
            <w:pPr>
              <w:spacing w:after="0"/>
              <w:rPr>
                <w:sz w:val="1"/>
                <w:szCs w:val="1"/>
                <w:color w:val="auto"/>
              </w:rPr>
            </w:pPr>
          </w:p>
        </w:tc>
      </w:tr>
      <w:tr>
        <w:trPr>
          <w:trHeight w:val="243"/>
        </w:trPr>
        <w:tc>
          <w:tcPr>
            <w:tcW w:w="3820" w:type="dxa"/>
            <w:vAlign w:val="bottom"/>
            <w:gridSpan w:val="2"/>
          </w:tcPr>
          <w:p>
            <w:pPr>
              <w:ind w:left="160"/>
              <w:spacing w:after="0"/>
              <w:rPr>
                <w:sz w:val="20"/>
                <w:szCs w:val="20"/>
                <w:color w:val="auto"/>
              </w:rPr>
            </w:pPr>
            <w:r>
              <w:rPr>
                <w:rFonts w:ascii="Arial" w:cs="Arial" w:eastAsia="Arial" w:hAnsi="Arial"/>
                <w:sz w:val="18"/>
                <w:szCs w:val="18"/>
                <w:color w:val="auto"/>
              </w:rPr>
              <w:t>Interest expense, net</w:t>
            </w:r>
          </w:p>
        </w:tc>
        <w:tc>
          <w:tcPr>
            <w:tcW w:w="260" w:type="dxa"/>
            <w:vAlign w:val="bottom"/>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(1,005)</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(0.1)%</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840" w:type="dxa"/>
            <w:vAlign w:val="bottom"/>
          </w:tcPr>
          <w:p>
            <w:pPr>
              <w:jc w:val="right"/>
              <w:spacing w:after="0"/>
              <w:rPr>
                <w:sz w:val="20"/>
                <w:szCs w:val="20"/>
                <w:color w:val="auto"/>
              </w:rPr>
            </w:pPr>
            <w:r>
              <w:rPr>
                <w:rFonts w:ascii="Arial" w:cs="Arial" w:eastAsia="Arial" w:hAnsi="Arial"/>
                <w:sz w:val="18"/>
                <w:szCs w:val="18"/>
                <w:color w:val="auto"/>
              </w:rPr>
              <w:t>(21,700)</w:t>
            </w:r>
          </w:p>
        </w:tc>
        <w:tc>
          <w:tcPr>
            <w:tcW w:w="1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21"/>
                <w:szCs w:val="21"/>
                <w:color w:val="auto"/>
              </w:rPr>
            </w:pPr>
          </w:p>
        </w:tc>
        <w:tc>
          <w:tcPr>
            <w:tcW w:w="380" w:type="dxa"/>
            <w:vAlign w:val="bottom"/>
          </w:tcPr>
          <w:p>
            <w:pPr>
              <w:ind w:left="40"/>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20,695</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(95.4)%</w:t>
            </w:r>
          </w:p>
        </w:tc>
        <w:tc>
          <w:tcPr>
            <w:tcW w:w="0" w:type="dxa"/>
            <w:vAlign w:val="bottom"/>
          </w:tcPr>
          <w:p>
            <w:pPr>
              <w:spacing w:after="0"/>
              <w:rPr>
                <w:sz w:val="1"/>
                <w:szCs w:val="1"/>
                <w:color w:val="auto"/>
              </w:rPr>
            </w:pPr>
          </w:p>
        </w:tc>
      </w:tr>
      <w:tr>
        <w:trPr>
          <w:trHeight w:val="27"/>
        </w:trPr>
        <w:tc>
          <w:tcPr>
            <w:tcW w:w="3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82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Foreign currency exchange (loss) gain</w:t>
            </w:r>
          </w:p>
        </w:tc>
        <w:tc>
          <w:tcPr>
            <w:tcW w:w="26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(3,038)</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4,990</w:t>
            </w:r>
          </w:p>
        </w:tc>
        <w:tc>
          <w:tcPr>
            <w:tcW w:w="1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0.3 %</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(8,028)</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(160.9)%</w:t>
            </w:r>
          </w:p>
        </w:tc>
        <w:tc>
          <w:tcPr>
            <w:tcW w:w="0" w:type="dxa"/>
            <w:vAlign w:val="bottom"/>
          </w:tcPr>
          <w:p>
            <w:pPr>
              <w:spacing w:after="0"/>
              <w:rPr>
                <w:sz w:val="1"/>
                <w:szCs w:val="1"/>
                <w:color w:val="auto"/>
              </w:rPr>
            </w:pPr>
          </w:p>
        </w:tc>
      </w:tr>
      <w:tr>
        <w:trPr>
          <w:trHeight w:val="243"/>
        </w:trPr>
        <w:tc>
          <w:tcPr>
            <w:tcW w:w="3820" w:type="dxa"/>
            <w:vAlign w:val="bottom"/>
            <w:gridSpan w:val="2"/>
          </w:tcPr>
          <w:p>
            <w:pPr>
              <w:ind w:left="160"/>
              <w:spacing w:after="0"/>
              <w:rPr>
                <w:sz w:val="20"/>
                <w:szCs w:val="20"/>
                <w:color w:val="auto"/>
              </w:rPr>
            </w:pPr>
            <w:r>
              <w:rPr>
                <w:rFonts w:ascii="Arial" w:cs="Arial" w:eastAsia="Arial" w:hAnsi="Arial"/>
                <w:sz w:val="18"/>
                <w:szCs w:val="18"/>
                <w:color w:val="auto"/>
              </w:rPr>
              <w:t>Other</w:t>
            </w:r>
          </w:p>
        </w:tc>
        <w:tc>
          <w:tcPr>
            <w:tcW w:w="260" w:type="dxa"/>
            <w:vAlign w:val="bottom"/>
          </w:tcPr>
          <w:p>
            <w:pPr>
              <w:spacing w:after="0"/>
              <w:rPr>
                <w:sz w:val="21"/>
                <w:szCs w:val="21"/>
                <w:color w:val="auto"/>
              </w:rPr>
            </w:pPr>
          </w:p>
        </w:tc>
        <w:tc>
          <w:tcPr>
            <w:tcW w:w="840" w:type="dxa"/>
            <w:vAlign w:val="bottom"/>
          </w:tcPr>
          <w:p>
            <w:pPr>
              <w:jc w:val="right"/>
              <w:ind w:right="34"/>
              <w:spacing w:after="0"/>
              <w:rPr>
                <w:sz w:val="20"/>
                <w:szCs w:val="20"/>
                <w:color w:val="auto"/>
              </w:rPr>
            </w:pPr>
            <w:r>
              <w:rPr>
                <w:rFonts w:ascii="Arial" w:cs="Arial" w:eastAsia="Arial" w:hAnsi="Arial"/>
                <w:sz w:val="18"/>
                <w:szCs w:val="18"/>
                <w:b w:val="1"/>
                <w:bCs w:val="1"/>
                <w:color w:val="auto"/>
              </w:rPr>
              <w:t>5,091</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0.3 %</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ind w:right="34"/>
              <w:spacing w:after="0"/>
              <w:rPr>
                <w:sz w:val="20"/>
                <w:szCs w:val="20"/>
                <w:color w:val="auto"/>
              </w:rPr>
            </w:pPr>
            <w:r>
              <w:rPr>
                <w:rFonts w:ascii="Arial" w:cs="Arial" w:eastAsia="Arial" w:hAnsi="Arial"/>
                <w:sz w:val="18"/>
                <w:szCs w:val="18"/>
                <w:color w:val="auto"/>
              </w:rPr>
              <w:t>1,020</w:t>
            </w:r>
          </w:p>
        </w:tc>
        <w:tc>
          <w:tcPr>
            <w:tcW w:w="1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0.1 %</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4,071</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399.1 %</w:t>
            </w:r>
          </w:p>
        </w:tc>
        <w:tc>
          <w:tcPr>
            <w:tcW w:w="0" w:type="dxa"/>
            <w:vAlign w:val="bottom"/>
          </w:tcPr>
          <w:p>
            <w:pPr>
              <w:spacing w:after="0"/>
              <w:rPr>
                <w:sz w:val="1"/>
                <w:szCs w:val="1"/>
                <w:color w:val="auto"/>
              </w:rPr>
            </w:pPr>
          </w:p>
        </w:tc>
      </w:tr>
      <w:tr>
        <w:trPr>
          <w:trHeight w:val="27"/>
        </w:trPr>
        <w:tc>
          <w:tcPr>
            <w:tcW w:w="3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82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Interest and other, net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8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b w:val="1"/>
                <w:bCs w:val="1"/>
                <w:color w:val="auto"/>
              </w:rPr>
              <w:t>1,048</w:t>
            </w:r>
          </w:p>
        </w:tc>
        <w:tc>
          <w:tcPr>
            <w:tcW w:w="10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0.1 %</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(15,690)</w:t>
            </w:r>
          </w:p>
        </w:tc>
        <w:tc>
          <w:tcPr>
            <w:tcW w:w="10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(0.9)%</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16,738</w:t>
            </w:r>
          </w:p>
        </w:tc>
        <w:tc>
          <w:tcPr>
            <w:tcW w:w="12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(106.7)%</w:t>
            </w:r>
          </w:p>
        </w:tc>
        <w:tc>
          <w:tcPr>
            <w:tcW w:w="0" w:type="dxa"/>
            <w:vAlign w:val="bottom"/>
          </w:tcPr>
          <w:p>
            <w:pPr>
              <w:spacing w:after="0"/>
              <w:rPr>
                <w:sz w:val="1"/>
                <w:szCs w:val="1"/>
                <w:color w:val="auto"/>
              </w:rPr>
            </w:pPr>
          </w:p>
        </w:tc>
      </w:tr>
      <w:tr>
        <w:trPr>
          <w:trHeight w:val="20"/>
        </w:trPr>
        <w:tc>
          <w:tcPr>
            <w:tcW w:w="3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Interest and other, net was income of $1.0 million for the fiscal year ended March 31, 2018, as compared to an expense of $15.7 million for the fiscal year ended March 31, 2017. The increase was due primarily to a $20.7 million decrease in interest expense as a result of the settlement of our 1.75% Convertible Notes in December 2016 and higher gains on early conversions of our 1.00% Convertible Notes as well as higher interest income due to the nature of our investments and the rise of interest rates, partially offset by foreign exchange transaction losses for the fiscal year ended March 31, 2018 as compared to foreign exchange transaction gains in the prior year.</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Provision/Benefit from income taxes</w:t>
      </w:r>
    </w:p>
    <w:p>
      <w:pPr>
        <w:spacing w:after="0" w:line="14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December 22, 2017, the U.S. enacted comprehensive tax legislation commonly referred to as the Tax Cuts and Jobs Act (herein referred to as the "Act”). The Act makes broad and complex changes to the U.S. tax code that could materially affect us. The Act reduces the U.S. federal corporate income tax rate from 35% to 21%, effective January 1, 2018 and requires companies to pay a one-time transition tax on the previously untaxed earnings of certain foreign subsidiaries. In addition, the Act makes other changes that may affect us, beginning April 1, 2018. These changes include but are not limited to (1) a Base Erosion Anti-abuse Tax (BEAT), which is a new minimum tax, (2) generally eliminating U.S. federal income taxes on dividends from foreign subsidiaries, (3) a new provision that taxes global intangible low-taxed income (GILTI), (4) the repeal of the domestic production activity deduction, and (5) other base broadening provisions.</w:t>
      </w:r>
    </w:p>
    <w:p>
      <w:pPr>
        <w:spacing w:after="0" w:line="18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The FASB Staff Q&amp;A, Topic 740, No. 5, </w:t>
      </w:r>
      <w:r>
        <w:rPr>
          <w:rFonts w:ascii="Arial" w:cs="Arial" w:eastAsia="Arial" w:hAnsi="Arial"/>
          <w:sz w:val="18"/>
          <w:szCs w:val="18"/>
          <w:i w:val="1"/>
          <w:iCs w:val="1"/>
          <w:color w:val="auto"/>
        </w:rPr>
        <w:t>Accounting for Global Intangible Low-Taxed Income</w:t>
      </w:r>
      <w:r>
        <w:rPr>
          <w:rFonts w:ascii="Arial" w:cs="Arial" w:eastAsia="Arial" w:hAnsi="Arial"/>
          <w:sz w:val="18"/>
          <w:szCs w:val="18"/>
          <w:color w:val="auto"/>
        </w:rPr>
        <w:t>, states that an entity can make an accounting policy election to either recognize deferred taxes for temporary basis differences expected to reverse as GILTI in future years or provide for the tax expense related to GILTI in the year the tax is incurred. Given the complexity of the GILTI provisions, the Company is still evaluating the effects of the GILTI provisions and has not yet determined its accounting policy. As of March 31, 2018, the Company is still evaluating the GILTI provisions and analysis of future taxable income that is subject to GILTI and therefore is unable to make a reasonable estimate and has not reflected any adjustments related to GILTI in the Consolidated Financial Statements.</w:t>
      </w:r>
    </w:p>
    <w:p>
      <w:pPr>
        <w:spacing w:after="0" w:line="193"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recorded an estimated increase to income tax expense of $18.1 million related to the one-time transition tax on the previously untaxed earnings of certain foreign subsidiaries as a result of the Act. The estimated increase was a result of a transition tax of $26.6 million, offset by increased benefits from domestic production deductions and tax credits. In addition, as a result of the decrease in the U.S. federal corporate income tax rate from 35% to 21%, we recorded a decrease to net deferred tax assets of $47.7 million and a corresponding decrease to the valuation allowance of $39.8 million after taking into account a portion of the deferred tax liability from indefinite lived intangibles as a source of income against deferred tax assets, resulting in a tax benefit of $7.9 million. The re-measurement of the deferred tax liability relating to indefinite lived intangibles, due to the rate change, resulted in a tax benefit of $6.2 million.</w:t>
      </w:r>
    </w:p>
    <w:p>
      <w:pPr>
        <w:spacing w:after="0" w:line="16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are currently evaluating the potential impact of the Act, and the amounts recorded represent provisional estimates for certain identified income tax effects for which the accounting is incomplete but a reasonable estimate can be determined, in accordance with Staff Accounting Bulletin No. 118 (SAB 118). Further analysis is required to review historical practices used to calculate the untaxed earnings of certain foreign subsidiaries and additional time to evaluate the complexities of the new tax law along with additional interpretative guidance that may be issued. The impact of the Act may differ from these estimates, possibly materially, due to changes in interpretations and assumptions we have made, guidance that may be issued, and actions we may take as a result of the Act. We expect to continue to analyze the Act and its impact and expect to record any adjustments to provisional estimates no later than the third quarter of fiscal 2019.</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719" w:right="239" w:bottom="1440" w:gutter="0" w:footer="0" w:header="0"/>
        </w:sectPr>
      </w:pPr>
    </w:p>
    <w:bookmarkStart w:id="33" w:name="page34"/>
    <w:bookmarkEnd w:id="33"/>
    <w:p>
      <w:pPr>
        <w:jc w:val="both"/>
        <w:spacing w:after="0" w:line="277" w:lineRule="auto"/>
        <w:rPr>
          <w:sz w:val="20"/>
          <w:szCs w:val="20"/>
          <w:color w:val="auto"/>
        </w:rPr>
      </w:pPr>
      <w:r>
        <w:rPr>
          <w:rFonts w:ascii="Arial" w:cs="Arial" w:eastAsia="Arial" w:hAnsi="Arial"/>
          <w:sz w:val="18"/>
          <w:szCs w:val="18"/>
          <w:color w:val="auto"/>
        </w:rPr>
        <w:t>Our income tax benefit was $36.9 million for the fiscal year ended March 31, 2018 as compared to income tax expense of $9.7 million for the fiscal year ended March 31, 2017.</w:t>
      </w:r>
    </w:p>
    <w:p>
      <w:pPr>
        <w:spacing w:after="0" w:line="224"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When compared to the statutory rate of 31.6%, the effective tax rate of (27.0)% for the fiscal year ended March 31, 2018 was primarily due to $53.2 million from excess tax benefits from employee stock compensation as a component of the benefit from income taxes (previously excess tax benefit and tax deficiencies were recognized in additional paid-in-capital), a benefit of $22.6 million for tax credits anticipated to be utilized, a benefit of $15.1 million from changes in unrecognized tax benefits primarily due to expiration of statute of limitations, and a benefit of $7.9 million from our geographic mix of earnings, partially offset by provisional amounts recorded as a result of the Act and $10.4 million for changes in our valuation allowance.</w:t>
      </w:r>
    </w:p>
    <w:p>
      <w:pPr>
        <w:spacing w:after="0" w:line="22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effective tax rate in the current year was lower compared to the prior year primarily due to $53.2 million from excess tax benefits related to employee stock compensation reflected as a component of the benefit from income taxes in the current year, an increased benefit from changes in unrecognized tax benefits of $17.3 million primarily due to expiration of statute of limitations, and $11.0 million of increased tax benefits due to mix of earnings, partially offset by a reduced benefit from tax credits of $12.7 million and provisional amounts recorded as a result of the Act.</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anticipate that additional excess tax benefits from employee stock compensation, tax credits, changes in valuation allowance, and changes as a result of the Act may arise in future periods, which could have a significant impact on our effective tax rate.</w:t>
      </w:r>
    </w:p>
    <w:p>
      <w:pPr>
        <w:spacing w:after="0" w:line="22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accounting for share-based compensation will increase or decrease our effective tax rate based upon the difference between our share-based compensation expense and the deductions taken on our tax return, which depends upon the stock price at the time of employee award vesting. Since we recognize excess tax benefits on a discrete basis, we anticipate that our effective tax rate will vary from quarter to quarter depending on our stock price in each period.</w:t>
      </w:r>
    </w:p>
    <w:p>
      <w:pPr>
        <w:spacing w:after="0" w:line="24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As of March 31, 2018, we had gross unrecognized tax benefits, including interest and penalties, of $128.5 million, of which $22.8 million would affect our effective tax rate if realized. For the fiscal year ended March 31, 2018, gross unrecognized tax benefits increased by $8.3 million.</w:t>
      </w:r>
    </w:p>
    <w:p>
      <w:pPr>
        <w:spacing w:after="0" w:line="22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no longer subject to audit for U.S. federal income tax returns for periods prior to our fiscal year ended March 31, 2016 and state income tax returns for periods prior to the fiscal year ended March 31, 2013. With few exceptions, we are no longer subject to income tax examinations in non-U.S. jurisdictions for years prior to fiscal year ended March 31, 2012. Certain U.S. state and foreign taxing authorities are currently examining our income tax returns for the fiscal years ended March 31, 2012 through March 31, 2016.</w:t>
      </w:r>
    </w:p>
    <w:p>
      <w:pPr>
        <w:spacing w:after="0" w:line="24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are regularly audited by domestic and foreign taxing authorities. We believe that our tax positions comply with applicable tax law and that we have adequately provided for reasonably foreseeable tax assessments. It is possible that settlement of audits or the expiration of the statute of limitations may impact our effective tax rate in future periods.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and earnings per share</w:t>
      </w:r>
    </w:p>
    <w:p>
      <w:pPr>
        <w:spacing w:after="0" w:line="279"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For the fiscal year ended March 31, 2018, our net income was $173.5 million, as compared to $67.3 million in the prior year. Diluted earnings per share for the fiscal year ended March 31, 2018 was $1.54, as compared to $0.72 for the fiscal year ended March 31, 2017. Basic weighted average shares outstanding of 110.1 million were 19.9 million higher compared to the prior fiscal year due primarily to the settlement on conversion of our 1.75% Convertible Notes and our 1.00% Convertible Notes with shares of our common stock using the stated conversion rate and, to a lesser extent the vesting of restricted stock awards. See Note 1 - Basis of Presentation and Significant Accounting Policies and Note 12 - Earnings (Loss) Per Share for additional information.</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Fiscal Years Ended March 31, 2017 and 2016</w:t>
      </w:r>
    </w:p>
    <w:p>
      <w:pPr>
        <w:spacing w:after="0" w:line="289"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380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(thousands of dollars)</w:t>
            </w:r>
          </w:p>
        </w:tc>
        <w:tc>
          <w:tcPr>
            <w:tcW w:w="100" w:type="dxa"/>
            <w:vAlign w:val="bottom"/>
            <w:vMerge w:val="restart"/>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vMerge w:val="restart"/>
          </w:tcPr>
          <w:p>
            <w:pPr>
              <w:jc w:val="right"/>
              <w:ind w:right="332"/>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4"/>
                <w:szCs w:val="14"/>
                <w:color w:val="auto"/>
              </w:rPr>
            </w:pPr>
          </w:p>
        </w:tc>
        <w:tc>
          <w:tcPr>
            <w:tcW w:w="1200" w:type="dxa"/>
            <w:vAlign w:val="bottom"/>
            <w:gridSpan w:val="2"/>
          </w:tcPr>
          <w:p>
            <w:pPr>
              <w:ind w:left="280"/>
              <w:spacing w:after="0"/>
              <w:rPr>
                <w:sz w:val="20"/>
                <w:szCs w:val="20"/>
                <w:color w:val="auto"/>
              </w:rPr>
            </w:pPr>
            <w:r>
              <w:rPr>
                <w:rFonts w:ascii="Arial" w:cs="Arial" w:eastAsia="Arial" w:hAnsi="Arial"/>
                <w:sz w:val="14"/>
                <w:szCs w:val="14"/>
                <w:b w:val="1"/>
                <w:bCs w:val="1"/>
                <w:color w:val="auto"/>
              </w:rPr>
              <w:t>% of net</w:t>
            </w:r>
          </w:p>
        </w:tc>
        <w:tc>
          <w:tcPr>
            <w:tcW w:w="200" w:type="dxa"/>
            <w:vAlign w:val="bottom"/>
          </w:tcPr>
          <w:p>
            <w:pPr>
              <w:spacing w:after="0"/>
              <w:rPr>
                <w:sz w:val="14"/>
                <w:szCs w:val="14"/>
                <w:color w:val="auto"/>
              </w:rPr>
            </w:pPr>
          </w:p>
        </w:tc>
        <w:tc>
          <w:tcPr>
            <w:tcW w:w="920" w:type="dxa"/>
            <w:vAlign w:val="bottom"/>
            <w:vMerge w:val="restart"/>
          </w:tcPr>
          <w:p>
            <w:pPr>
              <w:jc w:val="right"/>
              <w:ind w:right="332"/>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4"/>
                <w:szCs w:val="14"/>
                <w:color w:val="auto"/>
              </w:rPr>
            </w:pPr>
          </w:p>
        </w:tc>
        <w:tc>
          <w:tcPr>
            <w:tcW w:w="1180" w:type="dxa"/>
            <w:vAlign w:val="bottom"/>
            <w:gridSpan w:val="2"/>
          </w:tcPr>
          <w:p>
            <w:pPr>
              <w:ind w:left="280"/>
              <w:spacing w:after="0"/>
              <w:rPr>
                <w:sz w:val="20"/>
                <w:szCs w:val="20"/>
                <w:color w:val="auto"/>
              </w:rPr>
            </w:pPr>
            <w:r>
              <w:rPr>
                <w:rFonts w:ascii="Arial" w:cs="Arial" w:eastAsia="Arial" w:hAnsi="Arial"/>
                <w:sz w:val="14"/>
                <w:szCs w:val="14"/>
                <w:b w:val="1"/>
                <w:bCs w:val="1"/>
                <w:color w:val="auto"/>
              </w:rPr>
              <w:t>% of net</w:t>
            </w:r>
          </w:p>
        </w:tc>
        <w:tc>
          <w:tcPr>
            <w:tcW w:w="12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w w:val="90"/>
              </w:rPr>
              <w:t>Increase/(decrease)</w:t>
            </w:r>
          </w:p>
        </w:tc>
        <w:tc>
          <w:tcPr>
            <w:tcW w:w="100" w:type="dxa"/>
            <w:vAlign w:val="bottom"/>
            <w:vMerge w:val="restart"/>
          </w:tcPr>
          <w:p>
            <w:pPr>
              <w:spacing w:after="0"/>
              <w:rPr>
                <w:sz w:val="14"/>
                <w:szCs w:val="14"/>
                <w:color w:val="auto"/>
              </w:rPr>
            </w:pPr>
          </w:p>
        </w:tc>
        <w:tc>
          <w:tcPr>
            <w:tcW w:w="1300" w:type="dxa"/>
            <w:vAlign w:val="bottom"/>
          </w:tcPr>
          <w:p>
            <w:pPr>
              <w:jc w:val="right"/>
              <w:ind w:right="494"/>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38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revenue</w:t>
            </w: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revenue</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3"/>
              </w:rPr>
              <w:t>Increase/(decrease)</w:t>
            </w:r>
          </w:p>
        </w:tc>
        <w:tc>
          <w:tcPr>
            <w:tcW w:w="0" w:type="dxa"/>
            <w:vAlign w:val="bottom"/>
          </w:tcPr>
          <w:p>
            <w:pPr>
              <w:spacing w:after="0"/>
              <w:rPr>
                <w:sz w:val="1"/>
                <w:szCs w:val="1"/>
                <w:color w:val="auto"/>
              </w:rPr>
            </w:pPr>
          </w:p>
        </w:tc>
      </w:tr>
      <w:tr>
        <w:trPr>
          <w:trHeight w:val="250"/>
        </w:trPr>
        <w:tc>
          <w:tcPr>
            <w:tcW w:w="3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Net revenue</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9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w w:val="99"/>
              </w:rPr>
              <w:t>1,779,748</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100.0%</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w w:val="97"/>
              </w:rPr>
              <w:t>1,413,698</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366,050</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25.9%</w:t>
            </w:r>
          </w:p>
        </w:tc>
        <w:tc>
          <w:tcPr>
            <w:tcW w:w="0" w:type="dxa"/>
            <w:vAlign w:val="bottom"/>
          </w:tcPr>
          <w:p>
            <w:pPr>
              <w:spacing w:after="0"/>
              <w:rPr>
                <w:sz w:val="1"/>
                <w:szCs w:val="1"/>
                <w:color w:val="auto"/>
              </w:rPr>
            </w:pPr>
          </w:p>
        </w:tc>
      </w:tr>
      <w:tr>
        <w:trPr>
          <w:trHeight w:val="243"/>
        </w:trPr>
        <w:tc>
          <w:tcPr>
            <w:tcW w:w="3900" w:type="dxa"/>
            <w:vAlign w:val="bottom"/>
            <w:gridSpan w:val="2"/>
          </w:tcPr>
          <w:p>
            <w:pPr>
              <w:ind w:left="160"/>
              <w:spacing w:after="0"/>
              <w:rPr>
                <w:sz w:val="20"/>
                <w:szCs w:val="20"/>
                <w:color w:val="auto"/>
              </w:rPr>
            </w:pPr>
            <w:r>
              <w:rPr>
                <w:rFonts w:ascii="Arial" w:cs="Arial" w:eastAsia="Arial" w:hAnsi="Arial"/>
                <w:sz w:val="18"/>
                <w:szCs w:val="18"/>
                <w:color w:val="auto"/>
              </w:rPr>
              <w:t>Software development costs and royalties(1)</w:t>
            </w:r>
          </w:p>
        </w:tc>
        <w:tc>
          <w:tcPr>
            <w:tcW w:w="200" w:type="dxa"/>
            <w:vAlign w:val="bottom"/>
          </w:tcPr>
          <w:p>
            <w:pPr>
              <w:spacing w:after="0"/>
              <w:rPr>
                <w:sz w:val="21"/>
                <w:szCs w:val="21"/>
                <w:color w:val="auto"/>
              </w:rPr>
            </w:pPr>
          </w:p>
        </w:tc>
        <w:tc>
          <w:tcPr>
            <w:tcW w:w="920" w:type="dxa"/>
            <w:vAlign w:val="bottom"/>
          </w:tcPr>
          <w:p>
            <w:pPr>
              <w:jc w:val="right"/>
              <w:ind w:right="12"/>
              <w:spacing w:after="0"/>
              <w:rPr>
                <w:sz w:val="20"/>
                <w:szCs w:val="20"/>
                <w:color w:val="auto"/>
              </w:rPr>
            </w:pPr>
            <w:r>
              <w:rPr>
                <w:rFonts w:ascii="Arial" w:cs="Arial" w:eastAsia="Arial" w:hAnsi="Arial"/>
                <w:sz w:val="18"/>
                <w:szCs w:val="18"/>
                <w:b w:val="1"/>
                <w:bCs w:val="1"/>
                <w:color w:val="auto"/>
              </w:rPr>
              <w:t>335,675</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18.9%</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223,512</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15.8%</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112,163</w:t>
            </w:r>
          </w:p>
        </w:tc>
        <w:tc>
          <w:tcPr>
            <w:tcW w:w="1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50.2%</w:t>
            </w:r>
          </w:p>
        </w:tc>
        <w:tc>
          <w:tcPr>
            <w:tcW w:w="0" w:type="dxa"/>
            <w:vAlign w:val="bottom"/>
          </w:tcPr>
          <w:p>
            <w:pPr>
              <w:spacing w:after="0"/>
              <w:rPr>
                <w:sz w:val="1"/>
                <w:szCs w:val="1"/>
                <w:color w:val="auto"/>
              </w:rPr>
            </w:pPr>
          </w:p>
        </w:tc>
      </w:tr>
      <w:tr>
        <w:trPr>
          <w:trHeight w:val="27"/>
        </w:trPr>
        <w:tc>
          <w:tcPr>
            <w:tcW w:w="3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Internal royalties</w:t>
            </w: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330,782</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18.6%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328,610</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23.2%</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2,172</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0" w:type="dxa"/>
            <w:vAlign w:val="bottom"/>
          </w:tcPr>
          <w:p>
            <w:pPr>
              <w:spacing w:after="0"/>
              <w:rPr>
                <w:sz w:val="1"/>
                <w:szCs w:val="1"/>
                <w:color w:val="auto"/>
              </w:rPr>
            </w:pPr>
          </w:p>
        </w:tc>
      </w:tr>
      <w:tr>
        <w:trPr>
          <w:trHeight w:val="243"/>
        </w:trPr>
        <w:tc>
          <w:tcPr>
            <w:tcW w:w="3900" w:type="dxa"/>
            <w:vAlign w:val="bottom"/>
            <w:gridSpan w:val="2"/>
          </w:tcPr>
          <w:p>
            <w:pPr>
              <w:ind w:left="160"/>
              <w:spacing w:after="0"/>
              <w:rPr>
                <w:sz w:val="20"/>
                <w:szCs w:val="20"/>
                <w:color w:val="auto"/>
              </w:rPr>
            </w:pPr>
            <w:r>
              <w:rPr>
                <w:rFonts w:ascii="Arial" w:cs="Arial" w:eastAsia="Arial" w:hAnsi="Arial"/>
                <w:sz w:val="18"/>
                <w:szCs w:val="18"/>
                <w:color w:val="auto"/>
              </w:rPr>
              <w:t>Product costs</w:t>
            </w:r>
          </w:p>
        </w:tc>
        <w:tc>
          <w:tcPr>
            <w:tcW w:w="200" w:type="dxa"/>
            <w:vAlign w:val="bottom"/>
          </w:tcPr>
          <w:p>
            <w:pPr>
              <w:spacing w:after="0"/>
              <w:rPr>
                <w:sz w:val="21"/>
                <w:szCs w:val="21"/>
                <w:color w:val="auto"/>
              </w:rPr>
            </w:pPr>
          </w:p>
        </w:tc>
        <w:tc>
          <w:tcPr>
            <w:tcW w:w="920" w:type="dxa"/>
            <w:vAlign w:val="bottom"/>
          </w:tcPr>
          <w:p>
            <w:pPr>
              <w:jc w:val="right"/>
              <w:ind w:right="12"/>
              <w:spacing w:after="0"/>
              <w:rPr>
                <w:sz w:val="20"/>
                <w:szCs w:val="20"/>
                <w:color w:val="auto"/>
              </w:rPr>
            </w:pPr>
            <w:r>
              <w:rPr>
                <w:rFonts w:ascii="Arial" w:cs="Arial" w:eastAsia="Arial" w:hAnsi="Arial"/>
                <w:sz w:val="18"/>
                <w:szCs w:val="18"/>
                <w:b w:val="1"/>
                <w:bCs w:val="1"/>
                <w:color w:val="auto"/>
              </w:rPr>
              <w:t>255,914</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14.4%</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200,206</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14.2%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55,708</w:t>
            </w:r>
          </w:p>
        </w:tc>
        <w:tc>
          <w:tcPr>
            <w:tcW w:w="1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27.8%</w:t>
            </w:r>
          </w:p>
        </w:tc>
        <w:tc>
          <w:tcPr>
            <w:tcW w:w="0" w:type="dxa"/>
            <w:vAlign w:val="bottom"/>
          </w:tcPr>
          <w:p>
            <w:pPr>
              <w:spacing w:after="0"/>
              <w:rPr>
                <w:sz w:val="1"/>
                <w:szCs w:val="1"/>
                <w:color w:val="auto"/>
              </w:rPr>
            </w:pPr>
          </w:p>
        </w:tc>
      </w:tr>
      <w:tr>
        <w:trPr>
          <w:trHeight w:val="27"/>
        </w:trPr>
        <w:tc>
          <w:tcPr>
            <w:tcW w:w="3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9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90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Licenses</w:t>
            </w: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100,588</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61,545</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39,043</w:t>
            </w:r>
          </w:p>
        </w:tc>
        <w:tc>
          <w:tcPr>
            <w:tcW w:w="10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63.4%</w:t>
            </w:r>
          </w:p>
        </w:tc>
        <w:tc>
          <w:tcPr>
            <w:tcW w:w="0" w:type="dxa"/>
            <w:vAlign w:val="bottom"/>
          </w:tcPr>
          <w:p>
            <w:pPr>
              <w:spacing w:after="0"/>
              <w:rPr>
                <w:sz w:val="1"/>
                <w:szCs w:val="1"/>
                <w:color w:val="auto"/>
              </w:rPr>
            </w:pPr>
          </w:p>
        </w:tc>
      </w:tr>
      <w:tr>
        <w:trPr>
          <w:trHeight w:val="243"/>
        </w:trPr>
        <w:tc>
          <w:tcPr>
            <w:tcW w:w="3900" w:type="dxa"/>
            <w:vAlign w:val="bottom"/>
            <w:gridSpan w:val="2"/>
          </w:tcPr>
          <w:p>
            <w:pPr>
              <w:ind w:left="20"/>
              <w:spacing w:after="0"/>
              <w:rPr>
                <w:sz w:val="20"/>
                <w:szCs w:val="20"/>
                <w:color w:val="auto"/>
              </w:rPr>
            </w:pPr>
            <w:r>
              <w:rPr>
                <w:rFonts w:ascii="Arial" w:cs="Arial" w:eastAsia="Arial" w:hAnsi="Arial"/>
                <w:sz w:val="18"/>
                <w:szCs w:val="18"/>
                <w:color w:val="auto"/>
              </w:rPr>
              <w:t>Cost of goods sold</w:t>
            </w:r>
          </w:p>
        </w:tc>
        <w:tc>
          <w:tcPr>
            <w:tcW w:w="200" w:type="dxa"/>
            <w:vAlign w:val="bottom"/>
          </w:tcPr>
          <w:p>
            <w:pPr>
              <w:spacing w:after="0"/>
              <w:rPr>
                <w:sz w:val="21"/>
                <w:szCs w:val="21"/>
                <w:color w:val="auto"/>
              </w:rPr>
            </w:pPr>
          </w:p>
        </w:tc>
        <w:tc>
          <w:tcPr>
            <w:tcW w:w="920" w:type="dxa"/>
            <w:vAlign w:val="bottom"/>
          </w:tcPr>
          <w:p>
            <w:pPr>
              <w:jc w:val="right"/>
              <w:ind w:right="12"/>
              <w:spacing w:after="0"/>
              <w:rPr>
                <w:sz w:val="20"/>
                <w:szCs w:val="20"/>
                <w:color w:val="auto"/>
              </w:rPr>
            </w:pPr>
            <w:r>
              <w:rPr>
                <w:rFonts w:ascii="Arial" w:cs="Arial" w:eastAsia="Arial" w:hAnsi="Arial"/>
                <w:sz w:val="18"/>
                <w:szCs w:val="18"/>
                <w:b w:val="1"/>
                <w:bCs w:val="1"/>
                <w:color w:val="auto"/>
                <w:w w:val="99"/>
              </w:rPr>
              <w:t>1,022,959</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57.5%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20" w:type="dxa"/>
            <w:vAlign w:val="bottom"/>
          </w:tcPr>
          <w:p>
            <w:pPr>
              <w:jc w:val="right"/>
              <w:ind w:right="32"/>
              <w:spacing w:after="0"/>
              <w:rPr>
                <w:sz w:val="20"/>
                <w:szCs w:val="20"/>
                <w:color w:val="auto"/>
              </w:rPr>
            </w:pPr>
            <w:r>
              <w:rPr>
                <w:rFonts w:ascii="Arial" w:cs="Arial" w:eastAsia="Arial" w:hAnsi="Arial"/>
                <w:sz w:val="18"/>
                <w:szCs w:val="18"/>
                <w:color w:val="auto"/>
              </w:rPr>
              <w:t>813,873</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57.6%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jc w:val="right"/>
              <w:ind w:right="10"/>
              <w:spacing w:after="0"/>
              <w:rPr>
                <w:sz w:val="20"/>
                <w:szCs w:val="20"/>
                <w:color w:val="auto"/>
              </w:rPr>
            </w:pPr>
            <w:r>
              <w:rPr>
                <w:rFonts w:ascii="Arial" w:cs="Arial" w:eastAsia="Arial" w:hAnsi="Arial"/>
                <w:sz w:val="18"/>
                <w:szCs w:val="18"/>
                <w:color w:val="auto"/>
              </w:rPr>
              <w:t>209,086</w:t>
            </w:r>
          </w:p>
        </w:tc>
        <w:tc>
          <w:tcPr>
            <w:tcW w:w="100" w:type="dxa"/>
            <w:vAlign w:val="bottom"/>
          </w:tcPr>
          <w:p>
            <w:pPr>
              <w:spacing w:after="0"/>
              <w:rPr>
                <w:sz w:val="21"/>
                <w:szCs w:val="21"/>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25.7%</w:t>
            </w:r>
          </w:p>
        </w:tc>
        <w:tc>
          <w:tcPr>
            <w:tcW w:w="0" w:type="dxa"/>
            <w:vAlign w:val="bottom"/>
          </w:tcPr>
          <w:p>
            <w:pPr>
              <w:spacing w:after="0"/>
              <w:rPr>
                <w:sz w:val="1"/>
                <w:szCs w:val="1"/>
                <w:color w:val="auto"/>
              </w:rPr>
            </w:pPr>
          </w:p>
        </w:tc>
      </w:tr>
      <w:tr>
        <w:trPr>
          <w:trHeight w:val="27"/>
        </w:trPr>
        <w:tc>
          <w:tcPr>
            <w:tcW w:w="3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9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b w:val="1"/>
                <w:bCs w:val="1"/>
                <w:color w:val="auto"/>
              </w:rPr>
              <w:t>Gross profit</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9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756,789</w:t>
            </w:r>
          </w:p>
        </w:tc>
        <w:tc>
          <w:tcPr>
            <w:tcW w:w="1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42.5%</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599,825</w:t>
            </w:r>
          </w:p>
        </w:tc>
        <w:tc>
          <w:tcPr>
            <w:tcW w:w="10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42.4%</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156,964</w:t>
            </w:r>
          </w:p>
        </w:tc>
        <w:tc>
          <w:tcPr>
            <w:tcW w:w="10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26.2%</w:t>
            </w:r>
          </w:p>
        </w:tc>
        <w:tc>
          <w:tcPr>
            <w:tcW w:w="0" w:type="dxa"/>
            <w:vAlign w:val="bottom"/>
          </w:tcPr>
          <w:p>
            <w:pPr>
              <w:spacing w:after="0"/>
              <w:rPr>
                <w:sz w:val="1"/>
                <w:szCs w:val="1"/>
                <w:color w:val="auto"/>
              </w:rPr>
            </w:pPr>
          </w:p>
        </w:tc>
      </w:tr>
      <w:tr>
        <w:trPr>
          <w:trHeight w:val="20"/>
        </w:trPr>
        <w:tc>
          <w:tcPr>
            <w:tcW w:w="3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(1) Includes $21,056 and $15,323 of stock-based compensation expense in 2017 and 2016, respectively.</w:t>
      </w:r>
    </w:p>
    <w:p>
      <w:pPr>
        <w:sectPr>
          <w:pgSz w:w="11900" w:h="16838" w:orient="portrait"/>
          <w:cols w:equalWidth="0" w:num="1">
            <w:col w:w="11420"/>
          </w:cols>
          <w:pgMar w:left="240" w:top="719" w:right="239" w:bottom="1440" w:gutter="0" w:footer="0" w:header="0"/>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32</w:t>
      </w:r>
    </w:p>
    <w:p>
      <w:pPr>
        <w:sectPr>
          <w:pgSz w:w="11900" w:h="16838" w:orient="portrait"/>
          <w:cols w:equalWidth="0" w:num="1">
            <w:col w:w="11420"/>
          </w:cols>
          <w:pgMar w:left="240" w:top="719" w:right="239" w:bottom="1440" w:gutter="0" w:footer="0" w:header="0"/>
          <w:type w:val="continuous"/>
        </w:sectPr>
      </w:pPr>
    </w:p>
    <w:bookmarkStart w:id="34" w:name="page35"/>
    <w:bookmarkEnd w:id="34"/>
    <w:p>
      <w:pPr>
        <w:jc w:val="both"/>
        <w:spacing w:after="0" w:line="257" w:lineRule="auto"/>
        <w:rPr>
          <w:sz w:val="20"/>
          <w:szCs w:val="20"/>
          <w:color w:val="auto"/>
        </w:rPr>
      </w:pPr>
      <w:r>
        <w:rPr>
          <w:rFonts w:ascii="Arial" w:cs="Arial" w:eastAsia="Arial" w:hAnsi="Arial"/>
          <w:sz w:val="18"/>
          <w:szCs w:val="18"/>
          <w:color w:val="auto"/>
        </w:rPr>
        <w:t xml:space="preserve">For the fiscal year ended March 31, 2017, net revenue increased by $366.1 million, as compared to the prior year. This increase was due primarily to (1) an increase of $265.8 million in revenues from our </w:t>
      </w:r>
      <w:r>
        <w:rPr>
          <w:rFonts w:ascii="Arial" w:cs="Arial" w:eastAsia="Arial" w:hAnsi="Arial"/>
          <w:sz w:val="18"/>
          <w:szCs w:val="18"/>
          <w:i w:val="1"/>
          <w:iCs w:val="1"/>
          <w:color w:val="auto"/>
        </w:rPr>
        <w:t>NBA 2K</w:t>
      </w:r>
      <w:r>
        <w:rPr>
          <w:rFonts w:ascii="Arial" w:cs="Arial" w:eastAsia="Arial" w:hAnsi="Arial"/>
          <w:sz w:val="18"/>
          <w:szCs w:val="18"/>
          <w:color w:val="auto"/>
        </w:rPr>
        <w:t xml:space="preserve"> franchise; (2) an increase of $161.2 million in net revenues from </w:t>
      </w:r>
      <w:r>
        <w:rPr>
          <w:rFonts w:ascii="Arial" w:cs="Arial" w:eastAsia="Arial" w:hAnsi="Arial"/>
          <w:sz w:val="18"/>
          <w:szCs w:val="18"/>
          <w:i w:val="1"/>
          <w:iCs w:val="1"/>
          <w:color w:val="auto"/>
        </w:rPr>
        <w:t>Mafia III</w:t>
      </w:r>
      <w:r>
        <w:rPr>
          <w:rFonts w:ascii="Arial" w:cs="Arial" w:eastAsia="Arial" w:hAnsi="Arial"/>
          <w:sz w:val="18"/>
          <w:szCs w:val="18"/>
          <w:color w:val="auto"/>
        </w:rPr>
        <w:t xml:space="preserve">, which released in October 2016; and (3) an increase of $63.8 million in net revenues from </w:t>
      </w:r>
      <w:r>
        <w:rPr>
          <w:rFonts w:ascii="Arial" w:cs="Arial" w:eastAsia="Arial" w:hAnsi="Arial"/>
          <w:sz w:val="18"/>
          <w:szCs w:val="18"/>
          <w:i w:val="1"/>
          <w:iCs w:val="1"/>
          <w:color w:val="auto"/>
        </w:rPr>
        <w:t>Civilization VI,</w:t>
      </w:r>
      <w:r>
        <w:rPr>
          <w:rFonts w:ascii="Arial" w:cs="Arial" w:eastAsia="Arial" w:hAnsi="Arial"/>
          <w:sz w:val="18"/>
          <w:szCs w:val="18"/>
          <w:color w:val="auto"/>
        </w:rPr>
        <w:t xml:space="preserve"> which released in October 2016. The increase was partially offset by a decrease of $91.2 million in net revenue from our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franchise, due primarily to lower net revenues from </w:t>
      </w:r>
      <w:r>
        <w:rPr>
          <w:rFonts w:ascii="Arial" w:cs="Arial" w:eastAsia="Arial" w:hAnsi="Arial"/>
          <w:sz w:val="18"/>
          <w:szCs w:val="18"/>
          <w:i w:val="1"/>
          <w:iCs w:val="1"/>
          <w:color w:val="auto"/>
        </w:rPr>
        <w:t>Grand Theft Auto V,</w:t>
      </w:r>
      <w:r>
        <w:rPr>
          <w:rFonts w:ascii="Arial" w:cs="Arial" w:eastAsia="Arial" w:hAnsi="Arial"/>
          <w:sz w:val="18"/>
          <w:szCs w:val="18"/>
          <w:color w:val="auto"/>
        </w:rPr>
        <w:t xml:space="preserve"> and a decrease of $80.3 million in net revenues from </w:t>
      </w:r>
      <w:r>
        <w:rPr>
          <w:rFonts w:ascii="Arial" w:cs="Arial" w:eastAsia="Arial" w:hAnsi="Arial"/>
          <w:sz w:val="18"/>
          <w:szCs w:val="18"/>
          <w:i w:val="1"/>
          <w:iCs w:val="1"/>
          <w:color w:val="auto"/>
        </w:rPr>
        <w:t>Evolve</w:t>
      </w:r>
      <w:r>
        <w:rPr>
          <w:rFonts w:ascii="Arial" w:cs="Arial" w:eastAsia="Arial" w:hAnsi="Arial"/>
          <w:sz w:val="18"/>
          <w:szCs w:val="18"/>
          <w:color w:val="auto"/>
        </w:rPr>
        <w:t>, which released in fiscal 2016.</w:t>
      </w:r>
    </w:p>
    <w:p>
      <w:pPr>
        <w:spacing w:after="0" w:line="242"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 xml:space="preserve">Net revenue from console games increased by $273.1 million, and accounted for 81.0% of our total net revenue in the fiscal year ended March 31, 2017, as compared to 82.6% in the prior year. The increase in net revenues from console games was due primarily to higher net revenue from our </w:t>
      </w:r>
      <w:r>
        <w:rPr>
          <w:rFonts w:ascii="Arial" w:cs="Arial" w:eastAsia="Arial" w:hAnsi="Arial"/>
          <w:sz w:val="17"/>
          <w:szCs w:val="17"/>
          <w:i w:val="1"/>
          <w:iCs w:val="1"/>
          <w:color w:val="auto"/>
        </w:rPr>
        <w:t>NBA 2K</w:t>
      </w:r>
      <w:r>
        <w:rPr>
          <w:rFonts w:ascii="Arial" w:cs="Arial" w:eastAsia="Arial" w:hAnsi="Arial"/>
          <w:sz w:val="17"/>
          <w:szCs w:val="17"/>
          <w:color w:val="auto"/>
        </w:rPr>
        <w:t xml:space="preserve"> franchise and </w:t>
      </w:r>
      <w:r>
        <w:rPr>
          <w:rFonts w:ascii="Arial" w:cs="Arial" w:eastAsia="Arial" w:hAnsi="Arial"/>
          <w:sz w:val="17"/>
          <w:szCs w:val="17"/>
          <w:i w:val="1"/>
          <w:iCs w:val="1"/>
          <w:color w:val="auto"/>
        </w:rPr>
        <w:t>Mafia III</w:t>
      </w:r>
      <w:r>
        <w:rPr>
          <w:rFonts w:ascii="Arial" w:cs="Arial" w:eastAsia="Arial" w:hAnsi="Arial"/>
          <w:sz w:val="17"/>
          <w:szCs w:val="17"/>
          <w:color w:val="auto"/>
        </w:rPr>
        <w:t xml:space="preserve">. Net revenue from PC and other increased by $92.9 million, as compared to the prior year, and increased as a percentage of revenue to 19.0% compared to 17.4% in the prior year. The increase in net revenue from PC and other was due primarily to higher net revenues from </w:t>
      </w:r>
      <w:r>
        <w:rPr>
          <w:rFonts w:ascii="Arial" w:cs="Arial" w:eastAsia="Arial" w:hAnsi="Arial"/>
          <w:sz w:val="17"/>
          <w:szCs w:val="17"/>
          <w:i w:val="1"/>
          <w:iCs w:val="1"/>
          <w:color w:val="auto"/>
        </w:rPr>
        <w:t>Civilization VI</w:t>
      </w:r>
      <w:r>
        <w:rPr>
          <w:rFonts w:ascii="Arial" w:cs="Arial" w:eastAsia="Arial" w:hAnsi="Arial"/>
          <w:sz w:val="17"/>
          <w:szCs w:val="17"/>
          <w:color w:val="auto"/>
        </w:rPr>
        <w:t xml:space="preserve">, which released on the PC in the current year and higher net revenues from </w:t>
      </w:r>
      <w:r>
        <w:rPr>
          <w:rFonts w:ascii="Arial" w:cs="Arial" w:eastAsia="Arial" w:hAnsi="Arial"/>
          <w:sz w:val="17"/>
          <w:szCs w:val="17"/>
          <w:i w:val="1"/>
          <w:iCs w:val="1"/>
          <w:color w:val="auto"/>
        </w:rPr>
        <w:t>Grand Theft Auto V</w:t>
      </w:r>
      <w:r>
        <w:rPr>
          <w:rFonts w:ascii="Arial" w:cs="Arial" w:eastAsia="Arial" w:hAnsi="Arial"/>
          <w:sz w:val="17"/>
          <w:szCs w:val="17"/>
          <w:color w:val="auto"/>
        </w:rPr>
        <w:t xml:space="preserve"> and </w:t>
      </w:r>
      <w:r>
        <w:rPr>
          <w:rFonts w:ascii="Arial" w:cs="Arial" w:eastAsia="Arial" w:hAnsi="Arial"/>
          <w:sz w:val="17"/>
          <w:szCs w:val="17"/>
          <w:i w:val="1"/>
          <w:iCs w:val="1"/>
          <w:color w:val="auto"/>
        </w:rPr>
        <w:t>Grand Theft Auto Online</w:t>
      </w:r>
      <w:r>
        <w:rPr>
          <w:rFonts w:ascii="Arial" w:cs="Arial" w:eastAsia="Arial" w:hAnsi="Arial"/>
          <w:sz w:val="17"/>
          <w:szCs w:val="17"/>
          <w:color w:val="auto"/>
        </w:rPr>
        <w:t>.</w:t>
      </w:r>
    </w:p>
    <w:p>
      <w:pPr>
        <w:spacing w:after="0" w:line="9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 xml:space="preserve">Net revenue from digital online channels increased by $224.1 million and accounted for 51.8% of our total net revenue for the fiscal year ended March 31, 2017, as compared to 49.3% in the prior year. The increase in net revenue from digital online channels was due primarily to higher revenues related to our </w:t>
      </w:r>
      <w:r>
        <w:rPr>
          <w:rFonts w:ascii="Arial" w:cs="Arial" w:eastAsia="Arial" w:hAnsi="Arial"/>
          <w:sz w:val="17"/>
          <w:szCs w:val="17"/>
          <w:i w:val="1"/>
          <w:iCs w:val="1"/>
          <w:color w:val="auto"/>
        </w:rPr>
        <w:t xml:space="preserve">NBA 2K </w:t>
      </w:r>
      <w:r>
        <w:rPr>
          <w:rFonts w:ascii="Arial" w:cs="Arial" w:eastAsia="Arial" w:hAnsi="Arial"/>
          <w:sz w:val="17"/>
          <w:szCs w:val="17"/>
          <w:color w:val="auto"/>
        </w:rPr>
        <w:t>franchise,</w:t>
      </w:r>
      <w:r>
        <w:rPr>
          <w:rFonts w:ascii="Arial" w:cs="Arial" w:eastAsia="Arial" w:hAnsi="Arial"/>
          <w:sz w:val="17"/>
          <w:szCs w:val="17"/>
          <w:i w:val="1"/>
          <w:iCs w:val="1"/>
          <w:color w:val="auto"/>
        </w:rPr>
        <w:t xml:space="preserve"> Civilization VI</w:t>
      </w:r>
      <w:r>
        <w:rPr>
          <w:rFonts w:ascii="Arial" w:cs="Arial" w:eastAsia="Arial" w:hAnsi="Arial"/>
          <w:sz w:val="17"/>
          <w:szCs w:val="17"/>
          <w:color w:val="auto"/>
        </w:rPr>
        <w:t>,</w:t>
      </w:r>
      <w:r>
        <w:rPr>
          <w:rFonts w:ascii="Arial" w:cs="Arial" w:eastAsia="Arial" w:hAnsi="Arial"/>
          <w:sz w:val="17"/>
          <w:szCs w:val="17"/>
          <w:i w:val="1"/>
          <w:iCs w:val="1"/>
          <w:color w:val="auto"/>
        </w:rPr>
        <w:t xml:space="preserve"> Mafia III, </w:t>
      </w:r>
      <w:r>
        <w:rPr>
          <w:rFonts w:ascii="Arial" w:cs="Arial" w:eastAsia="Arial" w:hAnsi="Arial"/>
          <w:sz w:val="17"/>
          <w:szCs w:val="17"/>
          <w:color w:val="auto"/>
        </w:rPr>
        <w:t>and</w:t>
      </w:r>
      <w:r>
        <w:rPr>
          <w:rFonts w:ascii="Arial" w:cs="Arial" w:eastAsia="Arial" w:hAnsi="Arial"/>
          <w:sz w:val="17"/>
          <w:szCs w:val="17"/>
          <w:i w:val="1"/>
          <w:iCs w:val="1"/>
          <w:color w:val="auto"/>
        </w:rPr>
        <w:t xml:space="preserve"> Grand Theft Auto Online</w:t>
      </w:r>
      <w:r>
        <w:rPr>
          <w:rFonts w:ascii="Arial" w:cs="Arial" w:eastAsia="Arial" w:hAnsi="Arial"/>
          <w:sz w:val="17"/>
          <w:szCs w:val="17"/>
          <w:color w:val="auto"/>
        </w:rPr>
        <w:t>, partially offset by lower revenues from</w:t>
      </w:r>
      <w:r>
        <w:rPr>
          <w:rFonts w:ascii="Arial" w:cs="Arial" w:eastAsia="Arial" w:hAnsi="Arial"/>
          <w:sz w:val="17"/>
          <w:szCs w:val="17"/>
          <w:i w:val="1"/>
          <w:iCs w:val="1"/>
          <w:color w:val="auto"/>
        </w:rPr>
        <w:t xml:space="preserve"> Evolve</w:t>
      </w:r>
      <w:r>
        <w:rPr>
          <w:rFonts w:ascii="Arial" w:cs="Arial" w:eastAsia="Arial" w:hAnsi="Arial"/>
          <w:sz w:val="17"/>
          <w:szCs w:val="17"/>
          <w:color w:val="auto"/>
        </w:rPr>
        <w:t>. Recurrent consumer spending</w:t>
      </w:r>
      <w:r>
        <w:rPr>
          <w:rFonts w:ascii="Arial" w:cs="Arial" w:eastAsia="Arial" w:hAnsi="Arial"/>
          <w:sz w:val="17"/>
          <w:szCs w:val="17"/>
          <w:i w:val="1"/>
          <w:iCs w:val="1"/>
          <w:color w:val="auto"/>
        </w:rPr>
        <w:t xml:space="preserve"> </w:t>
      </w:r>
      <w:r>
        <w:rPr>
          <w:rFonts w:ascii="Arial" w:cs="Arial" w:eastAsia="Arial" w:hAnsi="Arial"/>
          <w:sz w:val="17"/>
          <w:szCs w:val="17"/>
          <w:color w:val="auto"/>
        </w:rPr>
        <w:t xml:space="preserve">(including virtual currency, add-on content, and microtransactions) increased by $97.2 million and accounted for 49.8% of net revenue from digital online channels for the fiscal year ended March 31, 2017, as compared to 51.8% for the prior year. The increase in recurrent consumer spending was due primarily to higher virtual currency net revenues from our </w:t>
      </w:r>
      <w:r>
        <w:rPr>
          <w:rFonts w:ascii="Arial" w:cs="Arial" w:eastAsia="Arial" w:hAnsi="Arial"/>
          <w:sz w:val="17"/>
          <w:szCs w:val="17"/>
          <w:i w:val="1"/>
          <w:iCs w:val="1"/>
          <w:color w:val="auto"/>
        </w:rPr>
        <w:t>NBA 2K</w:t>
      </w:r>
      <w:r>
        <w:rPr>
          <w:rFonts w:ascii="Arial" w:cs="Arial" w:eastAsia="Arial" w:hAnsi="Arial"/>
          <w:sz w:val="17"/>
          <w:szCs w:val="17"/>
          <w:color w:val="auto"/>
        </w:rPr>
        <w:t xml:space="preserve"> franchise. Net revenue from physical retail and other channels increased by 142.0 million and accounted for 48.2% of our total net revenues for the fiscal year ended March 31, 2017, as compared to 50.7% for the prior year. The increase in net revenue from physical retail and other channels was due primarily to higher net revenues from the current year release of </w:t>
      </w:r>
      <w:r>
        <w:rPr>
          <w:rFonts w:ascii="Arial" w:cs="Arial" w:eastAsia="Arial" w:hAnsi="Arial"/>
          <w:sz w:val="17"/>
          <w:szCs w:val="17"/>
          <w:i w:val="1"/>
          <w:iCs w:val="1"/>
          <w:color w:val="auto"/>
        </w:rPr>
        <w:t>Mafia III</w:t>
      </w:r>
      <w:r>
        <w:rPr>
          <w:rFonts w:ascii="Arial" w:cs="Arial" w:eastAsia="Arial" w:hAnsi="Arial"/>
          <w:sz w:val="17"/>
          <w:szCs w:val="17"/>
          <w:color w:val="auto"/>
        </w:rPr>
        <w:t xml:space="preserve"> and the performance of our </w:t>
      </w:r>
      <w:r>
        <w:rPr>
          <w:rFonts w:ascii="Arial" w:cs="Arial" w:eastAsia="Arial" w:hAnsi="Arial"/>
          <w:sz w:val="17"/>
          <w:szCs w:val="17"/>
          <w:i w:val="1"/>
          <w:iCs w:val="1"/>
          <w:color w:val="auto"/>
        </w:rPr>
        <w:t>NBA</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2K </w:t>
      </w:r>
      <w:r>
        <w:rPr>
          <w:rFonts w:ascii="Arial" w:cs="Arial" w:eastAsia="Arial" w:hAnsi="Arial"/>
          <w:sz w:val="17"/>
          <w:szCs w:val="17"/>
          <w:color w:val="auto"/>
        </w:rPr>
        <w:t>franchise, which was partially offset by lower net revenues from our</w:t>
      </w:r>
      <w:r>
        <w:rPr>
          <w:rFonts w:ascii="Arial" w:cs="Arial" w:eastAsia="Arial" w:hAnsi="Arial"/>
          <w:sz w:val="17"/>
          <w:szCs w:val="17"/>
          <w:i w:val="1"/>
          <w:iCs w:val="1"/>
          <w:color w:val="auto"/>
        </w:rPr>
        <w:t xml:space="preserve"> Grand Theft Auto </w:t>
      </w:r>
      <w:r>
        <w:rPr>
          <w:rFonts w:ascii="Arial" w:cs="Arial" w:eastAsia="Arial" w:hAnsi="Arial"/>
          <w:sz w:val="17"/>
          <w:szCs w:val="17"/>
          <w:color w:val="auto"/>
        </w:rPr>
        <w:t>franchise</w:t>
      </w:r>
      <w:r>
        <w:rPr>
          <w:rFonts w:ascii="Arial" w:cs="Arial" w:eastAsia="Arial" w:hAnsi="Arial"/>
          <w:sz w:val="17"/>
          <w:szCs w:val="17"/>
          <w:i w:val="1"/>
          <w:iCs w:val="1"/>
          <w:color w:val="auto"/>
        </w:rPr>
        <w:t>.</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color w:val="auto"/>
        </w:rPr>
        <w:t>Gross profit as a percentage of net revenue for the fiscal year ended March 31, 2017 was 42.5%, as compared to 42.4% in the prior year.</w:t>
      </w:r>
    </w:p>
    <w:p>
      <w:pPr>
        <w:spacing w:after="0" w:line="279"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 xml:space="preserve">Net revenue earned outside of the United States increased by $109.9 million and accounted for 43.9% of our total net revenue in the fiscal year ended March 31, 2017, as compared to 47.4%. The increase in net revenue was due primarily to an increase in net revenues from the current year release of </w:t>
      </w:r>
      <w:r>
        <w:rPr>
          <w:rFonts w:ascii="Arial" w:cs="Arial" w:eastAsia="Arial" w:hAnsi="Arial"/>
          <w:sz w:val="16"/>
          <w:szCs w:val="16"/>
          <w:i w:val="1"/>
          <w:iCs w:val="1"/>
          <w:color w:val="auto"/>
        </w:rPr>
        <w:t>Mafia</w:t>
      </w:r>
    </w:p>
    <w:p>
      <w:pPr>
        <w:jc w:val="both"/>
        <w:ind w:firstLine="8"/>
        <w:spacing w:after="0" w:line="255" w:lineRule="auto"/>
        <w:tabs>
          <w:tab w:leader="none" w:pos="225" w:val="left"/>
        </w:tabs>
        <w:numPr>
          <w:ilvl w:val="0"/>
          <w:numId w:val="10"/>
        </w:numPr>
        <w:rPr>
          <w:rFonts w:ascii="Arial" w:cs="Arial" w:eastAsia="Arial" w:hAnsi="Arial"/>
          <w:sz w:val="18"/>
          <w:szCs w:val="18"/>
          <w:i w:val="1"/>
          <w:iCs w:val="1"/>
          <w:color w:val="auto"/>
        </w:rPr>
      </w:pPr>
      <w:r>
        <w:rPr>
          <w:rFonts w:ascii="Arial" w:cs="Arial" w:eastAsia="Arial" w:hAnsi="Arial"/>
          <w:sz w:val="18"/>
          <w:szCs w:val="18"/>
          <w:color w:val="auto"/>
        </w:rPr>
        <w:t xml:space="preserve">and our </w:t>
      </w:r>
      <w:r>
        <w:rPr>
          <w:rFonts w:ascii="Arial" w:cs="Arial" w:eastAsia="Arial" w:hAnsi="Arial"/>
          <w:sz w:val="18"/>
          <w:szCs w:val="18"/>
          <w:i w:val="1"/>
          <w:iCs w:val="1"/>
          <w:color w:val="auto"/>
        </w:rPr>
        <w:t>NBA 2K</w:t>
      </w:r>
      <w:r>
        <w:rPr>
          <w:rFonts w:ascii="Arial" w:cs="Arial" w:eastAsia="Arial" w:hAnsi="Arial"/>
          <w:sz w:val="18"/>
          <w:szCs w:val="18"/>
          <w:color w:val="auto"/>
        </w:rPr>
        <w:t xml:space="preserve"> franchise outside of the United States, which was partially offset by lower net revenues from our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franchise. Changes in foreign currency exchange rates decreased net revenue and gross profit by $18.7 million and $8.1 million, respectively, in the fiscal year ended March 31, 2017 as compared to the prior year.</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285"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3780" w:type="dxa"/>
            <w:vAlign w:val="bottom"/>
            <w:vMerge w:val="restart"/>
          </w:tcPr>
          <w:p>
            <w:pPr>
              <w:ind w:left="20"/>
              <w:spacing w:after="0"/>
              <w:rPr>
                <w:sz w:val="20"/>
                <w:szCs w:val="20"/>
                <w:color w:val="auto"/>
              </w:rPr>
            </w:pPr>
            <w:r>
              <w:rPr>
                <w:rFonts w:ascii="Arial" w:cs="Arial" w:eastAsia="Arial" w:hAnsi="Arial"/>
                <w:sz w:val="14"/>
                <w:szCs w:val="14"/>
                <w:b w:val="1"/>
                <w:bCs w:val="1"/>
                <w:color w:val="auto"/>
              </w:rPr>
              <w:t>(thousands of dollars)</w:t>
            </w:r>
          </w:p>
        </w:tc>
        <w:tc>
          <w:tcPr>
            <w:tcW w:w="100" w:type="dxa"/>
            <w:vAlign w:val="bottom"/>
            <w:vMerge w:val="restart"/>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vMerge w:val="restart"/>
          </w:tcPr>
          <w:p>
            <w:pPr>
              <w:jc w:val="right"/>
              <w:ind w:right="333"/>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4"/>
                <w:szCs w:val="14"/>
                <w:color w:val="auto"/>
              </w:rPr>
            </w:pPr>
          </w:p>
        </w:tc>
        <w:tc>
          <w:tcPr>
            <w:tcW w:w="1180" w:type="dxa"/>
            <w:vAlign w:val="bottom"/>
            <w:gridSpan w:val="2"/>
          </w:tcPr>
          <w:p>
            <w:pPr>
              <w:ind w:left="280"/>
              <w:spacing w:after="0"/>
              <w:rPr>
                <w:sz w:val="20"/>
                <w:szCs w:val="20"/>
                <w:color w:val="auto"/>
              </w:rPr>
            </w:pPr>
            <w:r>
              <w:rPr>
                <w:rFonts w:ascii="Arial" w:cs="Arial" w:eastAsia="Arial" w:hAnsi="Arial"/>
                <w:sz w:val="14"/>
                <w:szCs w:val="14"/>
                <w:b w:val="1"/>
                <w:bCs w:val="1"/>
                <w:color w:val="auto"/>
              </w:rPr>
              <w:t>% of net</w:t>
            </w:r>
          </w:p>
        </w:tc>
        <w:tc>
          <w:tcPr>
            <w:tcW w:w="280" w:type="dxa"/>
            <w:vAlign w:val="bottom"/>
          </w:tcPr>
          <w:p>
            <w:pPr>
              <w:spacing w:after="0"/>
              <w:rPr>
                <w:sz w:val="14"/>
                <w:szCs w:val="14"/>
                <w:color w:val="auto"/>
              </w:rPr>
            </w:pPr>
          </w:p>
        </w:tc>
        <w:tc>
          <w:tcPr>
            <w:tcW w:w="840" w:type="dxa"/>
            <w:vAlign w:val="bottom"/>
            <w:vMerge w:val="restart"/>
          </w:tcPr>
          <w:p>
            <w:pPr>
              <w:jc w:val="right"/>
              <w:ind w:right="333"/>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4"/>
                <w:szCs w:val="14"/>
                <w:color w:val="auto"/>
              </w:rPr>
            </w:pPr>
          </w:p>
        </w:tc>
        <w:tc>
          <w:tcPr>
            <w:tcW w:w="1160" w:type="dxa"/>
            <w:vAlign w:val="bottom"/>
            <w:gridSpan w:val="2"/>
          </w:tcPr>
          <w:p>
            <w:pPr>
              <w:ind w:left="260"/>
              <w:spacing w:after="0"/>
              <w:rPr>
                <w:sz w:val="20"/>
                <w:szCs w:val="20"/>
                <w:color w:val="auto"/>
              </w:rPr>
            </w:pPr>
            <w:r>
              <w:rPr>
                <w:rFonts w:ascii="Arial" w:cs="Arial" w:eastAsia="Arial" w:hAnsi="Arial"/>
                <w:sz w:val="14"/>
                <w:szCs w:val="14"/>
                <w:b w:val="1"/>
                <w:bCs w:val="1"/>
                <w:color w:val="auto"/>
              </w:rPr>
              <w:t>% of net</w:t>
            </w:r>
          </w:p>
        </w:tc>
        <w:tc>
          <w:tcPr>
            <w:tcW w:w="12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w w:val="90"/>
              </w:rPr>
              <w:t>Increase/(decrease)</w:t>
            </w:r>
          </w:p>
        </w:tc>
        <w:tc>
          <w:tcPr>
            <w:tcW w:w="120" w:type="dxa"/>
            <w:vAlign w:val="bottom"/>
            <w:vMerge w:val="restart"/>
          </w:tcPr>
          <w:p>
            <w:pPr>
              <w:spacing w:after="0"/>
              <w:rPr>
                <w:sz w:val="14"/>
                <w:szCs w:val="14"/>
                <w:color w:val="auto"/>
              </w:rPr>
            </w:pPr>
          </w:p>
        </w:tc>
        <w:tc>
          <w:tcPr>
            <w:tcW w:w="1340" w:type="dxa"/>
            <w:vAlign w:val="bottom"/>
          </w:tcPr>
          <w:p>
            <w:pPr>
              <w:jc w:val="right"/>
              <w:ind w:right="514"/>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2"/>
        </w:trPr>
        <w:tc>
          <w:tcPr>
            <w:tcW w:w="37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80" w:type="dxa"/>
            <w:vAlign w:val="bottom"/>
            <w:tcBorders>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revenue</w:t>
            </w:r>
          </w:p>
        </w:tc>
        <w:tc>
          <w:tcPr>
            <w:tcW w:w="1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60" w:type="dxa"/>
            <w:vAlign w:val="bottom"/>
            <w:tcBorders>
              <w:bottom w:val="single" w:sz="8" w:color="auto"/>
            </w:tcBorders>
          </w:tcPr>
          <w:p>
            <w:pPr>
              <w:jc w:val="right"/>
              <w:ind w:right="194"/>
              <w:spacing w:after="0"/>
              <w:rPr>
                <w:sz w:val="20"/>
                <w:szCs w:val="20"/>
                <w:color w:val="auto"/>
              </w:rPr>
            </w:pPr>
            <w:r>
              <w:rPr>
                <w:rFonts w:ascii="Arial" w:cs="Arial" w:eastAsia="Arial" w:hAnsi="Arial"/>
                <w:sz w:val="14"/>
                <w:szCs w:val="14"/>
                <w:b w:val="1"/>
                <w:bCs w:val="1"/>
                <w:color w:val="auto"/>
              </w:rPr>
              <w:t>revenue</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gridSpan w:val="2"/>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Increase/(decrease)</w:t>
            </w:r>
          </w:p>
        </w:tc>
        <w:tc>
          <w:tcPr>
            <w:tcW w:w="0" w:type="dxa"/>
            <w:vAlign w:val="bottom"/>
          </w:tcPr>
          <w:p>
            <w:pPr>
              <w:spacing w:after="0"/>
              <w:rPr>
                <w:sz w:val="1"/>
                <w:szCs w:val="1"/>
                <w:color w:val="auto"/>
              </w:rPr>
            </w:pPr>
          </w:p>
        </w:tc>
      </w:tr>
      <w:tr>
        <w:trPr>
          <w:trHeight w:val="250"/>
        </w:trPr>
        <w:tc>
          <w:tcPr>
            <w:tcW w:w="38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Selling and marketing</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8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b w:val="1"/>
                <w:bCs w:val="1"/>
                <w:color w:val="auto"/>
              </w:rPr>
              <w:t>285,453</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16.0%</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198,309</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87,144</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43.9 %</w:t>
            </w:r>
          </w:p>
        </w:tc>
        <w:tc>
          <w:tcPr>
            <w:tcW w:w="0" w:type="dxa"/>
            <w:vAlign w:val="bottom"/>
          </w:tcPr>
          <w:p>
            <w:pPr>
              <w:spacing w:after="0"/>
              <w:rPr>
                <w:sz w:val="1"/>
                <w:szCs w:val="1"/>
                <w:color w:val="auto"/>
              </w:rPr>
            </w:pPr>
          </w:p>
        </w:tc>
      </w:tr>
      <w:tr>
        <w:trPr>
          <w:trHeight w:val="243"/>
        </w:trPr>
        <w:tc>
          <w:tcPr>
            <w:tcW w:w="3880" w:type="dxa"/>
            <w:vAlign w:val="bottom"/>
            <w:gridSpan w:val="2"/>
          </w:tcPr>
          <w:p>
            <w:pPr>
              <w:ind w:left="160"/>
              <w:spacing w:after="0"/>
              <w:rPr>
                <w:sz w:val="20"/>
                <w:szCs w:val="20"/>
                <w:color w:val="auto"/>
              </w:rPr>
            </w:pPr>
            <w:r>
              <w:rPr>
                <w:rFonts w:ascii="Arial" w:cs="Arial" w:eastAsia="Arial" w:hAnsi="Arial"/>
                <w:sz w:val="18"/>
                <w:szCs w:val="18"/>
                <w:color w:val="auto"/>
              </w:rPr>
              <w:t>General and administrative</w:t>
            </w:r>
          </w:p>
        </w:tc>
        <w:tc>
          <w:tcPr>
            <w:tcW w:w="260" w:type="dxa"/>
            <w:vAlign w:val="bottom"/>
          </w:tcPr>
          <w:p>
            <w:pPr>
              <w:spacing w:after="0"/>
              <w:rPr>
                <w:sz w:val="21"/>
                <w:szCs w:val="21"/>
                <w:color w:val="auto"/>
              </w:rPr>
            </w:pPr>
          </w:p>
        </w:tc>
        <w:tc>
          <w:tcPr>
            <w:tcW w:w="860" w:type="dxa"/>
            <w:vAlign w:val="bottom"/>
          </w:tcPr>
          <w:p>
            <w:pPr>
              <w:jc w:val="right"/>
              <w:ind w:right="33"/>
              <w:spacing w:after="0"/>
              <w:rPr>
                <w:sz w:val="20"/>
                <w:szCs w:val="20"/>
                <w:color w:val="auto"/>
              </w:rPr>
            </w:pPr>
            <w:r>
              <w:rPr>
                <w:rFonts w:ascii="Arial" w:cs="Arial" w:eastAsia="Arial" w:hAnsi="Arial"/>
                <w:sz w:val="18"/>
                <w:szCs w:val="18"/>
                <w:b w:val="1"/>
                <w:bCs w:val="1"/>
                <w:color w:val="auto"/>
              </w:rPr>
              <w:t>211,409</w:t>
            </w:r>
          </w:p>
        </w:tc>
        <w:tc>
          <w:tcPr>
            <w:tcW w:w="10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11.9%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840" w:type="dxa"/>
            <w:vAlign w:val="bottom"/>
          </w:tcPr>
          <w:p>
            <w:pPr>
              <w:jc w:val="right"/>
              <w:ind w:right="33"/>
              <w:spacing w:after="0"/>
              <w:rPr>
                <w:sz w:val="20"/>
                <w:szCs w:val="20"/>
                <w:color w:val="auto"/>
              </w:rPr>
            </w:pPr>
            <w:r>
              <w:rPr>
                <w:rFonts w:ascii="Arial" w:cs="Arial" w:eastAsia="Arial" w:hAnsi="Arial"/>
                <w:sz w:val="18"/>
                <w:szCs w:val="18"/>
                <w:color w:val="auto"/>
              </w:rPr>
              <w:t>192,452</w:t>
            </w:r>
          </w:p>
        </w:tc>
        <w:tc>
          <w:tcPr>
            <w:tcW w:w="1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13.6%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18,957</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9.9 %</w:t>
            </w:r>
          </w:p>
        </w:tc>
        <w:tc>
          <w:tcPr>
            <w:tcW w:w="0" w:type="dxa"/>
            <w:vAlign w:val="bottom"/>
          </w:tcPr>
          <w:p>
            <w:pPr>
              <w:spacing w:after="0"/>
              <w:rPr>
                <w:sz w:val="1"/>
                <w:szCs w:val="1"/>
                <w:color w:val="auto"/>
              </w:rPr>
            </w:pPr>
          </w:p>
        </w:tc>
      </w:tr>
      <w:tr>
        <w:trPr>
          <w:trHeight w:val="27"/>
        </w:trPr>
        <w:tc>
          <w:tcPr>
            <w:tcW w:w="3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8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Research and development</w:t>
            </w:r>
          </w:p>
        </w:tc>
        <w:tc>
          <w:tcPr>
            <w:tcW w:w="2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b w:val="1"/>
                <w:bCs w:val="1"/>
                <w:color w:val="auto"/>
              </w:rPr>
              <w:t>137,915</w:t>
            </w:r>
          </w:p>
        </w:tc>
        <w:tc>
          <w:tcPr>
            <w:tcW w:w="10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7.8%</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119,807</w:t>
            </w:r>
          </w:p>
        </w:tc>
        <w:tc>
          <w:tcPr>
            <w:tcW w:w="1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18,108</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15.1 %</w:t>
            </w:r>
          </w:p>
        </w:tc>
        <w:tc>
          <w:tcPr>
            <w:tcW w:w="0" w:type="dxa"/>
            <w:vAlign w:val="bottom"/>
          </w:tcPr>
          <w:p>
            <w:pPr>
              <w:spacing w:after="0"/>
              <w:rPr>
                <w:sz w:val="1"/>
                <w:szCs w:val="1"/>
                <w:color w:val="auto"/>
              </w:rPr>
            </w:pPr>
          </w:p>
        </w:tc>
      </w:tr>
      <w:tr>
        <w:trPr>
          <w:trHeight w:val="243"/>
        </w:trPr>
        <w:tc>
          <w:tcPr>
            <w:tcW w:w="3880" w:type="dxa"/>
            <w:vAlign w:val="bottom"/>
            <w:gridSpan w:val="2"/>
          </w:tcPr>
          <w:p>
            <w:pPr>
              <w:ind w:left="160"/>
              <w:spacing w:after="0"/>
              <w:rPr>
                <w:sz w:val="20"/>
                <w:szCs w:val="20"/>
                <w:color w:val="auto"/>
              </w:rPr>
            </w:pPr>
            <w:r>
              <w:rPr>
                <w:rFonts w:ascii="Arial" w:cs="Arial" w:eastAsia="Arial" w:hAnsi="Arial"/>
                <w:sz w:val="18"/>
                <w:szCs w:val="18"/>
                <w:color w:val="auto"/>
              </w:rPr>
              <w:t>Business reorganization</w:t>
            </w:r>
          </w:p>
        </w:tc>
        <w:tc>
          <w:tcPr>
            <w:tcW w:w="260" w:type="dxa"/>
            <w:vAlign w:val="bottom"/>
          </w:tcPr>
          <w:p>
            <w:pPr>
              <w:spacing w:after="0"/>
              <w:rPr>
                <w:sz w:val="21"/>
                <w:szCs w:val="21"/>
                <w:color w:val="auto"/>
              </w:rPr>
            </w:pPr>
          </w:p>
        </w:tc>
        <w:tc>
          <w:tcPr>
            <w:tcW w:w="96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180" w:type="dxa"/>
            <w:vAlign w:val="bottom"/>
            <w:gridSpan w:val="2"/>
          </w:tcPr>
          <w:p>
            <w:pPr>
              <w:jc w:val="right"/>
              <w:ind w:right="140"/>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21"/>
                <w:szCs w:val="21"/>
                <w:color w:val="auto"/>
              </w:rPr>
            </w:pPr>
          </w:p>
        </w:tc>
        <w:tc>
          <w:tcPr>
            <w:tcW w:w="840" w:type="dxa"/>
            <w:vAlign w:val="bottom"/>
          </w:tcPr>
          <w:p>
            <w:pPr>
              <w:jc w:val="right"/>
              <w:ind w:right="33"/>
              <w:spacing w:after="0"/>
              <w:rPr>
                <w:sz w:val="20"/>
                <w:szCs w:val="20"/>
                <w:color w:val="auto"/>
              </w:rPr>
            </w:pPr>
            <w:r>
              <w:rPr>
                <w:rFonts w:ascii="Arial" w:cs="Arial" w:eastAsia="Arial" w:hAnsi="Arial"/>
                <w:sz w:val="18"/>
                <w:szCs w:val="18"/>
                <w:color w:val="auto"/>
              </w:rPr>
              <w:t>71,285</w:t>
            </w:r>
          </w:p>
        </w:tc>
        <w:tc>
          <w:tcPr>
            <w:tcW w:w="1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5.1%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(71,285)</w:t>
            </w:r>
          </w:p>
        </w:tc>
        <w:tc>
          <w:tcPr>
            <w:tcW w:w="120" w:type="dxa"/>
            <w:vAlign w:val="bottom"/>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(100.0)%</w:t>
            </w:r>
          </w:p>
        </w:tc>
        <w:tc>
          <w:tcPr>
            <w:tcW w:w="0" w:type="dxa"/>
            <w:vAlign w:val="bottom"/>
          </w:tcPr>
          <w:p>
            <w:pPr>
              <w:spacing w:after="0"/>
              <w:rPr>
                <w:sz w:val="1"/>
                <w:szCs w:val="1"/>
                <w:color w:val="auto"/>
              </w:rPr>
            </w:pPr>
          </w:p>
        </w:tc>
      </w:tr>
      <w:tr>
        <w:trPr>
          <w:trHeight w:val="27"/>
        </w:trPr>
        <w:tc>
          <w:tcPr>
            <w:tcW w:w="3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880" w:type="dxa"/>
            <w:vAlign w:val="bottom"/>
            <w:tcBorders>
              <w:bottom w:val="single" w:sz="8" w:color="CCEEFF"/>
            </w:tcBorders>
            <w:gridSpan w:val="2"/>
            <w:shd w:val="clear" w:color="auto" w:fill="CCEEFF"/>
          </w:tcPr>
          <w:p>
            <w:pPr>
              <w:ind w:left="160"/>
              <w:spacing w:after="0"/>
              <w:rPr>
                <w:sz w:val="20"/>
                <w:szCs w:val="20"/>
                <w:color w:val="auto"/>
              </w:rPr>
            </w:pPr>
            <w:r>
              <w:rPr>
                <w:rFonts w:ascii="Arial" w:cs="Arial" w:eastAsia="Arial" w:hAnsi="Arial"/>
                <w:sz w:val="18"/>
                <w:szCs w:val="18"/>
                <w:color w:val="auto"/>
              </w:rPr>
              <w:t>Depreciation and amortization</w:t>
            </w:r>
          </w:p>
        </w:tc>
        <w:tc>
          <w:tcPr>
            <w:tcW w:w="26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b w:val="1"/>
                <w:bCs w:val="1"/>
                <w:color w:val="auto"/>
              </w:rPr>
              <w:t>30,707</w:t>
            </w:r>
          </w:p>
        </w:tc>
        <w:tc>
          <w:tcPr>
            <w:tcW w:w="1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8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28,800</w:t>
            </w:r>
          </w:p>
        </w:tc>
        <w:tc>
          <w:tcPr>
            <w:tcW w:w="1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1,907</w:t>
            </w:r>
          </w:p>
        </w:tc>
        <w:tc>
          <w:tcPr>
            <w:tcW w:w="120" w:type="dxa"/>
            <w:vAlign w:val="bottom"/>
            <w:tcBorders>
              <w:bottom w:val="single" w:sz="8" w:color="CCEEFF"/>
            </w:tcBorders>
            <w:shd w:val="clear" w:color="auto" w:fill="CCEEFF"/>
          </w:tcPr>
          <w:p>
            <w:pPr>
              <w:spacing w:after="0"/>
              <w:rPr>
                <w:sz w:val="23"/>
                <w:szCs w:val="23"/>
                <w:color w:val="auto"/>
              </w:rPr>
            </w:pPr>
          </w:p>
        </w:tc>
        <w:tc>
          <w:tcPr>
            <w:tcW w:w="13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6.6 %</w:t>
            </w:r>
          </w:p>
        </w:tc>
        <w:tc>
          <w:tcPr>
            <w:tcW w:w="0" w:type="dxa"/>
            <w:vAlign w:val="bottom"/>
          </w:tcPr>
          <w:p>
            <w:pPr>
              <w:spacing w:after="0"/>
              <w:rPr>
                <w:sz w:val="1"/>
                <w:szCs w:val="1"/>
                <w:color w:val="auto"/>
              </w:rPr>
            </w:pPr>
          </w:p>
        </w:tc>
      </w:tr>
      <w:tr>
        <w:trPr>
          <w:trHeight w:val="237"/>
        </w:trPr>
        <w:tc>
          <w:tcPr>
            <w:tcW w:w="3780" w:type="dxa"/>
            <w:vAlign w:val="bottom"/>
            <w:tcBorders>
              <w:top w:val="single" w:sz="8" w:color="auto"/>
            </w:tcBorders>
          </w:tcPr>
          <w:p>
            <w:pPr>
              <w:ind w:left="20"/>
              <w:spacing w:after="0"/>
              <w:rPr>
                <w:sz w:val="20"/>
                <w:szCs w:val="20"/>
                <w:color w:val="auto"/>
              </w:rPr>
            </w:pPr>
            <w:r>
              <w:rPr>
                <w:rFonts w:ascii="Arial" w:cs="Arial" w:eastAsia="Arial" w:hAnsi="Arial"/>
                <w:sz w:val="18"/>
                <w:szCs w:val="18"/>
                <w:b w:val="1"/>
                <w:bCs w:val="1"/>
                <w:color w:val="auto"/>
              </w:rPr>
              <w:t>Total operating expenses</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86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b w:val="1"/>
                <w:bCs w:val="1"/>
                <w:color w:val="auto"/>
              </w:rPr>
              <w:t>665,484</w:t>
            </w:r>
          </w:p>
        </w:tc>
        <w:tc>
          <w:tcPr>
            <w:tcW w:w="100" w:type="dxa"/>
            <w:vAlign w:val="bottom"/>
          </w:tcPr>
          <w:p>
            <w:pPr>
              <w:spacing w:after="0"/>
              <w:rPr>
                <w:sz w:val="20"/>
                <w:szCs w:val="20"/>
                <w:color w:val="auto"/>
              </w:rPr>
            </w:pP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37.4%</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610,653</w:t>
            </w:r>
          </w:p>
        </w:tc>
        <w:tc>
          <w:tcPr>
            <w:tcW w:w="100" w:type="dxa"/>
            <w:vAlign w:val="bottom"/>
          </w:tcPr>
          <w:p>
            <w:pPr>
              <w:spacing w:after="0"/>
              <w:rPr>
                <w:sz w:val="20"/>
                <w:szCs w:val="20"/>
                <w:color w:val="auto"/>
              </w:rPr>
            </w:pP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43.2%</w:t>
            </w:r>
          </w:p>
        </w:tc>
        <w:tc>
          <w:tcPr>
            <w:tcW w:w="100" w:type="dxa"/>
            <w:vAlign w:val="bottom"/>
          </w:tcPr>
          <w:p>
            <w:pPr>
              <w:spacing w:after="0"/>
              <w:rPr>
                <w:sz w:val="20"/>
                <w:szCs w:val="20"/>
                <w:color w:val="auto"/>
              </w:rPr>
            </w:pPr>
          </w:p>
        </w:tc>
        <w:tc>
          <w:tcPr>
            <w:tcW w:w="36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w:t>
            </w:r>
          </w:p>
        </w:tc>
        <w:tc>
          <w:tcPr>
            <w:tcW w:w="88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54,831</w:t>
            </w:r>
          </w:p>
        </w:tc>
        <w:tc>
          <w:tcPr>
            <w:tcW w:w="120" w:type="dxa"/>
            <w:vAlign w:val="bottom"/>
          </w:tcPr>
          <w:p>
            <w:pPr>
              <w:spacing w:after="0"/>
              <w:rPr>
                <w:sz w:val="20"/>
                <w:szCs w:val="20"/>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9.0 %</w:t>
            </w:r>
          </w:p>
        </w:tc>
        <w:tc>
          <w:tcPr>
            <w:tcW w:w="0" w:type="dxa"/>
            <w:vAlign w:val="bottom"/>
          </w:tcPr>
          <w:p>
            <w:pPr>
              <w:spacing w:after="0"/>
              <w:rPr>
                <w:sz w:val="1"/>
                <w:szCs w:val="1"/>
                <w:color w:val="auto"/>
              </w:rPr>
            </w:pPr>
          </w:p>
        </w:tc>
      </w:tr>
      <w:tr>
        <w:trPr>
          <w:trHeight w:val="27"/>
        </w:trPr>
        <w:tc>
          <w:tcPr>
            <w:tcW w:w="37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3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(1) Includes stock-based compensation expense, which was allocated as follows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04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b w:val="1"/>
                <w:bCs w:val="1"/>
                <w:color w:val="auto"/>
              </w:rPr>
              <w:t>2016</w:t>
            </w:r>
          </w:p>
        </w:tc>
      </w:tr>
      <w:tr>
        <w:trPr>
          <w:trHeight w:val="256"/>
        </w:trPr>
        <w:tc>
          <w:tcPr>
            <w:tcW w:w="3040" w:type="dxa"/>
            <w:vAlign w:val="bottom"/>
            <w:shd w:val="clear" w:color="auto" w:fill="CCEEFF"/>
          </w:tcPr>
          <w:p>
            <w:pPr>
              <w:ind w:left="40"/>
              <w:spacing w:after="0"/>
              <w:rPr>
                <w:sz w:val="20"/>
                <w:szCs w:val="20"/>
                <w:color w:val="auto"/>
              </w:rPr>
            </w:pPr>
            <w:r>
              <w:rPr>
                <w:rFonts w:ascii="Arial" w:cs="Arial" w:eastAsia="Arial" w:hAnsi="Arial"/>
                <w:sz w:val="14"/>
                <w:szCs w:val="14"/>
                <w:color w:val="auto"/>
              </w:rPr>
              <w:t>Selling and marketing</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9,963</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9,425</w:t>
            </w:r>
          </w:p>
        </w:tc>
      </w:tr>
      <w:tr>
        <w:trPr>
          <w:trHeight w:val="264"/>
        </w:trPr>
        <w:tc>
          <w:tcPr>
            <w:tcW w:w="3040" w:type="dxa"/>
            <w:vAlign w:val="bottom"/>
          </w:tcPr>
          <w:p>
            <w:pPr>
              <w:ind w:left="40"/>
              <w:spacing w:after="0"/>
              <w:rPr>
                <w:sz w:val="20"/>
                <w:szCs w:val="20"/>
                <w:color w:val="auto"/>
              </w:rPr>
            </w:pPr>
            <w:r>
              <w:rPr>
                <w:rFonts w:ascii="Arial" w:cs="Arial" w:eastAsia="Arial" w:hAnsi="Arial"/>
                <w:sz w:val="14"/>
                <w:szCs w:val="14"/>
                <w:color w:val="auto"/>
              </w:rPr>
              <w:t>General and administrative</w:t>
            </w:r>
          </w:p>
        </w:tc>
        <w:tc>
          <w:tcPr>
            <w:tcW w:w="220" w:type="dxa"/>
            <w:vAlign w:val="bottom"/>
          </w:tcPr>
          <w:p>
            <w:pPr>
              <w:jc w:val="right"/>
              <w:ind w:right="48"/>
              <w:spacing w:after="0"/>
              <w:rPr>
                <w:sz w:val="20"/>
                <w:szCs w:val="20"/>
                <w:color w:val="auto"/>
              </w:rPr>
            </w:pPr>
            <w:r>
              <w:rPr>
                <w:rFonts w:ascii="Arial" w:cs="Arial" w:eastAsia="Arial" w:hAnsi="Arial"/>
                <w:sz w:val="14"/>
                <w:szCs w:val="14"/>
                <w:b w:val="1"/>
                <w:bCs w:val="1"/>
                <w:color w:val="auto"/>
              </w:rPr>
              <w:t>$</w:t>
            </w:r>
          </w:p>
        </w:tc>
        <w:tc>
          <w:tcPr>
            <w:tcW w:w="760" w:type="dxa"/>
            <w:vAlign w:val="bottom"/>
          </w:tcPr>
          <w:p>
            <w:pPr>
              <w:jc w:val="right"/>
              <w:spacing w:after="0"/>
              <w:rPr>
                <w:sz w:val="20"/>
                <w:szCs w:val="20"/>
                <w:color w:val="auto"/>
              </w:rPr>
            </w:pPr>
            <w:r>
              <w:rPr>
                <w:rFonts w:ascii="Arial" w:cs="Arial" w:eastAsia="Arial" w:hAnsi="Arial"/>
                <w:sz w:val="14"/>
                <w:szCs w:val="14"/>
                <w:b w:val="1"/>
                <w:bCs w:val="1"/>
                <w:color w:val="auto"/>
              </w:rPr>
              <w:t>42,908</w:t>
            </w:r>
          </w:p>
        </w:tc>
        <w:tc>
          <w:tcPr>
            <w:tcW w:w="100" w:type="dxa"/>
            <w:vAlign w:val="bottom"/>
          </w:tcPr>
          <w:p>
            <w:pPr>
              <w:spacing w:after="0"/>
              <w:rPr>
                <w:sz w:val="22"/>
                <w:szCs w:val="22"/>
                <w:color w:val="auto"/>
              </w:rPr>
            </w:pPr>
          </w:p>
        </w:tc>
        <w:tc>
          <w:tcPr>
            <w:tcW w:w="220" w:type="dxa"/>
            <w:vAlign w:val="bottom"/>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tcPr>
          <w:p>
            <w:pPr>
              <w:jc w:val="right"/>
              <w:spacing w:after="0"/>
              <w:rPr>
                <w:sz w:val="20"/>
                <w:szCs w:val="20"/>
                <w:color w:val="auto"/>
              </w:rPr>
            </w:pPr>
            <w:r>
              <w:rPr>
                <w:rFonts w:ascii="Arial" w:cs="Arial" w:eastAsia="Arial" w:hAnsi="Arial"/>
                <w:sz w:val="14"/>
                <w:szCs w:val="14"/>
                <w:color w:val="auto"/>
              </w:rPr>
              <w:t>40,322</w:t>
            </w:r>
          </w:p>
        </w:tc>
      </w:tr>
      <w:tr>
        <w:trPr>
          <w:trHeight w:val="276"/>
        </w:trPr>
        <w:tc>
          <w:tcPr>
            <w:tcW w:w="3040" w:type="dxa"/>
            <w:vAlign w:val="bottom"/>
            <w:shd w:val="clear" w:color="auto" w:fill="CCEEFF"/>
          </w:tcPr>
          <w:p>
            <w:pPr>
              <w:ind w:left="40"/>
              <w:spacing w:after="0"/>
              <w:rPr>
                <w:sz w:val="20"/>
                <w:szCs w:val="20"/>
                <w:color w:val="auto"/>
              </w:rPr>
            </w:pPr>
            <w:r>
              <w:rPr>
                <w:rFonts w:ascii="Arial" w:cs="Arial" w:eastAsia="Arial" w:hAnsi="Arial"/>
                <w:sz w:val="14"/>
                <w:szCs w:val="14"/>
                <w:color w:val="auto"/>
              </w:rPr>
              <w:t>Research and development</w:t>
            </w: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b w:val="1"/>
                <w:bCs w:val="1"/>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7,952</w:t>
            </w:r>
          </w:p>
        </w:tc>
        <w:tc>
          <w:tcPr>
            <w:tcW w:w="100" w:type="dxa"/>
            <w:vAlign w:val="bottom"/>
            <w:shd w:val="clear" w:color="auto" w:fill="CCEEFF"/>
          </w:tcPr>
          <w:p>
            <w:pPr>
              <w:spacing w:after="0"/>
              <w:rPr>
                <w:sz w:val="24"/>
                <w:szCs w:val="24"/>
                <w:color w:val="auto"/>
              </w:rPr>
            </w:pPr>
          </w:p>
        </w:tc>
        <w:tc>
          <w:tcPr>
            <w:tcW w:w="2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4,926</w:t>
            </w:r>
          </w:p>
        </w:tc>
      </w:tr>
    </w:tbl>
    <w:p>
      <w:pPr>
        <w:spacing w:after="0" w:line="175" w:lineRule="exact"/>
        <w:rPr>
          <w:sz w:val="20"/>
          <w:szCs w:val="20"/>
          <w:color w:val="auto"/>
        </w:rPr>
      </w:pPr>
    </w:p>
    <w:p>
      <w:pPr>
        <w:spacing w:after="0"/>
        <w:rPr>
          <w:sz w:val="20"/>
          <w:szCs w:val="20"/>
          <w:color w:val="auto"/>
        </w:rPr>
      </w:pPr>
      <w:r>
        <w:rPr>
          <w:rFonts w:ascii="Arial" w:cs="Arial" w:eastAsia="Arial" w:hAnsi="Arial"/>
          <w:sz w:val="16"/>
          <w:szCs w:val="16"/>
          <w:color w:val="auto"/>
        </w:rPr>
        <w:t>Foreign currency exchange rates decreased total operating expenses by $11.4 million in the fiscal year ended March 31, 2017 as compared to the prior year.</w:t>
      </w: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Selling and marketing</w:t>
      </w:r>
    </w:p>
    <w:p>
      <w:pPr>
        <w:spacing w:after="0" w:line="27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Selling and marketing expenses increased by $87.1 million in the fiscal year ended March 31, 2017 as compared to the prior year, due primarily to $81.4 million in higher advertising expenses. Advertising expenses were higher in the current year due primarily</w:t>
      </w:r>
    </w:p>
    <w:p>
      <w:pPr>
        <w:sectPr>
          <w:pgSz w:w="11900" w:h="16838" w:orient="portrait"/>
          <w:cols w:equalWidth="0" w:num="1">
            <w:col w:w="11420"/>
          </w:cols>
          <w:pgMar w:left="240" w:top="719" w:right="239" w:bottom="1440" w:gutter="0" w:footer="0" w:header="0"/>
        </w:sect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33</w:t>
      </w:r>
    </w:p>
    <w:p>
      <w:pPr>
        <w:sectPr>
          <w:pgSz w:w="11900" w:h="16838" w:orient="portrait"/>
          <w:cols w:equalWidth="0" w:num="1">
            <w:col w:w="11420"/>
          </w:cols>
          <w:pgMar w:left="240" w:top="719" w:right="239" w:bottom="1440" w:gutter="0" w:footer="0" w:header="0"/>
          <w:type w:val="continuous"/>
        </w:sectPr>
      </w:pPr>
    </w:p>
    <w:bookmarkStart w:id="35" w:name="page36"/>
    <w:bookmarkEnd w:id="35"/>
    <w:p>
      <w:pPr>
        <w:jc w:val="both"/>
        <w:spacing w:after="0" w:line="277" w:lineRule="auto"/>
        <w:rPr>
          <w:sz w:val="20"/>
          <w:szCs w:val="20"/>
          <w:color w:val="auto"/>
        </w:rPr>
      </w:pPr>
      <w:r>
        <w:rPr>
          <w:rFonts w:ascii="Arial" w:cs="Arial" w:eastAsia="Arial" w:hAnsi="Arial"/>
          <w:sz w:val="18"/>
          <w:szCs w:val="18"/>
          <w:color w:val="auto"/>
        </w:rPr>
        <w:t xml:space="preserve">to the fiscal 2017 releases of </w:t>
      </w:r>
      <w:r>
        <w:rPr>
          <w:rFonts w:ascii="Arial" w:cs="Arial" w:eastAsia="Arial" w:hAnsi="Arial"/>
          <w:sz w:val="18"/>
          <w:szCs w:val="18"/>
          <w:i w:val="1"/>
          <w:iCs w:val="1"/>
          <w:color w:val="auto"/>
        </w:rPr>
        <w:t>Mafia III, Battleborn,</w:t>
      </w:r>
      <w:r>
        <w:rPr>
          <w:rFonts w:ascii="Arial" w:cs="Arial" w:eastAsia="Arial" w:hAnsi="Arial"/>
          <w:sz w:val="18"/>
          <w:szCs w:val="18"/>
          <w:color w:val="auto"/>
        </w:rPr>
        <w:t xml:space="preserve"> and </w:t>
      </w:r>
      <w:r>
        <w:rPr>
          <w:rFonts w:ascii="Arial" w:cs="Arial" w:eastAsia="Arial" w:hAnsi="Arial"/>
          <w:sz w:val="18"/>
          <w:szCs w:val="18"/>
          <w:i w:val="1"/>
          <w:iCs w:val="1"/>
          <w:color w:val="auto"/>
        </w:rPr>
        <w:t>Civilization VI,</w:t>
      </w:r>
      <w:r>
        <w:rPr>
          <w:rFonts w:ascii="Arial" w:cs="Arial" w:eastAsia="Arial" w:hAnsi="Arial"/>
          <w:sz w:val="18"/>
          <w:szCs w:val="18"/>
          <w:color w:val="auto"/>
        </w:rPr>
        <w:t xml:space="preserve"> and </w:t>
      </w:r>
      <w:r>
        <w:rPr>
          <w:rFonts w:ascii="Arial" w:cs="Arial" w:eastAsia="Arial" w:hAnsi="Arial"/>
          <w:sz w:val="18"/>
          <w:szCs w:val="18"/>
          <w:i w:val="1"/>
          <w:iCs w:val="1"/>
          <w:color w:val="auto"/>
        </w:rPr>
        <w:t>BioShock: The Collection.</w:t>
      </w:r>
      <w:r>
        <w:rPr>
          <w:rFonts w:ascii="Arial" w:cs="Arial" w:eastAsia="Arial" w:hAnsi="Arial"/>
          <w:sz w:val="18"/>
          <w:szCs w:val="18"/>
          <w:color w:val="auto"/>
        </w:rPr>
        <w:t xml:space="preserve"> These were slightly offset by lower advertising expense for </w:t>
      </w:r>
      <w:r>
        <w:rPr>
          <w:rFonts w:ascii="Arial" w:cs="Arial" w:eastAsia="Arial" w:hAnsi="Arial"/>
          <w:sz w:val="18"/>
          <w:szCs w:val="18"/>
          <w:i w:val="1"/>
          <w:iCs w:val="1"/>
          <w:color w:val="auto"/>
        </w:rPr>
        <w:t>Grand Theft Auto V</w:t>
      </w:r>
      <w:r>
        <w:rPr>
          <w:rFonts w:ascii="Arial" w:cs="Arial" w:eastAsia="Arial" w:hAnsi="Arial"/>
          <w:sz w:val="18"/>
          <w:szCs w:val="18"/>
          <w:color w:val="auto"/>
        </w:rPr>
        <w:t xml:space="preserve"> and </w:t>
      </w:r>
      <w:r>
        <w:rPr>
          <w:rFonts w:ascii="Arial" w:cs="Arial" w:eastAsia="Arial" w:hAnsi="Arial"/>
          <w:sz w:val="18"/>
          <w:szCs w:val="18"/>
          <w:i w:val="1"/>
          <w:iCs w:val="1"/>
          <w:color w:val="auto"/>
        </w:rPr>
        <w:t>Grand Theft Auto Online.</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General and administrative</w:t>
      </w:r>
    </w:p>
    <w:p>
      <w:pPr>
        <w:spacing w:after="0" w:line="27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General and administrative expenses increased by $19.0 million for the fiscal year ended March 31, 2017, as compared to the prior year, due to increases in professional fees for our acquisition of Social Point and litigation related charges, stock compensation associated with our management agreement, expenses associated with unclaimed property, personnel expenses due to an increase in headcount, and external software costs.</w:t>
      </w:r>
    </w:p>
    <w:p>
      <w:pPr>
        <w:spacing w:after="0" w:line="22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General and administrative expenses for the fiscal years ended March 31, 2017 and 2016 include occupancy expense (primarily rent, utilities and office expenses) of $15.8 million and $17.2 million, respectively, related to our development studios.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Research and development</w:t>
      </w:r>
    </w:p>
    <w:p>
      <w:pPr>
        <w:spacing w:after="0" w:line="279"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Research and development expenses increased by $18.1 million for the fiscal year ended March 31, 2017, as compared to the prior year, due primarily to higher production expenses for new titles in development that have not reached technological feasibility as well as higher personnel expenses related to employees in our development studios.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Business Reorganization</w:t>
      </w:r>
    </w:p>
    <w:p>
      <w:pPr>
        <w:spacing w:after="0" w:line="27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Business reorganization expense decreased by $71.3 million for the fiscal year ended March 31, 2017, as compared to the prior year. During the fiscal year ended March 31, 2016, we incurred business reorganization expenses of $71.3 million due primarily to employee separation costs in connection with reorganizing one development studio and closing two development studios. Through March 31, 2017, we have paid $5.4 million related to these reorganization activities and $65.9 million remains accrued for in Accrued expenses and other current liabilities. See Note 20 to the Consolidated Financial Statements.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Depreciation and amortization</w:t>
      </w:r>
    </w:p>
    <w:p>
      <w:pPr>
        <w:spacing w:after="0" w:line="27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Depreciation and amortization expenses increased by $1.9 million for the fiscal year ended March 31, 2017, as compared to the prior year, due primarily to higher purchases of fixed assets for information technology infrastructure and studio build-outs as well as the amortization of intangible assets related to our acquisition of Social Point.</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Interest and other, net</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0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(thousands of dollars)</w:t>
            </w:r>
          </w:p>
        </w:tc>
        <w:tc>
          <w:tcPr>
            <w:tcW w:w="120" w:type="dxa"/>
            <w:vAlign w:val="bottom"/>
            <w:vMerge w:val="restart"/>
          </w:tcPr>
          <w:p>
            <w:pPr>
              <w:spacing w:after="0"/>
              <w:rPr>
                <w:sz w:val="14"/>
                <w:szCs w:val="14"/>
                <w:color w:val="auto"/>
              </w:rPr>
            </w:pPr>
          </w:p>
        </w:tc>
        <w:tc>
          <w:tcPr>
            <w:tcW w:w="260" w:type="dxa"/>
            <w:vAlign w:val="bottom"/>
          </w:tcPr>
          <w:p>
            <w:pPr>
              <w:spacing w:after="0"/>
              <w:rPr>
                <w:sz w:val="14"/>
                <w:szCs w:val="14"/>
                <w:color w:val="auto"/>
              </w:rPr>
            </w:pPr>
          </w:p>
        </w:tc>
        <w:tc>
          <w:tcPr>
            <w:tcW w:w="860" w:type="dxa"/>
            <w:vAlign w:val="bottom"/>
            <w:vMerge w:val="restart"/>
          </w:tcPr>
          <w:p>
            <w:pPr>
              <w:jc w:val="right"/>
              <w:ind w:right="334"/>
              <w:spacing w:after="0"/>
              <w:rPr>
                <w:sz w:val="20"/>
                <w:szCs w:val="20"/>
                <w:color w:val="auto"/>
              </w:rPr>
            </w:pPr>
            <w:r>
              <w:rPr>
                <w:rFonts w:ascii="Arial" w:cs="Arial" w:eastAsia="Arial" w:hAnsi="Arial"/>
                <w:sz w:val="14"/>
                <w:szCs w:val="14"/>
                <w:b w:val="1"/>
                <w:bCs w:val="1"/>
                <w:color w:val="auto"/>
              </w:rPr>
              <w:t>2017</w:t>
            </w:r>
          </w:p>
        </w:tc>
        <w:tc>
          <w:tcPr>
            <w:tcW w:w="100" w:type="dxa"/>
            <w:vAlign w:val="bottom"/>
          </w:tcPr>
          <w:p>
            <w:pPr>
              <w:spacing w:after="0"/>
              <w:rPr>
                <w:sz w:val="14"/>
                <w:szCs w:val="14"/>
                <w:color w:val="auto"/>
              </w:rPr>
            </w:pPr>
          </w:p>
        </w:tc>
        <w:tc>
          <w:tcPr>
            <w:tcW w:w="1160" w:type="dxa"/>
            <w:vAlign w:val="bottom"/>
            <w:gridSpan w:val="2"/>
          </w:tcPr>
          <w:p>
            <w:pPr>
              <w:ind w:left="260"/>
              <w:spacing w:after="0"/>
              <w:rPr>
                <w:sz w:val="20"/>
                <w:szCs w:val="20"/>
                <w:color w:val="auto"/>
              </w:rPr>
            </w:pPr>
            <w:r>
              <w:rPr>
                <w:rFonts w:ascii="Arial" w:cs="Arial" w:eastAsia="Arial" w:hAnsi="Arial"/>
                <w:sz w:val="14"/>
                <w:szCs w:val="14"/>
                <w:b w:val="1"/>
                <w:bCs w:val="1"/>
                <w:color w:val="auto"/>
              </w:rPr>
              <w:t>% of net</w:t>
            </w:r>
          </w:p>
        </w:tc>
        <w:tc>
          <w:tcPr>
            <w:tcW w:w="260" w:type="dxa"/>
            <w:vAlign w:val="bottom"/>
          </w:tcPr>
          <w:p>
            <w:pPr>
              <w:spacing w:after="0"/>
              <w:rPr>
                <w:sz w:val="14"/>
                <w:szCs w:val="14"/>
                <w:color w:val="auto"/>
              </w:rPr>
            </w:pPr>
          </w:p>
        </w:tc>
        <w:tc>
          <w:tcPr>
            <w:tcW w:w="860" w:type="dxa"/>
            <w:vAlign w:val="bottom"/>
            <w:vMerge w:val="restart"/>
          </w:tcPr>
          <w:p>
            <w:pPr>
              <w:jc w:val="right"/>
              <w:ind w:right="334"/>
              <w:spacing w:after="0"/>
              <w:rPr>
                <w:sz w:val="20"/>
                <w:szCs w:val="20"/>
                <w:color w:val="auto"/>
              </w:rPr>
            </w:pPr>
            <w:r>
              <w:rPr>
                <w:rFonts w:ascii="Arial" w:cs="Arial" w:eastAsia="Arial" w:hAnsi="Arial"/>
                <w:sz w:val="14"/>
                <w:szCs w:val="14"/>
                <w:b w:val="1"/>
                <w:bCs w:val="1"/>
                <w:color w:val="auto"/>
              </w:rPr>
              <w:t>2016</w:t>
            </w:r>
          </w:p>
        </w:tc>
        <w:tc>
          <w:tcPr>
            <w:tcW w:w="100" w:type="dxa"/>
            <w:vAlign w:val="bottom"/>
          </w:tcPr>
          <w:p>
            <w:pPr>
              <w:spacing w:after="0"/>
              <w:rPr>
                <w:sz w:val="14"/>
                <w:szCs w:val="14"/>
                <w:color w:val="auto"/>
              </w:rPr>
            </w:pPr>
          </w:p>
        </w:tc>
        <w:tc>
          <w:tcPr>
            <w:tcW w:w="1220" w:type="dxa"/>
            <w:vAlign w:val="bottom"/>
            <w:gridSpan w:val="2"/>
          </w:tcPr>
          <w:p>
            <w:pPr>
              <w:ind w:left="300"/>
              <w:spacing w:after="0"/>
              <w:rPr>
                <w:sz w:val="20"/>
                <w:szCs w:val="20"/>
                <w:color w:val="auto"/>
              </w:rPr>
            </w:pPr>
            <w:r>
              <w:rPr>
                <w:rFonts w:ascii="Arial" w:cs="Arial" w:eastAsia="Arial" w:hAnsi="Arial"/>
                <w:sz w:val="14"/>
                <w:szCs w:val="14"/>
                <w:b w:val="1"/>
                <w:bCs w:val="1"/>
                <w:color w:val="auto"/>
              </w:rPr>
              <w:t>% of net</w:t>
            </w:r>
          </w:p>
        </w:tc>
        <w:tc>
          <w:tcPr>
            <w:tcW w:w="180" w:type="dxa"/>
            <w:vAlign w:val="bottom"/>
          </w:tcPr>
          <w:p>
            <w:pPr>
              <w:spacing w:after="0"/>
              <w:rPr>
                <w:sz w:val="14"/>
                <w:szCs w:val="14"/>
                <w:color w:val="auto"/>
              </w:rPr>
            </w:pPr>
          </w:p>
        </w:tc>
        <w:tc>
          <w:tcPr>
            <w:tcW w:w="1060" w:type="dxa"/>
            <w:vAlign w:val="bottom"/>
            <w:gridSpan w:val="2"/>
          </w:tcPr>
          <w:p>
            <w:pPr>
              <w:ind w:left="60"/>
              <w:spacing w:after="0"/>
              <w:rPr>
                <w:sz w:val="20"/>
                <w:szCs w:val="20"/>
                <w:color w:val="auto"/>
              </w:rPr>
            </w:pPr>
            <w:r>
              <w:rPr>
                <w:rFonts w:ascii="Arial" w:cs="Arial" w:eastAsia="Arial" w:hAnsi="Arial"/>
                <w:sz w:val="14"/>
                <w:szCs w:val="14"/>
                <w:b w:val="1"/>
                <w:bCs w:val="1"/>
                <w:color w:val="auto"/>
              </w:rPr>
              <w:t>(Increase)/</w:t>
            </w:r>
          </w:p>
        </w:tc>
        <w:tc>
          <w:tcPr>
            <w:tcW w:w="1240" w:type="dxa"/>
            <w:vAlign w:val="bottom"/>
          </w:tcPr>
          <w:p>
            <w:pPr>
              <w:jc w:val="right"/>
              <w:ind w:right="176"/>
              <w:spacing w:after="0"/>
              <w:rPr>
                <w:sz w:val="20"/>
                <w:szCs w:val="20"/>
                <w:color w:val="auto"/>
              </w:rPr>
            </w:pPr>
            <w:r>
              <w:rPr>
                <w:rFonts w:ascii="Arial" w:cs="Arial" w:eastAsia="Arial" w:hAnsi="Arial"/>
                <w:sz w:val="14"/>
                <w:szCs w:val="14"/>
                <w:b w:val="1"/>
                <w:bCs w:val="1"/>
                <w:color w:val="auto"/>
              </w:rPr>
              <w:t>% Increase/</w:t>
            </w:r>
          </w:p>
        </w:tc>
        <w:tc>
          <w:tcPr>
            <w:tcW w:w="0" w:type="dxa"/>
            <w:vAlign w:val="bottom"/>
          </w:tcPr>
          <w:p>
            <w:pPr>
              <w:spacing w:after="0"/>
              <w:rPr>
                <w:sz w:val="1"/>
                <w:szCs w:val="1"/>
                <w:color w:val="auto"/>
              </w:rPr>
            </w:pPr>
          </w:p>
        </w:tc>
      </w:tr>
      <w:tr>
        <w:trPr>
          <w:trHeight w:val="192"/>
        </w:trPr>
        <w:tc>
          <w:tcPr>
            <w:tcW w:w="40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tcPr>
          <w:p>
            <w:pPr>
              <w:jc w:val="right"/>
              <w:ind w:right="196"/>
              <w:spacing w:after="0"/>
              <w:rPr>
                <w:sz w:val="20"/>
                <w:szCs w:val="20"/>
                <w:color w:val="auto"/>
              </w:rPr>
            </w:pPr>
            <w:r>
              <w:rPr>
                <w:rFonts w:ascii="Arial" w:cs="Arial" w:eastAsia="Arial" w:hAnsi="Arial"/>
                <w:sz w:val="14"/>
                <w:szCs w:val="14"/>
                <w:b w:val="1"/>
                <w:bCs w:val="1"/>
                <w:color w:val="auto"/>
              </w:rPr>
              <w:t>revenue</w:t>
            </w: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12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revenue</w:t>
            </w:r>
          </w:p>
        </w:tc>
        <w:tc>
          <w:tcPr>
            <w:tcW w:w="10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jc w:val="right"/>
              <w:ind w:right="196"/>
              <w:spacing w:after="0"/>
              <w:rPr>
                <w:sz w:val="20"/>
                <w:szCs w:val="20"/>
                <w:color w:val="auto"/>
              </w:rPr>
            </w:pPr>
            <w:r>
              <w:rPr>
                <w:rFonts w:ascii="Arial" w:cs="Arial" w:eastAsia="Arial" w:hAnsi="Arial"/>
                <w:sz w:val="14"/>
                <w:szCs w:val="14"/>
                <w:b w:val="1"/>
                <w:bCs w:val="1"/>
                <w:color w:val="auto"/>
              </w:rPr>
              <w:t>decrease</w:t>
            </w:r>
          </w:p>
        </w:tc>
        <w:tc>
          <w:tcPr>
            <w:tcW w:w="12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tcPr>
          <w:p>
            <w:pPr>
              <w:jc w:val="right"/>
              <w:ind w:right="236"/>
              <w:spacing w:after="0"/>
              <w:rPr>
                <w:sz w:val="20"/>
                <w:szCs w:val="20"/>
                <w:color w:val="auto"/>
              </w:rPr>
            </w:pPr>
            <w:r>
              <w:rPr>
                <w:rFonts w:ascii="Arial" w:cs="Arial" w:eastAsia="Arial" w:hAnsi="Arial"/>
                <w:sz w:val="14"/>
                <w:szCs w:val="14"/>
                <w:b w:val="1"/>
                <w:bCs w:val="1"/>
                <w:color w:val="auto"/>
              </w:rPr>
              <w:t>(decrease)</w:t>
            </w:r>
          </w:p>
        </w:tc>
        <w:tc>
          <w:tcPr>
            <w:tcW w:w="0" w:type="dxa"/>
            <w:vAlign w:val="bottom"/>
          </w:tcPr>
          <w:p>
            <w:pPr>
              <w:spacing w:after="0"/>
              <w:rPr>
                <w:sz w:val="1"/>
                <w:szCs w:val="1"/>
                <w:color w:val="auto"/>
              </w:rPr>
            </w:pPr>
          </w:p>
        </w:tc>
      </w:tr>
      <w:tr>
        <w:trPr>
          <w:trHeight w:val="250"/>
        </w:trPr>
        <w:tc>
          <w:tcPr>
            <w:tcW w:w="41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Interest expense, net</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(21,700)</w:t>
            </w:r>
          </w:p>
        </w:tc>
        <w:tc>
          <w:tcPr>
            <w:tcW w:w="10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w:t>
            </w: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(29,239)</w:t>
            </w:r>
          </w:p>
        </w:tc>
        <w:tc>
          <w:tcPr>
            <w:tcW w:w="10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7,539</w:t>
            </w:r>
          </w:p>
        </w:tc>
        <w:tc>
          <w:tcPr>
            <w:tcW w:w="1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(25.8)%</w:t>
            </w:r>
          </w:p>
        </w:tc>
        <w:tc>
          <w:tcPr>
            <w:tcW w:w="0" w:type="dxa"/>
            <w:vAlign w:val="bottom"/>
          </w:tcPr>
          <w:p>
            <w:pPr>
              <w:spacing w:after="0"/>
              <w:rPr>
                <w:sz w:val="1"/>
                <w:szCs w:val="1"/>
                <w:color w:val="auto"/>
              </w:rPr>
            </w:pPr>
          </w:p>
        </w:tc>
      </w:tr>
      <w:tr>
        <w:trPr>
          <w:trHeight w:val="243"/>
        </w:trPr>
        <w:tc>
          <w:tcPr>
            <w:tcW w:w="4120" w:type="dxa"/>
            <w:vAlign w:val="bottom"/>
            <w:gridSpan w:val="2"/>
          </w:tcPr>
          <w:p>
            <w:pPr>
              <w:ind w:left="180"/>
              <w:spacing w:after="0"/>
              <w:rPr>
                <w:sz w:val="20"/>
                <w:szCs w:val="20"/>
                <w:color w:val="auto"/>
              </w:rPr>
            </w:pPr>
            <w:r>
              <w:rPr>
                <w:rFonts w:ascii="Arial" w:cs="Arial" w:eastAsia="Arial" w:hAnsi="Arial"/>
                <w:sz w:val="18"/>
                <w:szCs w:val="18"/>
                <w:color w:val="auto"/>
              </w:rPr>
              <w:t>Foreign currency exchange (loss) gain</w:t>
            </w:r>
          </w:p>
        </w:tc>
        <w:tc>
          <w:tcPr>
            <w:tcW w:w="260" w:type="dxa"/>
            <w:vAlign w:val="bottom"/>
          </w:tcPr>
          <w:p>
            <w:pPr>
              <w:spacing w:after="0"/>
              <w:rPr>
                <w:sz w:val="21"/>
                <w:szCs w:val="21"/>
                <w:color w:val="auto"/>
              </w:rPr>
            </w:pPr>
          </w:p>
        </w:tc>
        <w:tc>
          <w:tcPr>
            <w:tcW w:w="860" w:type="dxa"/>
            <w:vAlign w:val="bottom"/>
          </w:tcPr>
          <w:p>
            <w:pPr>
              <w:jc w:val="right"/>
              <w:ind w:right="34"/>
              <w:spacing w:after="0"/>
              <w:rPr>
                <w:sz w:val="20"/>
                <w:szCs w:val="20"/>
                <w:color w:val="auto"/>
              </w:rPr>
            </w:pPr>
            <w:r>
              <w:rPr>
                <w:rFonts w:ascii="Arial" w:cs="Arial" w:eastAsia="Arial" w:hAnsi="Arial"/>
                <w:sz w:val="18"/>
                <w:szCs w:val="18"/>
                <w:b w:val="1"/>
                <w:bCs w:val="1"/>
                <w:color w:val="auto"/>
              </w:rPr>
              <w:t>4,990</w:t>
            </w:r>
          </w:p>
        </w:tc>
        <w:tc>
          <w:tcPr>
            <w:tcW w:w="1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0.3 %</w:t>
            </w: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(1,407)</w:t>
            </w:r>
          </w:p>
        </w:tc>
        <w:tc>
          <w:tcPr>
            <w:tcW w:w="10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(0.1)%</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40" w:type="dxa"/>
            <w:vAlign w:val="bottom"/>
          </w:tcPr>
          <w:p>
            <w:pPr>
              <w:jc w:val="right"/>
              <w:ind w:right="16"/>
              <w:spacing w:after="0"/>
              <w:rPr>
                <w:sz w:val="20"/>
                <w:szCs w:val="20"/>
                <w:color w:val="auto"/>
              </w:rPr>
            </w:pPr>
            <w:r>
              <w:rPr>
                <w:rFonts w:ascii="Arial" w:cs="Arial" w:eastAsia="Arial" w:hAnsi="Arial"/>
                <w:sz w:val="18"/>
                <w:szCs w:val="18"/>
                <w:color w:val="auto"/>
              </w:rPr>
              <w:t>6,397</w:t>
            </w:r>
          </w:p>
        </w:tc>
        <w:tc>
          <w:tcPr>
            <w:tcW w:w="1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(454.7)%</w:t>
            </w:r>
          </w:p>
        </w:tc>
        <w:tc>
          <w:tcPr>
            <w:tcW w:w="0" w:type="dxa"/>
            <w:vAlign w:val="bottom"/>
          </w:tcPr>
          <w:p>
            <w:pPr>
              <w:spacing w:after="0"/>
              <w:rPr>
                <w:sz w:val="1"/>
                <w:szCs w:val="1"/>
                <w:color w:val="auto"/>
              </w:rPr>
            </w:pPr>
          </w:p>
        </w:tc>
      </w:tr>
      <w:tr>
        <w:trPr>
          <w:trHeight w:val="27"/>
        </w:trPr>
        <w:tc>
          <w:tcPr>
            <w:tcW w:w="4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12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Other</w:t>
            </w:r>
          </w:p>
        </w:tc>
        <w:tc>
          <w:tcPr>
            <w:tcW w:w="26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b w:val="1"/>
                <w:bCs w:val="1"/>
                <w:color w:val="auto"/>
              </w:rPr>
              <w:t>1,020</w:t>
            </w:r>
          </w:p>
        </w:tc>
        <w:tc>
          <w:tcPr>
            <w:tcW w:w="10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0.1 %</w:t>
            </w:r>
          </w:p>
        </w:tc>
        <w:tc>
          <w:tcPr>
            <w:tcW w:w="12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441</w:t>
            </w:r>
          </w:p>
        </w:tc>
        <w:tc>
          <w:tcPr>
            <w:tcW w:w="10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 %</w:t>
            </w:r>
          </w:p>
        </w:tc>
        <w:tc>
          <w:tcPr>
            <w:tcW w:w="18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579</w:t>
            </w:r>
          </w:p>
        </w:tc>
        <w:tc>
          <w:tcPr>
            <w:tcW w:w="12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131.3 %</w:t>
            </w:r>
          </w:p>
        </w:tc>
        <w:tc>
          <w:tcPr>
            <w:tcW w:w="0" w:type="dxa"/>
            <w:vAlign w:val="bottom"/>
          </w:tcPr>
          <w:p>
            <w:pPr>
              <w:spacing w:after="0"/>
              <w:rPr>
                <w:sz w:val="1"/>
                <w:szCs w:val="1"/>
                <w:color w:val="auto"/>
              </w:rPr>
            </w:pPr>
          </w:p>
        </w:tc>
      </w:tr>
      <w:tr>
        <w:trPr>
          <w:trHeight w:val="237"/>
        </w:trPr>
        <w:tc>
          <w:tcPr>
            <w:tcW w:w="400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Interest and other, net</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99"/>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(15,690)</w:t>
            </w:r>
          </w:p>
        </w:tc>
        <w:tc>
          <w:tcPr>
            <w:tcW w:w="100" w:type="dxa"/>
            <w:vAlign w:val="bottom"/>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(0.9)%</w:t>
            </w:r>
          </w:p>
        </w:tc>
        <w:tc>
          <w:tcPr>
            <w:tcW w:w="120" w:type="dxa"/>
            <w:vAlign w:val="bottom"/>
          </w:tcPr>
          <w:p>
            <w:pPr>
              <w:spacing w:after="0"/>
              <w:rPr>
                <w:sz w:val="20"/>
                <w:szCs w:val="20"/>
                <w:color w:val="auto"/>
              </w:rPr>
            </w:pP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(30,205)</w:t>
            </w:r>
          </w:p>
        </w:tc>
        <w:tc>
          <w:tcPr>
            <w:tcW w:w="100" w:type="dxa"/>
            <w:vAlign w:val="bottom"/>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w:t>
            </w:r>
          </w:p>
        </w:tc>
        <w:tc>
          <w:tcPr>
            <w:tcW w:w="10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14,515</w:t>
            </w:r>
          </w:p>
        </w:tc>
        <w:tc>
          <w:tcPr>
            <w:tcW w:w="120" w:type="dxa"/>
            <w:vAlign w:val="bottom"/>
          </w:tcPr>
          <w:p>
            <w:pPr>
              <w:spacing w:after="0"/>
              <w:rPr>
                <w:sz w:val="20"/>
                <w:szCs w:val="20"/>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(48.1)%</w:t>
            </w:r>
          </w:p>
        </w:tc>
        <w:tc>
          <w:tcPr>
            <w:tcW w:w="0" w:type="dxa"/>
            <w:vAlign w:val="bottom"/>
          </w:tcPr>
          <w:p>
            <w:pPr>
              <w:spacing w:after="0"/>
              <w:rPr>
                <w:sz w:val="1"/>
                <w:szCs w:val="1"/>
                <w:color w:val="auto"/>
              </w:rPr>
            </w:pPr>
          </w:p>
        </w:tc>
      </w:tr>
      <w:tr>
        <w:trPr>
          <w:trHeight w:val="27"/>
        </w:trPr>
        <w:tc>
          <w:tcPr>
            <w:tcW w:w="4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0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Interest and other, net was an expense of $15.7 million for the fiscal year ended March 31, 2017, as compared to an expense of $30.2 million for the fiscal year ended March 31, 2016. The decrease was due primarily to a $7.5 million decrease in interest expense, as our 1.75% Convertible Note due 2016 (the "1.75% Convertible Notes") settled in December 2016 and to foreign exchange gains.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Provision for (benefit from) income taxes</w:t>
      </w:r>
    </w:p>
    <w:p>
      <w:pPr>
        <w:spacing w:after="0" w:line="27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Income tax expense was $9.7 million for the fiscal year ended March 31, 2017 as compared to income tax benefit of $30.0 million for the fiscal year ended March 31, 2016. The increase in income tax expense was primarily attributable to a discrete tax benefit of approximately $26.4 million recognized in the previous year relating to a tax deduction and due to an increase in net income in the current year. Our effective rate differed from the federal statutory rate due primarily to changes in valuation allowances related to tax loss and tax credit carryforwards and mix of earnings. Our valuation allowances increased by $13.5 million during the fiscal year ended March 31, 2017 and increased by $37.1 million during the fiscal year ended March 31, 2016 due to changes in net operating loss and tax credit carryforwards.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(loss) and earnings (loss) per share</w:t>
      </w:r>
    </w:p>
    <w:p>
      <w:pPr>
        <w:spacing w:after="0" w:line="14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For the fiscal year ended March 31, 2017, our net income was $67.3 million, as compared to a net loss of $8.3 million in the prior year. Diluted earnings per share for the fiscal year ended March 31, 2017 was $0.72, as compared basic and diluted loss per share of $0.10 for the fiscal year ended March 31, 2016. Basic weighted average shares outstanding were higher compared to the prior</w:t>
      </w:r>
    </w:p>
    <w:p>
      <w:pPr>
        <w:sectPr>
          <w:pgSz w:w="11900" w:h="16838" w:orient="portrait"/>
          <w:cols w:equalWidth="0" w:num="1">
            <w:col w:w="11420"/>
          </w:cols>
          <w:pgMar w:left="240" w:top="719" w:right="239" w:bottom="1440" w:gutter="0" w:footer="0" w:header="0"/>
        </w:sect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34</w:t>
      </w:r>
    </w:p>
    <w:p>
      <w:pPr>
        <w:sectPr>
          <w:pgSz w:w="11900" w:h="16838" w:orient="portrait"/>
          <w:cols w:equalWidth="0" w:num="1">
            <w:col w:w="11420"/>
          </w:cols>
          <w:pgMar w:left="240" w:top="719" w:right="239" w:bottom="1440" w:gutter="0" w:footer="0" w:header="0"/>
          <w:type w:val="continuous"/>
        </w:sectPr>
      </w:pPr>
    </w:p>
    <w:bookmarkStart w:id="36" w:name="page37"/>
    <w:bookmarkEnd w:id="36"/>
    <w:p>
      <w:pPr>
        <w:jc w:val="both"/>
        <w:spacing w:after="0" w:line="264" w:lineRule="auto"/>
        <w:rPr>
          <w:sz w:val="20"/>
          <w:szCs w:val="20"/>
          <w:color w:val="auto"/>
        </w:rPr>
      </w:pPr>
      <w:r>
        <w:rPr>
          <w:rFonts w:ascii="Arial" w:cs="Arial" w:eastAsia="Arial" w:hAnsi="Arial"/>
          <w:sz w:val="18"/>
          <w:szCs w:val="18"/>
          <w:color w:val="auto"/>
        </w:rPr>
        <w:t>fiscal year due primarily to the issuance of 4.6 million shares for settlements of conversions our 1.00% Convertible Notes and our 1.75% Convertible Notes (together, the "Convertible Notes") and net stock-based compensation activity of 1.5 million shares. See Notes 1 and 12 to the Consolidated Financial Statements for additional information regarding earnings (loss) earnings per share.</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83" w:lineRule="exact"/>
        <w:rPr>
          <w:sz w:val="20"/>
          <w:szCs w:val="20"/>
          <w:color w:val="auto"/>
        </w:rPr>
      </w:pPr>
    </w:p>
    <w:p>
      <w:pPr>
        <w:spacing w:after="0"/>
        <w:rPr>
          <w:sz w:val="20"/>
          <w:szCs w:val="20"/>
          <w:color w:val="auto"/>
        </w:rPr>
      </w:pPr>
      <w:r>
        <w:rPr>
          <w:rFonts w:ascii="Arial" w:cs="Arial" w:eastAsia="Arial" w:hAnsi="Arial"/>
          <w:sz w:val="17"/>
          <w:szCs w:val="17"/>
          <w:color w:val="auto"/>
        </w:rPr>
        <w:t>Our primary cash requirements have been to fund (i) the development, manufacturing and marketing of our published products, (ii) working capital,</w:t>
      </w:r>
    </w:p>
    <w:p>
      <w:pPr>
        <w:spacing w:after="0" w:line="35" w:lineRule="exact"/>
        <w:rPr>
          <w:sz w:val="20"/>
          <w:szCs w:val="20"/>
          <w:color w:val="auto"/>
        </w:rPr>
      </w:pPr>
    </w:p>
    <w:p>
      <w:pPr>
        <w:ind w:right="20" w:firstLine="8"/>
        <w:spacing w:after="0" w:line="261" w:lineRule="auto"/>
        <w:tabs>
          <w:tab w:leader="none" w:pos="327" w:val="left"/>
        </w:tabs>
        <w:numPr>
          <w:ilvl w:val="0"/>
          <w:numId w:val="11"/>
        </w:numPr>
        <w:rPr>
          <w:rFonts w:ascii="Arial" w:cs="Arial" w:eastAsia="Arial" w:hAnsi="Arial"/>
          <w:sz w:val="18"/>
          <w:szCs w:val="18"/>
          <w:color w:val="auto"/>
        </w:rPr>
      </w:pPr>
      <w:r>
        <w:rPr>
          <w:rFonts w:ascii="Arial" w:cs="Arial" w:eastAsia="Arial" w:hAnsi="Arial"/>
          <w:sz w:val="18"/>
          <w:szCs w:val="18"/>
          <w:color w:val="auto"/>
        </w:rPr>
        <w:t>acquisitions and (iv) capital expenditures. We expect to rely on cash and cash equivalents as well as on short-term investments, funds provided by our operating activities, and our Credit Agreement to satisfy our working capital needs.</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Short-term Investments</w:t>
      </w:r>
    </w:p>
    <w:p>
      <w:pPr>
        <w:spacing w:after="0" w:line="27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As of March 31, 2018, we had $615.4 million of short-term investments, which are highly-liquid in nature and represent an investment of cash that is available for current operations. From time to time, we may purchase additional short-term investments depending on future market conditions and liquidity needs.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Agreement</w:t>
      </w:r>
    </w:p>
    <w:p>
      <w:pPr>
        <w:spacing w:after="0" w:line="144"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In December 2017, we entered into a Seventh Amendment to our Second Amended and Restated Credit Agreement (as amended, the “Credit Agreement”). The Credit Agreement provides for borrowings of up to $100.0 million which may be increased by up to $100.0 million pursuant to the terms of the Credit Agreement and which is secured by substantially all of our assets and the equity of our subsidiaries. The Credit Agreement expires on August 18, 2019. Revolving loans under the Credit Agreement bear interest at our election of (a) 0.25% to 0.75% above a certain base rate (4.75% at March 31, 2018), or</w:t>
      </w:r>
    </w:p>
    <w:p>
      <w:pPr>
        <w:spacing w:after="0" w:line="2" w:lineRule="exact"/>
        <w:rPr>
          <w:sz w:val="20"/>
          <w:szCs w:val="20"/>
          <w:color w:val="auto"/>
        </w:rPr>
      </w:pPr>
    </w:p>
    <w:p>
      <w:pPr>
        <w:jc w:val="both"/>
        <w:ind w:firstLine="8"/>
        <w:spacing w:after="0" w:line="255" w:lineRule="auto"/>
        <w:tabs>
          <w:tab w:leader="none" w:pos="268" w:val="left"/>
        </w:tabs>
        <w:numPr>
          <w:ilvl w:val="0"/>
          <w:numId w:val="12"/>
        </w:numPr>
        <w:rPr>
          <w:rFonts w:ascii="Arial" w:cs="Arial" w:eastAsia="Arial" w:hAnsi="Arial"/>
          <w:sz w:val="18"/>
          <w:szCs w:val="18"/>
          <w:color w:val="auto"/>
        </w:rPr>
      </w:pPr>
      <w:r>
        <w:rPr>
          <w:rFonts w:ascii="Arial" w:cs="Arial" w:eastAsia="Arial" w:hAnsi="Arial"/>
          <w:sz w:val="18"/>
          <w:szCs w:val="18"/>
          <w:color w:val="auto"/>
        </w:rPr>
        <w:t>1.25% to 1.75% above the LIBOR Rate (approximately 1.88% at March 31, 2018), with the margin rate subject to the achievement of certain average liquidity levels. We are also required to pay a monthly fee on the unused available balance, ranging from 0.25% to 0.375% based on availability. We had no outstanding borrowings at March 31, 2018 and 2017.</w:t>
      </w:r>
    </w:p>
    <w:p>
      <w:pPr>
        <w:spacing w:after="0" w:line="10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Availability under the Credit Agreement is unrestricted when liquidity, as defined in the Credit Agreement, is at least $300.0 million. When liquidity is below $300.0 million availability under the Credit Agreement is restricted by our United States and United Kingdom based accounts receivable and inventory balances. The Credit Agreement also allows for the issuance of letters of credit in an aggregate amount of up to $5.0 million.</w:t>
      </w:r>
    </w:p>
    <w:p>
      <w:pPr>
        <w:spacing w:after="0" w:line="22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March 31, 2018, there was $98.3 million available to borrow under the Credit Agreement and we had $1.7 million of letters of credit outstanding. At March 31, 2018 and 2017, we had no outstanding borrowings under the Credit Agreement.</w:t>
      </w:r>
    </w:p>
    <w:p>
      <w:pPr>
        <w:spacing w:after="0" w:line="224"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The Credit Agreement contains covenants that substantially limit our and our subsidiaries' ability to: create, incur, assume or be liable for indebtedness; dispose of assets outside the ordinary course of business; acquire, merge or consolidate with or into another person or entity; create, incur or allow any lien on any of their respective properties; make investments; or pay dividends or make distributions (each subject to certain limitations); or optionally prepay any indebtedness (subject to certain exceptions, including an exception permitting the redemption of the Company's unsecured convertible senior notes upon the meeting of certain minimum liquidity requirements). In addition, the Credit Agreement provides for certain events of default such as nonpayment of principal and interest, breaches of representations and warranties, noncompliance with covenants, acts of insolvency, default on indebtedness held by third parties and default on certain material contracts (subject to certain limitations and cure periods). The Credit Agreement also contains a requirement that we maintain an interest coverage ratio of more than one to one for the trailing twelve month period, if certain average liquidity levels fall below $30.0 million.</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1.00% Convertible Notes Due 2018</w:t>
      </w:r>
    </w:p>
    <w:p>
      <w:pPr>
        <w:spacing w:after="0" w:line="27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June 18, 2013, we issued $250.0 million aggregate principal amount of 1.00% Convertible Notes due 2018. The 1.00% Convertible Notes were issued at 98.5% of par value for proceeds of $246.3 million. Interest on the 1.00% Convertible Notes is payable semi-annually in arrears on July 1</w:t>
      </w:r>
      <w:r>
        <w:rPr>
          <w:rFonts w:ascii="Arial" w:cs="Arial" w:eastAsia="Arial" w:hAnsi="Arial"/>
          <w:sz w:val="14"/>
          <w:szCs w:val="14"/>
          <w:color w:val="auto"/>
        </w:rPr>
        <w:t>st</w:t>
      </w:r>
      <w:r>
        <w:rPr>
          <w:rFonts w:ascii="Arial" w:cs="Arial" w:eastAsia="Arial" w:hAnsi="Arial"/>
          <w:sz w:val="18"/>
          <w:szCs w:val="18"/>
          <w:color w:val="auto"/>
        </w:rPr>
        <w:t xml:space="preserve"> and January 1</w:t>
      </w:r>
      <w:r>
        <w:rPr>
          <w:rFonts w:ascii="Arial" w:cs="Arial" w:eastAsia="Arial" w:hAnsi="Arial"/>
          <w:sz w:val="14"/>
          <w:szCs w:val="14"/>
          <w:color w:val="auto"/>
        </w:rPr>
        <w:t>st</w:t>
      </w:r>
      <w:r>
        <w:rPr>
          <w:rFonts w:ascii="Arial" w:cs="Arial" w:eastAsia="Arial" w:hAnsi="Arial"/>
          <w:sz w:val="18"/>
          <w:szCs w:val="18"/>
          <w:color w:val="auto"/>
        </w:rPr>
        <w:t xml:space="preserve"> of each year, commencing on January 1, 2014. The 1.00% Convertible Notes mature on July 1, 2018, unless earlier repurchased by the Company or converted. We do not have the right to redeem the 1.00% Convertible Notes prior to maturity. We also granted the underwriters a 30-day option to purchase up to an additional $37.5 million principal amount of 1.00% Convertible Notes to cover overallotments, if any. On July 17, 2013, we closed our public offering of $37.5 million principal amount of our 1.00% Convertible Notes as a result of the underwriters exercising their overallotment option in full on July 12, 2013, bringing the total proceeds to $283.2 million.</w:t>
      </w:r>
    </w:p>
    <w:p>
      <w:pPr>
        <w:spacing w:after="0" w:line="24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1.00% Convertible Notes are convertible at an initial conversion rate of 46.4727 shares of our common stock per $1,000 principal amount of 1.00% Convertible Notes (representing an initial conversion price of approximately $21.52 per share of common stock for a total of approximately 13.4 million underlying conversion shares) subject to adjustment in certain circumstances.</w:t>
      </w:r>
    </w:p>
    <w:p>
      <w:pPr>
        <w:sectPr>
          <w:pgSz w:w="11900" w:h="16838" w:orient="portrait"/>
          <w:cols w:equalWidth="0" w:num="1">
            <w:col w:w="11420"/>
          </w:cols>
          <w:pgMar w:left="240" w:top="719" w:right="239" w:bottom="1440" w:gutter="0" w:footer="0" w:header="0"/>
        </w:sect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35</w:t>
      </w:r>
    </w:p>
    <w:p>
      <w:pPr>
        <w:sectPr>
          <w:pgSz w:w="11900" w:h="16838" w:orient="portrait"/>
          <w:cols w:equalWidth="0" w:num="1">
            <w:col w:w="11420"/>
          </w:cols>
          <w:pgMar w:left="240" w:top="719" w:right="239" w:bottom="1440" w:gutter="0" w:footer="0" w:header="0"/>
          <w:type w:val="continuous"/>
        </w:sectPr>
      </w:pPr>
    </w:p>
    <w:bookmarkStart w:id="37" w:name="page38"/>
    <w:bookmarkEnd w:id="37"/>
    <w:p>
      <w:pPr>
        <w:jc w:val="both"/>
        <w:spacing w:after="0" w:line="264" w:lineRule="auto"/>
        <w:rPr>
          <w:sz w:val="20"/>
          <w:szCs w:val="20"/>
          <w:color w:val="auto"/>
        </w:rPr>
      </w:pPr>
      <w:r>
        <w:rPr>
          <w:rFonts w:ascii="Arial" w:cs="Arial" w:eastAsia="Arial" w:hAnsi="Arial"/>
          <w:sz w:val="18"/>
          <w:szCs w:val="18"/>
          <w:color w:val="auto"/>
        </w:rPr>
        <w:t>During the fiscal year ended March 31, 2018, 1.00% Convertible Notes with an aggregate principal value of $260.0 million were submitted for conversion. We elected to settle in shares of our common stock. As a result of early conversions of the 1.00% Convertible Notes, we recorded a gain within Interest and other, net on our Consolidated Statement of Operations of $4.9 million for the fiscal year ended March 31, 2018.</w:t>
      </w:r>
    </w:p>
    <w:p>
      <w:pPr>
        <w:spacing w:after="0" w:line="23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of April 1, 2018 until the close of business on the business day immediately preceding the maturity date, holders may convert their 1.00% Convertible Notes at any time. Prior to April 26, 2018, upon conversion, the 1.00% Convertible Notes were eligible to be settled, at our election, in cash, shares of our common stock, or a combination of cash and shares of our common stock. Effective April 26, 2018, we elected to settle our remaining conversion obligations in connection with the 1.00% Convertible Notes solely in shares of our common stock and accordingly notified the Trustee. As such, we have continued to classify these 1.00% Convertible Notes as long-term debt.</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Condition</w:t>
      </w:r>
    </w:p>
    <w:p>
      <w:pPr>
        <w:spacing w:after="0" w:line="279"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We are subject to credit risks, particularly if any of our receivables represent a limited number of customers or are concentrated in foreign markets. If we are unable to collect our accounts receivable as they become due, it could adversely affect our liquidity and working capital position.</w:t>
      </w:r>
    </w:p>
    <w:p>
      <w:pPr>
        <w:spacing w:after="0" w:line="20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Generally, we have been able to collect our accounts receivable in the ordinary course of business. We do not hold any collateral to secure payment from customers. We have trade credit insurance on the majority of our customers to mitigate accounts receivable risk.</w:t>
      </w:r>
    </w:p>
    <w:p>
      <w:pPr>
        <w:spacing w:after="0" w:line="224"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A majority of our trade receivables are derived from sales to major retailers and distributors. Our five largest customers accounted for 70.7%, 65.5%, and 58.9% of net revenue during the fiscal years ended March 31, 2018, 2017, and 2016, respectively. As of March 31, 2018 and 2017, five customers accounted for 65.4% and 69.9% of our gross accounts receivable, respectively. Customers that individually accounted for more than 10% of our gross accounts receivable balance comprised 53.2% and 57.6% of such balances at March 31, 2018 and 2017, respectively. We had two customers who accounted for 37.7% and 15.5% of our gross accounts receivable as of March 31, 2018 and two customers who accounted for 40.2%, and 17.4% of our gross accounts receivable as of March 31, 2017. We did not have any additional customers that exceeded 10% of our gross accounts receivable as of March 31, 2018 and 2017. Based upon performing ongoing credit evaluations, maintaining trade credit insurance on a majority of our customers and our past collection experience, we believe that the receivable balances from these largest customers do not represent a significant credit risk, although we actively monitor each customer's credit worthiness and economic conditions that may affect our customers' business and access to capital. We are monitoring the current global economic conditions, including credit markets and other factors as it relates to our customers in order to manage the risk of uncollectible accounts receivable.</w:t>
      </w:r>
    </w:p>
    <w:p>
      <w:pPr>
        <w:spacing w:after="0" w:line="22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believe our current cash, short term investments and projected cash flow from operations, along with availability under our Credit Agreement will provide us with sufficient liquidity to satisfy our cash requirements for working capital, capital expenditures and commitments on both a short-term and long-term basis.</w:t>
      </w:r>
    </w:p>
    <w:p>
      <w:pPr>
        <w:spacing w:after="0" w:line="100"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As of March 31, 2018, the amount of cash and cash equivalents held outside of the U.S. by our foreign subsidiaries was $266.6 million. These balances are dispersed across various locations around the world. We believe that such dispersion meets the business and liquidity needs of our foreign affiliates. In addition, we expect to have the ability to generate sufficient cash domestically to support ongoing operations for the foreseeable future.</w:t>
      </w:r>
    </w:p>
    <w:p>
      <w:pPr>
        <w:spacing w:after="0" w:line="166" w:lineRule="exact"/>
        <w:rPr>
          <w:sz w:val="20"/>
          <w:szCs w:val="20"/>
          <w:color w:val="auto"/>
        </w:rPr>
      </w:pPr>
    </w:p>
    <w:p>
      <w:pPr>
        <w:spacing w:after="0"/>
        <w:rPr>
          <w:sz w:val="20"/>
          <w:szCs w:val="20"/>
          <w:color w:val="auto"/>
        </w:rPr>
      </w:pPr>
      <w:r>
        <w:rPr>
          <w:rFonts w:ascii="Arial" w:cs="Arial" w:eastAsia="Arial" w:hAnsi="Arial"/>
          <w:sz w:val="16"/>
          <w:szCs w:val="16"/>
          <w:color w:val="auto"/>
        </w:rPr>
        <w:t>On December 22, 2017, the U.S. enacted comprehensive tax legislation commonly referred to as the "Tax Cuts and Jobs Act” (herein referred to as the "Act”).</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Act makes broad and complex changes to the U.S. tax code, which could materially affect us.</w:t>
      </w:r>
    </w:p>
    <w:p>
      <w:pPr>
        <w:spacing w:after="0" w:line="21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Act includes a number of provisions, including international provisions, which generally establish a territorial-style system for taxing foreign income of domestic multinational corporations. We are reviewing whether the Act will affect our current intention to reinvest indefinitely earnings of our foreign subsidiaries and therefore have not recorded any tax liabilities associated with the repatriation of foreign earnings.</w:t>
      </w:r>
    </w:p>
    <w:p>
      <w:pPr>
        <w:spacing w:after="0" w:line="100"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Our Board of Directors has authorized the repurchase of up to 14.2 million shares of our common stock. Under this program we may purchase shares from time to time through a variety of methods, including in the open market or through privately negotiated transactions, in accordance with applicable securities laws. Repurchases are subject to the availability of stock, prevailing market conditions, the trading price of the stock, the Company's financial performance and other conditions. The program does not require us to repurchase shares and may be suspended or discontinued at any time for any reason. During the fiscal years ended March 31, 2018, 2017, and 2016, we repurchased 1.5 million, 0, and 1.0 million, respectively, shares of our common stock in the open market for $154.8 million, $0.0 million, and $26.6 million, respectively, including commissions as part of the program. As of March 31, 2018, we had repurchased a total of 6.7 million shares of our common stock under the program, and 7.5 million shares of our common stock remained available for repurchase under the share repurchase program.</w:t>
      </w:r>
    </w:p>
    <w:p>
      <w:pPr>
        <w:spacing w:after="0" w:line="3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20"/>
          </w:cols>
          <w:pgMar w:left="240" w:top="719" w:right="239" w:bottom="1440" w:gutter="0" w:footer="0" w:header="0"/>
        </w:sectPr>
      </w:pPr>
    </w:p>
    <w:bookmarkStart w:id="38" w:name="page39"/>
    <w:bookmarkEnd w:id="38"/>
    <w:p>
      <w:pPr>
        <w:jc w:val="both"/>
        <w:spacing w:after="0" w:line="264" w:lineRule="auto"/>
        <w:rPr>
          <w:sz w:val="20"/>
          <w:szCs w:val="20"/>
          <w:color w:val="auto"/>
        </w:rPr>
      </w:pPr>
      <w:r>
        <w:rPr>
          <w:rFonts w:ascii="Arial" w:cs="Arial" w:eastAsia="Arial" w:hAnsi="Arial"/>
          <w:sz w:val="18"/>
          <w:szCs w:val="18"/>
          <w:color w:val="auto"/>
        </w:rPr>
        <w:t>Subsequent to March 31, 2018 and through the date of this filing, we repurchased an additional 1.6 million shares of our common stock in the open market for $153.5 million, including commissions. After these additional purchases, 5.9 million shares of our common stock remain available for repurchase under the share repurchase program.</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Our changes in cash flows were as follows: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6"/>
          </w:tcPr>
          <w:p>
            <w:pPr>
              <w:jc w:val="right"/>
              <w:ind w:right="210"/>
              <w:spacing w:after="0"/>
              <w:rPr>
                <w:sz w:val="20"/>
                <w:szCs w:val="20"/>
                <w:color w:val="auto"/>
              </w:rPr>
            </w:pPr>
            <w:r>
              <w:rPr>
                <w:rFonts w:ascii="Arial" w:cs="Arial" w:eastAsia="Arial" w:hAnsi="Arial"/>
                <w:sz w:val="14"/>
                <w:szCs w:val="14"/>
                <w:b w:val="1"/>
                <w:bCs w:val="1"/>
                <w:color w:val="auto"/>
                <w:w w:val="93"/>
              </w:rPr>
              <w:t>Fiscal Year Ended March 31,</w:t>
            </w:r>
          </w:p>
        </w:tc>
        <w:tc>
          <w:tcPr>
            <w:tcW w:w="1120" w:type="dxa"/>
            <w:vAlign w:val="bottom"/>
            <w:tcBorders>
              <w:bottom w:val="single" w:sz="8" w:color="auto"/>
            </w:tcBorders>
          </w:tcPr>
          <w:p>
            <w:pPr>
              <w:spacing w:after="0"/>
              <w:rPr>
                <w:sz w:val="16"/>
                <w:szCs w:val="16"/>
                <w:color w:val="auto"/>
              </w:rPr>
            </w:pPr>
          </w:p>
        </w:tc>
      </w:tr>
      <w:tr>
        <w:trPr>
          <w:trHeight w:val="264"/>
        </w:trPr>
        <w:tc>
          <w:tcPr>
            <w:tcW w:w="66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(thousands of dollars)</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73"/>
              <w:spacing w:after="0"/>
              <w:rPr>
                <w:sz w:val="20"/>
                <w:szCs w:val="20"/>
                <w:color w:val="auto"/>
              </w:rPr>
            </w:pPr>
            <w:r>
              <w:rPr>
                <w:rFonts w:ascii="Arial" w:cs="Arial" w:eastAsia="Arial" w:hAnsi="Arial"/>
                <w:sz w:val="14"/>
                <w:szCs w:val="14"/>
                <w:b w:val="1"/>
                <w:bCs w:val="1"/>
                <w:color w:val="auto"/>
              </w:rPr>
              <w:t>2018</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2016</w:t>
            </w:r>
          </w:p>
        </w:tc>
      </w:tr>
      <w:tr>
        <w:trPr>
          <w:trHeight w:val="250"/>
        </w:trPr>
        <w:tc>
          <w:tcPr>
            <w:tcW w:w="67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Net cash provided by operating activities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393,947</w:t>
            </w:r>
          </w:p>
        </w:tc>
        <w:tc>
          <w:tcPr>
            <w:tcW w:w="50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331,429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261,305</w:t>
            </w:r>
          </w:p>
        </w:tc>
      </w:tr>
      <w:tr>
        <w:trPr>
          <w:trHeight w:val="243"/>
        </w:trPr>
        <w:tc>
          <w:tcPr>
            <w:tcW w:w="6760" w:type="dxa"/>
            <w:vAlign w:val="bottom"/>
            <w:gridSpan w:val="2"/>
          </w:tcPr>
          <w:p>
            <w:pPr>
              <w:ind w:left="180"/>
              <w:spacing w:after="0"/>
              <w:rPr>
                <w:sz w:val="20"/>
                <w:szCs w:val="20"/>
                <w:color w:val="auto"/>
              </w:rPr>
            </w:pPr>
            <w:r>
              <w:rPr>
                <w:rFonts w:ascii="Arial" w:cs="Arial" w:eastAsia="Arial" w:hAnsi="Arial"/>
                <w:sz w:val="18"/>
                <w:szCs w:val="18"/>
                <w:color w:val="auto"/>
              </w:rPr>
              <w:t>Net cash used in investing activities</w:t>
            </w: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(271,827)</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(129,030)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(324,516)</w:t>
            </w: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Net cash used in financing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(281,467)</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(49,772)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(48,047)</w:t>
            </w:r>
          </w:p>
        </w:tc>
      </w:tr>
      <w:tr>
        <w:trPr>
          <w:trHeight w:val="243"/>
        </w:trPr>
        <w:tc>
          <w:tcPr>
            <w:tcW w:w="6760" w:type="dxa"/>
            <w:vAlign w:val="bottom"/>
            <w:gridSpan w:val="2"/>
          </w:tcPr>
          <w:p>
            <w:pPr>
              <w:ind w:left="180"/>
              <w:spacing w:after="0"/>
              <w:rPr>
                <w:sz w:val="20"/>
                <w:szCs w:val="20"/>
                <w:color w:val="auto"/>
              </w:rPr>
            </w:pPr>
            <w:r>
              <w:rPr>
                <w:rFonts w:ascii="Arial" w:cs="Arial" w:eastAsia="Arial" w:hAnsi="Arial"/>
                <w:sz w:val="18"/>
                <w:szCs w:val="18"/>
                <w:color w:val="auto"/>
              </w:rPr>
              <w:t>Effects of foreign currency exchange rates on cash and cash equivalents</w:t>
            </w: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24,924</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(7,973)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(1,120)</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change in cash and cash equivalents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(134,423)</w:t>
            </w:r>
          </w:p>
        </w:tc>
        <w:tc>
          <w:tcPr>
            <w:tcW w:w="50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144,654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(112,378)</w:t>
            </w:r>
          </w:p>
        </w:tc>
      </w:tr>
      <w:tr>
        <w:trPr>
          <w:trHeight w:val="20"/>
        </w:trPr>
        <w:tc>
          <w:tcPr>
            <w:tcW w:w="6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12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At March 31, 2018 we had $809.0 million of cash and cash equivalents, compared to $943.4 million at March 31, 2017. The decrease in cash and cash equivalents from March 31, 2017 was due primarily to cash used in financing and investing activities, partially offset by cash provided by operating activities. Net cash used in financing activities was primarily related to repurchases of common stock under our share repurchase program and tax payments related to net share settlements of our restricted stock awards. Net cash used in investing activities was primarily related to net purchases of available for sale securities, purchases of fixed assets, and other asset acquisitions. Net cash provided by operating activities was due primarily to cash generated from sales of virtual currency. </w:t>
      </w:r>
      <w:r>
        <w:rPr>
          <w:rFonts w:ascii="Arial" w:cs="Arial" w:eastAsia="Arial" w:hAnsi="Arial"/>
          <w:sz w:val="18"/>
          <w:szCs w:val="18"/>
          <w:i w:val="1"/>
          <w:iCs w:val="1"/>
          <w:color w:val="auto"/>
        </w:rPr>
        <w:t>NBA 2K18, Grand Theft Auto V,</w:t>
      </w:r>
      <w:r>
        <w:rPr>
          <w:rFonts w:ascii="Arial" w:cs="Arial" w:eastAsia="Arial" w:hAnsi="Arial"/>
          <w:sz w:val="18"/>
          <w:szCs w:val="18"/>
          <w:color w:val="auto"/>
        </w:rPr>
        <w:t xml:space="preserve"> and </w:t>
      </w:r>
      <w:r>
        <w:rPr>
          <w:rFonts w:ascii="Arial" w:cs="Arial" w:eastAsia="Arial" w:hAnsi="Arial"/>
          <w:sz w:val="18"/>
          <w:szCs w:val="18"/>
          <w:i w:val="1"/>
          <w:iCs w:val="1"/>
          <w:color w:val="auto"/>
        </w:rPr>
        <w:t>WWE 2K18,</w:t>
      </w:r>
      <w:r>
        <w:rPr>
          <w:rFonts w:ascii="Arial" w:cs="Arial" w:eastAsia="Arial" w:hAnsi="Arial"/>
          <w:sz w:val="18"/>
          <w:szCs w:val="18"/>
          <w:color w:val="auto"/>
        </w:rPr>
        <w:t xml:space="preserve"> partially offset by investments in software development and licenses and funding of internal royalty payments.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Contractual Obligations and Commitments</w:t>
      </w:r>
    </w:p>
    <w:p>
      <w:pPr>
        <w:spacing w:after="0" w:line="27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have entered into various agreements in the ordinary course of business that require substantial cash commitments over the next several years. Generally, these include:</w:t>
      </w:r>
    </w:p>
    <w:p>
      <w:pPr>
        <w:spacing w:after="0" w:line="116" w:lineRule="exact"/>
        <w:rPr>
          <w:sz w:val="20"/>
          <w:szCs w:val="20"/>
          <w:color w:val="auto"/>
        </w:rPr>
      </w:pPr>
    </w:p>
    <w:p>
      <w:pPr>
        <w:jc w:val="both"/>
        <w:ind w:left="340" w:hanging="8"/>
        <w:spacing w:after="0" w:line="304" w:lineRule="auto"/>
        <w:tabs>
          <w:tab w:leader="none" w:pos="727"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 xml:space="preserve">Software Development and Licensing: </w:t>
      </w:r>
      <w:r>
        <w:rPr>
          <w:rFonts w:ascii="Arial" w:cs="Arial" w:eastAsia="Arial" w:hAnsi="Arial"/>
          <w:sz w:val="18"/>
          <w:szCs w:val="18"/>
          <w:color w:val="auto"/>
        </w:rPr>
        <w:t>We make payments to third-party software developers that include contractual payments to developers under</w:t>
      </w:r>
      <w:r>
        <w:rPr>
          <w:rFonts w:ascii="Arial" w:cs="Arial" w:eastAsia="Arial" w:hAnsi="Arial"/>
          <w:sz w:val="18"/>
          <w:szCs w:val="18"/>
          <w:i w:val="1"/>
          <w:iCs w:val="1"/>
          <w:color w:val="auto"/>
        </w:rPr>
        <w:t xml:space="preserve"> </w:t>
      </w:r>
      <w:r>
        <w:rPr>
          <w:rFonts w:ascii="Arial" w:cs="Arial" w:eastAsia="Arial" w:hAnsi="Arial"/>
          <w:sz w:val="18"/>
          <w:szCs w:val="18"/>
          <w:color w:val="auto"/>
        </w:rPr>
        <w:t>several software development agreements that expire at various times through January 2022. Our aggregate outstanding software development commitments assume satisfactory performance by third-party software developers. We also have licensing commitments that primarily consist of obligations to holders of intellectual property rights for use of their trademarks, copyrights, technology or other intellectual property rights in the development of our products.</w:t>
      </w:r>
    </w:p>
    <w:p>
      <w:pPr>
        <w:spacing w:after="0" w:line="80" w:lineRule="exact"/>
        <w:rPr>
          <w:rFonts w:ascii="Arial" w:cs="Arial" w:eastAsia="Arial" w:hAnsi="Arial"/>
          <w:sz w:val="18"/>
          <w:szCs w:val="18"/>
          <w:color w:val="auto"/>
        </w:rPr>
      </w:pPr>
    </w:p>
    <w:p>
      <w:pPr>
        <w:ind w:left="340" w:hanging="8"/>
        <w:spacing w:after="0" w:line="324" w:lineRule="auto"/>
        <w:tabs>
          <w:tab w:leader="none" w:pos="727"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 xml:space="preserve">Marketing: </w:t>
      </w:r>
      <w:r>
        <w:rPr>
          <w:rFonts w:ascii="Arial" w:cs="Arial" w:eastAsia="Arial" w:hAnsi="Arial"/>
          <w:sz w:val="18"/>
          <w:szCs w:val="18"/>
          <w:color w:val="auto"/>
        </w:rPr>
        <w:t>We have certain minimum marketing support commitments where we commit to spend specified amounts related to marketing our</w:t>
      </w:r>
      <w:r>
        <w:rPr>
          <w:rFonts w:ascii="Arial" w:cs="Arial" w:eastAsia="Arial" w:hAnsi="Arial"/>
          <w:sz w:val="18"/>
          <w:szCs w:val="18"/>
          <w:i w:val="1"/>
          <w:iCs w:val="1"/>
          <w:color w:val="auto"/>
        </w:rPr>
        <w:t xml:space="preserve"> </w:t>
      </w:r>
      <w:r>
        <w:rPr>
          <w:rFonts w:ascii="Arial" w:cs="Arial" w:eastAsia="Arial" w:hAnsi="Arial"/>
          <w:sz w:val="18"/>
          <w:szCs w:val="18"/>
          <w:color w:val="auto"/>
        </w:rPr>
        <w:t>products. Marketing commitments expire at various times through December 2022.</w:t>
      </w:r>
    </w:p>
    <w:p>
      <w:pPr>
        <w:spacing w:after="0" w:line="62" w:lineRule="exact"/>
        <w:rPr>
          <w:rFonts w:ascii="Arial" w:cs="Arial" w:eastAsia="Arial" w:hAnsi="Arial"/>
          <w:sz w:val="18"/>
          <w:szCs w:val="18"/>
          <w:color w:val="auto"/>
        </w:rPr>
      </w:pPr>
    </w:p>
    <w:p>
      <w:pPr>
        <w:jc w:val="both"/>
        <w:ind w:left="340" w:hanging="8"/>
        <w:spacing w:after="0" w:line="306" w:lineRule="auto"/>
        <w:tabs>
          <w:tab w:leader="none" w:pos="727" w:val="left"/>
        </w:tabs>
        <w:numPr>
          <w:ilvl w:val="0"/>
          <w:numId w:val="13"/>
        </w:numPr>
        <w:rPr>
          <w:rFonts w:ascii="Arial" w:cs="Arial" w:eastAsia="Arial" w:hAnsi="Arial"/>
          <w:sz w:val="18"/>
          <w:szCs w:val="18"/>
          <w:color w:val="auto"/>
        </w:rPr>
      </w:pPr>
      <w:r>
        <w:rPr>
          <w:rFonts w:ascii="Arial" w:cs="Arial" w:eastAsia="Arial" w:hAnsi="Arial"/>
          <w:sz w:val="18"/>
          <w:szCs w:val="18"/>
          <w:i w:val="1"/>
          <w:iCs w:val="1"/>
          <w:color w:val="auto"/>
        </w:rPr>
        <w:t xml:space="preserve">Operating Leases: </w:t>
      </w:r>
      <w:r>
        <w:rPr>
          <w:rFonts w:ascii="Arial" w:cs="Arial" w:eastAsia="Arial" w:hAnsi="Arial"/>
          <w:sz w:val="18"/>
          <w:szCs w:val="18"/>
          <w:color w:val="auto"/>
        </w:rPr>
        <w:t>Our offices are occupied under non-cancelable operating leases expiring at various times through December 2032. We also lease</w:t>
      </w:r>
      <w:r>
        <w:rPr>
          <w:rFonts w:ascii="Arial" w:cs="Arial" w:eastAsia="Arial" w:hAnsi="Arial"/>
          <w:sz w:val="18"/>
          <w:szCs w:val="18"/>
          <w:i w:val="1"/>
          <w:iCs w:val="1"/>
          <w:color w:val="auto"/>
        </w:rPr>
        <w:t xml:space="preserve"> </w:t>
      </w:r>
      <w:r>
        <w:rPr>
          <w:rFonts w:ascii="Arial" w:cs="Arial" w:eastAsia="Arial" w:hAnsi="Arial"/>
          <w:sz w:val="18"/>
          <w:szCs w:val="18"/>
          <w:color w:val="auto"/>
        </w:rPr>
        <w:t>certain furniture, equipment and automobiles under non-cancelable leases expiring through March 2021. Some of the leases have fixed rent increases and also include inducements to enter into the lease. The effect of such amounts are deferred and recognized on a straight-line basis over the related lease term.</w:t>
      </w:r>
    </w:p>
    <w:p>
      <w:pPr>
        <w:spacing w:after="0" w:line="78" w:lineRule="exact"/>
        <w:rPr>
          <w:rFonts w:ascii="Arial" w:cs="Arial" w:eastAsia="Arial" w:hAnsi="Arial"/>
          <w:sz w:val="18"/>
          <w:szCs w:val="18"/>
          <w:color w:val="auto"/>
        </w:rPr>
      </w:pPr>
    </w:p>
    <w:p>
      <w:pPr>
        <w:jc w:val="both"/>
        <w:ind w:left="340" w:hanging="8"/>
        <w:spacing w:after="0" w:line="311" w:lineRule="auto"/>
        <w:tabs>
          <w:tab w:leader="none" w:pos="727" w:val="left"/>
        </w:tabs>
        <w:numPr>
          <w:ilvl w:val="0"/>
          <w:numId w:val="13"/>
        </w:numPr>
        <w:rPr>
          <w:rFonts w:ascii="Arial" w:cs="Arial" w:eastAsia="Arial" w:hAnsi="Arial"/>
          <w:sz w:val="18"/>
          <w:szCs w:val="18"/>
          <w:color w:val="auto"/>
        </w:rPr>
      </w:pPr>
      <w:r>
        <w:rPr>
          <w:rFonts w:ascii="Arial" w:cs="Arial" w:eastAsia="Arial" w:hAnsi="Arial"/>
          <w:sz w:val="18"/>
          <w:szCs w:val="18"/>
          <w:color w:val="auto"/>
        </w:rPr>
        <w:t>Purchase obligations primarily related to agreements to purchase services that are enforceable and legally binding on the Company that specifies all significant terms, including fixed, minimum or variable pricing provisions; and the approximate timing of the transactions, expiring at various times through September 2021.</w:t>
      </w: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719" w:right="239" w:bottom="1440" w:gutter="0" w:footer="0" w:header="0"/>
        </w:sectPr>
      </w:pPr>
    </w:p>
    <w:bookmarkStart w:id="39" w:name="page40"/>
    <w:bookmarkEnd w:id="39"/>
    <w:p>
      <w:pPr>
        <w:spacing w:after="0"/>
        <w:rPr>
          <w:sz w:val="20"/>
          <w:szCs w:val="20"/>
          <w:color w:val="auto"/>
        </w:rPr>
      </w:pPr>
      <w:r>
        <w:rPr>
          <w:rFonts w:ascii="Arial" w:cs="Arial" w:eastAsia="Arial" w:hAnsi="Arial"/>
          <w:sz w:val="18"/>
          <w:szCs w:val="18"/>
          <w:color w:val="auto"/>
        </w:rPr>
        <w:t>A summary of annual minimum contractual obligations and commitments as of March 31, 2018 is as follows (in thousands of dollars):</w:t>
      </w:r>
    </w:p>
    <w:p>
      <w:pPr>
        <w:spacing w:after="0" w:line="200" w:lineRule="exact"/>
        <w:rPr>
          <w:sz w:val="20"/>
          <w:szCs w:val="20"/>
          <w:color w:val="auto"/>
        </w:rPr>
      </w:pPr>
    </w:p>
    <w:p>
      <w:pPr>
        <w:spacing w:after="0" w:line="220" w:lineRule="exact"/>
        <w:rPr>
          <w:sz w:val="20"/>
          <w:szCs w:val="20"/>
          <w:color w:val="auto"/>
        </w:rPr>
      </w:pPr>
    </w:p>
    <w:tbl>
      <w:tblPr>
        <w:tblLayout w:type="fixed"/>
        <w:tblInd w:w="1180" w:type="dxa"/>
        <w:tblCellMar>
          <w:top w:w="0" w:type="dxa"/>
          <w:left w:w="0" w:type="dxa"/>
          <w:bottom w:w="0" w:type="dxa"/>
          <w:right w:w="0" w:type="dxa"/>
        </w:tblCellMar>
      </w:tblPr>
      <w:tr>
        <w:trPr>
          <w:trHeight w:val="161"/>
        </w:trPr>
        <w:tc>
          <w:tcPr>
            <w:tcW w:w="134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Fiscal Year Ending</w:t>
            </w:r>
          </w:p>
        </w:tc>
        <w:tc>
          <w:tcPr>
            <w:tcW w:w="140" w:type="dxa"/>
            <w:vAlign w:val="bottom"/>
          </w:tcPr>
          <w:p>
            <w:pPr>
              <w:spacing w:after="0"/>
              <w:rPr>
                <w:sz w:val="14"/>
                <w:szCs w:val="14"/>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Software</w:t>
            </w: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96"/>
              </w:rPr>
              <w:t>Operating</w:t>
            </w:r>
          </w:p>
        </w:tc>
        <w:tc>
          <w:tcPr>
            <w:tcW w:w="120" w:type="dxa"/>
            <w:vAlign w:val="bottom"/>
          </w:tcPr>
          <w:p>
            <w:pPr>
              <w:spacing w:after="0"/>
              <w:rPr>
                <w:sz w:val="14"/>
                <w:szCs w:val="14"/>
                <w:color w:val="auto"/>
              </w:rPr>
            </w:pPr>
          </w:p>
        </w:tc>
        <w:tc>
          <w:tcPr>
            <w:tcW w:w="940" w:type="dxa"/>
            <w:vAlign w:val="bottom"/>
            <w:gridSpan w:val="2"/>
            <w:vMerge w:val="restart"/>
          </w:tcPr>
          <w:p>
            <w:pPr>
              <w:jc w:val="center"/>
              <w:ind w:right="220"/>
              <w:spacing w:after="0"/>
              <w:rPr>
                <w:sz w:val="20"/>
                <w:szCs w:val="20"/>
                <w:color w:val="auto"/>
              </w:rPr>
            </w:pPr>
            <w:r>
              <w:rPr>
                <w:rFonts w:ascii="Arial" w:cs="Arial" w:eastAsia="Arial" w:hAnsi="Arial"/>
                <w:sz w:val="14"/>
                <w:szCs w:val="14"/>
                <w:b w:val="1"/>
                <w:bCs w:val="1"/>
                <w:color w:val="auto"/>
                <w:w w:val="88"/>
              </w:rPr>
              <w:t>Purchase</w:t>
            </w:r>
          </w:p>
        </w:tc>
        <w:tc>
          <w:tcPr>
            <w:tcW w:w="140" w:type="dxa"/>
            <w:vAlign w:val="bottom"/>
          </w:tcPr>
          <w:p>
            <w:pPr>
              <w:spacing w:after="0"/>
              <w:rPr>
                <w:sz w:val="14"/>
                <w:szCs w:val="14"/>
                <w:color w:val="auto"/>
              </w:rPr>
            </w:pPr>
          </w:p>
        </w:tc>
        <w:tc>
          <w:tcPr>
            <w:tcW w:w="11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3"/>
              </w:rPr>
              <w:t>Convertible</w:t>
            </w:r>
          </w:p>
        </w:tc>
        <w:tc>
          <w:tcPr>
            <w:tcW w:w="120" w:type="dxa"/>
            <w:vAlign w:val="bottom"/>
          </w:tcPr>
          <w:p>
            <w:pPr>
              <w:spacing w:after="0"/>
              <w:rPr>
                <w:sz w:val="14"/>
                <w:szCs w:val="14"/>
                <w:color w:val="auto"/>
              </w:rPr>
            </w:pPr>
          </w:p>
        </w:tc>
        <w:tc>
          <w:tcPr>
            <w:tcW w:w="96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3"/>
              </w:rPr>
              <w:t>Convertible</w:t>
            </w:r>
          </w:p>
        </w:tc>
        <w:tc>
          <w:tcPr>
            <w:tcW w:w="24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13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Development</w:t>
            </w:r>
          </w:p>
        </w:tc>
        <w:tc>
          <w:tcPr>
            <w:tcW w:w="980" w:type="dxa"/>
            <w:vAlign w:val="bottom"/>
            <w:gridSpan w:val="3"/>
            <w:vMerge w:val="restart"/>
          </w:tcPr>
          <w:p>
            <w:pPr>
              <w:ind w:left="100"/>
              <w:spacing w:after="0"/>
              <w:rPr>
                <w:sz w:val="20"/>
                <w:szCs w:val="20"/>
                <w:color w:val="auto"/>
              </w:rPr>
            </w:pPr>
            <w:r>
              <w:rPr>
                <w:rFonts w:ascii="Arial" w:cs="Arial" w:eastAsia="Arial" w:hAnsi="Arial"/>
                <w:sz w:val="14"/>
                <w:szCs w:val="14"/>
                <w:b w:val="1"/>
                <w:bCs w:val="1"/>
                <w:color w:val="auto"/>
              </w:rPr>
              <w:t>Marketing</w:t>
            </w:r>
          </w:p>
        </w:tc>
        <w:tc>
          <w:tcPr>
            <w:tcW w:w="1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240" w:type="dxa"/>
            <w:vAlign w:val="bottom"/>
          </w:tcPr>
          <w:p>
            <w:pPr>
              <w:spacing w:after="0"/>
              <w:rPr>
                <w:sz w:val="12"/>
                <w:szCs w:val="12"/>
                <w:color w:val="auto"/>
              </w:rPr>
            </w:pPr>
          </w:p>
        </w:tc>
        <w:tc>
          <w:tcPr>
            <w:tcW w:w="820" w:type="dxa"/>
            <w:vAlign w:val="bottom"/>
            <w:vMerge w:val="restart"/>
          </w:tcPr>
          <w:p>
            <w:pPr>
              <w:jc w:val="right"/>
              <w:ind w:right="292"/>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1340" w:type="dxa"/>
            <w:vAlign w:val="bottom"/>
            <w:gridSpan w:val="2"/>
          </w:tcPr>
          <w:p>
            <w:pPr>
              <w:ind w:left="40"/>
              <w:spacing w:after="0"/>
              <w:rPr>
                <w:sz w:val="20"/>
                <w:szCs w:val="20"/>
                <w:color w:val="auto"/>
              </w:rPr>
            </w:pPr>
            <w:r>
              <w:rPr>
                <w:rFonts w:ascii="Arial" w:cs="Arial" w:eastAsia="Arial" w:hAnsi="Arial"/>
                <w:sz w:val="14"/>
                <w:szCs w:val="14"/>
                <w:b w:val="1"/>
                <w:bCs w:val="1"/>
                <w:color w:val="auto"/>
              </w:rPr>
              <w:t>March 31,</w:t>
            </w:r>
          </w:p>
        </w:tc>
        <w:tc>
          <w:tcPr>
            <w:tcW w:w="140" w:type="dxa"/>
            <w:vAlign w:val="bottom"/>
          </w:tcPr>
          <w:p>
            <w:pPr>
              <w:spacing w:after="0"/>
              <w:rPr>
                <w:sz w:val="16"/>
                <w:szCs w:val="16"/>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and Licensing</w:t>
            </w:r>
          </w:p>
        </w:tc>
        <w:tc>
          <w:tcPr>
            <w:tcW w:w="980" w:type="dxa"/>
            <w:vAlign w:val="bottom"/>
            <w:gridSpan w:val="3"/>
            <w:vMerge w:val="continue"/>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4"/>
              </w:rPr>
              <w:t>Leases</w:t>
            </w:r>
          </w:p>
        </w:tc>
        <w:tc>
          <w:tcPr>
            <w:tcW w:w="120" w:type="dxa"/>
            <w:vAlign w:val="bottom"/>
          </w:tcPr>
          <w:p>
            <w:pPr>
              <w:spacing w:after="0"/>
              <w:rPr>
                <w:sz w:val="16"/>
                <w:szCs w:val="16"/>
                <w:color w:val="auto"/>
              </w:rPr>
            </w:pPr>
          </w:p>
        </w:tc>
        <w:tc>
          <w:tcPr>
            <w:tcW w:w="94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3"/>
              </w:rPr>
              <w:t>Obligations</w:t>
            </w:r>
          </w:p>
        </w:tc>
        <w:tc>
          <w:tcPr>
            <w:tcW w:w="140" w:type="dxa"/>
            <w:vAlign w:val="bottom"/>
          </w:tcPr>
          <w:p>
            <w:pPr>
              <w:spacing w:after="0"/>
              <w:rPr>
                <w:sz w:val="16"/>
                <w:szCs w:val="16"/>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Notes Interest</w:t>
            </w:r>
          </w:p>
        </w:tc>
        <w:tc>
          <w:tcPr>
            <w:tcW w:w="120" w:type="dxa"/>
            <w:vAlign w:val="bottom"/>
          </w:tcPr>
          <w:p>
            <w:pPr>
              <w:spacing w:after="0"/>
              <w:rPr>
                <w:sz w:val="16"/>
                <w:szCs w:val="16"/>
                <w:color w:val="auto"/>
              </w:rPr>
            </w:pPr>
          </w:p>
        </w:tc>
        <w:tc>
          <w:tcPr>
            <w:tcW w:w="9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7"/>
              </w:rPr>
              <w:t>Notes</w:t>
            </w:r>
          </w:p>
        </w:tc>
        <w:tc>
          <w:tcPr>
            <w:tcW w:w="240" w:type="dxa"/>
            <w:vAlign w:val="bottom"/>
          </w:tcPr>
          <w:p>
            <w:pPr>
              <w:spacing w:after="0"/>
              <w:rPr>
                <w:sz w:val="16"/>
                <w:szCs w:val="16"/>
                <w:color w:val="auto"/>
              </w:rPr>
            </w:pPr>
          </w:p>
        </w:tc>
        <w:tc>
          <w:tcPr>
            <w:tcW w:w="8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12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2018</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116,242</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w w:val="99"/>
              </w:rPr>
              <w:t>$</w:t>
            </w:r>
          </w:p>
        </w:tc>
        <w:tc>
          <w:tcPr>
            <w:tcW w:w="6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49,725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39,113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21,549</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8,160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234,809</w:t>
            </w:r>
          </w:p>
        </w:tc>
        <w:tc>
          <w:tcPr>
            <w:tcW w:w="0" w:type="dxa"/>
            <w:vAlign w:val="bottom"/>
          </w:tcPr>
          <w:p>
            <w:pPr>
              <w:spacing w:after="0"/>
              <w:rPr>
                <w:sz w:val="1"/>
                <w:szCs w:val="1"/>
                <w:color w:val="auto"/>
              </w:rPr>
            </w:pPr>
          </w:p>
        </w:tc>
      </w:tr>
      <w:tr>
        <w:trPr>
          <w:trHeight w:val="243"/>
        </w:trPr>
        <w:tc>
          <w:tcPr>
            <w:tcW w:w="1240" w:type="dxa"/>
            <w:vAlign w:val="bottom"/>
          </w:tcPr>
          <w:p>
            <w:pPr>
              <w:jc w:val="right"/>
              <w:spacing w:after="0"/>
              <w:rPr>
                <w:sz w:val="20"/>
                <w:szCs w:val="20"/>
                <w:color w:val="auto"/>
              </w:rPr>
            </w:pPr>
            <w:r>
              <w:rPr>
                <w:rFonts w:ascii="Arial" w:cs="Arial" w:eastAsia="Arial" w:hAnsi="Arial"/>
                <w:sz w:val="18"/>
                <w:szCs w:val="18"/>
                <w:color w:val="auto"/>
              </w:rPr>
              <w:t>2019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53,534</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4,060</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29,620</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7,046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94,260</w:t>
            </w:r>
          </w:p>
        </w:tc>
        <w:tc>
          <w:tcPr>
            <w:tcW w:w="0" w:type="dxa"/>
            <w:vAlign w:val="bottom"/>
          </w:tcPr>
          <w:p>
            <w:pPr>
              <w:spacing w:after="0"/>
              <w:rPr>
                <w:sz w:val="1"/>
                <w:szCs w:val="1"/>
                <w:color w:val="auto"/>
              </w:rPr>
            </w:pPr>
          </w:p>
        </w:tc>
      </w:tr>
      <w:tr>
        <w:trPr>
          <w:trHeight w:val="27"/>
        </w:trPr>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2020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28,999</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13,480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23,092</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1,629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67,200</w:t>
            </w:r>
          </w:p>
        </w:tc>
        <w:tc>
          <w:tcPr>
            <w:tcW w:w="0" w:type="dxa"/>
            <w:vAlign w:val="bottom"/>
          </w:tcPr>
          <w:p>
            <w:pPr>
              <w:spacing w:after="0"/>
              <w:rPr>
                <w:sz w:val="1"/>
                <w:szCs w:val="1"/>
                <w:color w:val="auto"/>
              </w:rPr>
            </w:pPr>
          </w:p>
        </w:tc>
      </w:tr>
      <w:tr>
        <w:trPr>
          <w:trHeight w:val="243"/>
        </w:trPr>
        <w:tc>
          <w:tcPr>
            <w:tcW w:w="1240" w:type="dxa"/>
            <w:vAlign w:val="bottom"/>
          </w:tcPr>
          <w:p>
            <w:pPr>
              <w:jc w:val="right"/>
              <w:spacing w:after="0"/>
              <w:rPr>
                <w:sz w:val="20"/>
                <w:szCs w:val="20"/>
                <w:color w:val="auto"/>
              </w:rPr>
            </w:pPr>
            <w:r>
              <w:rPr>
                <w:rFonts w:ascii="Arial" w:cs="Arial" w:eastAsia="Arial" w:hAnsi="Arial"/>
                <w:sz w:val="18"/>
                <w:szCs w:val="18"/>
                <w:color w:val="auto"/>
              </w:rPr>
              <w:t>2021</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21,748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3,773</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21,665</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47,186</w:t>
            </w:r>
          </w:p>
        </w:tc>
        <w:tc>
          <w:tcPr>
            <w:tcW w:w="0" w:type="dxa"/>
            <w:vAlign w:val="bottom"/>
          </w:tcPr>
          <w:p>
            <w:pPr>
              <w:spacing w:after="0"/>
              <w:rPr>
                <w:sz w:val="1"/>
                <w:szCs w:val="1"/>
                <w:color w:val="auto"/>
              </w:rPr>
            </w:pPr>
          </w:p>
        </w:tc>
      </w:tr>
      <w:tr>
        <w:trPr>
          <w:trHeight w:val="27"/>
        </w:trPr>
        <w:tc>
          <w:tcPr>
            <w:tcW w:w="1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2022</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6,250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3,500</w:t>
            </w: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19,571</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29,321</w:t>
            </w:r>
          </w:p>
        </w:tc>
        <w:tc>
          <w:tcPr>
            <w:tcW w:w="0" w:type="dxa"/>
            <w:vAlign w:val="bottom"/>
          </w:tcPr>
          <w:p>
            <w:pPr>
              <w:spacing w:after="0"/>
              <w:rPr>
                <w:sz w:val="1"/>
                <w:szCs w:val="1"/>
                <w:color w:val="auto"/>
              </w:rPr>
            </w:pPr>
          </w:p>
        </w:tc>
      </w:tr>
      <w:tr>
        <w:trPr>
          <w:trHeight w:val="243"/>
        </w:trPr>
        <w:tc>
          <w:tcPr>
            <w:tcW w:w="1340" w:type="dxa"/>
            <w:vAlign w:val="bottom"/>
            <w:gridSpan w:val="2"/>
          </w:tcPr>
          <w:p>
            <w:pPr>
              <w:ind w:left="40"/>
              <w:spacing w:after="0"/>
              <w:rPr>
                <w:sz w:val="20"/>
                <w:szCs w:val="20"/>
                <w:color w:val="auto"/>
              </w:rPr>
            </w:pPr>
            <w:r>
              <w:rPr>
                <w:rFonts w:ascii="Arial" w:cs="Arial" w:eastAsia="Arial" w:hAnsi="Arial"/>
                <w:sz w:val="18"/>
                <w:szCs w:val="18"/>
                <w:color w:val="auto"/>
              </w:rPr>
              <w:t>Thereafter</w:t>
            </w:r>
          </w:p>
        </w:tc>
        <w:tc>
          <w:tcPr>
            <w:tcW w:w="14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5,250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62,476</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11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1"/>
                <w:szCs w:val="21"/>
                <w:color w:val="auto"/>
              </w:rPr>
            </w:pPr>
          </w:p>
        </w:tc>
        <w:tc>
          <w:tcPr>
            <w:tcW w:w="96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67,726</w:t>
            </w:r>
          </w:p>
        </w:tc>
        <w:tc>
          <w:tcPr>
            <w:tcW w:w="0" w:type="dxa"/>
            <w:vAlign w:val="bottom"/>
          </w:tcPr>
          <w:p>
            <w:pPr>
              <w:spacing w:after="0"/>
              <w:rPr>
                <w:sz w:val="1"/>
                <w:szCs w:val="1"/>
                <w:color w:val="auto"/>
              </w:rPr>
            </w:pPr>
          </w:p>
        </w:tc>
      </w:tr>
      <w:tr>
        <w:trPr>
          <w:trHeight w:val="27"/>
        </w:trPr>
        <w:tc>
          <w:tcPr>
            <w:tcW w:w="12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13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232,023</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74,538</w:t>
            </w: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195,537</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30,224</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w:t>
            </w:r>
          </w:p>
        </w:tc>
        <w:tc>
          <w:tcPr>
            <w:tcW w:w="12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8,160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540,502</w:t>
            </w:r>
          </w:p>
        </w:tc>
        <w:tc>
          <w:tcPr>
            <w:tcW w:w="0" w:type="dxa"/>
            <w:vAlign w:val="bottom"/>
          </w:tcPr>
          <w:p>
            <w:pPr>
              <w:spacing w:after="0"/>
              <w:rPr>
                <w:sz w:val="1"/>
                <w:szCs w:val="1"/>
                <w:color w:val="auto"/>
              </w:rPr>
            </w:pPr>
          </w:p>
        </w:tc>
      </w:tr>
      <w:tr>
        <w:trPr>
          <w:trHeight w:val="20"/>
        </w:trPr>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i w:val="1"/>
          <w:iCs w:val="1"/>
          <w:color w:val="auto"/>
        </w:rPr>
        <w:t xml:space="preserve">Income Taxes: </w:t>
      </w:r>
      <w:r>
        <w:rPr>
          <w:rFonts w:ascii="Arial" w:cs="Arial" w:eastAsia="Arial" w:hAnsi="Arial"/>
          <w:sz w:val="18"/>
          <w:szCs w:val="18"/>
          <w:color w:val="auto"/>
        </w:rPr>
        <w:t>At March 31, 2018, we had recorded a liability for gross unrecognized tax benefits, including interest and penalties, of $22.8 million, for which</w:t>
      </w:r>
      <w:r>
        <w:rPr>
          <w:rFonts w:ascii="Arial" w:cs="Arial" w:eastAsia="Arial" w:hAnsi="Arial"/>
          <w:sz w:val="18"/>
          <w:szCs w:val="18"/>
          <w:i w:val="1"/>
          <w:iCs w:val="1"/>
          <w:color w:val="auto"/>
        </w:rPr>
        <w:t xml:space="preserve"> </w:t>
      </w:r>
      <w:r>
        <w:rPr>
          <w:rFonts w:ascii="Arial" w:cs="Arial" w:eastAsia="Arial" w:hAnsi="Arial"/>
          <w:sz w:val="18"/>
          <w:szCs w:val="18"/>
          <w:color w:val="auto"/>
        </w:rPr>
        <w:t>we are unable to make a reasonable and reliable estimate of the period in which these liabilities will be settled with the respective tax authorities; therefore, these liabilities have not been included in the contractual obligations table.</w:t>
      </w:r>
    </w:p>
    <w:p>
      <w:pPr>
        <w:spacing w:after="0" w:line="100" w:lineRule="exact"/>
        <w:rPr>
          <w:sz w:val="20"/>
          <w:szCs w:val="20"/>
          <w:color w:val="auto"/>
        </w:rPr>
      </w:pPr>
    </w:p>
    <w:p>
      <w:pPr>
        <w:jc w:val="both"/>
        <w:spacing w:after="0" w:line="279" w:lineRule="auto"/>
        <w:rPr>
          <w:sz w:val="20"/>
          <w:szCs w:val="20"/>
          <w:color w:val="auto"/>
        </w:rPr>
      </w:pPr>
      <w:r>
        <w:rPr>
          <w:rFonts w:ascii="Arial" w:cs="Arial" w:eastAsia="Arial" w:hAnsi="Arial"/>
          <w:sz w:val="17"/>
          <w:szCs w:val="17"/>
          <w:i w:val="1"/>
          <w:iCs w:val="1"/>
          <w:color w:val="auto"/>
        </w:rPr>
        <w:t xml:space="preserve">Legal and Other Proceedings: </w:t>
      </w:r>
      <w:r>
        <w:rPr>
          <w:rFonts w:ascii="Arial" w:cs="Arial" w:eastAsia="Arial" w:hAnsi="Arial"/>
          <w:sz w:val="17"/>
          <w:szCs w:val="17"/>
          <w:color w:val="auto"/>
        </w:rPr>
        <w:t>We are, or may become, subject to demands and claims (including intellectual property claims) and are involved in routine</w:t>
      </w:r>
      <w:r>
        <w:rPr>
          <w:rFonts w:ascii="Arial" w:cs="Arial" w:eastAsia="Arial" w:hAnsi="Arial"/>
          <w:sz w:val="17"/>
          <w:szCs w:val="17"/>
          <w:i w:val="1"/>
          <w:iCs w:val="1"/>
          <w:color w:val="auto"/>
        </w:rPr>
        <w:t xml:space="preserve"> </w:t>
      </w:r>
      <w:r>
        <w:rPr>
          <w:rFonts w:ascii="Arial" w:cs="Arial" w:eastAsia="Arial" w:hAnsi="Arial"/>
          <w:sz w:val="17"/>
          <w:szCs w:val="17"/>
          <w:color w:val="auto"/>
        </w:rPr>
        <w:t>litigation in the ordinary course of business which we do not believe to be material to our business or financial statements. We have appropriately accrued amounts related to certain of these claims and legal and other proceedings. While it is reasonably possible that a loss may be incurred in excess of the amounts accrued in our financial statements, we believe that such losses, unless otherwise disclosed, would not be material.</w:t>
      </w:r>
    </w:p>
    <w:p>
      <w:pPr>
        <w:spacing w:after="0" w:line="17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On April 11, 2016, we filed a declaratory judgment action in the United States District Court for the Southern District of New York seeking, among other things, a judicial declaration that Leslie Benzies, the former president of one of our subsidiaries with whom we had been in ongoing discussions regarding his separation of employment, is not entitled to any minimum allocation or financial parity with any other person under the applicable royalty plan. We believe we will prevail in this matter, although there can be no assurance of the outcome. On April 12, 2016, Mr. Benzies filed a complaint in the Supreme Court of the State of New York, New York County against us, and certain of our subsidiaries and employees. We removed this case to the United States District Court for the Southern District of New York, but the case was subsequently remanded to state court. The complaint claims damages of at least $150 million and contains allegations of breach of fiduciary duty; fraudulent inducement and fraudulent concealment; aiding and abetting breach of fiduciary duty; breach of various contracts; breach of implied duty of good faith and fair dealing; tortious interference with contract; unjust enrichment; reformation; constructive trust; declaration of rights; constructive discharge; defamation and fraud. We have asserted counterclaims for breach of contract, theft of trade secrets, and misappropriation.</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a result of amended pleadings, motion practice and appeals to date, twelve of Mr. Benzies’ claims have been dismissed, leaving only six remaining claims: breach of various contracts, constructive discharge, breach of implied duty of good faith and fair dealing, and tortious interference with contract. Our federal court action has been stayed pending the conclusion of the state court action. We believe that we have meritorious defenses to the remaining claims, and we intend to vigorously defend against them and to pursue our counterclaims.</w:t>
      </w: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27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of March 31, 2018 and 2017, we did not have any material relationships with unconsolidated entities or financial parties, such as entities often referred to as structured finance or variable interest entities, which would have been established for the purpose of facilitating off-balance sheet arrangements or other contractually narrow or limited purposes. As such, we are not exposed to any financing, liquidity, market or credit risk that could arise if we had engaged in such relationships.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International Operations</w:t>
      </w:r>
    </w:p>
    <w:p>
      <w:pPr>
        <w:spacing w:after="0" w:line="28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Net revenue earned outside of the United States is principally generated by our operations in Europe, Asia, Australia, Canada and Latin America. For the fiscal years ended March 31, 2018, 2017 and 2016, 41.3%, 43.9% and 47.4%, respectively, of our net revenue was earned outside the United States. We are subject to risks inherent in foreign trade, including increased credit risks, tariffs and duties, fluctuations in foreign currency exchange rates, shipping delays and international political, regulatory and economic developments, all of which can have a significant effect on our operating results.</w:t>
      </w: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719" w:right="2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color w:val="auto"/>
        </w:rPr>
        <w:t>Fluctuations in Quarterly Operating Results and Seasonality</w:t>
      </w:r>
    </w:p>
    <w:p>
      <w:pPr>
        <w:spacing w:after="0" w:line="283"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We have experienced fluctuations in quarterly and annual operating results as a result of the timing of the introduction of new titles; variations in sales of titles developed for particular platforms; market acceptance of our titles; development and promotional expenses relating to the introduction of new titles; sequels or enhancements of existing titles; projected and actual changes in platforms; the timing and success of title introductions by our competitors; product returns; changes in pricing policies by us and our competitors; the accuracy of retailers' forecasts of consumer demand; the size and timing of acquisitions; the timing of orders from major customers; and order cancellations and delays in product shipment. Sales of our products are also seasonal, with peak shipments typically occurring in the fourth calendar quarter as a result of increased demand for products during the holiday season. For certain of our software products with multiple element revenue arrangements where we do not have VSOE for each element and the deliverables are deemed more-than-inconsequential, we defer the recognition of our net revenues over an estimated service period which generally ranges from 12 to 62 months. As a result, the quarter in which we generate the highest net sales volume may be different from the quarter in which we recognize the highest amount of net revenues. Quarterly comparisons of operating results are not necessarily indicative of future operating results.</w:t>
      </w:r>
    </w:p>
    <w:p>
      <w:pPr>
        <w:spacing w:after="0" w:line="228"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Item 7A.</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28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Market risk is the potential loss arising from fluctuations in market rates and prices. Our market risk exposures primarily include fluctuations in interest rates and foreign currency exchange rates.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Risk</w:t>
      </w:r>
    </w:p>
    <w:p>
      <w:pPr>
        <w:spacing w:after="0" w:line="279" w:lineRule="exact"/>
        <w:rPr>
          <w:sz w:val="20"/>
          <w:szCs w:val="20"/>
          <w:color w:val="auto"/>
        </w:rPr>
      </w:pPr>
    </w:p>
    <w:p>
      <w:pPr>
        <w:spacing w:after="0"/>
        <w:rPr>
          <w:sz w:val="20"/>
          <w:szCs w:val="20"/>
          <w:color w:val="auto"/>
        </w:rPr>
      </w:pPr>
      <w:r>
        <w:rPr>
          <w:rFonts w:ascii="Arial" w:cs="Arial" w:eastAsia="Arial" w:hAnsi="Arial"/>
          <w:sz w:val="17"/>
          <w:szCs w:val="17"/>
          <w:color w:val="auto"/>
        </w:rPr>
        <w:t>Our exposure to fluctuations in interest rates relates primarily to our short-term investment portfolio and variable rate debt under the Credit Agreement.</w:t>
      </w:r>
    </w:p>
    <w:p>
      <w:pPr>
        <w:spacing w:after="0" w:line="291"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We seek to manage our interest rate risk by maintaining a short-term investment portfolio that includes corporate bonds with high credit quality and maturities less than two years. Since short-term investments mature relatively quickly and can be reinvested at the then-current market rates, interest income on a portfolio consisting of short-term securities is more subject to market fluctuations than a portfolio of longer term maturities. However, the fair value of a short-term portfolio is less sensitive to market fluctuations than a portfolio of longer term securities. We do not currently use derivative financial instruments in our short-term investment portfolio. Our investments are held for purposes other than trading.</w:t>
      </w:r>
    </w:p>
    <w:p>
      <w:pPr>
        <w:spacing w:after="0" w:line="227"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As of March 31, 2018, we had $615.4 million of short-term investments, which included $398.7 million of available-for-sale securities. The available-for-sale securities were recorded at fair market value with unrealized gains or losses resulting from changes in fair value reported as a separate component of accumulated other comprehensive income (loss), net of tax, in stockholders' equity. We also had $809.0 million of cash and cash equivalents that are comprised primarily of money market funds and bank-time deposits. We determined that, based on the composition of our investment portfolio, there was no material interest rate risk exposure to our Consolidated Financial Statements or liquidity as of March 31, 2018.</w:t>
      </w:r>
    </w:p>
    <w:p>
      <w:pPr>
        <w:spacing w:after="0" w:line="22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Historically, fluctuations in interest rates have not had a significant effect on our operating results. Under our Credit Agreement, outstanding balances bear interest at our election of (a) 0.25% to 0.75% above a certain base rate (4.75% at March 31, 2018), or (b) 1.25% to 1.75% above the LIBOR rate (approximately 1.88% at March 31, 2018), with the margin rate subject to the achievement of certain average liquidity levels. Changes in market rates may affect our future interest expense if there is an outstanding balance on our line of credit. At March 31, 2018, there were no outstanding borrowings under our Credit Agreement. The 1.00% Convertible Notes pay interest semi-annually at a fixed rate of 1.00% per annum, and we expect that there will be no fluctuation related to the 1.00% Convertible Notes affecting our cash component of interest expense. For additional details on our Convertible Notes see Note 11 to the Consolidated Financial Statements.</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 Exchange Rate Risk</w:t>
      </w:r>
    </w:p>
    <w:p>
      <w:pPr>
        <w:spacing w:after="0" w:line="27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transact business in foreign currencies and are exposed to risks resulting from fluctuations in foreign currency exchange rates. Accounts relating to foreign operations are translated into United States dollars using prevailing exchange rates at the relevant period end. Translation adjustments are included as a separate component of stockholders' equity on our Consolidated Balance Sheets. For the fiscal years ended March 31, 2018 and 2017, our foreign currency translation adjustment was a gain of $43.4 million and a loss of $9.1 million, respectively. We recognized a foreign currency exchange transaction loss of $3.0 million, a gain of $5.0 million, and a loss of $1.4 million million for the fiscal years ended March 31, 2018, 2017, and 2016, respectively, in Interest and other, net in our Consolidated Statements of Operations.</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Balance Sheet Hedging Activities</w:t>
      </w:r>
    </w:p>
    <w:p>
      <w:pPr>
        <w:spacing w:after="0" w:line="27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We use foreign currency forward contracts to mitigate foreign currency exchange rate risk associated with non-functional currency denominated cash balances and inter-company funding loans, non-functional currency denominated accounts receivable and non-</w:t>
      </w:r>
    </w:p>
    <w:p>
      <w:pPr>
        <w:sectPr>
          <w:pgSz w:w="11900" w:h="16838" w:orient="portrait"/>
          <w:cols w:equalWidth="0" w:num="1">
            <w:col w:w="11420"/>
          </w:cols>
          <w:pgMar w:left="240" w:top="715" w:right="239" w:bottom="1440" w:gutter="0" w:footer="0" w:header="0"/>
        </w:sect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39</w:t>
      </w:r>
    </w:p>
    <w:p>
      <w:pPr>
        <w:sectPr>
          <w:pgSz w:w="11900" w:h="16838" w:orient="portrait"/>
          <w:cols w:equalWidth="0" w:num="1">
            <w:col w:w="11420"/>
          </w:cols>
          <w:pgMar w:left="240" w:top="715" w:right="239" w:bottom="1440" w:gutter="0" w:footer="0" w:header="0"/>
          <w:type w:val="continuous"/>
        </w:sectPr>
      </w:pPr>
    </w:p>
    <w:bookmarkStart w:id="41" w:name="page42"/>
    <w:bookmarkEnd w:id="41"/>
    <w:p>
      <w:pPr>
        <w:jc w:val="both"/>
        <w:spacing w:after="0" w:line="287" w:lineRule="auto"/>
        <w:rPr>
          <w:sz w:val="20"/>
          <w:szCs w:val="20"/>
          <w:color w:val="auto"/>
        </w:rPr>
      </w:pPr>
      <w:r>
        <w:rPr>
          <w:rFonts w:ascii="Arial" w:cs="Arial" w:eastAsia="Arial" w:hAnsi="Arial"/>
          <w:sz w:val="16"/>
          <w:szCs w:val="16"/>
          <w:color w:val="auto"/>
        </w:rPr>
        <w:t>functional currency denominated accounts payable. These transactions are not designated as hedging instruments and are accounted for as derivatives whereby the fair value of the contracts is reported as either assets or liabilities on our Consolidated Balance Sheets, and gains and losses resulting from changes in the fair value are reported in interest and other, net, in our Consolidated Statements of Operations. We do not enter into derivative financial contracts for speculative or trading purposes. At March 31, 2018, we had $4.4 million of forward contracts outstanding to buy foreign currencies in exchange for U.S. dollars and $67.6 million of forward contracts outstanding to sell foreign currencies in exchange for U.S. dollars all of which have maturities of less than one year. At March 31, 2017, we had $9.2 million of forward contracts outstanding to buy foreign currencies in exchange for U.S. dollars and $177.5 million of forward contracts outstanding to sell foreign currencies in exchange for U.S. dollars all of which have maturities of less than one year. For the fiscal years ended March 31, 2018, 2017 and 2016, we recorded a loss of $19.5 million and gains of $7.2 million and $0.1 million, respectively, related to foreign currency forward contracts in Interest and other, net on the Consolidated Statements of Operations. As of March 31, 2018 and 2017 the fair value of these outstanding forward contracts was a loss of $0.0 million and $0.4 million, respectively, and is included in accrued and other current liabilities. The fair value of these outstanding forward contracts is estimated based on the prevailing exchange rates of the various hedged currencies as of the end of the period.</w:t>
      </w:r>
    </w:p>
    <w:p>
      <w:pPr>
        <w:spacing w:after="0" w:line="227"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Our hedging programs are designed to reduce, but do not entirely eliminate, the effect of currency exchange rate movements. We believe the counterparties to these foreign currency forward contracts are credit-worthy multinational commercial banks and that the risk of counterparty nonperformance is not material. Notwithstanding our efforts to mitigate some foreign currency exchange rate risks, there can be no assurance that our hedging activities will adequately protect us against the risks associated with foreign currency fluctuations. For the fiscal year ended March 31, 2018, 41.3% of our revenue was generated outside the United States. Using sensitivity analysis, a hypothetical 10% increase in the value of the U.S. dollar against all currencies would decrease revenues by 4.1%, while a hypothetical 10% decrease in the value of the U.S. dollar against all currencies would increase revenues by 4.1%. In the opinion of management, a substantial portion of this fluctuation would be offset by cost of goods sold and operating expenses incurred in local currency.</w:t>
      </w:r>
    </w:p>
    <w:p>
      <w:pPr>
        <w:spacing w:after="0" w:line="217"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Financial Statements and Supplementary Data</w:t>
      </w:r>
    </w:p>
    <w:p>
      <w:pPr>
        <w:spacing w:after="0" w:line="28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financial statements and supplementary data appear in a separate section of this report following Part IV. We provide details of our valuation and qualifying accounts in "Note 21—Supplementary Financial Information" to the Consolidated Financial Statements. All schedules have been omitted since the information required to be submitted has been included on the Consolidated Financial Statements or notes thereto or has been omitted as not applicable or not required.</w:t>
      </w:r>
    </w:p>
    <w:p>
      <w:pPr>
        <w:spacing w:after="0" w:line="237"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Changes in and Disagreements with Accountants on Accounting and Financial Disclosure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75"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Item 9A.</w:t>
      </w:r>
      <w:r>
        <w:rPr>
          <w:sz w:val="20"/>
          <w:szCs w:val="20"/>
          <w:color w:val="auto"/>
        </w:rPr>
        <w:tab/>
      </w:r>
      <w:r>
        <w:rPr>
          <w:rFonts w:ascii="Arial" w:cs="Arial" w:eastAsia="Arial" w:hAnsi="Arial"/>
          <w:sz w:val="15"/>
          <w:szCs w:val="15"/>
          <w:b w:val="1"/>
          <w:bCs w:val="1"/>
          <w:color w:val="auto"/>
        </w:rPr>
        <w:t>Controls and Procedures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Definition and Limitations of Disclosure Controls and Procedures</w:t>
      </w:r>
    </w:p>
    <w:p>
      <w:pPr>
        <w:spacing w:after="0" w:line="27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disclosure controls and procedures (as defined in Rules 13a-15(e) and 15d-15(e) under the Securities Exchange Act of 1934, as amended (the "Exchange Act")) are designed to reasonably ensure that information required to be disclosed in our reports filed under the Exchange Act is (i) recorded, processed, summarized, and reported within the time periods specified in the Securities and Exchange Commission's rules and forms and (ii) accumulated and communicated to management, including our principal executive officer and principal financial officer, as appropriate, to allow timely decisions regarding required disclosures.</w:t>
      </w:r>
    </w:p>
    <w:p>
      <w:pPr>
        <w:spacing w:after="0" w:line="24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There are inherent limitations to the effectiveness of any system of disclosure controls and procedures. These limitations include the possibility of human error, the circumvention or overriding of the controls and procedures and reasonable resource constraints. In addition, because we have designed our system of controls based on certain assumptions, which we believe are reasonable, about the likelihood of future events, our system of controls may not achieve its desired purpose under all possible future conditions. Accordingly, our disclosure controls and procedures provide reasonable assurance, but not absolute assurance, of achieving their objectives.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Evaluation of Disclosure Controls and Procedures</w:t>
      </w:r>
    </w:p>
    <w:p>
      <w:pPr>
        <w:spacing w:after="0" w:line="27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Our management, with the participation of our principal executive officer and principal financial officer, has evaluated the effectiveness of our disclosure controls and procedures at March 31, 2018, the end of the period covered by this report. Based on this evaluation, the principal executive officer and principal financial officer concluded that, at March 31, 2018, our disclosure controls and procedures were effective to provide reasonable assurance that information required to be disclosed by us in the reports that we file or submit under the Exchange Act is (i) recorded, processed, summarized, and reported on a timely basis, and</w:t>
      </w:r>
    </w:p>
    <w:p>
      <w:pPr>
        <w:sectPr>
          <w:pgSz w:w="11900" w:h="16838" w:orient="portrait"/>
          <w:cols w:equalWidth="0" w:num="1">
            <w:col w:w="11420"/>
          </w:cols>
          <w:pgMar w:left="240" w:top="719" w:right="239" w:bottom="1440" w:gutter="0" w:footer="0" w:header="0"/>
        </w:sectPr>
      </w:pPr>
    </w:p>
    <w:p>
      <w:pPr>
        <w:spacing w:after="0" w:line="35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40</w:t>
      </w:r>
    </w:p>
    <w:p>
      <w:pPr>
        <w:sectPr>
          <w:pgSz w:w="11900" w:h="16838" w:orient="portrait"/>
          <w:cols w:equalWidth="0" w:num="1">
            <w:col w:w="11420"/>
          </w:cols>
          <w:pgMar w:left="240" w:top="719" w:right="239" w:bottom="1440" w:gutter="0" w:footer="0" w:header="0"/>
          <w:type w:val="continuous"/>
        </w:sectPr>
      </w:pPr>
    </w:p>
    <w:bookmarkStart w:id="42" w:name="page43"/>
    <w:bookmarkEnd w:id="42"/>
    <w:p>
      <w:pPr>
        <w:ind w:firstLine="8"/>
        <w:spacing w:after="0" w:line="277" w:lineRule="auto"/>
        <w:tabs>
          <w:tab w:leader="none" w:pos="278" w:val="left"/>
        </w:tabs>
        <w:numPr>
          <w:ilvl w:val="0"/>
          <w:numId w:val="14"/>
        </w:numPr>
        <w:rPr>
          <w:rFonts w:ascii="Arial" w:cs="Arial" w:eastAsia="Arial" w:hAnsi="Arial"/>
          <w:sz w:val="18"/>
          <w:szCs w:val="18"/>
          <w:color w:val="auto"/>
        </w:rPr>
      </w:pPr>
      <w:r>
        <w:rPr>
          <w:rFonts w:ascii="Arial" w:cs="Arial" w:eastAsia="Arial" w:hAnsi="Arial"/>
          <w:sz w:val="18"/>
          <w:szCs w:val="18"/>
          <w:color w:val="auto"/>
        </w:rPr>
        <w:t>accumulated and communicated to management, including our principal executive officer and principal financial officer, as appropriate to allow timely decisions regarding required disclosures.</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Management's Report on Internal Control Over Financial Reporting</w:t>
      </w:r>
    </w:p>
    <w:p>
      <w:pPr>
        <w:spacing w:after="0" w:line="27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Our management is responsible for establishing and maintaining adequate internal control over financial reporting (as defined in Rule 13a-15(f) under the Exchange Act). Management conducted an evaluation of the effectiveness of our internal control over financial reporting based on the criteria set forth in Internal Control—Integrated Framework issued by the Committee of Sponsoring Organizations of the Treadway Commission 2013 framework ("COSO"). Based on this evaluation, management has concluded that our internal control over financial reporting was effective as of March 31, 2018.</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Our independent registered public accounting firm, Ernst &amp; Young LLP, has issued an audit report on our internal control over financial reporting. The report on the audit of internal control over financial reporting is included in this Form 10-K.</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Internal Control Over Financial Reporting</w:t>
      </w:r>
    </w:p>
    <w:p>
      <w:pPr>
        <w:spacing w:after="0" w:line="279"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There were no changes in our internal control over financial reporting during the fiscal quarter ended March 31, 2018, which were identified in connection with management's evaluation required by paragraph (d) of Rules 13a-15 and 15d-15 under the Exchange Act, that have materially affected, or are reasonably likely to materially affect, our internal control over financial reporting.</w:t>
      </w:r>
    </w:p>
    <w:p>
      <w:pPr>
        <w:spacing w:after="0" w:line="231"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9B.</w:t>
      </w:r>
      <w:r>
        <w:rPr>
          <w:sz w:val="20"/>
          <w:szCs w:val="20"/>
          <w:color w:val="auto"/>
        </w:rPr>
        <w:tab/>
      </w:r>
      <w:r>
        <w:rPr>
          <w:rFonts w:ascii="Arial" w:cs="Arial" w:eastAsia="Arial" w:hAnsi="Arial"/>
          <w:sz w:val="17"/>
          <w:szCs w:val="17"/>
          <w:b w:val="1"/>
          <w:bCs w:val="1"/>
          <w:color w:val="auto"/>
        </w:rPr>
        <w:t>Other Information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420"/>
          </w:cols>
          <w:pgMar w:left="240" w:top="719" w:right="239" w:bottom="1440" w:gutter="0" w:footer="0" w:header="0"/>
        </w:sectPr>
      </w:pPr>
    </w:p>
    <w:bookmarkStart w:id="43" w:name="page44"/>
    <w:bookmarkEnd w:id="43"/>
    <w:p>
      <w:pPr>
        <w:spacing w:after="0"/>
        <w:rPr>
          <w:sz w:val="20"/>
          <w:szCs w:val="20"/>
          <w:color w:val="auto"/>
        </w:rPr>
      </w:pPr>
      <w:r>
        <w:rPr>
          <w:rFonts w:ascii="Arial" w:cs="Arial" w:eastAsia="Arial" w:hAnsi="Arial"/>
          <w:sz w:val="18"/>
          <w:szCs w:val="18"/>
          <w:b w:val="1"/>
          <w:bCs w:val="1"/>
          <w:color w:val="auto"/>
        </w:rPr>
        <w:t>PART III</w:t>
      </w:r>
    </w:p>
    <w:p>
      <w:pPr>
        <w:spacing w:after="0" w:line="279"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b w:val="1"/>
          <w:bCs w:val="1"/>
          <w:color w:val="auto"/>
        </w:rPr>
        <w:t>Directors, Executive Officers and Corporate Governance</w:t>
      </w:r>
    </w:p>
    <w:p>
      <w:pPr>
        <w:spacing w:after="0" w:line="28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 xml:space="preserve">The information required by this Item is incorporated herein by reference to the sections entitled "Proposal 1—Election of Directors" and "Executive Compensation—Section 16(a) Beneficial Ownership Reporting Compliance" in our definitive Proxy Statement (the "Proxy Statement") for the Annual Meeting of Stockholders to be held in 2018. We intend to file the Proxy Statement within 120 days after the end of the fiscal year (i.e. on or before July 29, 2018). Our Code of Business Conduct and Ethics applicable to our directors and all employees, including senior financial officers, is available on our website at </w:t>
      </w:r>
      <w:r>
        <w:rPr>
          <w:rFonts w:ascii="Arial" w:cs="Arial" w:eastAsia="Arial" w:hAnsi="Arial"/>
          <w:sz w:val="18"/>
          <w:szCs w:val="18"/>
          <w:i w:val="1"/>
          <w:iCs w:val="1"/>
          <w:color w:val="auto"/>
        </w:rPr>
        <w:t>www.take2games.com</w:t>
      </w:r>
      <w:r>
        <w:rPr>
          <w:rFonts w:ascii="Arial" w:cs="Arial" w:eastAsia="Arial" w:hAnsi="Arial"/>
          <w:sz w:val="18"/>
          <w:szCs w:val="18"/>
          <w:color w:val="auto"/>
        </w:rPr>
        <w:t>. If we make any amendment to our Code of Business Conduct and Ethics that is required to be disclosed pursuant to the Exchange Act, we will make such disclosures on our website.</w:t>
      </w:r>
    </w:p>
    <w:p>
      <w:pPr>
        <w:spacing w:after="0" w:line="243" w:lineRule="exact"/>
        <w:rPr>
          <w:sz w:val="20"/>
          <w:szCs w:val="20"/>
          <w:color w:val="auto"/>
        </w:rPr>
      </w:pPr>
    </w:p>
    <w:p>
      <w:pPr>
        <w:spacing w:after="0"/>
        <w:tabs>
          <w:tab w:leader="none" w:pos="780" w:val="left"/>
        </w:tabs>
        <w:rPr>
          <w:sz w:val="20"/>
          <w:szCs w:val="20"/>
          <w:color w:val="auto"/>
        </w:rPr>
      </w:pPr>
      <w:r>
        <w:rPr>
          <w:rFonts w:ascii="Arial" w:cs="Arial" w:eastAsia="Arial" w:hAnsi="Arial"/>
          <w:sz w:val="18"/>
          <w:szCs w:val="18"/>
          <w:b w:val="1"/>
          <w:bCs w:val="1"/>
          <w:color w:val="auto"/>
        </w:rPr>
        <w:t>Item 11.</w:t>
      </w:r>
      <w:r>
        <w:rPr>
          <w:sz w:val="20"/>
          <w:szCs w:val="20"/>
          <w:color w:val="auto"/>
        </w:rPr>
        <w:tab/>
      </w:r>
      <w:r>
        <w:rPr>
          <w:rFonts w:ascii="Arial" w:cs="Arial" w:eastAsia="Arial" w:hAnsi="Arial"/>
          <w:sz w:val="16"/>
          <w:szCs w:val="16"/>
          <w:b w:val="1"/>
          <w:bCs w:val="1"/>
          <w:color w:val="auto"/>
        </w:rPr>
        <w:t>Executive Compensation</w:t>
      </w:r>
    </w:p>
    <w:p>
      <w:pPr>
        <w:spacing w:after="0" w:line="283" w:lineRule="exact"/>
        <w:rPr>
          <w:sz w:val="20"/>
          <w:szCs w:val="20"/>
          <w:color w:val="auto"/>
        </w:rPr>
      </w:pPr>
    </w:p>
    <w:p>
      <w:pPr>
        <w:spacing w:after="0"/>
        <w:rPr>
          <w:sz w:val="20"/>
          <w:szCs w:val="20"/>
          <w:color w:val="auto"/>
        </w:rPr>
      </w:pPr>
      <w:r>
        <w:rPr>
          <w:rFonts w:ascii="Arial" w:cs="Arial" w:eastAsia="Arial" w:hAnsi="Arial"/>
          <w:sz w:val="17"/>
          <w:szCs w:val="17"/>
          <w:color w:val="auto"/>
        </w:rPr>
        <w:t>The information required by this Item is incorporated herein by reference to the section entitled "Executive Compensation" in our Proxy Statement.</w:t>
      </w:r>
    </w:p>
    <w:p>
      <w:pPr>
        <w:spacing w:after="0" w:line="287"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12.</w:t>
      </w:r>
      <w:r>
        <w:rPr>
          <w:sz w:val="20"/>
          <w:szCs w:val="20"/>
          <w:color w:val="auto"/>
        </w:rPr>
        <w:tab/>
      </w:r>
      <w:r>
        <w:rPr>
          <w:rFonts w:ascii="Arial" w:cs="Arial" w:eastAsia="Arial" w:hAnsi="Arial"/>
          <w:sz w:val="16"/>
          <w:szCs w:val="16"/>
          <w:b w:val="1"/>
          <w:bCs w:val="1"/>
          <w:color w:val="auto"/>
        </w:rPr>
        <w:t>Security Ownership of Certain Beneficial Owners and Management and Related Stockholder Matters</w:t>
      </w:r>
    </w:p>
    <w:p>
      <w:pPr>
        <w:spacing w:after="0" w:line="28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information required by this Item is incorporated herein by reference to the sections entitled "Voting Security Ownership of Certain Beneficial Owners and Management" and "Equity Compensation Plan Information" in our Proxy Statement.</w:t>
      </w:r>
    </w:p>
    <w:p>
      <w:pPr>
        <w:spacing w:after="0" w:line="22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13.</w:t>
      </w:r>
      <w:r>
        <w:rPr>
          <w:sz w:val="20"/>
          <w:szCs w:val="20"/>
          <w:color w:val="auto"/>
        </w:rPr>
        <w:tab/>
      </w:r>
      <w:r>
        <w:rPr>
          <w:rFonts w:ascii="Arial" w:cs="Arial" w:eastAsia="Arial" w:hAnsi="Arial"/>
          <w:sz w:val="16"/>
          <w:szCs w:val="16"/>
          <w:b w:val="1"/>
          <w:bCs w:val="1"/>
          <w:color w:val="auto"/>
        </w:rPr>
        <w:t>Certain Relationships and Related Transactions, and Director Independence</w:t>
      </w:r>
    </w:p>
    <w:p>
      <w:pPr>
        <w:spacing w:after="0" w:line="28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information required by this Item is incorporated herein by reference to the section entitled "Certain Relationships and Related Transactions" in our Proxy Statement.</w:t>
      </w:r>
    </w:p>
    <w:p>
      <w:pPr>
        <w:spacing w:after="0" w:line="22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5"/>
          <w:szCs w:val="15"/>
          <w:b w:val="1"/>
          <w:bCs w:val="1"/>
          <w:color w:val="auto"/>
        </w:rPr>
        <w:t>Principal Accounting Fees and Services</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information required by this Item is incorporated herein by reference to the section entitled "Independent Auditor Fee Information" in our Proxy Statement.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20"/>
          </w:cols>
          <w:pgMar w:left="240" w:top="715" w:right="239" w:bottom="1440" w:gutter="0" w:footer="0" w:header="0"/>
        </w:sectPr>
      </w:pPr>
    </w:p>
    <w:bookmarkStart w:id="44" w:name="page45"/>
    <w:bookmarkEnd w:id="44"/>
    <w:p>
      <w:pPr>
        <w:spacing w:after="0"/>
        <w:rPr>
          <w:sz w:val="20"/>
          <w:szCs w:val="20"/>
          <w:color w:val="auto"/>
        </w:rPr>
      </w:pPr>
      <w:r>
        <w:rPr>
          <w:rFonts w:ascii="Arial" w:cs="Arial" w:eastAsia="Arial" w:hAnsi="Arial"/>
          <w:sz w:val="18"/>
          <w:szCs w:val="18"/>
          <w:b w:val="1"/>
          <w:bCs w:val="1"/>
          <w:color w:val="auto"/>
        </w:rPr>
        <w:t>PART IV</w:t>
      </w:r>
    </w:p>
    <w:p>
      <w:pPr>
        <w:spacing w:after="0" w:line="279"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6"/>
          <w:szCs w:val="16"/>
          <w:b w:val="1"/>
          <w:bCs w:val="1"/>
          <w:color w:val="auto"/>
        </w:rPr>
        <w:t>Exhibits, Financial Statement Schedules</w:t>
      </w:r>
    </w:p>
    <w:p>
      <w:pPr>
        <w:spacing w:after="0" w:line="148" w:lineRule="exact"/>
        <w:rPr>
          <w:sz w:val="20"/>
          <w:szCs w:val="20"/>
          <w:color w:val="auto"/>
        </w:rPr>
      </w:pPr>
    </w:p>
    <w:p>
      <w:pPr>
        <w:ind w:left="340" w:hanging="332"/>
        <w:spacing w:after="0"/>
        <w:tabs>
          <w:tab w:leader="none" w:pos="3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following documents are filed as part of this Report: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Financial Statements. See Index to Financial Statements on page 51 of this Report.</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Financial Statement Schedule. See Note 21 to the Consolidated Financial Statements.</w:t>
      </w:r>
    </w:p>
    <w:p>
      <w:pPr>
        <w:spacing w:after="0" w:line="117" w:lineRule="exact"/>
        <w:rPr>
          <w:rFonts w:ascii="Arial" w:cs="Arial" w:eastAsia="Arial" w:hAnsi="Arial"/>
          <w:sz w:val="18"/>
          <w:szCs w:val="18"/>
          <w:color w:val="auto"/>
        </w:rPr>
      </w:pPr>
    </w:p>
    <w:p>
      <w:pPr>
        <w:ind w:left="660" w:hanging="328"/>
        <w:spacing w:after="0"/>
        <w:tabs>
          <w:tab w:leader="none" w:pos="660" w:val="left"/>
        </w:tabs>
        <w:numPr>
          <w:ilvl w:val="1"/>
          <w:numId w:val="15"/>
        </w:numPr>
        <w:rPr>
          <w:rFonts w:ascii="Arial" w:cs="Arial" w:eastAsia="Arial" w:hAnsi="Arial"/>
          <w:sz w:val="18"/>
          <w:szCs w:val="18"/>
          <w:color w:val="auto"/>
        </w:rPr>
      </w:pPr>
      <w:r>
        <w:rPr>
          <w:rFonts w:ascii="Arial" w:cs="Arial" w:eastAsia="Arial" w:hAnsi="Arial"/>
          <w:sz w:val="18"/>
          <w:szCs w:val="18"/>
          <w:color w:val="auto"/>
        </w:rPr>
        <w:t>Index to Exhibits:</w:t>
      </w:r>
    </w:p>
    <w:p>
      <w:pPr>
        <w:spacing w:after="0" w:line="271" w:lineRule="exact"/>
        <w:rPr>
          <w:sz w:val="20"/>
          <w:szCs w:val="20"/>
          <w:color w:val="auto"/>
        </w:rPr>
      </w:pPr>
    </w:p>
    <w:tbl>
      <w:tblPr>
        <w:tblLayout w:type="fixed"/>
        <w:tblInd w:w="580" w:type="dxa"/>
        <w:tblCellMar>
          <w:top w:w="0" w:type="dxa"/>
          <w:left w:w="0" w:type="dxa"/>
          <w:bottom w:w="0" w:type="dxa"/>
          <w:right w:w="0" w:type="dxa"/>
        </w:tblCellMar>
      </w:tblPr>
      <w:tr>
        <w:trPr>
          <w:trHeight w:val="186"/>
        </w:trPr>
        <w:tc>
          <w:tcPr>
            <w:tcW w:w="1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5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360" w:type="dxa"/>
            <w:vAlign w:val="bottom"/>
            <w:gridSpan w:val="4"/>
          </w:tcPr>
          <w:p>
            <w:pPr>
              <w:ind w:left="280"/>
              <w:spacing w:after="0"/>
              <w:rPr>
                <w:sz w:val="20"/>
                <w:szCs w:val="20"/>
                <w:color w:val="auto"/>
              </w:rPr>
            </w:pPr>
            <w:r>
              <w:rPr>
                <w:rFonts w:ascii="Arial" w:cs="Arial" w:eastAsia="Arial" w:hAnsi="Arial"/>
                <w:sz w:val="14"/>
                <w:szCs w:val="14"/>
                <w:b w:val="1"/>
                <w:bCs w:val="1"/>
                <w:color w:val="auto"/>
              </w:rPr>
              <w:t>Incorporated by Reference</w:t>
            </w:r>
          </w:p>
        </w:tc>
        <w:tc>
          <w:tcPr>
            <w:tcW w:w="9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1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1560" w:type="dxa"/>
            <w:vAlign w:val="bottom"/>
          </w:tcPr>
          <w:p>
            <w:pPr>
              <w:spacing w:after="0"/>
              <w:rPr>
                <w:sz w:val="6"/>
                <w:szCs w:val="6"/>
                <w:color w:val="auto"/>
              </w:rPr>
            </w:pPr>
          </w:p>
        </w:tc>
        <w:tc>
          <w:tcPr>
            <w:tcW w:w="20" w:type="dxa"/>
            <w:vAlign w:val="bottom"/>
          </w:tcPr>
          <w:p>
            <w:pPr>
              <w:spacing w:after="0"/>
              <w:rPr>
                <w:sz w:val="6"/>
                <w:szCs w:val="6"/>
                <w:color w:val="auto"/>
              </w:rPr>
            </w:pPr>
          </w:p>
        </w:tc>
        <w:tc>
          <w:tcPr>
            <w:tcW w:w="980" w:type="dxa"/>
            <w:vAlign w:val="bottom"/>
          </w:tcPr>
          <w:p>
            <w:pPr>
              <w:spacing w:after="0"/>
              <w:rPr>
                <w:sz w:val="6"/>
                <w:szCs w:val="6"/>
                <w:color w:val="auto"/>
              </w:rPr>
            </w:pPr>
          </w:p>
        </w:tc>
        <w:tc>
          <w:tcPr>
            <w:tcW w:w="40" w:type="dxa"/>
            <w:vAlign w:val="bottom"/>
          </w:tcPr>
          <w:p>
            <w:pPr>
              <w:spacing w:after="0"/>
              <w:rPr>
                <w:sz w:val="6"/>
                <w:szCs w:val="6"/>
                <w:color w:val="auto"/>
              </w:rPr>
            </w:pPr>
          </w:p>
        </w:tc>
        <w:tc>
          <w:tcPr>
            <w:tcW w:w="4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140" w:type="dxa"/>
            <w:vAlign w:val="bottom"/>
          </w:tcPr>
          <w:p>
            <w:pPr>
              <w:spacing w:after="0"/>
              <w:rPr>
                <w:sz w:val="6"/>
                <w:szCs w:val="6"/>
                <w:color w:val="auto"/>
              </w:rPr>
            </w:pPr>
          </w:p>
        </w:tc>
        <w:tc>
          <w:tcPr>
            <w:tcW w:w="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20" w:type="dxa"/>
            <w:vAlign w:val="bottom"/>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9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0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9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46"/>
        </w:trPr>
        <w:tc>
          <w:tcPr>
            <w:tcW w:w="1340" w:type="dxa"/>
            <w:vAlign w:val="bottom"/>
            <w:vMerge w:val="restart"/>
          </w:tcPr>
          <w:p>
            <w:pPr>
              <w:ind w:left="160"/>
              <w:spacing w:after="0"/>
              <w:rPr>
                <w:sz w:val="20"/>
                <w:szCs w:val="20"/>
                <w:color w:val="auto"/>
              </w:rPr>
            </w:pPr>
            <w:r>
              <w:rPr>
                <w:rFonts w:ascii="Arial" w:cs="Arial" w:eastAsia="Arial" w:hAnsi="Arial"/>
                <w:sz w:val="14"/>
                <w:szCs w:val="14"/>
                <w:b w:val="1"/>
                <w:bCs w:val="1"/>
                <w:color w:val="auto"/>
              </w:rPr>
              <w:t>Exhibit Number</w:t>
            </w:r>
          </w:p>
        </w:tc>
        <w:tc>
          <w:tcPr>
            <w:tcW w:w="120" w:type="dxa"/>
            <w:vAlign w:val="bottom"/>
            <w:vMerge w:val="restart"/>
          </w:tcPr>
          <w:p>
            <w:pPr>
              <w:spacing w:after="0"/>
              <w:rPr>
                <w:sz w:val="12"/>
                <w:szCs w:val="12"/>
                <w:color w:val="auto"/>
              </w:rPr>
            </w:pPr>
          </w:p>
        </w:tc>
        <w:tc>
          <w:tcPr>
            <w:tcW w:w="20" w:type="dxa"/>
            <w:vAlign w:val="bottom"/>
          </w:tcPr>
          <w:p>
            <w:pPr>
              <w:spacing w:after="0"/>
              <w:rPr>
                <w:sz w:val="12"/>
                <w:szCs w:val="12"/>
                <w:color w:val="auto"/>
              </w:rPr>
            </w:pPr>
          </w:p>
        </w:tc>
        <w:tc>
          <w:tcPr>
            <w:tcW w:w="4380" w:type="dxa"/>
            <w:vAlign w:val="bottom"/>
            <w:gridSpan w:val="22"/>
            <w:vMerge w:val="restart"/>
          </w:tcPr>
          <w:p>
            <w:pPr>
              <w:ind w:left="1560"/>
              <w:spacing w:after="0"/>
              <w:rPr>
                <w:sz w:val="20"/>
                <w:szCs w:val="20"/>
                <w:color w:val="auto"/>
              </w:rPr>
            </w:pPr>
            <w:r>
              <w:rPr>
                <w:rFonts w:ascii="Arial" w:cs="Arial" w:eastAsia="Arial" w:hAnsi="Arial"/>
                <w:sz w:val="14"/>
                <w:szCs w:val="14"/>
                <w:b w:val="1"/>
                <w:bCs w:val="1"/>
                <w:color w:val="auto"/>
              </w:rPr>
              <w:t>Exhibit Description</w:t>
            </w:r>
          </w:p>
        </w:tc>
        <w:tc>
          <w:tcPr>
            <w:tcW w:w="100" w:type="dxa"/>
            <w:vAlign w:val="bottom"/>
            <w:vMerge w:val="restart"/>
          </w:tcPr>
          <w:p>
            <w:pPr>
              <w:spacing w:after="0"/>
              <w:rPr>
                <w:sz w:val="12"/>
                <w:szCs w:val="12"/>
                <w:color w:val="auto"/>
              </w:rPr>
            </w:pPr>
          </w:p>
        </w:tc>
        <w:tc>
          <w:tcPr>
            <w:tcW w:w="9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Form</w:t>
            </w:r>
          </w:p>
        </w:tc>
        <w:tc>
          <w:tcPr>
            <w:tcW w:w="120" w:type="dxa"/>
            <w:vAlign w:val="bottom"/>
            <w:vMerge w:val="restart"/>
          </w:tcPr>
          <w:p>
            <w:pPr>
              <w:spacing w:after="0"/>
              <w:rPr>
                <w:sz w:val="12"/>
                <w:szCs w:val="12"/>
                <w:color w:val="auto"/>
              </w:rPr>
            </w:pPr>
          </w:p>
        </w:tc>
        <w:tc>
          <w:tcPr>
            <w:tcW w:w="112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Filing Date</w:t>
            </w:r>
          </w:p>
        </w:tc>
        <w:tc>
          <w:tcPr>
            <w:tcW w:w="100" w:type="dxa"/>
            <w:vAlign w:val="bottom"/>
            <w:vMerge w:val="restart"/>
          </w:tcPr>
          <w:p>
            <w:pPr>
              <w:spacing w:after="0"/>
              <w:rPr>
                <w:sz w:val="12"/>
                <w:szCs w:val="12"/>
                <w:color w:val="auto"/>
              </w:rPr>
            </w:pPr>
          </w:p>
        </w:tc>
        <w:tc>
          <w:tcPr>
            <w:tcW w:w="102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Exhibit</w:t>
            </w:r>
          </w:p>
        </w:tc>
        <w:tc>
          <w:tcPr>
            <w:tcW w:w="120" w:type="dxa"/>
            <w:vAlign w:val="bottom"/>
            <w:vMerge w:val="restart"/>
          </w:tcPr>
          <w:p>
            <w:pPr>
              <w:spacing w:after="0"/>
              <w:rPr>
                <w:sz w:val="12"/>
                <w:szCs w:val="12"/>
                <w:color w:val="auto"/>
              </w:rPr>
            </w:pPr>
          </w:p>
        </w:tc>
        <w:tc>
          <w:tcPr>
            <w:tcW w:w="920" w:type="dxa"/>
            <w:vAlign w:val="bottom"/>
          </w:tcPr>
          <w:p>
            <w:pPr>
              <w:jc w:val="center"/>
              <w:spacing w:after="0" w:line="147" w:lineRule="exact"/>
              <w:rPr>
                <w:sz w:val="20"/>
                <w:szCs w:val="20"/>
                <w:color w:val="auto"/>
              </w:rPr>
            </w:pPr>
            <w:r>
              <w:rPr>
                <w:rFonts w:ascii="Arial" w:cs="Arial" w:eastAsia="Arial" w:hAnsi="Arial"/>
                <w:sz w:val="14"/>
                <w:szCs w:val="14"/>
                <w:b w:val="1"/>
                <w:bCs w:val="1"/>
                <w:color w:val="auto"/>
                <w:w w:val="91"/>
              </w:rPr>
              <w:t>Filed</w:t>
            </w:r>
          </w:p>
        </w:tc>
        <w:tc>
          <w:tcPr>
            <w:tcW w:w="0" w:type="dxa"/>
            <w:vAlign w:val="bottom"/>
          </w:tcPr>
          <w:p>
            <w:pPr>
              <w:spacing w:after="0"/>
              <w:rPr>
                <w:sz w:val="1"/>
                <w:szCs w:val="1"/>
                <w:color w:val="auto"/>
              </w:rPr>
            </w:pPr>
          </w:p>
        </w:tc>
      </w:tr>
      <w:tr>
        <w:trPr>
          <w:trHeight w:val="192"/>
        </w:trPr>
        <w:tc>
          <w:tcPr>
            <w:tcW w:w="134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4380" w:type="dxa"/>
            <w:vAlign w:val="bottom"/>
            <w:tcBorders>
              <w:bottom w:val="single" w:sz="8" w:color="auto"/>
            </w:tcBorders>
            <w:gridSpan w:val="22"/>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9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Herewith</w:t>
            </w:r>
          </w:p>
        </w:tc>
        <w:tc>
          <w:tcPr>
            <w:tcW w:w="0" w:type="dxa"/>
            <w:vAlign w:val="bottom"/>
          </w:tcPr>
          <w:p>
            <w:pPr>
              <w:spacing w:after="0"/>
              <w:rPr>
                <w:sz w:val="1"/>
                <w:szCs w:val="1"/>
                <w:color w:val="auto"/>
              </w:rPr>
            </w:pPr>
          </w:p>
        </w:tc>
      </w:tr>
      <w:tr>
        <w:trPr>
          <w:trHeight w:val="202"/>
        </w:trPr>
        <w:tc>
          <w:tcPr>
            <w:tcW w:w="1340" w:type="dxa"/>
            <w:vAlign w:val="bottom"/>
          </w:tcPr>
          <w:p>
            <w:pPr>
              <w:jc w:val="center"/>
              <w:spacing w:after="0" w:line="202" w:lineRule="exact"/>
              <w:rPr>
                <w:sz w:val="20"/>
                <w:szCs w:val="20"/>
                <w:color w:val="auto"/>
              </w:rPr>
            </w:pPr>
            <w:r>
              <w:rPr>
                <w:rFonts w:ascii="Arial" w:cs="Arial" w:eastAsia="Arial" w:hAnsi="Arial"/>
                <w:sz w:val="18"/>
                <w:szCs w:val="18"/>
                <w:color w:val="auto"/>
                <w:w w:val="87"/>
              </w:rPr>
              <w:t>2.1</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60" w:type="dxa"/>
            <w:vAlign w:val="bottom"/>
            <w:tcBorders>
              <w:bottom w:val="single" w:sz="8" w:color="0000FF"/>
            </w:tcBorders>
            <w:gridSpan w:val="12"/>
          </w:tcPr>
          <w:p>
            <w:pPr>
              <w:spacing w:after="0" w:line="202" w:lineRule="exact"/>
              <w:rPr>
                <w:rFonts w:ascii="Arial" w:cs="Arial" w:eastAsia="Arial" w:hAnsi="Arial"/>
                <w:sz w:val="18"/>
                <w:szCs w:val="18"/>
                <w:color w:val="0000FF"/>
                <w:w w:val="87"/>
              </w:rPr>
            </w:pPr>
            <w:hyperlink r:id="rId12">
              <w:r>
                <w:rPr>
                  <w:rFonts w:ascii="Arial" w:cs="Arial" w:eastAsia="Arial" w:hAnsi="Arial"/>
                  <w:sz w:val="18"/>
                  <w:szCs w:val="18"/>
                  <w:color w:val="0000FF"/>
                  <w:w w:val="87"/>
                </w:rPr>
                <w:t>Share Sale and Purchase Agreement, dated January 31,</w:t>
              </w:r>
            </w:hyperlink>
          </w:p>
        </w:tc>
        <w:tc>
          <w:tcPr>
            <w:tcW w:w="520" w:type="dxa"/>
            <w:vAlign w:val="bottom"/>
            <w:gridSpan w:val="11"/>
          </w:tcPr>
          <w:p>
            <w:pPr>
              <w:spacing w:after="0"/>
              <w:rPr>
                <w:sz w:val="17"/>
                <w:szCs w:val="17"/>
                <w:color w:val="auto"/>
              </w:rPr>
            </w:pPr>
          </w:p>
        </w:tc>
        <w:tc>
          <w:tcPr>
            <w:tcW w:w="1040" w:type="dxa"/>
            <w:vAlign w:val="bottom"/>
            <w:gridSpan w:val="2"/>
          </w:tcPr>
          <w:p>
            <w:pPr>
              <w:jc w:val="center"/>
              <w:ind w:right="120"/>
              <w:spacing w:after="0" w:line="202" w:lineRule="exact"/>
              <w:rPr>
                <w:sz w:val="20"/>
                <w:szCs w:val="20"/>
                <w:color w:val="auto"/>
              </w:rPr>
            </w:pPr>
            <w:r>
              <w:rPr>
                <w:rFonts w:ascii="Arial" w:cs="Arial" w:eastAsia="Arial" w:hAnsi="Arial"/>
                <w:sz w:val="18"/>
                <w:szCs w:val="18"/>
                <w:color w:val="auto"/>
                <w:w w:val="99"/>
              </w:rPr>
              <w:t>8-K</w:t>
            </w:r>
          </w:p>
        </w:tc>
        <w:tc>
          <w:tcPr>
            <w:tcW w:w="1120" w:type="dxa"/>
            <w:vAlign w:val="bottom"/>
          </w:tcPr>
          <w:p>
            <w:pPr>
              <w:jc w:val="center"/>
              <w:spacing w:after="0" w:line="202" w:lineRule="exact"/>
              <w:rPr>
                <w:sz w:val="20"/>
                <w:szCs w:val="20"/>
                <w:color w:val="auto"/>
              </w:rPr>
            </w:pPr>
            <w:r>
              <w:rPr>
                <w:rFonts w:ascii="Arial" w:cs="Arial" w:eastAsia="Arial" w:hAnsi="Arial"/>
                <w:sz w:val="18"/>
                <w:szCs w:val="18"/>
                <w:color w:val="auto"/>
                <w:w w:val="91"/>
              </w:rPr>
              <w:t>2/3/2017</w:t>
            </w:r>
          </w:p>
        </w:tc>
        <w:tc>
          <w:tcPr>
            <w:tcW w:w="100" w:type="dxa"/>
            <w:vAlign w:val="bottom"/>
          </w:tcPr>
          <w:p>
            <w:pPr>
              <w:spacing w:after="0"/>
              <w:rPr>
                <w:sz w:val="17"/>
                <w:szCs w:val="17"/>
                <w:color w:val="auto"/>
              </w:rPr>
            </w:pPr>
          </w:p>
        </w:tc>
        <w:tc>
          <w:tcPr>
            <w:tcW w:w="1020" w:type="dxa"/>
            <w:vAlign w:val="bottom"/>
          </w:tcPr>
          <w:p>
            <w:pPr>
              <w:jc w:val="center"/>
              <w:spacing w:after="0" w:line="202" w:lineRule="exact"/>
              <w:rPr>
                <w:sz w:val="20"/>
                <w:szCs w:val="20"/>
                <w:color w:val="auto"/>
              </w:rPr>
            </w:pPr>
            <w:r>
              <w:rPr>
                <w:rFonts w:ascii="Arial" w:cs="Arial" w:eastAsia="Arial" w:hAnsi="Arial"/>
                <w:sz w:val="18"/>
                <w:szCs w:val="18"/>
                <w:color w:val="auto"/>
                <w:w w:val="87"/>
              </w:rPr>
              <w:t>2.1</w:t>
            </w: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60" w:type="dxa"/>
            <w:vAlign w:val="bottom"/>
            <w:tcBorders>
              <w:bottom w:val="single" w:sz="8" w:color="0000FF"/>
            </w:tcBorders>
            <w:gridSpan w:val="16"/>
          </w:tcPr>
          <w:p>
            <w:pPr>
              <w:spacing w:after="0" w:line="196" w:lineRule="exact"/>
              <w:rPr>
                <w:rFonts w:ascii="Arial" w:cs="Arial" w:eastAsia="Arial" w:hAnsi="Arial"/>
                <w:sz w:val="18"/>
                <w:szCs w:val="18"/>
                <w:color w:val="0000FF"/>
                <w:w w:val="90"/>
              </w:rPr>
            </w:pPr>
            <w:hyperlink r:id="rId12">
              <w:r>
                <w:rPr>
                  <w:rFonts w:ascii="Arial" w:cs="Arial" w:eastAsia="Arial" w:hAnsi="Arial"/>
                  <w:sz w:val="18"/>
                  <w:szCs w:val="18"/>
                  <w:color w:val="0000FF"/>
                  <w:w w:val="90"/>
                </w:rPr>
                <w:t>2017, by and among Take-Two Interactive Software, Inc.,</w:t>
              </w:r>
            </w:hyperlink>
          </w:p>
        </w:tc>
        <w:tc>
          <w:tcPr>
            <w:tcW w:w="320" w:type="dxa"/>
            <w:vAlign w:val="bottom"/>
            <w:gridSpan w:val="7"/>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00" w:type="dxa"/>
            <w:vAlign w:val="bottom"/>
            <w:tcBorders>
              <w:bottom w:val="single" w:sz="8" w:color="0000FF"/>
            </w:tcBorders>
            <w:gridSpan w:val="18"/>
          </w:tcPr>
          <w:p>
            <w:pPr>
              <w:spacing w:after="0" w:line="196" w:lineRule="exact"/>
              <w:rPr>
                <w:rFonts w:ascii="Arial" w:cs="Arial" w:eastAsia="Arial" w:hAnsi="Arial"/>
                <w:sz w:val="18"/>
                <w:szCs w:val="18"/>
                <w:color w:val="0000FF"/>
                <w:w w:val="90"/>
              </w:rPr>
            </w:pPr>
            <w:hyperlink r:id="rId12">
              <w:r>
                <w:rPr>
                  <w:rFonts w:ascii="Arial" w:cs="Arial" w:eastAsia="Arial" w:hAnsi="Arial"/>
                  <w:sz w:val="18"/>
                  <w:szCs w:val="18"/>
                  <w:color w:val="0000FF"/>
                  <w:w w:val="90"/>
                </w:rPr>
                <w:t>Take-Two Invest Espana, S.L., Andres Bou Ortiz, Horacio</w:t>
              </w:r>
            </w:hyperlink>
          </w:p>
        </w:tc>
        <w:tc>
          <w:tcPr>
            <w:tcW w:w="280" w:type="dxa"/>
            <w:vAlign w:val="bottom"/>
            <w:gridSpan w:val="5"/>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80" w:type="dxa"/>
            <w:vAlign w:val="bottom"/>
            <w:tcBorders>
              <w:bottom w:val="single" w:sz="8" w:color="0000FF"/>
            </w:tcBorders>
            <w:gridSpan w:val="17"/>
          </w:tcPr>
          <w:p>
            <w:pPr>
              <w:spacing w:after="0" w:line="196" w:lineRule="exact"/>
              <w:rPr>
                <w:rFonts w:ascii="Arial" w:cs="Arial" w:eastAsia="Arial" w:hAnsi="Arial"/>
                <w:sz w:val="18"/>
                <w:szCs w:val="18"/>
                <w:color w:val="0000FF"/>
                <w:w w:val="90"/>
              </w:rPr>
            </w:pPr>
            <w:hyperlink r:id="rId12">
              <w:r>
                <w:rPr>
                  <w:rFonts w:ascii="Arial" w:cs="Arial" w:eastAsia="Arial" w:hAnsi="Arial"/>
                  <w:sz w:val="18"/>
                  <w:szCs w:val="18"/>
                  <w:color w:val="0000FF"/>
                  <w:w w:val="90"/>
                </w:rPr>
                <w:t>Martos Borja, Marc Canaleta Caupena, Voladuras Hinojo,</w:t>
              </w:r>
            </w:hyperlink>
          </w:p>
        </w:tc>
        <w:tc>
          <w:tcPr>
            <w:tcW w:w="300" w:type="dxa"/>
            <w:vAlign w:val="bottom"/>
            <w:gridSpan w:val="6"/>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480" w:type="dxa"/>
            <w:vAlign w:val="bottom"/>
            <w:gridSpan w:val="23"/>
          </w:tcPr>
          <w:p>
            <w:pPr>
              <w:spacing w:after="0" w:line="196" w:lineRule="exact"/>
              <w:rPr>
                <w:rFonts w:ascii="Arial" w:cs="Arial" w:eastAsia="Arial" w:hAnsi="Arial"/>
                <w:sz w:val="18"/>
                <w:szCs w:val="18"/>
                <w:color w:val="0000FF"/>
              </w:rPr>
            </w:pPr>
            <w:hyperlink r:id="rId12">
              <w:r>
                <w:rPr>
                  <w:rFonts w:ascii="Arial" w:cs="Arial" w:eastAsia="Arial" w:hAnsi="Arial"/>
                  <w:sz w:val="18"/>
                  <w:szCs w:val="18"/>
                  <w:color w:val="0000FF"/>
                </w:rPr>
                <w:t>S.L., Nauta Tech Invest III, S.C.R., S.A., Bilbao Vizcaya</w:t>
              </w:r>
            </w:hyperlink>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60" w:type="dxa"/>
            <w:vAlign w:val="bottom"/>
            <w:tcBorders>
              <w:top w:val="single" w:sz="8" w:color="0000FF"/>
              <w:bottom w:val="single" w:sz="8" w:color="0000FF"/>
            </w:tcBorders>
            <w:gridSpan w:val="12"/>
          </w:tcPr>
          <w:p>
            <w:pPr>
              <w:spacing w:after="0" w:line="196" w:lineRule="exact"/>
              <w:rPr>
                <w:rFonts w:ascii="Arial" w:cs="Arial" w:eastAsia="Arial" w:hAnsi="Arial"/>
                <w:sz w:val="18"/>
                <w:szCs w:val="18"/>
                <w:color w:val="0000FF"/>
                <w:w w:val="91"/>
              </w:rPr>
            </w:pPr>
            <w:hyperlink r:id="rId12">
              <w:r>
                <w:rPr>
                  <w:rFonts w:ascii="Arial" w:cs="Arial" w:eastAsia="Arial" w:hAnsi="Arial"/>
                  <w:sz w:val="18"/>
                  <w:szCs w:val="18"/>
                  <w:color w:val="0000FF"/>
                  <w:w w:val="91"/>
                </w:rPr>
                <w:t>Holding, S.A., La Banque Postale Innovation 11 FCPI,</w:t>
              </w:r>
            </w:hyperlink>
          </w:p>
        </w:tc>
        <w:tc>
          <w:tcPr>
            <w:tcW w:w="120" w:type="dxa"/>
            <w:vAlign w:val="bottom"/>
            <w:tcBorders>
              <w:top w:val="single" w:sz="8" w:color="0000FF"/>
            </w:tcBorders>
            <w:gridSpan w:val="2"/>
          </w:tcPr>
          <w:p>
            <w:pPr>
              <w:spacing w:after="0"/>
              <w:rPr>
                <w:sz w:val="17"/>
                <w:szCs w:val="17"/>
                <w:color w:val="auto"/>
              </w:rPr>
            </w:pPr>
          </w:p>
        </w:tc>
        <w:tc>
          <w:tcPr>
            <w:tcW w:w="400" w:type="dxa"/>
            <w:vAlign w:val="bottom"/>
            <w:gridSpan w:val="9"/>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60" w:type="dxa"/>
            <w:vAlign w:val="bottom"/>
            <w:tcBorders>
              <w:bottom w:val="single" w:sz="8" w:color="0000FF"/>
            </w:tcBorders>
            <w:gridSpan w:val="12"/>
          </w:tcPr>
          <w:p>
            <w:pPr>
              <w:spacing w:after="0" w:line="196" w:lineRule="exact"/>
              <w:rPr>
                <w:rFonts w:ascii="Arial" w:cs="Arial" w:eastAsia="Arial" w:hAnsi="Arial"/>
                <w:sz w:val="18"/>
                <w:szCs w:val="18"/>
                <w:color w:val="0000FF"/>
                <w:w w:val="91"/>
              </w:rPr>
            </w:pPr>
            <w:hyperlink r:id="rId12">
              <w:r>
                <w:rPr>
                  <w:rFonts w:ascii="Arial" w:cs="Arial" w:eastAsia="Arial" w:hAnsi="Arial"/>
                  <w:sz w:val="18"/>
                  <w:szCs w:val="18"/>
                  <w:color w:val="0000FF"/>
                  <w:w w:val="91"/>
                </w:rPr>
                <w:t>Capital Croissance 4, Objectif Innovation Patrimoine 4</w:t>
              </w:r>
            </w:hyperlink>
          </w:p>
        </w:tc>
        <w:tc>
          <w:tcPr>
            <w:tcW w:w="520" w:type="dxa"/>
            <w:vAlign w:val="bottom"/>
            <w:gridSpan w:val="11"/>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20" w:type="dxa"/>
            <w:vAlign w:val="bottom"/>
            <w:tcBorders>
              <w:bottom w:val="single" w:sz="8" w:color="0000FF"/>
            </w:tcBorders>
            <w:gridSpan w:val="21"/>
          </w:tcPr>
          <w:p>
            <w:pPr>
              <w:spacing w:after="0" w:line="196" w:lineRule="exact"/>
              <w:rPr>
                <w:rFonts w:ascii="Arial" w:cs="Arial" w:eastAsia="Arial" w:hAnsi="Arial"/>
                <w:sz w:val="18"/>
                <w:szCs w:val="18"/>
                <w:color w:val="0000FF"/>
                <w:w w:val="91"/>
              </w:rPr>
            </w:pPr>
            <w:hyperlink r:id="rId12">
              <w:r>
                <w:rPr>
                  <w:rFonts w:ascii="Arial" w:cs="Arial" w:eastAsia="Arial" w:hAnsi="Arial"/>
                  <w:sz w:val="18"/>
                  <w:szCs w:val="18"/>
                  <w:color w:val="0000FF"/>
                  <w:w w:val="91"/>
                </w:rPr>
                <w:t>FCPI, Strategie PME 2011 FCPI, Idinvest Patrimoine FCPI,</w:t>
              </w:r>
            </w:hyperlink>
          </w:p>
        </w:tc>
        <w:tc>
          <w:tcPr>
            <w:tcW w:w="160" w:type="dxa"/>
            <w:vAlign w:val="bottom"/>
            <w:gridSpan w:val="2"/>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80" w:type="dxa"/>
            <w:vAlign w:val="bottom"/>
            <w:tcBorders>
              <w:bottom w:val="single" w:sz="8" w:color="0000FF"/>
            </w:tcBorders>
            <w:gridSpan w:val="10"/>
          </w:tcPr>
          <w:p>
            <w:pPr>
              <w:spacing w:after="0" w:line="196" w:lineRule="exact"/>
              <w:rPr>
                <w:rFonts w:ascii="Arial" w:cs="Arial" w:eastAsia="Arial" w:hAnsi="Arial"/>
                <w:sz w:val="18"/>
                <w:szCs w:val="18"/>
                <w:color w:val="0000FF"/>
                <w:w w:val="93"/>
              </w:rPr>
            </w:pPr>
            <w:hyperlink r:id="rId12">
              <w:r>
                <w:rPr>
                  <w:rFonts w:ascii="Arial" w:cs="Arial" w:eastAsia="Arial" w:hAnsi="Arial"/>
                  <w:sz w:val="18"/>
                  <w:szCs w:val="18"/>
                  <w:color w:val="0000FF"/>
                  <w:w w:val="93"/>
                </w:rPr>
                <w:t>Allianz Eco Innovation 3 FCPI, Objectif Innovation 5</w:t>
              </w:r>
            </w:hyperlink>
          </w:p>
        </w:tc>
        <w:tc>
          <w:tcPr>
            <w:tcW w:w="600" w:type="dxa"/>
            <w:vAlign w:val="bottom"/>
            <w:gridSpan w:val="13"/>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480" w:type="dxa"/>
            <w:vAlign w:val="bottom"/>
            <w:gridSpan w:val="23"/>
          </w:tcPr>
          <w:p>
            <w:pPr>
              <w:spacing w:after="0" w:line="196" w:lineRule="exact"/>
              <w:rPr>
                <w:rFonts w:ascii="Arial" w:cs="Arial" w:eastAsia="Arial" w:hAnsi="Arial"/>
                <w:sz w:val="18"/>
                <w:szCs w:val="18"/>
                <w:color w:val="0000FF"/>
                <w:w w:val="94"/>
              </w:rPr>
            </w:pPr>
            <w:hyperlink r:id="rId12">
              <w:r>
                <w:rPr>
                  <w:rFonts w:ascii="Arial" w:cs="Arial" w:eastAsia="Arial" w:hAnsi="Arial"/>
                  <w:sz w:val="18"/>
                  <w:szCs w:val="18"/>
                  <w:color w:val="0000FF"/>
                  <w:w w:val="94"/>
                </w:rPr>
                <w:t>FCPI, Idinvest Crossance FCPI, SG Innovation 2011 FCPI,</w:t>
              </w:r>
            </w:hyperlink>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80" w:type="dxa"/>
            <w:vAlign w:val="bottom"/>
            <w:tcBorders>
              <w:top w:val="single" w:sz="8" w:color="0000FF"/>
              <w:bottom w:val="single" w:sz="8" w:color="0000FF"/>
            </w:tcBorders>
            <w:gridSpan w:val="10"/>
          </w:tcPr>
          <w:p>
            <w:pPr>
              <w:spacing w:after="0" w:line="196" w:lineRule="exact"/>
              <w:rPr>
                <w:rFonts w:ascii="Arial" w:cs="Arial" w:eastAsia="Arial" w:hAnsi="Arial"/>
                <w:sz w:val="18"/>
                <w:szCs w:val="18"/>
                <w:color w:val="0000FF"/>
                <w:w w:val="93"/>
              </w:rPr>
            </w:pPr>
            <w:hyperlink r:id="rId12">
              <w:r>
                <w:rPr>
                  <w:rFonts w:ascii="Arial" w:cs="Arial" w:eastAsia="Arial" w:hAnsi="Arial"/>
                  <w:sz w:val="18"/>
                  <w:szCs w:val="18"/>
                  <w:color w:val="0000FF"/>
                  <w:w w:val="93"/>
                </w:rPr>
                <w:t>Allianz Eco Innovation 2 FCPI, Objectif Innovation 4</w:t>
              </w:r>
            </w:hyperlink>
          </w:p>
        </w:tc>
        <w:tc>
          <w:tcPr>
            <w:tcW w:w="380" w:type="dxa"/>
            <w:vAlign w:val="bottom"/>
            <w:tcBorders>
              <w:top w:val="single" w:sz="8" w:color="0000FF"/>
            </w:tcBorders>
            <w:gridSpan w:val="9"/>
          </w:tcPr>
          <w:p>
            <w:pPr>
              <w:spacing w:after="0"/>
              <w:rPr>
                <w:sz w:val="17"/>
                <w:szCs w:val="17"/>
                <w:color w:val="auto"/>
              </w:rPr>
            </w:pPr>
          </w:p>
        </w:tc>
        <w:tc>
          <w:tcPr>
            <w:tcW w:w="220" w:type="dxa"/>
            <w:vAlign w:val="bottom"/>
            <w:gridSpan w:val="4"/>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00" w:type="dxa"/>
            <w:vAlign w:val="bottom"/>
            <w:tcBorders>
              <w:bottom w:val="single" w:sz="8" w:color="0000FF"/>
            </w:tcBorders>
            <w:gridSpan w:val="15"/>
          </w:tcPr>
          <w:p>
            <w:pPr>
              <w:spacing w:after="0" w:line="196" w:lineRule="exact"/>
              <w:rPr>
                <w:rFonts w:ascii="Arial" w:cs="Arial" w:eastAsia="Arial" w:hAnsi="Arial"/>
                <w:sz w:val="18"/>
                <w:szCs w:val="18"/>
                <w:color w:val="0000FF"/>
                <w:w w:val="91"/>
              </w:rPr>
            </w:pPr>
            <w:hyperlink r:id="rId12">
              <w:r>
                <w:rPr>
                  <w:rFonts w:ascii="Arial" w:cs="Arial" w:eastAsia="Arial" w:hAnsi="Arial"/>
                  <w:sz w:val="18"/>
                  <w:szCs w:val="18"/>
                  <w:color w:val="0000FF"/>
                  <w:w w:val="91"/>
                </w:rPr>
                <w:t>FCPI, Idinvest Flexible 2016 FCPI, Capital Croissance 5</w:t>
              </w:r>
            </w:hyperlink>
          </w:p>
        </w:tc>
        <w:tc>
          <w:tcPr>
            <w:tcW w:w="380" w:type="dxa"/>
            <w:vAlign w:val="bottom"/>
            <w:gridSpan w:val="8"/>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480" w:type="dxa"/>
            <w:vAlign w:val="bottom"/>
            <w:gridSpan w:val="23"/>
          </w:tcPr>
          <w:p>
            <w:pPr>
              <w:spacing w:after="0" w:line="196" w:lineRule="exact"/>
              <w:rPr>
                <w:rFonts w:ascii="Arial" w:cs="Arial" w:eastAsia="Arial" w:hAnsi="Arial"/>
                <w:sz w:val="18"/>
                <w:szCs w:val="18"/>
                <w:color w:val="0000FF"/>
              </w:rPr>
            </w:pPr>
            <w:hyperlink r:id="rId12">
              <w:r>
                <w:rPr>
                  <w:rFonts w:ascii="Arial" w:cs="Arial" w:eastAsia="Arial" w:hAnsi="Arial"/>
                  <w:sz w:val="18"/>
                  <w:szCs w:val="18"/>
                  <w:color w:val="0000FF"/>
                </w:rPr>
                <w:t>FCPI, Objectif Innovation Patrimoine 5 FCPI, Idinvest</w:t>
              </w:r>
            </w:hyperlink>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9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60" w:type="dxa"/>
            <w:vAlign w:val="bottom"/>
            <w:tcBorders>
              <w:right w:val="single" w:sz="8" w:color="0000FF"/>
            </w:tcBorders>
            <w:gridSpan w:val="2"/>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20" w:type="dxa"/>
            <w:vAlign w:val="bottom"/>
            <w:gridSpan w:val="4"/>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480" w:type="dxa"/>
            <w:vAlign w:val="bottom"/>
            <w:gridSpan w:val="23"/>
          </w:tcPr>
          <w:p>
            <w:pPr>
              <w:spacing w:after="0" w:line="196" w:lineRule="exact"/>
              <w:rPr>
                <w:rFonts w:ascii="Arial" w:cs="Arial" w:eastAsia="Arial" w:hAnsi="Arial"/>
                <w:sz w:val="18"/>
                <w:szCs w:val="18"/>
                <w:color w:val="0000FF"/>
                <w:w w:val="96"/>
              </w:rPr>
            </w:pPr>
            <w:hyperlink r:id="rId12">
              <w:r>
                <w:rPr>
                  <w:rFonts w:ascii="Arial" w:cs="Arial" w:eastAsia="Arial" w:hAnsi="Arial"/>
                  <w:sz w:val="18"/>
                  <w:szCs w:val="18"/>
                  <w:color w:val="0000FF"/>
                  <w:w w:val="96"/>
                </w:rPr>
                <w:t>Patrimoine 2 FCPI, Objectif Innovation Patrimoine 6 FCPI,</w:t>
              </w:r>
            </w:hyperlink>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20" w:type="dxa"/>
            <w:vAlign w:val="bottom"/>
            <w:tcBorders>
              <w:top w:val="single" w:sz="8" w:color="0000FF"/>
              <w:bottom w:val="single" w:sz="8" w:color="0000FF"/>
            </w:tcBorders>
            <w:gridSpan w:val="13"/>
          </w:tcPr>
          <w:p>
            <w:pPr>
              <w:spacing w:after="0" w:line="196" w:lineRule="exact"/>
              <w:rPr>
                <w:rFonts w:ascii="Arial" w:cs="Arial" w:eastAsia="Arial" w:hAnsi="Arial"/>
                <w:sz w:val="18"/>
                <w:szCs w:val="18"/>
                <w:color w:val="0000FF"/>
                <w:w w:val="91"/>
              </w:rPr>
            </w:pPr>
            <w:hyperlink r:id="rId12">
              <w:r>
                <w:rPr>
                  <w:rFonts w:ascii="Arial" w:cs="Arial" w:eastAsia="Arial" w:hAnsi="Arial"/>
                  <w:sz w:val="18"/>
                  <w:szCs w:val="18"/>
                  <w:color w:val="0000FF"/>
                  <w:w w:val="91"/>
                </w:rPr>
                <w:t>Idinvest Patrimoine 3 FCPI, Greylock Israel Investment</w:t>
              </w:r>
            </w:hyperlink>
          </w:p>
        </w:tc>
        <w:tc>
          <w:tcPr>
            <w:tcW w:w="260" w:type="dxa"/>
            <w:vAlign w:val="bottom"/>
            <w:tcBorders>
              <w:top w:val="single" w:sz="8" w:color="0000FF"/>
            </w:tcBorders>
            <w:gridSpan w:val="7"/>
          </w:tcPr>
          <w:p>
            <w:pPr>
              <w:spacing w:after="0"/>
              <w:rPr>
                <w:sz w:val="17"/>
                <w:szCs w:val="17"/>
                <w:color w:val="auto"/>
              </w:rPr>
            </w:pPr>
          </w:p>
        </w:tc>
        <w:tc>
          <w:tcPr>
            <w:tcW w:w="200" w:type="dxa"/>
            <w:vAlign w:val="bottom"/>
            <w:gridSpan w:val="3"/>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480" w:type="dxa"/>
            <w:vAlign w:val="bottom"/>
            <w:gridSpan w:val="23"/>
          </w:tcPr>
          <w:p>
            <w:pPr>
              <w:spacing w:after="0" w:line="196" w:lineRule="exact"/>
              <w:rPr>
                <w:rFonts w:ascii="Arial" w:cs="Arial" w:eastAsia="Arial" w:hAnsi="Arial"/>
                <w:sz w:val="18"/>
                <w:szCs w:val="18"/>
                <w:color w:val="0000FF"/>
              </w:rPr>
            </w:pPr>
            <w:hyperlink r:id="rId12">
              <w:r>
                <w:rPr>
                  <w:rFonts w:ascii="Arial" w:cs="Arial" w:eastAsia="Arial" w:hAnsi="Arial"/>
                  <w:sz w:val="18"/>
                  <w:szCs w:val="18"/>
                  <w:color w:val="0000FF"/>
                </w:rPr>
                <w:t>Vehicle in Social Point, LTD, and HCPESP, S.a.r.l. †</w:t>
              </w:r>
            </w:hyperlink>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66"/>
        </w:trPr>
        <w:tc>
          <w:tcPr>
            <w:tcW w:w="1340" w:type="dxa"/>
            <w:vAlign w:val="bottom"/>
          </w:tcPr>
          <w:p>
            <w:pPr>
              <w:jc w:val="center"/>
              <w:spacing w:after="0"/>
              <w:rPr>
                <w:sz w:val="20"/>
                <w:szCs w:val="20"/>
                <w:color w:val="auto"/>
              </w:rPr>
            </w:pPr>
            <w:r>
              <w:rPr>
                <w:rFonts w:ascii="Arial" w:cs="Arial" w:eastAsia="Arial" w:hAnsi="Arial"/>
                <w:sz w:val="18"/>
                <w:szCs w:val="18"/>
                <w:color w:val="auto"/>
                <w:w w:val="87"/>
              </w:rPr>
              <w:t>3.1</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40" w:type="dxa"/>
            <w:vAlign w:val="bottom"/>
            <w:tcBorders>
              <w:top w:val="single" w:sz="8" w:color="0000FF"/>
              <w:bottom w:val="single" w:sz="8" w:color="0000FF"/>
            </w:tcBorders>
            <w:gridSpan w:val="5"/>
          </w:tcPr>
          <w:p>
            <w:pPr>
              <w:spacing w:after="0"/>
              <w:rPr>
                <w:rFonts w:ascii="Arial" w:cs="Arial" w:eastAsia="Arial" w:hAnsi="Arial"/>
                <w:sz w:val="18"/>
                <w:szCs w:val="18"/>
                <w:color w:val="0000FF"/>
                <w:w w:val="90"/>
              </w:rPr>
            </w:pPr>
            <w:hyperlink r:id="rId13">
              <w:r>
                <w:rPr>
                  <w:rFonts w:ascii="Arial" w:cs="Arial" w:eastAsia="Arial" w:hAnsi="Arial"/>
                  <w:sz w:val="18"/>
                  <w:szCs w:val="18"/>
                  <w:color w:val="0000FF"/>
                  <w:w w:val="90"/>
                </w:rPr>
                <w:t>Restated Certificate of Incorporation</w:t>
              </w:r>
            </w:hyperlink>
          </w:p>
        </w:tc>
        <w:tc>
          <w:tcPr>
            <w:tcW w:w="1140" w:type="dxa"/>
            <w:vAlign w:val="bottom"/>
            <w:tcBorders>
              <w:top w:val="single" w:sz="8" w:color="0000FF"/>
            </w:tcBorders>
            <w:gridSpan w:val="4"/>
          </w:tcPr>
          <w:p>
            <w:pPr>
              <w:spacing w:after="0"/>
              <w:rPr>
                <w:sz w:val="24"/>
                <w:szCs w:val="24"/>
                <w:color w:val="auto"/>
              </w:rPr>
            </w:pPr>
          </w:p>
        </w:tc>
        <w:tc>
          <w:tcPr>
            <w:tcW w:w="700" w:type="dxa"/>
            <w:vAlign w:val="bottom"/>
            <w:gridSpan w:val="14"/>
          </w:tcPr>
          <w:p>
            <w:pPr>
              <w:spacing w:after="0"/>
              <w:rPr>
                <w:sz w:val="24"/>
                <w:szCs w:val="24"/>
                <w:color w:val="auto"/>
              </w:rPr>
            </w:pPr>
          </w:p>
        </w:tc>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10-K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2/12/2004</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3.1</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9"/>
              </w:rPr>
              <w:t>3.1.1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80" w:type="dxa"/>
            <w:vAlign w:val="bottom"/>
            <w:gridSpan w:val="23"/>
          </w:tcPr>
          <w:p>
            <w:pPr>
              <w:spacing w:after="0"/>
              <w:rPr>
                <w:rFonts w:ascii="Arial" w:cs="Arial" w:eastAsia="Arial" w:hAnsi="Arial"/>
                <w:sz w:val="18"/>
                <w:szCs w:val="18"/>
                <w:color w:val="0000FF"/>
              </w:rPr>
            </w:pPr>
            <w:hyperlink r:id="rId14">
              <w:r>
                <w:rPr>
                  <w:rFonts w:ascii="Arial" w:cs="Arial" w:eastAsia="Arial" w:hAnsi="Arial"/>
                  <w:sz w:val="18"/>
                  <w:szCs w:val="18"/>
                  <w:color w:val="0000FF"/>
                </w:rPr>
                <w:t>Certificate of Amendment of Restated Certificate of</w:t>
              </w:r>
            </w:hyperlink>
          </w:p>
        </w:tc>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10-K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2/12/2004</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9"/>
              </w:rPr>
              <w:t>3.1.2</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560" w:type="dxa"/>
            <w:vAlign w:val="bottom"/>
            <w:tcBorders>
              <w:top w:val="single" w:sz="8" w:color="0000FF"/>
              <w:bottom w:val="single" w:sz="8" w:color="0000FF"/>
            </w:tcBorders>
            <w:gridSpan w:val="3"/>
          </w:tcPr>
          <w:p>
            <w:pPr>
              <w:spacing w:after="0" w:line="196" w:lineRule="exact"/>
              <w:rPr>
                <w:rFonts w:ascii="Arial" w:cs="Arial" w:eastAsia="Arial" w:hAnsi="Arial"/>
                <w:sz w:val="18"/>
                <w:szCs w:val="18"/>
                <w:color w:val="0000FF"/>
                <w:w w:val="91"/>
              </w:rPr>
            </w:pPr>
            <w:hyperlink r:id="rId14">
              <w:r>
                <w:rPr>
                  <w:rFonts w:ascii="Arial" w:cs="Arial" w:eastAsia="Arial" w:hAnsi="Arial"/>
                  <w:sz w:val="18"/>
                  <w:szCs w:val="18"/>
                  <w:color w:val="0000FF"/>
                  <w:w w:val="91"/>
                </w:rPr>
                <w:t>Incorporation, dated April 30, 1998</w:t>
              </w:r>
            </w:hyperlink>
          </w:p>
        </w:tc>
        <w:tc>
          <w:tcPr>
            <w:tcW w:w="1180" w:type="dxa"/>
            <w:vAlign w:val="bottom"/>
            <w:tcBorders>
              <w:top w:val="single" w:sz="8" w:color="0000FF"/>
            </w:tcBorders>
            <w:gridSpan w:val="5"/>
          </w:tcPr>
          <w:p>
            <w:pPr>
              <w:spacing w:after="0"/>
              <w:rPr>
                <w:sz w:val="17"/>
                <w:szCs w:val="17"/>
                <w:color w:val="auto"/>
              </w:rPr>
            </w:pPr>
          </w:p>
        </w:tc>
        <w:tc>
          <w:tcPr>
            <w:tcW w:w="740" w:type="dxa"/>
            <w:vAlign w:val="bottom"/>
            <w:gridSpan w:val="15"/>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9"/>
              </w:rPr>
              <w:t>3.1.2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80" w:type="dxa"/>
            <w:vAlign w:val="bottom"/>
            <w:gridSpan w:val="23"/>
          </w:tcPr>
          <w:p>
            <w:pPr>
              <w:spacing w:after="0"/>
              <w:rPr>
                <w:rFonts w:ascii="Arial" w:cs="Arial" w:eastAsia="Arial" w:hAnsi="Arial"/>
                <w:sz w:val="18"/>
                <w:szCs w:val="18"/>
                <w:color w:val="0000FF"/>
              </w:rPr>
            </w:pPr>
            <w:hyperlink r:id="rId15">
              <w:r>
                <w:rPr>
                  <w:rFonts w:ascii="Arial" w:cs="Arial" w:eastAsia="Arial" w:hAnsi="Arial"/>
                  <w:sz w:val="18"/>
                  <w:szCs w:val="18"/>
                  <w:color w:val="0000FF"/>
                </w:rPr>
                <w:t>Certificate of Amendment of Restated Certificate of</w:t>
              </w:r>
            </w:hyperlink>
          </w:p>
        </w:tc>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10-K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2/12/2004</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9"/>
              </w:rPr>
              <w:t>3.1.3</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940" w:type="dxa"/>
            <w:vAlign w:val="bottom"/>
            <w:tcBorders>
              <w:top w:val="single" w:sz="8" w:color="0000FF"/>
              <w:bottom w:val="single" w:sz="8" w:color="0000FF"/>
            </w:tcBorders>
            <w:gridSpan w:val="6"/>
          </w:tcPr>
          <w:p>
            <w:pPr>
              <w:spacing w:after="0" w:line="196" w:lineRule="exact"/>
              <w:rPr>
                <w:rFonts w:ascii="Arial" w:cs="Arial" w:eastAsia="Arial" w:hAnsi="Arial"/>
                <w:sz w:val="18"/>
                <w:szCs w:val="18"/>
                <w:color w:val="0000FF"/>
                <w:w w:val="90"/>
              </w:rPr>
            </w:pPr>
            <w:hyperlink r:id="rId15">
              <w:r>
                <w:rPr>
                  <w:rFonts w:ascii="Arial" w:cs="Arial" w:eastAsia="Arial" w:hAnsi="Arial"/>
                  <w:sz w:val="18"/>
                  <w:szCs w:val="18"/>
                  <w:color w:val="0000FF"/>
                  <w:w w:val="90"/>
                </w:rPr>
                <w:t>Incorporation, dated November 17, 2003</w:t>
              </w:r>
            </w:hyperlink>
          </w:p>
        </w:tc>
        <w:tc>
          <w:tcPr>
            <w:tcW w:w="800" w:type="dxa"/>
            <w:vAlign w:val="bottom"/>
            <w:tcBorders>
              <w:top w:val="single" w:sz="8" w:color="0000FF"/>
            </w:tcBorders>
            <w:gridSpan w:val="2"/>
          </w:tcPr>
          <w:p>
            <w:pPr>
              <w:spacing w:after="0"/>
              <w:rPr>
                <w:sz w:val="17"/>
                <w:szCs w:val="17"/>
                <w:color w:val="auto"/>
              </w:rPr>
            </w:pPr>
          </w:p>
        </w:tc>
        <w:tc>
          <w:tcPr>
            <w:tcW w:w="740" w:type="dxa"/>
            <w:vAlign w:val="bottom"/>
            <w:gridSpan w:val="15"/>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9"/>
              </w:rPr>
              <w:t>3.1.3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80" w:type="dxa"/>
            <w:vAlign w:val="bottom"/>
            <w:gridSpan w:val="23"/>
          </w:tcPr>
          <w:p>
            <w:pPr>
              <w:spacing w:after="0"/>
              <w:rPr>
                <w:rFonts w:ascii="Arial" w:cs="Arial" w:eastAsia="Arial" w:hAnsi="Arial"/>
                <w:sz w:val="18"/>
                <w:szCs w:val="18"/>
                <w:color w:val="0000FF"/>
              </w:rPr>
            </w:pPr>
            <w:hyperlink r:id="rId16">
              <w:r>
                <w:rPr>
                  <w:rFonts w:ascii="Arial" w:cs="Arial" w:eastAsia="Arial" w:hAnsi="Arial"/>
                  <w:sz w:val="18"/>
                  <w:szCs w:val="18"/>
                  <w:color w:val="0000FF"/>
                </w:rPr>
                <w:t>Certificate of Amendment of Restated Certificate of</w:t>
              </w:r>
            </w:hyperlink>
          </w:p>
        </w:tc>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4/23/2009</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3.1</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560" w:type="dxa"/>
            <w:vAlign w:val="bottom"/>
            <w:tcBorders>
              <w:top w:val="single" w:sz="8" w:color="0000FF"/>
              <w:bottom w:val="single" w:sz="8" w:color="0000FF"/>
            </w:tcBorders>
            <w:gridSpan w:val="3"/>
          </w:tcPr>
          <w:p>
            <w:pPr>
              <w:spacing w:after="0" w:line="196" w:lineRule="exact"/>
              <w:rPr>
                <w:rFonts w:ascii="Arial" w:cs="Arial" w:eastAsia="Arial" w:hAnsi="Arial"/>
                <w:sz w:val="18"/>
                <w:szCs w:val="18"/>
                <w:color w:val="0000FF"/>
                <w:w w:val="91"/>
              </w:rPr>
            </w:pPr>
            <w:hyperlink r:id="rId16">
              <w:r>
                <w:rPr>
                  <w:rFonts w:ascii="Arial" w:cs="Arial" w:eastAsia="Arial" w:hAnsi="Arial"/>
                  <w:sz w:val="18"/>
                  <w:szCs w:val="18"/>
                  <w:color w:val="0000FF"/>
                  <w:w w:val="91"/>
                </w:rPr>
                <w:t>Incorporation, dated April 23, 2009</w:t>
              </w:r>
            </w:hyperlink>
          </w:p>
        </w:tc>
        <w:tc>
          <w:tcPr>
            <w:tcW w:w="1180" w:type="dxa"/>
            <w:vAlign w:val="bottom"/>
            <w:tcBorders>
              <w:top w:val="single" w:sz="8" w:color="0000FF"/>
            </w:tcBorders>
            <w:gridSpan w:val="5"/>
          </w:tcPr>
          <w:p>
            <w:pPr>
              <w:spacing w:after="0"/>
              <w:rPr>
                <w:sz w:val="17"/>
                <w:szCs w:val="17"/>
                <w:color w:val="auto"/>
              </w:rPr>
            </w:pPr>
          </w:p>
        </w:tc>
        <w:tc>
          <w:tcPr>
            <w:tcW w:w="740" w:type="dxa"/>
            <w:vAlign w:val="bottom"/>
            <w:gridSpan w:val="15"/>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9"/>
              </w:rPr>
              <w:t>3.1.4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80" w:type="dxa"/>
            <w:vAlign w:val="bottom"/>
            <w:gridSpan w:val="23"/>
          </w:tcPr>
          <w:p>
            <w:pPr>
              <w:spacing w:after="0"/>
              <w:rPr>
                <w:rFonts w:ascii="Arial" w:cs="Arial" w:eastAsia="Arial" w:hAnsi="Arial"/>
                <w:sz w:val="18"/>
                <w:szCs w:val="18"/>
                <w:color w:val="0000FF"/>
              </w:rPr>
            </w:pPr>
            <w:hyperlink r:id="rId17">
              <w:r>
                <w:rPr>
                  <w:rFonts w:ascii="Arial" w:cs="Arial" w:eastAsia="Arial" w:hAnsi="Arial"/>
                  <w:sz w:val="18"/>
                  <w:szCs w:val="18"/>
                  <w:color w:val="0000FF"/>
                </w:rPr>
                <w:t>Certificate of Amendment of Restated Certificate of</w:t>
              </w:r>
            </w:hyperlink>
          </w:p>
        </w:tc>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9/24/2012</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3.1</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740" w:type="dxa"/>
            <w:vAlign w:val="bottom"/>
            <w:tcBorders>
              <w:top w:val="single" w:sz="8" w:color="0000FF"/>
            </w:tcBorders>
            <w:gridSpan w:val="8"/>
          </w:tcPr>
          <w:p>
            <w:pPr>
              <w:spacing w:after="0" w:line="196" w:lineRule="exact"/>
              <w:rPr>
                <w:rFonts w:ascii="Arial" w:cs="Arial" w:eastAsia="Arial" w:hAnsi="Arial"/>
                <w:sz w:val="18"/>
                <w:szCs w:val="18"/>
                <w:color w:val="0000FF"/>
              </w:rPr>
            </w:pPr>
            <w:hyperlink r:id="rId17">
              <w:r>
                <w:rPr>
                  <w:rFonts w:ascii="Arial" w:cs="Arial" w:eastAsia="Arial" w:hAnsi="Arial"/>
                  <w:sz w:val="18"/>
                  <w:szCs w:val="18"/>
                  <w:color w:val="0000FF"/>
                </w:rPr>
                <w:t>Incorporation, dated September 21, 2012</w:t>
              </w:r>
            </w:hyperlink>
          </w:p>
        </w:tc>
        <w:tc>
          <w:tcPr>
            <w:tcW w:w="740" w:type="dxa"/>
            <w:vAlign w:val="bottom"/>
            <w:gridSpan w:val="15"/>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20" w:type="dxa"/>
            <w:vAlign w:val="bottom"/>
            <w:gridSpan w:val="2"/>
            <w:shd w:val="clear" w:color="auto" w:fill="0000FF"/>
          </w:tcPr>
          <w:p>
            <w:pPr>
              <w:spacing w:after="0" w:line="20" w:lineRule="exact"/>
              <w:rPr>
                <w:sz w:val="1"/>
                <w:szCs w:val="1"/>
                <w:color w:val="auto"/>
              </w:rPr>
            </w:pPr>
          </w:p>
        </w:tc>
        <w:tc>
          <w:tcPr>
            <w:tcW w:w="340" w:type="dxa"/>
            <w:vAlign w:val="bottom"/>
            <w:gridSpan w:val="2"/>
            <w:shd w:val="clear" w:color="auto" w:fill="0000FF"/>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40" w:type="dxa"/>
            <w:vAlign w:val="bottom"/>
            <w:gridSpan w:val="4"/>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320" w:type="dxa"/>
            <w:vAlign w:val="bottom"/>
            <w:gridSpan w:val="7"/>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7"/>
              </w:rPr>
              <w:t>3.2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80" w:type="dxa"/>
            <w:vAlign w:val="bottom"/>
            <w:gridSpan w:val="23"/>
          </w:tcPr>
          <w:p>
            <w:pPr>
              <w:spacing w:after="0"/>
              <w:rPr>
                <w:rFonts w:ascii="Arial" w:cs="Arial" w:eastAsia="Arial" w:hAnsi="Arial"/>
                <w:sz w:val="18"/>
                <w:szCs w:val="18"/>
                <w:color w:val="0000FF"/>
              </w:rPr>
            </w:pPr>
            <w:hyperlink r:id="rId14">
              <w:r>
                <w:rPr>
                  <w:rFonts w:ascii="Arial" w:cs="Arial" w:eastAsia="Arial" w:hAnsi="Arial"/>
                  <w:sz w:val="18"/>
                  <w:szCs w:val="18"/>
                  <w:color w:val="0000FF"/>
                </w:rPr>
                <w:t>Certificate of Designation of Series A Preferred Stock,</w:t>
              </w:r>
            </w:hyperlink>
          </w:p>
        </w:tc>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10-K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2/12/2004</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9"/>
              </w:rPr>
              <w:t>3.1.1</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40" w:type="dxa"/>
            <w:vAlign w:val="bottom"/>
            <w:tcBorders>
              <w:top w:val="single" w:sz="8" w:color="0000FF"/>
            </w:tcBorders>
            <w:gridSpan w:val="11"/>
          </w:tcPr>
          <w:p>
            <w:pPr>
              <w:spacing w:after="0" w:line="196" w:lineRule="exact"/>
              <w:rPr>
                <w:rFonts w:ascii="Arial" w:cs="Arial" w:eastAsia="Arial" w:hAnsi="Arial"/>
                <w:sz w:val="18"/>
                <w:szCs w:val="18"/>
                <w:color w:val="0000FF"/>
              </w:rPr>
            </w:pPr>
            <w:hyperlink r:id="rId14">
              <w:r>
                <w:rPr>
                  <w:rFonts w:ascii="Arial" w:cs="Arial" w:eastAsia="Arial" w:hAnsi="Arial"/>
                  <w:sz w:val="18"/>
                  <w:szCs w:val="18"/>
                  <w:color w:val="0000FF"/>
                </w:rPr>
                <w:t>dated March 11, 1998</w:t>
              </w:r>
            </w:hyperlink>
          </w:p>
        </w:tc>
        <w:tc>
          <w:tcPr>
            <w:tcW w:w="540" w:type="dxa"/>
            <w:vAlign w:val="bottom"/>
            <w:gridSpan w:val="12"/>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6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20" w:type="dxa"/>
            <w:vAlign w:val="bottom"/>
            <w:gridSpan w:val="2"/>
          </w:tcPr>
          <w:p>
            <w:pPr>
              <w:spacing w:after="0" w:line="20" w:lineRule="exact"/>
              <w:rPr>
                <w:sz w:val="1"/>
                <w:szCs w:val="1"/>
                <w:color w:val="auto"/>
              </w:rPr>
            </w:pPr>
          </w:p>
        </w:tc>
        <w:tc>
          <w:tcPr>
            <w:tcW w:w="1000" w:type="dxa"/>
            <w:vAlign w:val="bottom"/>
            <w:gridSpan w:val="3"/>
          </w:tcPr>
          <w:p>
            <w:pPr>
              <w:spacing w:after="0" w:line="20" w:lineRule="exact"/>
              <w:rPr>
                <w:sz w:val="1"/>
                <w:szCs w:val="1"/>
                <w:color w:val="auto"/>
              </w:rPr>
            </w:pPr>
          </w:p>
        </w:tc>
        <w:tc>
          <w:tcPr>
            <w:tcW w:w="420" w:type="dxa"/>
            <w:vAlign w:val="bottom"/>
            <w:gridSpan w:val="6"/>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320" w:type="dxa"/>
            <w:vAlign w:val="bottom"/>
            <w:gridSpan w:val="7"/>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7"/>
              </w:rPr>
              <w:t>3.3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80" w:type="dxa"/>
            <w:vAlign w:val="bottom"/>
            <w:gridSpan w:val="23"/>
          </w:tcPr>
          <w:p>
            <w:pPr>
              <w:spacing w:after="0"/>
              <w:rPr>
                <w:rFonts w:ascii="Arial" w:cs="Arial" w:eastAsia="Arial" w:hAnsi="Arial"/>
                <w:sz w:val="18"/>
                <w:szCs w:val="18"/>
                <w:color w:val="0000FF"/>
              </w:rPr>
            </w:pPr>
            <w:hyperlink r:id="rId18">
              <w:r>
                <w:rPr>
                  <w:rFonts w:ascii="Arial" w:cs="Arial" w:eastAsia="Arial" w:hAnsi="Arial"/>
                  <w:sz w:val="18"/>
                  <w:szCs w:val="18"/>
                  <w:color w:val="0000FF"/>
                </w:rPr>
                <w:t>Certificate of Designation of Series B Preferred Stock,</w:t>
              </w:r>
            </w:hyperlink>
          </w:p>
        </w:tc>
        <w:tc>
          <w:tcPr>
            <w:tcW w:w="1040" w:type="dxa"/>
            <w:vAlign w:val="bottom"/>
            <w:gridSpan w:val="2"/>
          </w:tcPr>
          <w:p>
            <w:pPr>
              <w:jc w:val="center"/>
              <w:ind w:right="140"/>
              <w:spacing w:after="0"/>
              <w:rPr>
                <w:sz w:val="20"/>
                <w:szCs w:val="20"/>
                <w:color w:val="auto"/>
              </w:rPr>
            </w:pPr>
            <w:r>
              <w:rPr>
                <w:rFonts w:ascii="Arial" w:cs="Arial" w:eastAsia="Arial" w:hAnsi="Arial"/>
                <w:sz w:val="18"/>
                <w:szCs w:val="18"/>
                <w:color w:val="auto"/>
                <w:w w:val="96"/>
              </w:rPr>
              <w:t>8-A12B</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3/26/2008</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4.2</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580" w:type="dxa"/>
            <w:vAlign w:val="bottom"/>
            <w:tcBorders>
              <w:top w:val="single" w:sz="8" w:color="0000FF"/>
              <w:bottom w:val="single" w:sz="8" w:color="0000FF"/>
            </w:tcBorders>
            <w:gridSpan w:val="2"/>
          </w:tcPr>
          <w:p>
            <w:pPr>
              <w:spacing w:after="0" w:line="196" w:lineRule="exact"/>
              <w:rPr>
                <w:rFonts w:ascii="Arial" w:cs="Arial" w:eastAsia="Arial" w:hAnsi="Arial"/>
                <w:sz w:val="18"/>
                <w:szCs w:val="18"/>
                <w:color w:val="0000FF"/>
                <w:w w:val="89"/>
              </w:rPr>
            </w:pPr>
            <w:hyperlink r:id="rId18">
              <w:r>
                <w:rPr>
                  <w:rFonts w:ascii="Arial" w:cs="Arial" w:eastAsia="Arial" w:hAnsi="Arial"/>
                  <w:sz w:val="18"/>
                  <w:szCs w:val="18"/>
                  <w:color w:val="0000FF"/>
                  <w:w w:val="89"/>
                </w:rPr>
                <w:t>dated March 26, 2008</w:t>
              </w:r>
            </w:hyperlink>
          </w:p>
        </w:tc>
        <w:tc>
          <w:tcPr>
            <w:tcW w:w="2360" w:type="dxa"/>
            <w:vAlign w:val="bottom"/>
            <w:tcBorders>
              <w:top w:val="single" w:sz="8" w:color="0000FF"/>
            </w:tcBorders>
            <w:gridSpan w:val="9"/>
          </w:tcPr>
          <w:p>
            <w:pPr>
              <w:spacing w:after="0"/>
              <w:rPr>
                <w:sz w:val="17"/>
                <w:szCs w:val="17"/>
                <w:color w:val="auto"/>
              </w:rPr>
            </w:pPr>
          </w:p>
        </w:tc>
        <w:tc>
          <w:tcPr>
            <w:tcW w:w="540" w:type="dxa"/>
            <w:vAlign w:val="bottom"/>
            <w:gridSpan w:val="12"/>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7"/>
              </w:rPr>
              <w:t>3.4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80" w:type="dxa"/>
            <w:vAlign w:val="bottom"/>
            <w:gridSpan w:val="23"/>
          </w:tcPr>
          <w:p>
            <w:pPr>
              <w:spacing w:after="0"/>
              <w:rPr>
                <w:rFonts w:ascii="Arial" w:cs="Arial" w:eastAsia="Arial" w:hAnsi="Arial"/>
                <w:sz w:val="18"/>
                <w:szCs w:val="18"/>
                <w:color w:val="0000FF"/>
              </w:rPr>
            </w:pPr>
            <w:hyperlink r:id="rId19">
              <w:r>
                <w:rPr>
                  <w:rFonts w:ascii="Arial" w:cs="Arial" w:eastAsia="Arial" w:hAnsi="Arial"/>
                  <w:sz w:val="18"/>
                  <w:szCs w:val="18"/>
                  <w:color w:val="0000FF"/>
                </w:rPr>
                <w:t>Amended and Restated Bylaws of Take-Two Interactive</w:t>
              </w:r>
            </w:hyperlink>
          </w:p>
        </w:tc>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9/18/2017</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3.1</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20" w:type="dxa"/>
            <w:vAlign w:val="bottom"/>
            <w:tcBorders>
              <w:top w:val="single" w:sz="8" w:color="0000FF"/>
            </w:tcBorders>
            <w:gridSpan w:val="13"/>
          </w:tcPr>
          <w:p>
            <w:pPr>
              <w:spacing w:after="0" w:line="196" w:lineRule="exact"/>
              <w:rPr>
                <w:rFonts w:ascii="Arial" w:cs="Arial" w:eastAsia="Arial" w:hAnsi="Arial"/>
                <w:sz w:val="18"/>
                <w:szCs w:val="18"/>
                <w:color w:val="0000FF"/>
              </w:rPr>
            </w:pPr>
            <w:hyperlink r:id="rId19">
              <w:r>
                <w:rPr>
                  <w:rFonts w:ascii="Arial" w:cs="Arial" w:eastAsia="Arial" w:hAnsi="Arial"/>
                  <w:sz w:val="18"/>
                  <w:szCs w:val="18"/>
                  <w:color w:val="0000FF"/>
                </w:rPr>
                <w:t>Software, Inc., effective as of September 15, 2017</w:t>
              </w:r>
            </w:hyperlink>
          </w:p>
        </w:tc>
        <w:tc>
          <w:tcPr>
            <w:tcW w:w="460" w:type="dxa"/>
            <w:vAlign w:val="bottom"/>
            <w:gridSpan w:val="10"/>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0" w:type="dxa"/>
            <w:vAlign w:val="bottom"/>
            <w:gridSpan w:val="4"/>
            <w:shd w:val="clear" w:color="auto" w:fill="0000FF"/>
          </w:tcPr>
          <w:p>
            <w:pPr>
              <w:spacing w:after="0" w:line="20" w:lineRule="exact"/>
              <w:rPr>
                <w:sz w:val="1"/>
                <w:szCs w:val="1"/>
                <w:color w:val="auto"/>
              </w:rPr>
            </w:pPr>
          </w:p>
        </w:tc>
        <w:tc>
          <w:tcPr>
            <w:tcW w:w="1000" w:type="dxa"/>
            <w:vAlign w:val="bottom"/>
            <w:gridSpan w:val="3"/>
            <w:shd w:val="clear" w:color="auto" w:fill="0000FF"/>
          </w:tcPr>
          <w:p>
            <w:pPr>
              <w:spacing w:after="0" w:line="20" w:lineRule="exact"/>
              <w:rPr>
                <w:sz w:val="1"/>
                <w:szCs w:val="1"/>
                <w:color w:val="auto"/>
              </w:rPr>
            </w:pPr>
          </w:p>
        </w:tc>
        <w:tc>
          <w:tcPr>
            <w:tcW w:w="480" w:type="dxa"/>
            <w:vAlign w:val="bottom"/>
            <w:gridSpan w:val="7"/>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320" w:type="dxa"/>
            <w:vAlign w:val="bottom"/>
            <w:gridSpan w:val="7"/>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7"/>
              </w:rPr>
              <w:t>4.1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80" w:type="dxa"/>
            <w:vAlign w:val="bottom"/>
            <w:gridSpan w:val="23"/>
          </w:tcPr>
          <w:p>
            <w:pPr>
              <w:spacing w:after="0"/>
              <w:rPr>
                <w:rFonts w:ascii="Arial" w:cs="Arial" w:eastAsia="Arial" w:hAnsi="Arial"/>
                <w:sz w:val="18"/>
                <w:szCs w:val="18"/>
                <w:color w:val="0000FF"/>
                <w:w w:val="96"/>
              </w:rPr>
            </w:pPr>
            <w:hyperlink r:id="rId20">
              <w:r>
                <w:rPr>
                  <w:rFonts w:ascii="Arial" w:cs="Arial" w:eastAsia="Arial" w:hAnsi="Arial"/>
                  <w:sz w:val="18"/>
                  <w:szCs w:val="18"/>
                  <w:color w:val="0000FF"/>
                  <w:w w:val="96"/>
                </w:rPr>
                <w:t>Indenture, dated as of June 18, 2013, by and between the</w:t>
              </w:r>
            </w:hyperlink>
          </w:p>
        </w:tc>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6/18/2013</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7"/>
              </w:rPr>
              <w:t>4.1</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0" w:type="dxa"/>
            <w:vAlign w:val="bottom"/>
            <w:gridSpan w:val="4"/>
            <w:shd w:val="clear" w:color="auto" w:fill="0000FF"/>
          </w:tcPr>
          <w:p>
            <w:pPr>
              <w:spacing w:after="0" w:line="20" w:lineRule="exact"/>
              <w:rPr>
                <w:sz w:val="1"/>
                <w:szCs w:val="1"/>
                <w:color w:val="auto"/>
              </w:rPr>
            </w:pPr>
          </w:p>
        </w:tc>
        <w:tc>
          <w:tcPr>
            <w:tcW w:w="1480" w:type="dxa"/>
            <w:vAlign w:val="bottom"/>
            <w:gridSpan w:val="10"/>
            <w:shd w:val="clear" w:color="auto" w:fill="0000FF"/>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320" w:type="dxa"/>
            <w:vAlign w:val="bottom"/>
            <w:gridSpan w:val="7"/>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60" w:type="dxa"/>
            <w:vAlign w:val="bottom"/>
            <w:tcBorders>
              <w:bottom w:val="single" w:sz="8" w:color="0000FF"/>
            </w:tcBorders>
            <w:gridSpan w:val="16"/>
          </w:tcPr>
          <w:p>
            <w:pPr>
              <w:spacing w:after="0" w:line="196" w:lineRule="exact"/>
              <w:rPr>
                <w:rFonts w:ascii="Arial" w:cs="Arial" w:eastAsia="Arial" w:hAnsi="Arial"/>
                <w:sz w:val="18"/>
                <w:szCs w:val="18"/>
                <w:color w:val="0000FF"/>
                <w:w w:val="90"/>
              </w:rPr>
            </w:pPr>
            <w:hyperlink r:id="rId20">
              <w:r>
                <w:rPr>
                  <w:rFonts w:ascii="Arial" w:cs="Arial" w:eastAsia="Arial" w:hAnsi="Arial"/>
                  <w:sz w:val="18"/>
                  <w:szCs w:val="18"/>
                  <w:color w:val="0000FF"/>
                  <w:w w:val="90"/>
                </w:rPr>
                <w:t>Company and The Bank of New York Mellon, as Trustee,</w:t>
              </w:r>
            </w:hyperlink>
          </w:p>
        </w:tc>
        <w:tc>
          <w:tcPr>
            <w:tcW w:w="320" w:type="dxa"/>
            <w:vAlign w:val="bottom"/>
            <w:gridSpan w:val="7"/>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600" w:type="dxa"/>
            <w:vAlign w:val="bottom"/>
            <w:tcBorders>
              <w:bottom w:val="single" w:sz="8" w:color="0000FF"/>
            </w:tcBorders>
            <w:gridSpan w:val="4"/>
          </w:tcPr>
          <w:p>
            <w:pPr>
              <w:spacing w:after="0" w:line="196" w:lineRule="exact"/>
              <w:rPr>
                <w:rFonts w:ascii="Arial" w:cs="Arial" w:eastAsia="Arial" w:hAnsi="Arial"/>
                <w:sz w:val="18"/>
                <w:szCs w:val="18"/>
                <w:color w:val="0000FF"/>
                <w:w w:val="91"/>
              </w:rPr>
            </w:pPr>
            <w:hyperlink r:id="rId20">
              <w:r>
                <w:rPr>
                  <w:rFonts w:ascii="Arial" w:cs="Arial" w:eastAsia="Arial" w:hAnsi="Arial"/>
                  <w:sz w:val="18"/>
                  <w:szCs w:val="18"/>
                  <w:color w:val="0000FF"/>
                  <w:w w:val="91"/>
                </w:rPr>
                <w:t>relating to 1.00% Convertible Notes</w:t>
              </w:r>
            </w:hyperlink>
          </w:p>
        </w:tc>
        <w:tc>
          <w:tcPr>
            <w:tcW w:w="1880" w:type="dxa"/>
            <w:vAlign w:val="bottom"/>
            <w:gridSpan w:val="19"/>
          </w:tcPr>
          <w:p>
            <w:pPr>
              <w:spacing w:after="0"/>
              <w:rPr>
                <w:sz w:val="17"/>
                <w:szCs w:val="17"/>
                <w:color w:val="auto"/>
              </w:rPr>
            </w:pPr>
          </w:p>
        </w:tc>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07"/>
        </w:trPr>
        <w:tc>
          <w:tcPr>
            <w:tcW w:w="1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0" w:type="dxa"/>
            <w:vAlign w:val="bottom"/>
            <w:gridSpan w:val="10"/>
          </w:tcPr>
          <w:p>
            <w:pPr>
              <w:jc w:val="right"/>
              <w:ind w:right="40"/>
              <w:spacing w:after="0"/>
              <w:rPr>
                <w:sz w:val="20"/>
                <w:szCs w:val="20"/>
                <w:color w:val="auto"/>
              </w:rPr>
            </w:pPr>
            <w:r>
              <w:rPr>
                <w:rFonts w:ascii="Arial" w:cs="Arial" w:eastAsia="Arial" w:hAnsi="Arial"/>
                <w:sz w:val="18"/>
                <w:szCs w:val="18"/>
                <w:color w:val="auto"/>
              </w:rPr>
              <w:t>43</w:t>
            </w: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0860"/>
          </w:cols>
          <w:pgMar w:left="240" w:top="715" w:right="799" w:bottom="1440" w:gutter="0" w:footer="0" w:header="0"/>
        </w:sectPr>
      </w:pPr>
    </w:p>
    <w:bookmarkStart w:id="45" w:name="page46"/>
    <w:bookmarkEnd w:id="45"/>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460" w:type="dxa"/>
            <w:vAlign w:val="bottom"/>
            <w:gridSpan w:val="2"/>
          </w:tcPr>
          <w:p>
            <w:pPr>
              <w:ind w:left="160"/>
              <w:spacing w:after="0"/>
              <w:rPr>
                <w:sz w:val="20"/>
                <w:szCs w:val="20"/>
                <w:color w:val="auto"/>
              </w:rPr>
            </w:pPr>
            <w:r>
              <w:rPr>
                <w:rFonts w:ascii="Arial" w:cs="Arial" w:eastAsia="Arial" w:hAnsi="Arial"/>
                <w:sz w:val="14"/>
                <w:szCs w:val="14"/>
                <w:b w:val="1"/>
                <w:bCs w:val="1"/>
                <w:color w:val="auto"/>
              </w:rPr>
              <w:t>Exhibit Number</w:t>
            </w:r>
          </w:p>
        </w:tc>
        <w:tc>
          <w:tcPr>
            <w:tcW w:w="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880" w:type="dxa"/>
            <w:vAlign w:val="bottom"/>
            <w:gridSpan w:val="25"/>
          </w:tcPr>
          <w:p>
            <w:pPr>
              <w:ind w:left="60"/>
              <w:spacing w:after="0"/>
              <w:rPr>
                <w:sz w:val="20"/>
                <w:szCs w:val="20"/>
                <w:color w:val="auto"/>
              </w:rPr>
            </w:pPr>
            <w:r>
              <w:rPr>
                <w:rFonts w:ascii="Arial" w:cs="Arial" w:eastAsia="Arial" w:hAnsi="Arial"/>
                <w:sz w:val="14"/>
                <w:szCs w:val="14"/>
                <w:b w:val="1"/>
                <w:bCs w:val="1"/>
                <w:color w:val="auto"/>
              </w:rPr>
              <w:t>Exhibit Description</w:t>
            </w:r>
          </w:p>
        </w:tc>
      </w:tr>
      <w:tr>
        <w:trPr>
          <w:trHeight w:val="202"/>
        </w:trPr>
        <w:tc>
          <w:tcPr>
            <w:tcW w:w="1340" w:type="dxa"/>
            <w:vAlign w:val="bottom"/>
            <w:tcBorders>
              <w:top w:val="single" w:sz="8" w:color="auto"/>
            </w:tcBorders>
          </w:tcPr>
          <w:p>
            <w:pPr>
              <w:jc w:val="center"/>
              <w:spacing w:after="0" w:line="202" w:lineRule="exact"/>
              <w:rPr>
                <w:sz w:val="20"/>
                <w:szCs w:val="20"/>
                <w:color w:val="auto"/>
              </w:rPr>
            </w:pPr>
            <w:r>
              <w:rPr>
                <w:rFonts w:ascii="Arial" w:cs="Arial" w:eastAsia="Arial" w:hAnsi="Arial"/>
                <w:sz w:val="18"/>
                <w:szCs w:val="18"/>
                <w:color w:val="auto"/>
                <w:w w:val="87"/>
              </w:rPr>
              <w:t>4.2</w:t>
            </w:r>
          </w:p>
        </w:tc>
        <w:tc>
          <w:tcPr>
            <w:tcW w:w="12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4380" w:type="dxa"/>
            <w:vAlign w:val="bottom"/>
            <w:tcBorders>
              <w:top w:val="single" w:sz="8" w:color="auto"/>
            </w:tcBorders>
            <w:gridSpan w:val="30"/>
          </w:tcPr>
          <w:p>
            <w:pPr>
              <w:spacing w:after="0" w:line="202" w:lineRule="exact"/>
              <w:rPr>
                <w:rFonts w:ascii="Arial" w:cs="Arial" w:eastAsia="Arial" w:hAnsi="Arial"/>
                <w:sz w:val="18"/>
                <w:szCs w:val="18"/>
                <w:color w:val="0000FF"/>
                <w:w w:val="89"/>
              </w:rPr>
            </w:pPr>
            <w:hyperlink r:id="rId21">
              <w:r>
                <w:rPr>
                  <w:rFonts w:ascii="Arial" w:cs="Arial" w:eastAsia="Arial" w:hAnsi="Arial"/>
                  <w:sz w:val="18"/>
                  <w:szCs w:val="18"/>
                  <w:color w:val="0000FF"/>
                  <w:w w:val="89"/>
                </w:rPr>
                <w:t>Supplemental Indenture, dated as of June 18, 2013, between</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20" w:type="dxa"/>
            <w:vAlign w:val="bottom"/>
            <w:tcBorders>
              <w:top w:val="single" w:sz="8" w:color="0000FF"/>
              <w:bottom w:val="single" w:sz="8" w:color="0000FF"/>
            </w:tcBorders>
            <w:gridSpan w:val="14"/>
          </w:tcPr>
          <w:p>
            <w:pPr>
              <w:spacing w:after="0" w:line="196" w:lineRule="exact"/>
              <w:rPr>
                <w:rFonts w:ascii="Arial" w:cs="Arial" w:eastAsia="Arial" w:hAnsi="Arial"/>
                <w:sz w:val="18"/>
                <w:szCs w:val="18"/>
                <w:color w:val="0000FF"/>
                <w:w w:val="91"/>
              </w:rPr>
            </w:pPr>
            <w:hyperlink r:id="rId21">
              <w:r>
                <w:rPr>
                  <w:rFonts w:ascii="Arial" w:cs="Arial" w:eastAsia="Arial" w:hAnsi="Arial"/>
                  <w:sz w:val="18"/>
                  <w:szCs w:val="18"/>
                  <w:color w:val="0000FF"/>
                  <w:w w:val="91"/>
                </w:rPr>
                <w:t>the Company and The Bank of New York Mellon, as</w:t>
              </w:r>
            </w:hyperlink>
          </w:p>
        </w:tc>
        <w:tc>
          <w:tcPr>
            <w:tcW w:w="500" w:type="dxa"/>
            <w:vAlign w:val="bottom"/>
            <w:tcBorders>
              <w:top w:val="single" w:sz="8" w:color="0000FF"/>
            </w:tcBorders>
            <w:gridSpan w:val="15"/>
          </w:tcPr>
          <w:p>
            <w:pPr>
              <w:spacing w:after="0"/>
              <w:rPr>
                <w:sz w:val="17"/>
                <w:szCs w:val="17"/>
                <w:color w:val="auto"/>
              </w:rPr>
            </w:pPr>
          </w:p>
        </w:tc>
        <w:tc>
          <w:tcPr>
            <w:tcW w:w="60" w:type="dxa"/>
            <w:vAlign w:val="bottom"/>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0"/>
          </w:tcPr>
          <w:p>
            <w:pPr>
              <w:spacing w:after="0" w:line="196" w:lineRule="exact"/>
              <w:rPr>
                <w:rFonts w:ascii="Arial" w:cs="Arial" w:eastAsia="Arial" w:hAnsi="Arial"/>
                <w:sz w:val="18"/>
                <w:szCs w:val="18"/>
                <w:color w:val="0000FF"/>
                <w:w w:val="94"/>
              </w:rPr>
            </w:pPr>
            <w:hyperlink r:id="rId21">
              <w:r>
                <w:rPr>
                  <w:rFonts w:ascii="Arial" w:cs="Arial" w:eastAsia="Arial" w:hAnsi="Arial"/>
                  <w:sz w:val="18"/>
                  <w:szCs w:val="18"/>
                  <w:color w:val="0000FF"/>
                  <w:w w:val="94"/>
                </w:rPr>
                <w:t>Trustee, to Indenture, dated as of June 18, 2013, between</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00" w:type="dxa"/>
            <w:vAlign w:val="bottom"/>
            <w:tcBorders>
              <w:top w:val="single" w:sz="8" w:color="0000FF"/>
              <w:bottom w:val="single" w:sz="8" w:color="0000FF"/>
            </w:tcBorders>
            <w:gridSpan w:val="13"/>
          </w:tcPr>
          <w:p>
            <w:pPr>
              <w:spacing w:after="0" w:line="196" w:lineRule="exact"/>
              <w:rPr>
                <w:rFonts w:ascii="Arial" w:cs="Arial" w:eastAsia="Arial" w:hAnsi="Arial"/>
                <w:sz w:val="18"/>
                <w:szCs w:val="18"/>
                <w:color w:val="0000FF"/>
                <w:w w:val="91"/>
              </w:rPr>
            </w:pPr>
            <w:hyperlink r:id="rId21">
              <w:r>
                <w:rPr>
                  <w:rFonts w:ascii="Arial" w:cs="Arial" w:eastAsia="Arial" w:hAnsi="Arial"/>
                  <w:sz w:val="18"/>
                  <w:szCs w:val="18"/>
                  <w:color w:val="0000FF"/>
                  <w:w w:val="91"/>
                </w:rPr>
                <w:t>the Company and The Bank of New York Mellon, as</w:t>
              </w:r>
            </w:hyperlink>
          </w:p>
        </w:tc>
        <w:tc>
          <w:tcPr>
            <w:tcW w:w="300" w:type="dxa"/>
            <w:vAlign w:val="bottom"/>
            <w:tcBorders>
              <w:top w:val="single" w:sz="8" w:color="0000FF"/>
            </w:tcBorders>
            <w:gridSpan w:val="9"/>
          </w:tcPr>
          <w:p>
            <w:pPr>
              <w:spacing w:after="0"/>
              <w:rPr>
                <w:sz w:val="17"/>
                <w:szCs w:val="17"/>
                <w:color w:val="auto"/>
              </w:rPr>
            </w:pPr>
          </w:p>
        </w:tc>
        <w:tc>
          <w:tcPr>
            <w:tcW w:w="280" w:type="dxa"/>
            <w:vAlign w:val="bottom"/>
            <w:gridSpan w:val="8"/>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0"/>
          </w:tcPr>
          <w:p>
            <w:pPr>
              <w:spacing w:after="0" w:line="196" w:lineRule="exact"/>
              <w:rPr>
                <w:rFonts w:ascii="Arial" w:cs="Arial" w:eastAsia="Arial" w:hAnsi="Arial"/>
                <w:sz w:val="18"/>
                <w:szCs w:val="18"/>
                <w:color w:val="0000FF"/>
              </w:rPr>
            </w:pPr>
            <w:hyperlink r:id="rId21">
              <w:r>
                <w:rPr>
                  <w:rFonts w:ascii="Arial" w:cs="Arial" w:eastAsia="Arial" w:hAnsi="Arial"/>
                  <w:sz w:val="18"/>
                  <w:szCs w:val="18"/>
                  <w:color w:val="0000FF"/>
                </w:rPr>
                <w:t>Trustee</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7"/>
              </w:rPr>
              <w:t>4.3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200" w:type="dxa"/>
            <w:vAlign w:val="bottom"/>
            <w:tcBorders>
              <w:bottom w:val="single" w:sz="8" w:color="0000FF"/>
            </w:tcBorders>
            <w:gridSpan w:val="25"/>
          </w:tcPr>
          <w:p>
            <w:pPr>
              <w:spacing w:after="0"/>
              <w:rPr>
                <w:rFonts w:ascii="Arial" w:cs="Arial" w:eastAsia="Arial" w:hAnsi="Arial"/>
                <w:sz w:val="18"/>
                <w:szCs w:val="18"/>
                <w:color w:val="0000FF"/>
                <w:w w:val="93"/>
              </w:rPr>
            </w:pPr>
            <w:hyperlink r:id="rId21">
              <w:r>
                <w:rPr>
                  <w:rFonts w:ascii="Arial" w:cs="Arial" w:eastAsia="Arial" w:hAnsi="Arial"/>
                  <w:sz w:val="18"/>
                  <w:szCs w:val="18"/>
                  <w:color w:val="0000FF"/>
                  <w:w w:val="93"/>
                </w:rPr>
                <w:t>Form of 1.00% Convertible Note (included in Exhibit 4.2)</w:t>
              </w:r>
            </w:hyperlink>
          </w:p>
        </w:tc>
        <w:tc>
          <w:tcPr>
            <w:tcW w:w="180" w:type="dxa"/>
            <w:vAlign w:val="bottom"/>
            <w:gridSpan w:val="5"/>
          </w:tcPr>
          <w:p>
            <w:pPr>
              <w:spacing w:after="0"/>
              <w:rPr>
                <w:sz w:val="21"/>
                <w:szCs w:val="2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5"/>
              </w:rPr>
              <w:t>10.1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0"/>
          </w:tcPr>
          <w:p>
            <w:pPr>
              <w:spacing w:after="0"/>
              <w:rPr>
                <w:rFonts w:ascii="Arial" w:cs="Arial" w:eastAsia="Arial" w:hAnsi="Arial"/>
                <w:sz w:val="18"/>
                <w:szCs w:val="18"/>
                <w:color w:val="0000FF"/>
              </w:rPr>
            </w:pPr>
            <w:hyperlink r:id="rId22">
              <w:r>
                <w:rPr>
                  <w:rFonts w:ascii="Arial" w:cs="Arial" w:eastAsia="Arial" w:hAnsi="Arial"/>
                  <w:sz w:val="18"/>
                  <w:szCs w:val="18"/>
                  <w:color w:val="0000FF"/>
                </w:rPr>
                <w:t>Take-Two Interactive Software, Inc. Change in Control</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60" w:type="dxa"/>
            <w:vAlign w:val="bottom"/>
            <w:tcBorders>
              <w:top w:val="single" w:sz="8" w:color="0000FF"/>
            </w:tcBorders>
            <w:gridSpan w:val="17"/>
          </w:tcPr>
          <w:p>
            <w:pPr>
              <w:spacing w:after="0" w:line="197" w:lineRule="exact"/>
              <w:rPr>
                <w:rFonts w:ascii="Arial" w:cs="Arial" w:eastAsia="Arial" w:hAnsi="Arial"/>
                <w:sz w:val="16"/>
                <w:szCs w:val="16"/>
                <w:color w:val="0000FF"/>
              </w:rPr>
            </w:pPr>
            <w:hyperlink r:id="rId22">
              <w:r>
                <w:rPr>
                  <w:rFonts w:ascii="Arial" w:cs="Arial" w:eastAsia="Arial" w:hAnsi="Arial"/>
                  <w:sz w:val="16"/>
                  <w:szCs w:val="16"/>
                  <w:color w:val="0000FF"/>
                </w:rPr>
                <w:t>Employee Severance Plan</w:t>
              </w:r>
              <w:r>
                <w:rPr>
                  <w:rFonts w:ascii="Arial" w:cs="Arial" w:eastAsia="Arial" w:hAnsi="Arial"/>
                  <w:sz w:val="22"/>
                  <w:szCs w:val="22"/>
                  <w:color w:val="000000"/>
                  <w:vertAlign w:val="superscript"/>
                </w:rPr>
                <w:t>+</w:t>
              </w:r>
            </w:hyperlink>
          </w:p>
        </w:tc>
        <w:tc>
          <w:tcPr>
            <w:tcW w:w="420" w:type="dxa"/>
            <w:vAlign w:val="bottom"/>
            <w:gridSpan w:val="13"/>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5"/>
              </w:rPr>
              <w:t>10.2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0"/>
          </w:tcPr>
          <w:p>
            <w:pPr>
              <w:spacing w:after="0"/>
              <w:rPr>
                <w:rFonts w:ascii="Arial" w:cs="Arial" w:eastAsia="Arial" w:hAnsi="Arial"/>
                <w:sz w:val="18"/>
                <w:szCs w:val="18"/>
                <w:color w:val="0000FF"/>
                <w:w w:val="91"/>
              </w:rPr>
            </w:pPr>
            <w:hyperlink r:id="rId23">
              <w:r>
                <w:rPr>
                  <w:rFonts w:ascii="Arial" w:cs="Arial" w:eastAsia="Arial" w:hAnsi="Arial"/>
                  <w:sz w:val="18"/>
                  <w:szCs w:val="18"/>
                  <w:color w:val="0000FF"/>
                  <w:w w:val="91"/>
                </w:rPr>
                <w:t>Amended and Restated Take-Two Interactive Software, Inc.</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00" w:type="dxa"/>
            <w:vAlign w:val="bottom"/>
            <w:tcBorders>
              <w:top w:val="single" w:sz="8" w:color="0000FF"/>
            </w:tcBorders>
            <w:gridSpan w:val="28"/>
          </w:tcPr>
          <w:p>
            <w:pPr>
              <w:spacing w:after="0" w:line="197" w:lineRule="exact"/>
              <w:rPr>
                <w:rFonts w:ascii="Arial" w:cs="Arial" w:eastAsia="Arial" w:hAnsi="Arial"/>
                <w:sz w:val="16"/>
                <w:szCs w:val="16"/>
                <w:color w:val="0000FF"/>
              </w:rPr>
            </w:pPr>
            <w:hyperlink r:id="rId23">
              <w:r>
                <w:rPr>
                  <w:rFonts w:ascii="Arial" w:cs="Arial" w:eastAsia="Arial" w:hAnsi="Arial"/>
                  <w:sz w:val="16"/>
                  <w:szCs w:val="16"/>
                  <w:color w:val="0000FF"/>
                </w:rPr>
                <w:t>2009 Stock Incentive Plan, effective as of July 21, 2016</w:t>
              </w:r>
              <w:r>
                <w:rPr>
                  <w:rFonts w:ascii="Arial" w:cs="Arial" w:eastAsia="Arial" w:hAnsi="Arial"/>
                  <w:sz w:val="22"/>
                  <w:szCs w:val="22"/>
                  <w:color w:val="000000"/>
                  <w:vertAlign w:val="superscript"/>
                </w:rPr>
                <w:t>+</w:t>
              </w:r>
            </w:hyperlink>
          </w:p>
        </w:tc>
        <w:tc>
          <w:tcPr>
            <w:tcW w:w="80" w:type="dxa"/>
            <w:vAlign w:val="bottom"/>
            <w:gridSpan w:val="2"/>
          </w:tcPr>
          <w:p>
            <w:pPr>
              <w:spacing w:after="0"/>
              <w:rPr>
                <w:sz w:val="17"/>
                <w:szCs w:val="17"/>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5"/>
              </w:rPr>
              <w:t>10.3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20" w:type="dxa"/>
            <w:vAlign w:val="bottom"/>
            <w:tcBorders>
              <w:top w:val="single" w:sz="8" w:color="0000FF"/>
            </w:tcBorders>
            <w:gridSpan w:val="18"/>
          </w:tcPr>
          <w:p>
            <w:pPr>
              <w:spacing w:after="0" w:line="250" w:lineRule="exact"/>
              <w:rPr>
                <w:rFonts w:ascii="Arial" w:cs="Arial" w:eastAsia="Arial" w:hAnsi="Arial"/>
                <w:sz w:val="18"/>
                <w:szCs w:val="18"/>
                <w:color w:val="0000FF"/>
              </w:rPr>
            </w:pPr>
            <w:hyperlink r:id="rId24">
              <w:r>
                <w:rPr>
                  <w:rFonts w:ascii="Arial" w:cs="Arial" w:eastAsia="Arial" w:hAnsi="Arial"/>
                  <w:sz w:val="18"/>
                  <w:szCs w:val="18"/>
                  <w:color w:val="0000FF"/>
                </w:rPr>
                <w:t>Form of Employee Restricted Stock Agreement</w:t>
              </w:r>
            </w:hyperlink>
            <w:r>
              <w:rPr>
                <w:rFonts w:ascii="Arial" w:cs="Arial" w:eastAsia="Arial" w:hAnsi="Arial"/>
                <w:sz w:val="25"/>
                <w:szCs w:val="25"/>
                <w:color w:val="000000"/>
                <w:vertAlign w:val="superscript"/>
              </w:rPr>
              <w:t>+</w:t>
            </w:r>
          </w:p>
        </w:tc>
        <w:tc>
          <w:tcPr>
            <w:tcW w:w="360" w:type="dxa"/>
            <w:vAlign w:val="bottom"/>
            <w:gridSpan w:val="12"/>
          </w:tcPr>
          <w:p>
            <w:pPr>
              <w:spacing w:after="0"/>
              <w:rPr>
                <w:sz w:val="21"/>
                <w:szCs w:val="21"/>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72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5"/>
              </w:rPr>
              <w:t>10.4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600" w:type="dxa"/>
            <w:vAlign w:val="bottom"/>
            <w:tcBorders>
              <w:bottom w:val="single" w:sz="8" w:color="0000FF"/>
            </w:tcBorders>
            <w:gridSpan w:val="11"/>
          </w:tcPr>
          <w:p>
            <w:pPr>
              <w:spacing w:after="0"/>
              <w:rPr>
                <w:rFonts w:ascii="Arial" w:cs="Arial" w:eastAsia="Arial" w:hAnsi="Arial"/>
                <w:sz w:val="18"/>
                <w:szCs w:val="18"/>
                <w:color w:val="0000FF"/>
                <w:w w:val="91"/>
              </w:rPr>
            </w:pPr>
            <w:hyperlink r:id="rId25">
              <w:r>
                <w:rPr>
                  <w:rFonts w:ascii="Arial" w:cs="Arial" w:eastAsia="Arial" w:hAnsi="Arial"/>
                  <w:sz w:val="18"/>
                  <w:szCs w:val="18"/>
                  <w:color w:val="0000FF"/>
                  <w:w w:val="91"/>
                </w:rPr>
                <w:t>Form of Non-Employee Director Restricted Stock</w:t>
              </w:r>
            </w:hyperlink>
          </w:p>
        </w:tc>
        <w:tc>
          <w:tcPr>
            <w:tcW w:w="780" w:type="dxa"/>
            <w:vAlign w:val="bottom"/>
            <w:gridSpan w:val="19"/>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0"/>
          </w:tcPr>
          <w:p>
            <w:pPr>
              <w:spacing w:after="0" w:line="197" w:lineRule="exact"/>
              <w:rPr>
                <w:rFonts w:ascii="Arial" w:cs="Arial" w:eastAsia="Arial" w:hAnsi="Arial"/>
                <w:sz w:val="16"/>
                <w:szCs w:val="16"/>
                <w:color w:val="0000FF"/>
              </w:rPr>
            </w:pPr>
            <w:hyperlink r:id="rId25">
              <w:r>
                <w:rPr>
                  <w:rFonts w:ascii="Arial" w:cs="Arial" w:eastAsia="Arial" w:hAnsi="Arial"/>
                  <w:sz w:val="16"/>
                  <w:szCs w:val="16"/>
                  <w:color w:val="0000FF"/>
                </w:rPr>
                <w:t>Agreement</w:t>
              </w:r>
              <w:r>
                <w:rPr>
                  <w:rFonts w:ascii="Arial" w:cs="Arial" w:eastAsia="Arial" w:hAnsi="Arial"/>
                  <w:sz w:val="22"/>
                  <w:szCs w:val="22"/>
                  <w:color w:val="000000"/>
                  <w:vertAlign w:val="superscript"/>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gridSpan w:val="2"/>
            <w:shd w:val="clear" w:color="auto" w:fill="0000FF"/>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5"/>
              </w:rPr>
              <w:t>10.5</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0"/>
          </w:tcPr>
          <w:p>
            <w:pPr>
              <w:spacing w:after="0" w:line="250" w:lineRule="exact"/>
              <w:rPr>
                <w:rFonts w:ascii="Arial" w:cs="Arial" w:eastAsia="Arial" w:hAnsi="Arial"/>
                <w:sz w:val="18"/>
                <w:szCs w:val="18"/>
                <w:color w:val="0000FF"/>
              </w:rPr>
            </w:pPr>
            <w:hyperlink r:id="rId26">
              <w:r>
                <w:rPr>
                  <w:rFonts w:ascii="Arial" w:cs="Arial" w:eastAsia="Arial" w:hAnsi="Arial"/>
                  <w:sz w:val="18"/>
                  <w:szCs w:val="18"/>
                  <w:color w:val="0000FF"/>
                </w:rPr>
                <w:t>Form of Employee Restricted Unit Agreement</w:t>
              </w:r>
            </w:hyperlink>
            <w:r>
              <w:rPr>
                <w:rFonts w:ascii="Arial" w:cs="Arial" w:eastAsia="Arial" w:hAnsi="Arial"/>
                <w:sz w:val="25"/>
                <w:szCs w:val="25"/>
                <w:color w:val="000000"/>
                <w:vertAlign w:val="superscript"/>
              </w:rPr>
              <w:t>+</w:t>
            </w: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20" w:type="dxa"/>
            <w:vAlign w:val="bottom"/>
            <w:gridSpan w:val="3"/>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72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5"/>
              </w:rPr>
              <w:t>10.6</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0"/>
          </w:tcPr>
          <w:p>
            <w:pPr>
              <w:spacing w:after="0" w:line="250" w:lineRule="exact"/>
              <w:rPr>
                <w:rFonts w:ascii="Arial" w:cs="Arial" w:eastAsia="Arial" w:hAnsi="Arial"/>
                <w:sz w:val="18"/>
                <w:szCs w:val="18"/>
                <w:color w:val="0000FF"/>
              </w:rPr>
            </w:pPr>
            <w:hyperlink r:id="rId27">
              <w:r>
                <w:rPr>
                  <w:rFonts w:ascii="Arial" w:cs="Arial" w:eastAsia="Arial" w:hAnsi="Arial"/>
                  <w:sz w:val="18"/>
                  <w:szCs w:val="18"/>
                  <w:color w:val="0000FF"/>
                </w:rPr>
                <w:t>Form of Employee Restricted Unit Agreement</w:t>
              </w:r>
            </w:hyperlink>
            <w:r>
              <w:rPr>
                <w:rFonts w:ascii="Arial" w:cs="Arial" w:eastAsia="Arial" w:hAnsi="Arial"/>
                <w:sz w:val="25"/>
                <w:szCs w:val="25"/>
                <w:color w:val="000000"/>
                <w:vertAlign w:val="superscript"/>
              </w:rPr>
              <w:t>+</w:t>
            </w: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20" w:type="dxa"/>
            <w:vAlign w:val="bottom"/>
            <w:gridSpan w:val="3"/>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72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5"/>
              </w:rPr>
              <w:t>10.7</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0"/>
          </w:tcPr>
          <w:p>
            <w:pPr>
              <w:spacing w:after="0" w:line="250" w:lineRule="exact"/>
              <w:rPr>
                <w:rFonts w:ascii="Arial" w:cs="Arial" w:eastAsia="Arial" w:hAnsi="Arial"/>
                <w:sz w:val="18"/>
                <w:szCs w:val="18"/>
                <w:color w:val="0000FF"/>
              </w:rPr>
            </w:pPr>
            <w:hyperlink r:id="rId28">
              <w:r>
                <w:rPr>
                  <w:rFonts w:ascii="Arial" w:cs="Arial" w:eastAsia="Arial" w:hAnsi="Arial"/>
                  <w:sz w:val="18"/>
                  <w:szCs w:val="18"/>
                  <w:color w:val="0000FF"/>
                </w:rPr>
                <w:t>Form of Employee Global Restricted Unit Agreement</w:t>
              </w:r>
            </w:hyperlink>
            <w:r>
              <w:rPr>
                <w:rFonts w:ascii="Arial" w:cs="Arial" w:eastAsia="Arial" w:hAnsi="Arial"/>
                <w:sz w:val="25"/>
                <w:szCs w:val="25"/>
                <w:color w:val="000000"/>
                <w:vertAlign w:val="superscript"/>
              </w:rPr>
              <w:t>+</w:t>
            </w: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5"/>
              </w:rPr>
              <w:t>10.8</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80" w:type="dxa"/>
            <w:vAlign w:val="bottom"/>
            <w:tcBorders>
              <w:top w:val="single" w:sz="8" w:color="0000FF"/>
            </w:tcBorders>
            <w:gridSpan w:val="15"/>
          </w:tcPr>
          <w:p>
            <w:pPr>
              <w:spacing w:after="0" w:line="250" w:lineRule="exact"/>
              <w:rPr>
                <w:rFonts w:ascii="Arial" w:cs="Arial" w:eastAsia="Arial" w:hAnsi="Arial"/>
                <w:sz w:val="18"/>
                <w:szCs w:val="18"/>
                <w:color w:val="0000FF"/>
              </w:rPr>
            </w:pPr>
            <w:hyperlink r:id="rId29">
              <w:r>
                <w:rPr>
                  <w:rFonts w:ascii="Arial" w:cs="Arial" w:eastAsia="Arial" w:hAnsi="Arial"/>
                  <w:sz w:val="18"/>
                  <w:szCs w:val="18"/>
                  <w:color w:val="0000FF"/>
                </w:rPr>
                <w:t xml:space="preserve">Form of Employee Restricted Unit Agreement </w:t>
              </w:r>
            </w:hyperlink>
            <w:r>
              <w:rPr>
                <w:rFonts w:ascii="Arial" w:cs="Arial" w:eastAsia="Arial" w:hAnsi="Arial"/>
                <w:sz w:val="25"/>
                <w:szCs w:val="25"/>
                <w:color w:val="000000"/>
                <w:vertAlign w:val="superscript"/>
              </w:rPr>
              <w:t>+</w:t>
            </w:r>
          </w:p>
        </w:tc>
        <w:tc>
          <w:tcPr>
            <w:tcW w:w="500" w:type="dxa"/>
            <w:vAlign w:val="bottom"/>
            <w:gridSpan w:val="15"/>
          </w:tcPr>
          <w:p>
            <w:pPr>
              <w:spacing w:after="0"/>
              <w:rPr>
                <w:sz w:val="21"/>
                <w:szCs w:val="21"/>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20" w:type="dxa"/>
            <w:vAlign w:val="bottom"/>
            <w:gridSpan w:val="3"/>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72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5"/>
              </w:rPr>
              <w:t>10.9</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0"/>
          </w:tcPr>
          <w:p>
            <w:pPr>
              <w:spacing w:after="0" w:line="250" w:lineRule="exact"/>
              <w:rPr>
                <w:rFonts w:ascii="Arial" w:cs="Arial" w:eastAsia="Arial" w:hAnsi="Arial"/>
                <w:sz w:val="18"/>
                <w:szCs w:val="18"/>
                <w:color w:val="0000FF"/>
              </w:rPr>
            </w:pPr>
            <w:hyperlink r:id="rId30">
              <w:r>
                <w:rPr>
                  <w:rFonts w:ascii="Arial" w:cs="Arial" w:eastAsia="Arial" w:hAnsi="Arial"/>
                  <w:sz w:val="18"/>
                  <w:szCs w:val="18"/>
                  <w:color w:val="0000FF"/>
                </w:rPr>
                <w:t>Form of Employee Global Restricted Unit Agreement</w:t>
              </w:r>
            </w:hyperlink>
            <w:r>
              <w:rPr>
                <w:rFonts w:ascii="Arial" w:cs="Arial" w:eastAsia="Arial" w:hAnsi="Arial"/>
                <w:sz w:val="25"/>
                <w:szCs w:val="25"/>
                <w:color w:val="000000"/>
                <w:vertAlign w:val="superscript"/>
              </w:rPr>
              <w:t>+</w:t>
            </w: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10.10</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80" w:type="dxa"/>
            <w:vAlign w:val="bottom"/>
            <w:tcBorders>
              <w:top w:val="single" w:sz="8" w:color="0000FF"/>
              <w:bottom w:val="single" w:sz="8" w:color="0000FF"/>
            </w:tcBorders>
            <w:gridSpan w:val="15"/>
          </w:tcPr>
          <w:p>
            <w:pPr>
              <w:spacing w:after="0"/>
              <w:rPr>
                <w:rFonts w:ascii="Arial" w:cs="Arial" w:eastAsia="Arial" w:hAnsi="Arial"/>
                <w:sz w:val="18"/>
                <w:szCs w:val="18"/>
                <w:color w:val="0000FF"/>
                <w:w w:val="91"/>
              </w:rPr>
            </w:pPr>
            <w:hyperlink r:id="rId31">
              <w:r>
                <w:rPr>
                  <w:rFonts w:ascii="Arial" w:cs="Arial" w:eastAsia="Arial" w:hAnsi="Arial"/>
                  <w:sz w:val="18"/>
                  <w:szCs w:val="18"/>
                  <w:color w:val="0000FF"/>
                  <w:w w:val="91"/>
                </w:rPr>
                <w:t>Form of Employee Global Restricted Unit Agreement</w:t>
              </w:r>
            </w:hyperlink>
          </w:p>
        </w:tc>
        <w:tc>
          <w:tcPr>
            <w:tcW w:w="500" w:type="dxa"/>
            <w:vAlign w:val="bottom"/>
            <w:gridSpan w:val="15"/>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0"/>
          </w:tcPr>
          <w:p>
            <w:pPr>
              <w:spacing w:after="0" w:line="196" w:lineRule="exact"/>
              <w:rPr>
                <w:rFonts w:ascii="Arial" w:cs="Arial" w:eastAsia="Arial" w:hAnsi="Arial"/>
                <w:sz w:val="18"/>
                <w:szCs w:val="18"/>
                <w:color w:val="0000FF"/>
                <w:w w:val="95"/>
              </w:rPr>
            </w:pPr>
            <w:hyperlink r:id="rId31">
              <w:r>
                <w:rPr>
                  <w:rFonts w:ascii="Arial" w:cs="Arial" w:eastAsia="Arial" w:hAnsi="Arial"/>
                  <w:sz w:val="18"/>
                  <w:szCs w:val="18"/>
                  <w:color w:val="0000FF"/>
                  <w:w w:val="95"/>
                </w:rPr>
                <w:t>Pursuant to the Take-Two Interactive Software, Inc. 2009</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20" w:type="dxa"/>
            <w:vAlign w:val="bottom"/>
            <w:tcBorders>
              <w:top w:val="single" w:sz="8" w:color="0000FF"/>
            </w:tcBorders>
            <w:gridSpan w:val="23"/>
          </w:tcPr>
          <w:p>
            <w:pPr>
              <w:spacing w:after="0" w:line="197" w:lineRule="exact"/>
              <w:rPr>
                <w:rFonts w:ascii="Arial" w:cs="Arial" w:eastAsia="Arial" w:hAnsi="Arial"/>
                <w:sz w:val="16"/>
                <w:szCs w:val="16"/>
                <w:color w:val="0000FF"/>
              </w:rPr>
            </w:pPr>
            <w:hyperlink r:id="rId31">
              <w:r>
                <w:rPr>
                  <w:rFonts w:ascii="Arial" w:cs="Arial" w:eastAsia="Arial" w:hAnsi="Arial"/>
                  <w:sz w:val="16"/>
                  <w:szCs w:val="16"/>
                  <w:color w:val="0000FF"/>
                </w:rPr>
                <w:t>Stock Incentive Plan</w:t>
              </w:r>
              <w:r>
                <w:rPr>
                  <w:rFonts w:ascii="Arial" w:cs="Arial" w:eastAsia="Arial" w:hAnsi="Arial"/>
                  <w:sz w:val="22"/>
                  <w:szCs w:val="22"/>
                  <w:color w:val="000000"/>
                  <w:vertAlign w:val="superscript"/>
                </w:rPr>
                <w:t>+</w:t>
              </w:r>
            </w:hyperlink>
          </w:p>
        </w:tc>
        <w:tc>
          <w:tcPr>
            <w:tcW w:w="260" w:type="dxa"/>
            <w:vAlign w:val="bottom"/>
            <w:gridSpan w:val="7"/>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20" w:type="dxa"/>
            <w:vAlign w:val="bottom"/>
            <w:gridSpan w:val="3"/>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8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84"/>
              </w:rPr>
              <w:t>10.11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0"/>
          </w:tcPr>
          <w:p>
            <w:pPr>
              <w:spacing w:after="0"/>
              <w:rPr>
                <w:rFonts w:ascii="Arial" w:cs="Arial" w:eastAsia="Arial" w:hAnsi="Arial"/>
                <w:sz w:val="18"/>
                <w:szCs w:val="18"/>
                <w:color w:val="0000FF"/>
                <w:w w:val="95"/>
              </w:rPr>
            </w:pPr>
            <w:hyperlink r:id="rId32">
              <w:r>
                <w:rPr>
                  <w:rFonts w:ascii="Arial" w:cs="Arial" w:eastAsia="Arial" w:hAnsi="Arial"/>
                  <w:sz w:val="18"/>
                  <w:szCs w:val="18"/>
                  <w:color w:val="0000FF"/>
                  <w:w w:val="95"/>
                </w:rPr>
                <w:t>Take-Two Interactive Software, Inc. 2017 Stock Incentive</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60" w:type="dxa"/>
            <w:vAlign w:val="bottom"/>
            <w:tcBorders>
              <w:top w:val="single" w:sz="8" w:color="0000FF"/>
            </w:tcBorders>
            <w:gridSpan w:val="24"/>
          </w:tcPr>
          <w:p>
            <w:pPr>
              <w:spacing w:after="0" w:line="197" w:lineRule="exact"/>
              <w:rPr>
                <w:rFonts w:ascii="Arial" w:cs="Arial" w:eastAsia="Arial" w:hAnsi="Arial"/>
                <w:sz w:val="16"/>
                <w:szCs w:val="16"/>
                <w:color w:val="0000FF"/>
              </w:rPr>
            </w:pPr>
            <w:hyperlink r:id="rId32">
              <w:r>
                <w:rPr>
                  <w:rFonts w:ascii="Arial" w:cs="Arial" w:eastAsia="Arial" w:hAnsi="Arial"/>
                  <w:sz w:val="16"/>
                  <w:szCs w:val="16"/>
                  <w:color w:val="0000FF"/>
                </w:rPr>
                <w:t>Plan, effective as of September 15, 2017</w:t>
              </w:r>
              <w:r>
                <w:rPr>
                  <w:rFonts w:ascii="Arial" w:cs="Arial" w:eastAsia="Arial" w:hAnsi="Arial"/>
                  <w:sz w:val="22"/>
                  <w:szCs w:val="22"/>
                  <w:color w:val="000000"/>
                  <w:vertAlign w:val="superscript"/>
                </w:rPr>
                <w:t>+</w:t>
              </w:r>
            </w:hyperlink>
          </w:p>
        </w:tc>
        <w:tc>
          <w:tcPr>
            <w:tcW w:w="220" w:type="dxa"/>
            <w:vAlign w:val="bottom"/>
            <w:gridSpan w:val="6"/>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20" w:type="dxa"/>
            <w:vAlign w:val="bottom"/>
            <w:gridSpan w:val="3"/>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720" w:type="dxa"/>
            <w:vAlign w:val="bottom"/>
            <w:shd w:val="clear" w:color="auto" w:fill="0000FF"/>
          </w:tcPr>
          <w:p>
            <w:pPr>
              <w:spacing w:after="0" w:line="20" w:lineRule="exact"/>
              <w:rPr>
                <w:sz w:val="1"/>
                <w:szCs w:val="1"/>
                <w:color w:val="auto"/>
              </w:rPr>
            </w:pPr>
          </w:p>
        </w:tc>
        <w:tc>
          <w:tcPr>
            <w:tcW w:w="68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10.12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0"/>
          </w:tcPr>
          <w:p>
            <w:pPr>
              <w:spacing w:after="0"/>
              <w:rPr>
                <w:rFonts w:ascii="Arial" w:cs="Arial" w:eastAsia="Arial" w:hAnsi="Arial"/>
                <w:sz w:val="18"/>
                <w:szCs w:val="18"/>
                <w:color w:val="0000FF"/>
                <w:w w:val="95"/>
              </w:rPr>
            </w:pPr>
            <w:hyperlink r:id="rId33">
              <w:r>
                <w:rPr>
                  <w:rFonts w:ascii="Arial" w:cs="Arial" w:eastAsia="Arial" w:hAnsi="Arial"/>
                  <w:sz w:val="18"/>
                  <w:szCs w:val="18"/>
                  <w:color w:val="0000FF"/>
                  <w:w w:val="95"/>
                </w:rPr>
                <w:t>Take-Two Interactive Software, Inc. 2017 Stock Incentive</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40" w:type="dxa"/>
            <w:vAlign w:val="bottom"/>
            <w:tcBorders>
              <w:top w:val="single" w:sz="8" w:color="0000FF"/>
              <w:bottom w:val="single" w:sz="8" w:color="0000FF"/>
            </w:tcBorders>
            <w:gridSpan w:val="19"/>
          </w:tcPr>
          <w:p>
            <w:pPr>
              <w:spacing w:after="0" w:line="196" w:lineRule="exact"/>
              <w:rPr>
                <w:rFonts w:ascii="Arial" w:cs="Arial" w:eastAsia="Arial" w:hAnsi="Arial"/>
                <w:sz w:val="18"/>
                <w:szCs w:val="18"/>
                <w:color w:val="0000FF"/>
                <w:w w:val="90"/>
              </w:rPr>
            </w:pPr>
            <w:hyperlink r:id="rId33">
              <w:r>
                <w:rPr>
                  <w:rFonts w:ascii="Arial" w:cs="Arial" w:eastAsia="Arial" w:hAnsi="Arial"/>
                  <w:sz w:val="18"/>
                  <w:szCs w:val="18"/>
                  <w:color w:val="0000FF"/>
                  <w:w w:val="90"/>
                </w:rPr>
                <w:t>Plan Qualified RSU Sub-Plan for France, effective as of</w:t>
              </w:r>
            </w:hyperlink>
          </w:p>
        </w:tc>
        <w:tc>
          <w:tcPr>
            <w:tcW w:w="120" w:type="dxa"/>
            <w:vAlign w:val="bottom"/>
            <w:tcBorders>
              <w:top w:val="single" w:sz="8" w:color="0000FF"/>
            </w:tcBorders>
            <w:gridSpan w:val="5"/>
          </w:tcPr>
          <w:p>
            <w:pPr>
              <w:spacing w:after="0"/>
              <w:rPr>
                <w:sz w:val="17"/>
                <w:szCs w:val="17"/>
                <w:color w:val="auto"/>
              </w:rPr>
            </w:pPr>
          </w:p>
        </w:tc>
        <w:tc>
          <w:tcPr>
            <w:tcW w:w="220" w:type="dxa"/>
            <w:vAlign w:val="bottom"/>
            <w:gridSpan w:val="6"/>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0"/>
          </w:tcPr>
          <w:p>
            <w:pPr>
              <w:spacing w:after="0" w:line="197" w:lineRule="exact"/>
              <w:rPr>
                <w:rFonts w:ascii="Arial" w:cs="Arial" w:eastAsia="Arial" w:hAnsi="Arial"/>
                <w:sz w:val="16"/>
                <w:szCs w:val="16"/>
                <w:color w:val="0000FF"/>
              </w:rPr>
            </w:pPr>
            <w:hyperlink r:id="rId33">
              <w:r>
                <w:rPr>
                  <w:rFonts w:ascii="Arial" w:cs="Arial" w:eastAsia="Arial" w:hAnsi="Arial"/>
                  <w:sz w:val="16"/>
                  <w:szCs w:val="16"/>
                  <w:color w:val="0000FF"/>
                </w:rPr>
                <w:t>September 15, 2017</w:t>
              </w:r>
              <w:r>
                <w:rPr>
                  <w:rFonts w:ascii="Arial" w:cs="Arial" w:eastAsia="Arial" w:hAnsi="Arial"/>
                  <w:sz w:val="22"/>
                  <w:szCs w:val="22"/>
                  <w:color w:val="000000"/>
                  <w:vertAlign w:val="superscript"/>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20" w:type="dxa"/>
            <w:vAlign w:val="bottom"/>
            <w:gridSpan w:val="3"/>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140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gridSpan w:val="4"/>
          </w:tcPr>
          <w:p>
            <w:pPr>
              <w:spacing w:after="0" w:line="20" w:lineRule="exact"/>
              <w:rPr>
                <w:sz w:val="1"/>
                <w:szCs w:val="1"/>
                <w:color w:val="auto"/>
              </w:rPr>
            </w:pPr>
          </w:p>
        </w:tc>
        <w:tc>
          <w:tcPr>
            <w:tcW w:w="16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10.13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0"/>
          </w:tcPr>
          <w:p>
            <w:pPr>
              <w:spacing w:after="0"/>
              <w:rPr>
                <w:rFonts w:ascii="Arial" w:cs="Arial" w:eastAsia="Arial" w:hAnsi="Arial"/>
                <w:sz w:val="18"/>
                <w:szCs w:val="18"/>
                <w:color w:val="0000FF"/>
                <w:w w:val="92"/>
              </w:rPr>
            </w:pPr>
            <w:hyperlink r:id="rId34">
              <w:r>
                <w:rPr>
                  <w:rFonts w:ascii="Arial" w:cs="Arial" w:eastAsia="Arial" w:hAnsi="Arial"/>
                  <w:sz w:val="18"/>
                  <w:szCs w:val="18"/>
                  <w:color w:val="0000FF"/>
                  <w:w w:val="92"/>
                </w:rPr>
                <w:t>Take-Two Interactive Software, Inc. 2017 Global Employee</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00" w:type="dxa"/>
            <w:vAlign w:val="bottom"/>
            <w:tcBorders>
              <w:top w:val="single" w:sz="8" w:color="0000FF"/>
            </w:tcBorders>
            <w:gridSpan w:val="28"/>
          </w:tcPr>
          <w:p>
            <w:pPr>
              <w:spacing w:after="0" w:line="197" w:lineRule="exact"/>
              <w:rPr>
                <w:rFonts w:ascii="Arial" w:cs="Arial" w:eastAsia="Arial" w:hAnsi="Arial"/>
                <w:sz w:val="16"/>
                <w:szCs w:val="16"/>
                <w:color w:val="0000FF"/>
              </w:rPr>
            </w:pPr>
            <w:hyperlink r:id="rId34">
              <w:r>
                <w:rPr>
                  <w:rFonts w:ascii="Arial" w:cs="Arial" w:eastAsia="Arial" w:hAnsi="Arial"/>
                  <w:sz w:val="16"/>
                  <w:szCs w:val="16"/>
                  <w:color w:val="0000FF"/>
                </w:rPr>
                <w:t>Stock Purchase Plan, effective as of September 15, 2017</w:t>
              </w:r>
              <w:r>
                <w:rPr>
                  <w:rFonts w:ascii="Arial" w:cs="Arial" w:eastAsia="Arial" w:hAnsi="Arial"/>
                  <w:sz w:val="22"/>
                  <w:szCs w:val="22"/>
                  <w:color w:val="000000"/>
                  <w:vertAlign w:val="superscript"/>
                </w:rPr>
                <w:t>+</w:t>
              </w:r>
            </w:hyperlink>
          </w:p>
        </w:tc>
        <w:tc>
          <w:tcPr>
            <w:tcW w:w="80" w:type="dxa"/>
            <w:vAlign w:val="bottom"/>
            <w:gridSpan w:val="2"/>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20" w:type="dxa"/>
            <w:vAlign w:val="bottom"/>
            <w:gridSpan w:val="3"/>
            <w:shd w:val="clear" w:color="auto" w:fill="0000FF"/>
          </w:tcPr>
          <w:p>
            <w:pPr>
              <w:spacing w:after="0" w:line="20" w:lineRule="exact"/>
              <w:rPr>
                <w:sz w:val="1"/>
                <w:szCs w:val="1"/>
                <w:color w:val="auto"/>
              </w:rPr>
            </w:pPr>
          </w:p>
        </w:tc>
        <w:tc>
          <w:tcPr>
            <w:tcW w:w="480" w:type="dxa"/>
            <w:vAlign w:val="bottom"/>
            <w:tcBorders>
              <w:right w:val="single" w:sz="8" w:color="0000FF"/>
            </w:tcBorders>
            <w:gridSpan w:val="2"/>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1400" w:type="dxa"/>
            <w:vAlign w:val="bottom"/>
            <w:gridSpan w:val="4"/>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20" w:type="dxa"/>
            <w:vAlign w:val="bottom"/>
            <w:gridSpan w:val="4"/>
            <w:shd w:val="clear" w:color="auto" w:fill="0000FF"/>
          </w:tcPr>
          <w:p>
            <w:pPr>
              <w:spacing w:after="0" w:line="20" w:lineRule="exact"/>
              <w:rPr>
                <w:sz w:val="1"/>
                <w:szCs w:val="1"/>
                <w:color w:val="auto"/>
              </w:rPr>
            </w:pPr>
          </w:p>
        </w:tc>
        <w:tc>
          <w:tcPr>
            <w:tcW w:w="160" w:type="dxa"/>
            <w:vAlign w:val="bottom"/>
            <w:gridSpan w:val="4"/>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10.14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0"/>
          </w:tcPr>
          <w:p>
            <w:pPr>
              <w:spacing w:after="0"/>
              <w:rPr>
                <w:rFonts w:ascii="Arial" w:cs="Arial" w:eastAsia="Arial" w:hAnsi="Arial"/>
                <w:sz w:val="18"/>
                <w:szCs w:val="18"/>
                <w:color w:val="0000FF"/>
                <w:w w:val="94"/>
              </w:rPr>
            </w:pPr>
            <w:hyperlink r:id="rId35">
              <w:r>
                <w:rPr>
                  <w:rFonts w:ascii="Arial" w:cs="Arial" w:eastAsia="Arial" w:hAnsi="Arial"/>
                  <w:sz w:val="18"/>
                  <w:szCs w:val="18"/>
                  <w:color w:val="0000FF"/>
                  <w:w w:val="94"/>
                </w:rPr>
                <w:t>Form of Global Restricted Stock Unit Agreement Pursuant</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20" w:type="dxa"/>
            <w:vAlign w:val="bottom"/>
            <w:tcBorders>
              <w:top w:val="single" w:sz="8" w:color="0000FF"/>
            </w:tcBorders>
            <w:gridSpan w:val="26"/>
          </w:tcPr>
          <w:p>
            <w:pPr>
              <w:spacing w:after="0" w:line="196" w:lineRule="exact"/>
              <w:rPr>
                <w:rFonts w:ascii="Arial" w:cs="Arial" w:eastAsia="Arial" w:hAnsi="Arial"/>
                <w:sz w:val="18"/>
                <w:szCs w:val="18"/>
                <w:color w:val="0000FF"/>
                <w:w w:val="98"/>
              </w:rPr>
            </w:pPr>
            <w:hyperlink r:id="rId35">
              <w:r>
                <w:rPr>
                  <w:rFonts w:ascii="Arial" w:cs="Arial" w:eastAsia="Arial" w:hAnsi="Arial"/>
                  <w:sz w:val="18"/>
                  <w:szCs w:val="18"/>
                  <w:color w:val="0000FF"/>
                  <w:w w:val="98"/>
                </w:rPr>
                <w:t>to the Take-Two Interactive Software, Inc. 2017 Stock</w:t>
              </w:r>
            </w:hyperlink>
          </w:p>
        </w:tc>
        <w:tc>
          <w:tcPr>
            <w:tcW w:w="160" w:type="dxa"/>
            <w:vAlign w:val="bottom"/>
            <w:gridSpan w:val="4"/>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00" w:type="dxa"/>
            <w:vAlign w:val="bottom"/>
            <w:tcBorders>
              <w:top w:val="single" w:sz="8" w:color="0000FF"/>
            </w:tcBorders>
            <w:gridSpan w:val="16"/>
          </w:tcPr>
          <w:p>
            <w:pPr>
              <w:spacing w:after="0" w:line="197" w:lineRule="exact"/>
              <w:rPr>
                <w:rFonts w:ascii="Arial" w:cs="Arial" w:eastAsia="Arial" w:hAnsi="Arial"/>
                <w:sz w:val="16"/>
                <w:szCs w:val="16"/>
                <w:color w:val="0000FF"/>
              </w:rPr>
            </w:pPr>
            <w:hyperlink r:id="rId35">
              <w:r>
                <w:rPr>
                  <w:rFonts w:ascii="Arial" w:cs="Arial" w:eastAsia="Arial" w:hAnsi="Arial"/>
                  <w:sz w:val="16"/>
                  <w:szCs w:val="16"/>
                  <w:color w:val="0000FF"/>
                </w:rPr>
                <w:t>Incentive Plan</w:t>
              </w:r>
              <w:r>
                <w:rPr>
                  <w:rFonts w:ascii="Arial" w:cs="Arial" w:eastAsia="Arial" w:hAnsi="Arial"/>
                  <w:sz w:val="22"/>
                  <w:szCs w:val="22"/>
                  <w:color w:val="000000"/>
                  <w:vertAlign w:val="superscript"/>
                </w:rPr>
                <w:t>+</w:t>
              </w:r>
            </w:hyperlink>
          </w:p>
        </w:tc>
        <w:tc>
          <w:tcPr>
            <w:tcW w:w="480" w:type="dxa"/>
            <w:vAlign w:val="bottom"/>
            <w:gridSpan w:val="14"/>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20" w:type="dxa"/>
            <w:vAlign w:val="bottom"/>
            <w:gridSpan w:val="3"/>
            <w:shd w:val="clear" w:color="auto" w:fill="0000FF"/>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700" w:type="dxa"/>
            <w:vAlign w:val="bottom"/>
            <w:gridSpan w:val="2"/>
          </w:tcPr>
          <w:p>
            <w:pPr>
              <w:spacing w:after="0" w:line="20" w:lineRule="exact"/>
              <w:rPr>
                <w:sz w:val="1"/>
                <w:szCs w:val="1"/>
                <w:color w:val="auto"/>
              </w:rPr>
            </w:pPr>
          </w:p>
        </w:tc>
        <w:tc>
          <w:tcPr>
            <w:tcW w:w="1400" w:type="dxa"/>
            <w:vAlign w:val="bottom"/>
            <w:gridSpan w:val="4"/>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gridSpan w:val="9"/>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4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10.15</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680" w:type="dxa"/>
            <w:vAlign w:val="bottom"/>
            <w:tcBorders>
              <w:bottom w:val="single" w:sz="8" w:color="0000FF"/>
            </w:tcBorders>
            <w:gridSpan w:val="12"/>
          </w:tcPr>
          <w:p>
            <w:pPr>
              <w:spacing w:after="0"/>
              <w:rPr>
                <w:rFonts w:ascii="Arial" w:cs="Arial" w:eastAsia="Arial" w:hAnsi="Arial"/>
                <w:sz w:val="18"/>
                <w:szCs w:val="18"/>
                <w:color w:val="0000FF"/>
                <w:w w:val="91"/>
              </w:rPr>
            </w:pPr>
            <w:hyperlink r:id="rId36">
              <w:r>
                <w:rPr>
                  <w:rFonts w:ascii="Arial" w:cs="Arial" w:eastAsia="Arial" w:hAnsi="Arial"/>
                  <w:sz w:val="18"/>
                  <w:szCs w:val="18"/>
                  <w:color w:val="0000FF"/>
                  <w:w w:val="91"/>
                </w:rPr>
                <w:t>Form of Global Restricted Stock Performance Unit</w:t>
              </w:r>
            </w:hyperlink>
          </w:p>
        </w:tc>
        <w:tc>
          <w:tcPr>
            <w:tcW w:w="700" w:type="dxa"/>
            <w:vAlign w:val="bottom"/>
            <w:gridSpan w:val="18"/>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0"/>
          </w:tcPr>
          <w:p>
            <w:pPr>
              <w:spacing w:after="0" w:line="196" w:lineRule="exact"/>
              <w:rPr>
                <w:rFonts w:ascii="Arial" w:cs="Arial" w:eastAsia="Arial" w:hAnsi="Arial"/>
                <w:sz w:val="18"/>
                <w:szCs w:val="18"/>
                <w:color w:val="0000FF"/>
                <w:w w:val="92"/>
              </w:rPr>
            </w:pPr>
            <w:hyperlink r:id="rId36">
              <w:r>
                <w:rPr>
                  <w:rFonts w:ascii="Arial" w:cs="Arial" w:eastAsia="Arial" w:hAnsi="Arial"/>
                  <w:sz w:val="18"/>
                  <w:szCs w:val="18"/>
                  <w:color w:val="0000FF"/>
                  <w:w w:val="92"/>
                </w:rPr>
                <w:t>Agreement Pursuant to the Take-Two Interactive Software,</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40" w:type="dxa"/>
            <w:vAlign w:val="bottom"/>
            <w:tcBorders>
              <w:top w:val="single" w:sz="8" w:color="0000FF"/>
            </w:tcBorders>
            <w:gridSpan w:val="27"/>
          </w:tcPr>
          <w:p>
            <w:pPr>
              <w:spacing w:after="0" w:line="197" w:lineRule="exact"/>
              <w:rPr>
                <w:rFonts w:ascii="Arial" w:cs="Arial" w:eastAsia="Arial" w:hAnsi="Arial"/>
                <w:sz w:val="16"/>
                <w:szCs w:val="16"/>
                <w:color w:val="0000FF"/>
              </w:rPr>
            </w:pPr>
            <w:hyperlink r:id="rId36">
              <w:r>
                <w:rPr>
                  <w:rFonts w:ascii="Arial" w:cs="Arial" w:eastAsia="Arial" w:hAnsi="Arial"/>
                  <w:sz w:val="16"/>
                  <w:szCs w:val="16"/>
                  <w:color w:val="0000FF"/>
                </w:rPr>
                <w:t>Inc. 2017 Stock Incentive Plan</w:t>
              </w:r>
              <w:r>
                <w:rPr>
                  <w:rFonts w:ascii="Arial" w:cs="Arial" w:eastAsia="Arial" w:hAnsi="Arial"/>
                  <w:sz w:val="22"/>
                  <w:szCs w:val="22"/>
                  <w:color w:val="000000"/>
                  <w:vertAlign w:val="superscript"/>
                </w:rPr>
                <w:t>+</w:t>
              </w:r>
            </w:hyperlink>
          </w:p>
        </w:tc>
        <w:tc>
          <w:tcPr>
            <w:tcW w:w="140" w:type="dxa"/>
            <w:vAlign w:val="bottom"/>
            <w:gridSpan w:val="3"/>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00" w:type="dxa"/>
            <w:vAlign w:val="bottom"/>
            <w:tcBorders>
              <w:right w:val="single" w:sz="8" w:color="0000FF"/>
            </w:tcBorders>
            <w:gridSpan w:val="5"/>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1400" w:type="dxa"/>
            <w:vAlign w:val="bottom"/>
            <w:gridSpan w:val="4"/>
          </w:tcPr>
          <w:p>
            <w:pPr>
              <w:spacing w:after="0" w:line="20" w:lineRule="exact"/>
              <w:rPr>
                <w:sz w:val="1"/>
                <w:szCs w:val="1"/>
                <w:color w:val="auto"/>
              </w:rPr>
            </w:pPr>
          </w:p>
        </w:tc>
        <w:tc>
          <w:tcPr>
            <w:tcW w:w="480" w:type="dxa"/>
            <w:vAlign w:val="bottom"/>
            <w:gridSpan w:val="10"/>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80" w:type="dxa"/>
            <w:vAlign w:val="bottom"/>
            <w:gridSpan w:val="5"/>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10.16</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600" w:type="dxa"/>
            <w:vAlign w:val="bottom"/>
            <w:tcBorders>
              <w:bottom w:val="single" w:sz="8" w:color="0000FF"/>
            </w:tcBorders>
            <w:gridSpan w:val="11"/>
          </w:tcPr>
          <w:p>
            <w:pPr>
              <w:spacing w:after="0"/>
              <w:rPr>
                <w:rFonts w:ascii="Arial" w:cs="Arial" w:eastAsia="Arial" w:hAnsi="Arial"/>
                <w:sz w:val="18"/>
                <w:szCs w:val="18"/>
                <w:color w:val="0000FF"/>
                <w:w w:val="91"/>
              </w:rPr>
            </w:pPr>
            <w:hyperlink r:id="rId37">
              <w:r>
                <w:rPr>
                  <w:rFonts w:ascii="Arial" w:cs="Arial" w:eastAsia="Arial" w:hAnsi="Arial"/>
                  <w:sz w:val="18"/>
                  <w:szCs w:val="18"/>
                  <w:color w:val="0000FF"/>
                  <w:w w:val="91"/>
                </w:rPr>
                <w:t>Form of Non-Employee Director Restricted Stock</w:t>
              </w:r>
            </w:hyperlink>
          </w:p>
        </w:tc>
        <w:tc>
          <w:tcPr>
            <w:tcW w:w="780" w:type="dxa"/>
            <w:vAlign w:val="bottom"/>
            <w:gridSpan w:val="19"/>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00" w:type="dxa"/>
            <w:vAlign w:val="bottom"/>
            <w:tcBorders>
              <w:bottom w:val="single" w:sz="8" w:color="0000FF"/>
            </w:tcBorders>
            <w:gridSpan w:val="25"/>
          </w:tcPr>
          <w:p>
            <w:pPr>
              <w:spacing w:after="0" w:line="196" w:lineRule="exact"/>
              <w:rPr>
                <w:rFonts w:ascii="Arial" w:cs="Arial" w:eastAsia="Arial" w:hAnsi="Arial"/>
                <w:sz w:val="18"/>
                <w:szCs w:val="18"/>
                <w:color w:val="0000FF"/>
                <w:w w:val="90"/>
              </w:rPr>
            </w:pPr>
            <w:hyperlink r:id="rId37">
              <w:r>
                <w:rPr>
                  <w:rFonts w:ascii="Arial" w:cs="Arial" w:eastAsia="Arial" w:hAnsi="Arial"/>
                  <w:sz w:val="18"/>
                  <w:szCs w:val="18"/>
                  <w:color w:val="0000FF"/>
                  <w:w w:val="90"/>
                </w:rPr>
                <w:t>Agreement Pursuant to the Take-Two Interactive Software</w:t>
              </w:r>
            </w:hyperlink>
          </w:p>
        </w:tc>
        <w:tc>
          <w:tcPr>
            <w:tcW w:w="180" w:type="dxa"/>
            <w:vAlign w:val="bottom"/>
            <w:gridSpan w:val="5"/>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0"/>
          </w:tcPr>
          <w:p>
            <w:pPr>
              <w:spacing w:after="0" w:line="197" w:lineRule="exact"/>
              <w:rPr>
                <w:rFonts w:ascii="Arial" w:cs="Arial" w:eastAsia="Arial" w:hAnsi="Arial"/>
                <w:sz w:val="16"/>
                <w:szCs w:val="16"/>
                <w:color w:val="0000FF"/>
              </w:rPr>
            </w:pPr>
            <w:hyperlink r:id="rId37">
              <w:r>
                <w:rPr>
                  <w:rFonts w:ascii="Arial" w:cs="Arial" w:eastAsia="Arial" w:hAnsi="Arial"/>
                  <w:sz w:val="16"/>
                  <w:szCs w:val="16"/>
                  <w:color w:val="0000FF"/>
                </w:rPr>
                <w:t>Inc. 2017 Stock Incentive Plan</w:t>
              </w:r>
              <w:r>
                <w:rPr>
                  <w:rFonts w:ascii="Arial" w:cs="Arial" w:eastAsia="Arial" w:hAnsi="Arial"/>
                  <w:sz w:val="22"/>
                  <w:szCs w:val="22"/>
                  <w:color w:val="000000"/>
                  <w:vertAlign w:val="superscript"/>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00" w:type="dxa"/>
            <w:vAlign w:val="bottom"/>
            <w:tcBorders>
              <w:right w:val="single" w:sz="8" w:color="0000FF"/>
            </w:tcBorders>
            <w:gridSpan w:val="5"/>
            <w:shd w:val="clear" w:color="auto" w:fill="0000FF"/>
          </w:tcPr>
          <w:p>
            <w:pPr>
              <w:spacing w:after="0" w:line="20" w:lineRule="exact"/>
              <w:rPr>
                <w:sz w:val="1"/>
                <w:szCs w:val="1"/>
                <w:color w:val="auto"/>
              </w:rPr>
            </w:pPr>
          </w:p>
        </w:tc>
        <w:tc>
          <w:tcPr>
            <w:tcW w:w="700" w:type="dxa"/>
            <w:vAlign w:val="bottom"/>
            <w:gridSpan w:val="2"/>
            <w:shd w:val="clear" w:color="auto" w:fill="0000FF"/>
          </w:tcPr>
          <w:p>
            <w:pPr>
              <w:spacing w:after="0" w:line="20" w:lineRule="exact"/>
              <w:rPr>
                <w:sz w:val="1"/>
                <w:szCs w:val="1"/>
                <w:color w:val="auto"/>
              </w:rPr>
            </w:pPr>
          </w:p>
        </w:tc>
        <w:tc>
          <w:tcPr>
            <w:tcW w:w="1880" w:type="dxa"/>
            <w:vAlign w:val="bottom"/>
            <w:gridSpan w:val="14"/>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60" w:type="dxa"/>
            <w:vAlign w:val="bottom"/>
            <w:gridSpan w:val="7"/>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10.17</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0"/>
          </w:tcPr>
          <w:p>
            <w:pPr>
              <w:spacing w:after="0"/>
              <w:rPr>
                <w:rFonts w:ascii="Arial" w:cs="Arial" w:eastAsia="Arial" w:hAnsi="Arial"/>
                <w:sz w:val="18"/>
                <w:szCs w:val="18"/>
                <w:color w:val="0000FF"/>
                <w:w w:val="97"/>
              </w:rPr>
            </w:pPr>
            <w:hyperlink r:id="rId38">
              <w:r>
                <w:rPr>
                  <w:rFonts w:ascii="Arial" w:cs="Arial" w:eastAsia="Arial" w:hAnsi="Arial"/>
                  <w:sz w:val="18"/>
                  <w:szCs w:val="18"/>
                  <w:color w:val="0000FF"/>
                  <w:w w:val="97"/>
                </w:rPr>
                <w:t>Form of Non-Employee Director Stock Grant Agreement</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80" w:type="dxa"/>
            <w:vAlign w:val="bottom"/>
            <w:tcBorders>
              <w:top w:val="single" w:sz="8" w:color="0000FF"/>
              <w:bottom w:val="single" w:sz="8" w:color="0000FF"/>
            </w:tcBorders>
            <w:gridSpan w:val="21"/>
          </w:tcPr>
          <w:p>
            <w:pPr>
              <w:spacing w:after="0" w:line="196" w:lineRule="exact"/>
              <w:rPr>
                <w:rFonts w:ascii="Arial" w:cs="Arial" w:eastAsia="Arial" w:hAnsi="Arial"/>
                <w:sz w:val="18"/>
                <w:szCs w:val="18"/>
                <w:color w:val="0000FF"/>
                <w:w w:val="90"/>
              </w:rPr>
            </w:pPr>
            <w:hyperlink r:id="rId38">
              <w:r>
                <w:rPr>
                  <w:rFonts w:ascii="Arial" w:cs="Arial" w:eastAsia="Arial" w:hAnsi="Arial"/>
                  <w:sz w:val="18"/>
                  <w:szCs w:val="18"/>
                  <w:color w:val="0000FF"/>
                  <w:w w:val="90"/>
                </w:rPr>
                <w:t>Pursuant to the Take-Two Interactive Software Inc. 2017</w:t>
              </w:r>
            </w:hyperlink>
          </w:p>
        </w:tc>
        <w:tc>
          <w:tcPr>
            <w:tcW w:w="40" w:type="dxa"/>
            <w:vAlign w:val="bottom"/>
            <w:tcBorders>
              <w:top w:val="single" w:sz="8" w:color="0000FF"/>
            </w:tcBorders>
            <w:gridSpan w:val="2"/>
          </w:tcPr>
          <w:p>
            <w:pPr>
              <w:spacing w:after="0"/>
              <w:rPr>
                <w:sz w:val="17"/>
                <w:szCs w:val="17"/>
                <w:color w:val="auto"/>
              </w:rPr>
            </w:pPr>
          </w:p>
        </w:tc>
        <w:tc>
          <w:tcPr>
            <w:tcW w:w="260" w:type="dxa"/>
            <w:vAlign w:val="bottom"/>
            <w:gridSpan w:val="7"/>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0"/>
          </w:tcPr>
          <w:p>
            <w:pPr>
              <w:spacing w:after="0" w:line="197" w:lineRule="exact"/>
              <w:rPr>
                <w:rFonts w:ascii="Arial" w:cs="Arial" w:eastAsia="Arial" w:hAnsi="Arial"/>
                <w:sz w:val="16"/>
                <w:szCs w:val="16"/>
                <w:color w:val="0000FF"/>
              </w:rPr>
            </w:pPr>
            <w:hyperlink r:id="rId38">
              <w:r>
                <w:rPr>
                  <w:rFonts w:ascii="Arial" w:cs="Arial" w:eastAsia="Arial" w:hAnsi="Arial"/>
                  <w:sz w:val="16"/>
                  <w:szCs w:val="16"/>
                  <w:color w:val="0000FF"/>
                </w:rPr>
                <w:t>Stock Incentive Plan</w:t>
              </w:r>
              <w:r>
                <w:rPr>
                  <w:rFonts w:ascii="Arial" w:cs="Arial" w:eastAsia="Arial" w:hAnsi="Arial"/>
                  <w:sz w:val="22"/>
                  <w:szCs w:val="22"/>
                  <w:color w:val="000000"/>
                  <w:vertAlign w:val="superscript"/>
                </w:rPr>
                <w:t>+</w:t>
              </w:r>
            </w:hyperlink>
          </w:p>
        </w:tc>
      </w:tr>
      <w:tr>
        <w:trPr>
          <w:trHeight w:val="507"/>
        </w:trPr>
        <w:tc>
          <w:tcPr>
            <w:tcW w:w="1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00" w:type="dxa"/>
            <w:vAlign w:val="bottom"/>
            <w:tcBorders>
              <w:top w:val="single" w:sz="8" w:color="0000FF"/>
            </w:tcBorders>
            <w:gridSpan w:val="5"/>
          </w:tcPr>
          <w:p>
            <w:pPr>
              <w:spacing w:after="0"/>
              <w:rPr>
                <w:sz w:val="24"/>
                <w:szCs w:val="24"/>
                <w:color w:val="auto"/>
              </w:rPr>
            </w:pPr>
          </w:p>
        </w:tc>
        <w:tc>
          <w:tcPr>
            <w:tcW w:w="2300" w:type="dxa"/>
            <w:vAlign w:val="bottom"/>
            <w:gridSpan w:val="8"/>
          </w:tcPr>
          <w:p>
            <w:pPr>
              <w:jc w:val="right"/>
              <w:ind w:right="60"/>
              <w:spacing w:after="0"/>
              <w:rPr>
                <w:sz w:val="20"/>
                <w:szCs w:val="20"/>
                <w:color w:val="auto"/>
              </w:rPr>
            </w:pPr>
            <w:r>
              <w:rPr>
                <w:rFonts w:ascii="Arial" w:cs="Arial" w:eastAsia="Arial" w:hAnsi="Arial"/>
                <w:sz w:val="18"/>
                <w:szCs w:val="18"/>
                <w:color w:val="auto"/>
              </w:rPr>
              <w:t>44</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br w:type="column"/>
      </w:r>
    </w:p>
    <w:p>
      <w:pPr>
        <w:jc w:val="center"/>
        <w:ind w:right="20"/>
        <w:spacing w:after="0"/>
        <w:rPr>
          <w:sz w:val="20"/>
          <w:szCs w:val="20"/>
          <w:color w:val="auto"/>
        </w:rPr>
      </w:pPr>
      <w:r>
        <w:rPr>
          <w:rFonts w:ascii="Arial" w:cs="Arial" w:eastAsia="Arial" w:hAnsi="Arial"/>
          <w:sz w:val="14"/>
          <w:szCs w:val="14"/>
          <w:b w:val="1"/>
          <w:bCs w:val="1"/>
          <w:color w:val="auto"/>
        </w:rPr>
        <w:t>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66675</wp:posOffset>
            </wp:positionV>
            <wp:extent cx="273558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extLst>
                    </a:blip>
                    <a:srcRect/>
                    <a:stretch>
                      <a:fillRect/>
                    </a:stretch>
                  </pic:blipFill>
                  <pic:spPr bwMode="auto">
                    <a:xfrm>
                      <a:off x="0" y="0"/>
                      <a:ext cx="2735580" cy="8890"/>
                    </a:xfrm>
                    <a:prstGeom prst="rect">
                      <a:avLst/>
                    </a:prstGeom>
                    <a:noFill/>
                  </pic:spPr>
                </pic:pic>
              </a:graphicData>
            </a:graphic>
          </wp:anchor>
        </w:drawing>
      </w:r>
    </w:p>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Form</w:t>
            </w:r>
          </w:p>
        </w:tc>
        <w:tc>
          <w:tcPr>
            <w:tcW w:w="120" w:type="dxa"/>
            <w:vAlign w:val="bottom"/>
            <w:vMerge w:val="restart"/>
          </w:tcPr>
          <w:p>
            <w:pPr>
              <w:spacing w:after="0"/>
              <w:rPr>
                <w:sz w:val="14"/>
                <w:szCs w:val="14"/>
                <w:color w:val="auto"/>
              </w:rPr>
            </w:pPr>
          </w:p>
        </w:tc>
        <w:tc>
          <w:tcPr>
            <w:tcW w:w="11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Filing Date</w:t>
            </w:r>
          </w:p>
        </w:tc>
        <w:tc>
          <w:tcPr>
            <w:tcW w:w="100" w:type="dxa"/>
            <w:vAlign w:val="bottom"/>
            <w:vMerge w:val="restart"/>
          </w:tcPr>
          <w:p>
            <w:pPr>
              <w:spacing w:after="0"/>
              <w:rPr>
                <w:sz w:val="14"/>
                <w:szCs w:val="14"/>
                <w:color w:val="auto"/>
              </w:rPr>
            </w:pP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Exhibit</w:t>
            </w:r>
          </w:p>
        </w:tc>
        <w:tc>
          <w:tcPr>
            <w:tcW w:w="120" w:type="dxa"/>
            <w:vAlign w:val="bottom"/>
            <w:vMerge w:val="restart"/>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1"/>
              </w:rPr>
              <w:t>Filed</w:t>
            </w:r>
          </w:p>
        </w:tc>
        <w:tc>
          <w:tcPr>
            <w:tcW w:w="0" w:type="dxa"/>
            <w:vAlign w:val="bottom"/>
          </w:tcPr>
          <w:p>
            <w:pPr>
              <w:spacing w:after="0"/>
              <w:rPr>
                <w:sz w:val="1"/>
                <w:szCs w:val="1"/>
                <w:color w:val="auto"/>
              </w:rPr>
            </w:pPr>
          </w:p>
        </w:tc>
      </w:tr>
      <w:tr>
        <w:trPr>
          <w:trHeight w:val="192"/>
        </w:trPr>
        <w:tc>
          <w:tcPr>
            <w:tcW w:w="9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Herewith</w:t>
            </w:r>
          </w:p>
        </w:tc>
        <w:tc>
          <w:tcPr>
            <w:tcW w:w="0" w:type="dxa"/>
            <w:vAlign w:val="bottom"/>
          </w:tcPr>
          <w:p>
            <w:pPr>
              <w:spacing w:after="0"/>
              <w:rPr>
                <w:sz w:val="1"/>
                <w:szCs w:val="1"/>
                <w:color w:val="auto"/>
              </w:rPr>
            </w:pPr>
          </w:p>
        </w:tc>
      </w:tr>
      <w:tr>
        <w:trPr>
          <w:trHeight w:val="243"/>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1120" w:type="dxa"/>
            <w:vAlign w:val="bottom"/>
          </w:tcPr>
          <w:p>
            <w:pPr>
              <w:jc w:val="right"/>
              <w:ind w:right="139"/>
              <w:spacing w:after="0"/>
              <w:rPr>
                <w:sz w:val="20"/>
                <w:szCs w:val="20"/>
                <w:color w:val="auto"/>
              </w:rPr>
            </w:pPr>
            <w:r>
              <w:rPr>
                <w:rFonts w:ascii="Arial" w:cs="Arial" w:eastAsia="Arial" w:hAnsi="Arial"/>
                <w:sz w:val="18"/>
                <w:szCs w:val="18"/>
                <w:color w:val="auto"/>
              </w:rPr>
              <w:t>6/18/2013</w:t>
            </w:r>
          </w:p>
        </w:tc>
        <w:tc>
          <w:tcPr>
            <w:tcW w:w="100" w:type="dxa"/>
            <w:vAlign w:val="bottom"/>
          </w:tcPr>
          <w:p>
            <w:pPr>
              <w:spacing w:after="0"/>
              <w:rPr>
                <w:sz w:val="21"/>
                <w:szCs w:val="21"/>
                <w:color w:val="auto"/>
              </w:rPr>
            </w:pPr>
          </w:p>
        </w:tc>
        <w:tc>
          <w:tcPr>
            <w:tcW w:w="1020" w:type="dxa"/>
            <w:vAlign w:val="bottom"/>
          </w:tcPr>
          <w:p>
            <w:pPr>
              <w:jc w:val="right"/>
              <w:ind w:right="319"/>
              <w:spacing w:after="0"/>
              <w:rPr>
                <w:sz w:val="20"/>
                <w:szCs w:val="20"/>
                <w:color w:val="auto"/>
              </w:rPr>
            </w:pPr>
            <w:r>
              <w:rPr>
                <w:rFonts w:ascii="Arial" w:cs="Arial" w:eastAsia="Arial" w:hAnsi="Arial"/>
                <w:sz w:val="18"/>
                <w:szCs w:val="18"/>
                <w:color w:val="auto"/>
              </w:rPr>
              <w:t>4.2</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99"/>
              </w:rPr>
              <w:t>8-K</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6/18/2013</w:t>
            </w:r>
          </w:p>
        </w:tc>
        <w:tc>
          <w:tcPr>
            <w:tcW w:w="880" w:type="dxa"/>
            <w:vAlign w:val="bottom"/>
          </w:tcPr>
          <w:p>
            <w:pPr>
              <w:jc w:val="center"/>
              <w:ind w:left="130"/>
              <w:spacing w:after="0"/>
              <w:rPr>
                <w:sz w:val="20"/>
                <w:szCs w:val="20"/>
                <w:color w:val="auto"/>
              </w:rPr>
            </w:pPr>
            <w:r>
              <w:rPr>
                <w:rFonts w:ascii="Arial" w:cs="Arial" w:eastAsia="Arial" w:hAnsi="Arial"/>
                <w:sz w:val="18"/>
                <w:szCs w:val="18"/>
                <w:color w:val="auto"/>
                <w:w w:val="87"/>
              </w:rPr>
              <w:t>4.2</w:t>
            </w:r>
          </w:p>
        </w:tc>
      </w:tr>
      <w:tr>
        <w:trPr>
          <w:trHeight w:val="270"/>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99"/>
              </w:rPr>
              <w:t>8-K</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3/7/2008</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10.1</w:t>
            </w:r>
          </w:p>
        </w:tc>
      </w:tr>
      <w:tr>
        <w:trPr>
          <w:trHeight w:val="486"/>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99"/>
              </w:rPr>
              <w:t>14A</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7/28/2016</w:t>
            </w:r>
          </w:p>
        </w:tc>
        <w:tc>
          <w:tcPr>
            <w:tcW w:w="880" w:type="dxa"/>
            <w:vAlign w:val="bottom"/>
          </w:tcPr>
          <w:p>
            <w:pPr>
              <w:ind w:left="220"/>
              <w:spacing w:after="0"/>
              <w:rPr>
                <w:sz w:val="20"/>
                <w:szCs w:val="20"/>
                <w:color w:val="auto"/>
              </w:rPr>
            </w:pPr>
            <w:r>
              <w:rPr>
                <w:rFonts w:ascii="Arial" w:cs="Arial" w:eastAsia="Arial" w:hAnsi="Arial"/>
                <w:sz w:val="18"/>
                <w:szCs w:val="18"/>
                <w:color w:val="auto"/>
                <w:w w:val="93"/>
              </w:rPr>
              <w:t>Annex A</w:t>
            </w:r>
          </w:p>
        </w:tc>
      </w:tr>
      <w:tr>
        <w:trPr>
          <w:trHeight w:val="486"/>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6/5/2009</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10.2</w:t>
            </w:r>
          </w:p>
        </w:tc>
      </w:tr>
      <w:tr>
        <w:trPr>
          <w:trHeight w:val="270"/>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6/5/2009</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10.3</w:t>
            </w:r>
          </w:p>
        </w:tc>
      </w:tr>
      <w:tr>
        <w:trPr>
          <w:trHeight w:val="486"/>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8/1/2012</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10.1</w:t>
            </w:r>
          </w:p>
        </w:tc>
      </w:tr>
      <w:tr>
        <w:trPr>
          <w:trHeight w:val="270"/>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0"/>
              </w:rPr>
              <w:t>10/30/2013</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10.1</w:t>
            </w:r>
          </w:p>
        </w:tc>
      </w:tr>
      <w:tr>
        <w:trPr>
          <w:trHeight w:val="270"/>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0"/>
              </w:rPr>
              <w:t>10/30/2013</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10.2</w:t>
            </w:r>
          </w:p>
        </w:tc>
      </w:tr>
      <w:tr>
        <w:trPr>
          <w:trHeight w:val="270"/>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0"/>
              </w:rPr>
              <w:t>10/30/2013</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10.3</w:t>
            </w:r>
          </w:p>
        </w:tc>
      </w:tr>
      <w:tr>
        <w:trPr>
          <w:trHeight w:val="270"/>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0"/>
              </w:rPr>
              <w:t>10/30/2013</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10.4</w:t>
            </w:r>
          </w:p>
        </w:tc>
      </w:tr>
      <w:tr>
        <w:trPr>
          <w:trHeight w:val="270"/>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0"/>
              </w:rPr>
              <w:t>10/30/2013</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10.5</w:t>
            </w:r>
          </w:p>
        </w:tc>
      </w:tr>
      <w:tr>
        <w:trPr>
          <w:trHeight w:val="702"/>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99"/>
              </w:rPr>
              <w:t>14A</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7/27/2017</w:t>
            </w:r>
          </w:p>
        </w:tc>
        <w:tc>
          <w:tcPr>
            <w:tcW w:w="880" w:type="dxa"/>
            <w:vAlign w:val="bottom"/>
          </w:tcPr>
          <w:p>
            <w:pPr>
              <w:ind w:left="220"/>
              <w:spacing w:after="0"/>
              <w:rPr>
                <w:sz w:val="20"/>
                <w:szCs w:val="20"/>
                <w:color w:val="auto"/>
              </w:rPr>
            </w:pPr>
            <w:r>
              <w:rPr>
                <w:rFonts w:ascii="Arial" w:cs="Arial" w:eastAsia="Arial" w:hAnsi="Arial"/>
                <w:sz w:val="18"/>
                <w:szCs w:val="18"/>
                <w:color w:val="auto"/>
                <w:w w:val="93"/>
              </w:rPr>
              <w:t>Annex B</w:t>
            </w:r>
          </w:p>
        </w:tc>
      </w:tr>
      <w:tr>
        <w:trPr>
          <w:trHeight w:val="486"/>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99"/>
              </w:rPr>
              <w:t>14A</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7/27/2017</w:t>
            </w:r>
          </w:p>
        </w:tc>
        <w:tc>
          <w:tcPr>
            <w:tcW w:w="880" w:type="dxa"/>
            <w:vAlign w:val="bottom"/>
          </w:tcPr>
          <w:p>
            <w:pPr>
              <w:ind w:left="220"/>
              <w:spacing w:after="0"/>
              <w:rPr>
                <w:sz w:val="20"/>
                <w:szCs w:val="20"/>
                <w:color w:val="auto"/>
              </w:rPr>
            </w:pPr>
            <w:r>
              <w:rPr>
                <w:rFonts w:ascii="Arial" w:cs="Arial" w:eastAsia="Arial" w:hAnsi="Arial"/>
                <w:sz w:val="18"/>
                <w:szCs w:val="18"/>
                <w:color w:val="auto"/>
                <w:w w:val="92"/>
              </w:rPr>
              <w:t>Annex C</w:t>
            </w:r>
          </w:p>
        </w:tc>
      </w:tr>
      <w:tr>
        <w:trPr>
          <w:trHeight w:val="702"/>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99"/>
              </w:rPr>
              <w:t>14A</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7/27/2017</w:t>
            </w:r>
          </w:p>
        </w:tc>
        <w:tc>
          <w:tcPr>
            <w:tcW w:w="880" w:type="dxa"/>
            <w:vAlign w:val="bottom"/>
          </w:tcPr>
          <w:p>
            <w:pPr>
              <w:ind w:left="220"/>
              <w:spacing w:after="0"/>
              <w:rPr>
                <w:sz w:val="20"/>
                <w:szCs w:val="20"/>
                <w:color w:val="auto"/>
              </w:rPr>
            </w:pPr>
            <w:r>
              <w:rPr>
                <w:rFonts w:ascii="Arial" w:cs="Arial" w:eastAsia="Arial" w:hAnsi="Arial"/>
                <w:sz w:val="18"/>
                <w:szCs w:val="18"/>
                <w:color w:val="auto"/>
                <w:w w:val="92"/>
              </w:rPr>
              <w:t>Annex D</w:t>
            </w:r>
          </w:p>
        </w:tc>
      </w:tr>
      <w:tr>
        <w:trPr>
          <w:trHeight w:val="486"/>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11/8/2017</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10.4</w:t>
            </w:r>
          </w:p>
        </w:tc>
      </w:tr>
      <w:tr>
        <w:trPr>
          <w:trHeight w:val="702"/>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11/8/2017</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10.5</w:t>
            </w:r>
          </w:p>
        </w:tc>
      </w:tr>
      <w:tr>
        <w:trPr>
          <w:trHeight w:val="702"/>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11/8/2017</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10.6</w:t>
            </w:r>
          </w:p>
        </w:tc>
      </w:tr>
      <w:tr>
        <w:trPr>
          <w:trHeight w:val="702"/>
        </w:trPr>
        <w:tc>
          <w:tcPr>
            <w:tcW w:w="620" w:type="dxa"/>
            <w:vAlign w:val="bottom"/>
          </w:tcPr>
          <w:p>
            <w:pPr>
              <w:jc w:val="center"/>
              <w:ind w:right="17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11/8/2017</w:t>
            </w:r>
          </w:p>
        </w:tc>
        <w:tc>
          <w:tcPr>
            <w:tcW w:w="880" w:type="dxa"/>
            <w:vAlign w:val="bottom"/>
          </w:tcPr>
          <w:p>
            <w:pPr>
              <w:jc w:val="center"/>
              <w:ind w:left="110"/>
              <w:spacing w:after="0"/>
              <w:rPr>
                <w:sz w:val="20"/>
                <w:szCs w:val="20"/>
                <w:color w:val="auto"/>
              </w:rPr>
            </w:pPr>
            <w:r>
              <w:rPr>
                <w:rFonts w:ascii="Arial" w:cs="Arial" w:eastAsia="Arial" w:hAnsi="Arial"/>
                <w:sz w:val="18"/>
                <w:szCs w:val="18"/>
                <w:color w:val="auto"/>
                <w:w w:val="91"/>
              </w:rPr>
              <w:t>10.7</w:t>
            </w:r>
          </w:p>
        </w:tc>
      </w:tr>
    </w:tbl>
    <w:p>
      <w:pPr>
        <w:sectPr>
          <w:pgSz w:w="11900" w:h="16838" w:orient="portrait"/>
          <w:cols w:equalWidth="0" w:num="2">
            <w:col w:w="5860" w:space="100"/>
            <w:col w:w="4320"/>
          </w:cols>
          <w:pgMar w:left="820" w:top="738" w:right="799" w:bottom="1440" w:gutter="0" w:footer="0" w:header="0"/>
        </w:sectPr>
      </w:pPr>
    </w:p>
    <w:bookmarkStart w:id="46" w:name="page47"/>
    <w:bookmarkEnd w:id="46"/>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4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8"/>
              </w:rPr>
              <w:t>Exhibit Number</w:t>
            </w:r>
          </w:p>
        </w:tc>
        <w:tc>
          <w:tcPr>
            <w:tcW w:w="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520" w:type="dxa"/>
            <w:vAlign w:val="bottom"/>
            <w:gridSpan w:val="25"/>
          </w:tcPr>
          <w:p>
            <w:pPr>
              <w:ind w:left="700"/>
              <w:spacing w:after="0"/>
              <w:rPr>
                <w:sz w:val="20"/>
                <w:szCs w:val="20"/>
                <w:color w:val="auto"/>
              </w:rPr>
            </w:pPr>
            <w:r>
              <w:rPr>
                <w:rFonts w:ascii="Arial" w:cs="Arial" w:eastAsia="Arial" w:hAnsi="Arial"/>
                <w:sz w:val="14"/>
                <w:szCs w:val="14"/>
                <w:b w:val="1"/>
                <w:bCs w:val="1"/>
                <w:color w:val="auto"/>
              </w:rPr>
              <w:t>Exhibit Description</w:t>
            </w:r>
          </w:p>
        </w:tc>
      </w:tr>
      <w:tr>
        <w:trPr>
          <w:trHeight w:val="202"/>
        </w:trPr>
        <w:tc>
          <w:tcPr>
            <w:tcW w:w="1340" w:type="dxa"/>
            <w:vAlign w:val="bottom"/>
            <w:tcBorders>
              <w:top w:val="single" w:sz="8" w:color="auto"/>
            </w:tcBorders>
          </w:tcPr>
          <w:p>
            <w:pPr>
              <w:jc w:val="center"/>
              <w:spacing w:after="0" w:line="202" w:lineRule="exact"/>
              <w:rPr>
                <w:sz w:val="20"/>
                <w:szCs w:val="20"/>
                <w:color w:val="auto"/>
              </w:rPr>
            </w:pPr>
            <w:r>
              <w:rPr>
                <w:rFonts w:ascii="Arial" w:cs="Arial" w:eastAsia="Arial" w:hAnsi="Arial"/>
                <w:sz w:val="18"/>
                <w:szCs w:val="18"/>
                <w:color w:val="auto"/>
                <w:w w:val="93"/>
              </w:rPr>
              <w:t>10.18</w:t>
            </w:r>
          </w:p>
        </w:tc>
        <w:tc>
          <w:tcPr>
            <w:tcW w:w="12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4260" w:type="dxa"/>
            <w:vAlign w:val="bottom"/>
            <w:tcBorders>
              <w:top w:val="single" w:sz="8" w:color="auto"/>
              <w:bottom w:val="single" w:sz="8" w:color="0000FF"/>
            </w:tcBorders>
            <w:gridSpan w:val="25"/>
          </w:tcPr>
          <w:p>
            <w:pPr>
              <w:spacing w:after="0" w:line="202" w:lineRule="exact"/>
              <w:rPr>
                <w:rFonts w:ascii="Arial" w:cs="Arial" w:eastAsia="Arial" w:hAnsi="Arial"/>
                <w:sz w:val="18"/>
                <w:szCs w:val="18"/>
                <w:color w:val="0000FF"/>
                <w:w w:val="90"/>
              </w:rPr>
            </w:pPr>
            <w:hyperlink r:id="rId40">
              <w:r>
                <w:rPr>
                  <w:rFonts w:ascii="Arial" w:cs="Arial" w:eastAsia="Arial" w:hAnsi="Arial"/>
                  <w:sz w:val="18"/>
                  <w:szCs w:val="18"/>
                  <w:color w:val="0000FF"/>
                  <w:w w:val="90"/>
                </w:rPr>
                <w:t>Employment Agreement, dated May 12, 2010, between the</w:t>
              </w:r>
            </w:hyperlink>
          </w:p>
        </w:tc>
        <w:tc>
          <w:tcPr>
            <w:tcW w:w="120" w:type="dxa"/>
            <w:vAlign w:val="bottom"/>
            <w:tcBorders>
              <w:top w:val="single" w:sz="8" w:color="auto"/>
            </w:tcBorders>
            <w:gridSpan w:val="3"/>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8"/>
          </w:tcPr>
          <w:p>
            <w:pPr>
              <w:spacing w:after="0" w:line="197" w:lineRule="exact"/>
              <w:rPr>
                <w:rFonts w:ascii="Arial" w:cs="Arial" w:eastAsia="Arial" w:hAnsi="Arial"/>
                <w:sz w:val="16"/>
                <w:szCs w:val="16"/>
                <w:color w:val="0000FF"/>
              </w:rPr>
            </w:pPr>
            <w:hyperlink r:id="rId40">
              <w:r>
                <w:rPr>
                  <w:rFonts w:ascii="Arial" w:cs="Arial" w:eastAsia="Arial" w:hAnsi="Arial"/>
                  <w:sz w:val="16"/>
                  <w:szCs w:val="16"/>
                  <w:color w:val="0000FF"/>
                </w:rPr>
                <w:t>Company and Lainie Goldstein</w:t>
              </w:r>
              <w:r>
                <w:rPr>
                  <w:rFonts w:ascii="Arial" w:cs="Arial" w:eastAsia="Arial" w:hAnsi="Arial"/>
                  <w:sz w:val="22"/>
                  <w:szCs w:val="22"/>
                  <w:color w:val="000000"/>
                  <w:vertAlign w:val="superscript"/>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80" w:type="dxa"/>
            <w:vAlign w:val="bottom"/>
            <w:tcBorders>
              <w:right w:val="single" w:sz="8" w:color="0000FF"/>
            </w:tcBorders>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10.19</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28"/>
          </w:tcPr>
          <w:p>
            <w:pPr>
              <w:spacing w:after="0"/>
              <w:rPr>
                <w:rFonts w:ascii="Arial" w:cs="Arial" w:eastAsia="Arial" w:hAnsi="Arial"/>
                <w:sz w:val="18"/>
                <w:szCs w:val="18"/>
                <w:color w:val="0000FF"/>
              </w:rPr>
            </w:pPr>
            <w:hyperlink r:id="rId41">
              <w:r>
                <w:rPr>
                  <w:rFonts w:ascii="Arial" w:cs="Arial" w:eastAsia="Arial" w:hAnsi="Arial"/>
                  <w:sz w:val="18"/>
                  <w:szCs w:val="18"/>
                  <w:color w:val="0000FF"/>
                </w:rPr>
                <w:t>First Amendment to Employment Agreement, dated</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1080" w:type="dxa"/>
            <w:vAlign w:val="bottom"/>
            <w:tcBorders>
              <w:right w:val="single" w:sz="8" w:color="0000FF"/>
            </w:tcBorders>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240" w:type="dxa"/>
            <w:vAlign w:val="bottom"/>
            <w:tcBorders>
              <w:right w:val="single" w:sz="8" w:color="0000FF"/>
            </w:tcBorders>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760" w:type="dxa"/>
            <w:vAlign w:val="bottom"/>
            <w:tcBorders>
              <w:bottom w:val="single" w:sz="8" w:color="0000FF"/>
            </w:tcBorders>
            <w:gridSpan w:val="12"/>
          </w:tcPr>
          <w:p>
            <w:pPr>
              <w:spacing w:after="0" w:line="196" w:lineRule="exact"/>
              <w:rPr>
                <w:rFonts w:ascii="Arial" w:cs="Arial" w:eastAsia="Arial" w:hAnsi="Arial"/>
                <w:sz w:val="18"/>
                <w:szCs w:val="18"/>
                <w:color w:val="0000FF"/>
                <w:w w:val="89"/>
              </w:rPr>
            </w:pPr>
            <w:hyperlink r:id="rId41">
              <w:r>
                <w:rPr>
                  <w:rFonts w:ascii="Arial" w:cs="Arial" w:eastAsia="Arial" w:hAnsi="Arial"/>
                  <w:sz w:val="18"/>
                  <w:szCs w:val="18"/>
                  <w:color w:val="0000FF"/>
                  <w:w w:val="89"/>
                </w:rPr>
                <w:t>October 25, 2010, between the Company and Lainie</w:t>
              </w:r>
            </w:hyperlink>
          </w:p>
        </w:tc>
        <w:tc>
          <w:tcPr>
            <w:tcW w:w="620" w:type="dxa"/>
            <w:vAlign w:val="bottom"/>
            <w:gridSpan w:val="16"/>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8"/>
          </w:tcPr>
          <w:p>
            <w:pPr>
              <w:spacing w:after="0" w:line="197" w:lineRule="exact"/>
              <w:rPr>
                <w:rFonts w:ascii="Arial" w:cs="Arial" w:eastAsia="Arial" w:hAnsi="Arial"/>
                <w:sz w:val="16"/>
                <w:szCs w:val="16"/>
                <w:color w:val="0000FF"/>
              </w:rPr>
            </w:pPr>
            <w:hyperlink r:id="rId41">
              <w:r>
                <w:rPr>
                  <w:rFonts w:ascii="Arial" w:cs="Arial" w:eastAsia="Arial" w:hAnsi="Arial"/>
                  <w:sz w:val="16"/>
                  <w:szCs w:val="16"/>
                  <w:color w:val="0000FF"/>
                </w:rPr>
                <w:t>Goldstein</w:t>
              </w:r>
              <w:r>
                <w:rPr>
                  <w:rFonts w:ascii="Arial" w:cs="Arial" w:eastAsia="Arial" w:hAnsi="Arial"/>
                  <w:sz w:val="22"/>
                  <w:szCs w:val="22"/>
                  <w:color w:val="000000"/>
                  <w:vertAlign w:val="superscript"/>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10.20</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28"/>
          </w:tcPr>
          <w:p>
            <w:pPr>
              <w:spacing w:after="0"/>
              <w:rPr>
                <w:rFonts w:ascii="Arial" w:cs="Arial" w:eastAsia="Arial" w:hAnsi="Arial"/>
                <w:sz w:val="18"/>
                <w:szCs w:val="18"/>
                <w:color w:val="0000FF"/>
                <w:w w:val="99"/>
              </w:rPr>
            </w:pPr>
            <w:hyperlink r:id="rId42">
              <w:r>
                <w:rPr>
                  <w:rFonts w:ascii="Arial" w:cs="Arial" w:eastAsia="Arial" w:hAnsi="Arial"/>
                  <w:sz w:val="18"/>
                  <w:szCs w:val="18"/>
                  <w:color w:val="0000FF"/>
                  <w:w w:val="99"/>
                </w:rPr>
                <w:t>Second Amendment to Employment Agreement, dated</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740" w:type="dxa"/>
            <w:vAlign w:val="bottom"/>
            <w:tcBorders>
              <w:top w:val="single" w:sz="8" w:color="0000FF"/>
              <w:bottom w:val="single" w:sz="8" w:color="0000FF"/>
            </w:tcBorders>
            <w:gridSpan w:val="11"/>
          </w:tcPr>
          <w:p>
            <w:pPr>
              <w:spacing w:after="0" w:line="196" w:lineRule="exact"/>
              <w:rPr>
                <w:rFonts w:ascii="Arial" w:cs="Arial" w:eastAsia="Arial" w:hAnsi="Arial"/>
                <w:sz w:val="18"/>
                <w:szCs w:val="18"/>
                <w:color w:val="0000FF"/>
                <w:w w:val="90"/>
              </w:rPr>
            </w:pPr>
            <w:hyperlink r:id="rId42">
              <w:r>
                <w:rPr>
                  <w:rFonts w:ascii="Arial" w:cs="Arial" w:eastAsia="Arial" w:hAnsi="Arial"/>
                  <w:sz w:val="18"/>
                  <w:szCs w:val="18"/>
                  <w:color w:val="0000FF"/>
                  <w:w w:val="90"/>
                </w:rPr>
                <w:t>August 27, 2012, between the Company and Lainie</w:t>
              </w:r>
            </w:hyperlink>
          </w:p>
        </w:tc>
        <w:tc>
          <w:tcPr>
            <w:tcW w:w="200" w:type="dxa"/>
            <w:vAlign w:val="bottom"/>
            <w:tcBorders>
              <w:top w:val="single" w:sz="8" w:color="0000FF"/>
            </w:tcBorders>
            <w:gridSpan w:val="4"/>
          </w:tcPr>
          <w:p>
            <w:pPr>
              <w:spacing w:after="0"/>
              <w:rPr>
                <w:sz w:val="17"/>
                <w:szCs w:val="17"/>
                <w:color w:val="auto"/>
              </w:rPr>
            </w:pPr>
          </w:p>
        </w:tc>
        <w:tc>
          <w:tcPr>
            <w:tcW w:w="440" w:type="dxa"/>
            <w:vAlign w:val="bottom"/>
            <w:gridSpan w:val="13"/>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8"/>
          </w:tcPr>
          <w:p>
            <w:pPr>
              <w:spacing w:after="0" w:line="197" w:lineRule="exact"/>
              <w:rPr>
                <w:rFonts w:ascii="Arial" w:cs="Arial" w:eastAsia="Arial" w:hAnsi="Arial"/>
                <w:sz w:val="16"/>
                <w:szCs w:val="16"/>
                <w:color w:val="0000FF"/>
              </w:rPr>
            </w:pPr>
            <w:hyperlink r:id="rId42">
              <w:r>
                <w:rPr>
                  <w:rFonts w:ascii="Arial" w:cs="Arial" w:eastAsia="Arial" w:hAnsi="Arial"/>
                  <w:sz w:val="16"/>
                  <w:szCs w:val="16"/>
                  <w:color w:val="0000FF"/>
                </w:rPr>
                <w:t>Goldstein</w:t>
              </w:r>
              <w:r>
                <w:rPr>
                  <w:rFonts w:ascii="Arial" w:cs="Arial" w:eastAsia="Arial" w:hAnsi="Arial"/>
                  <w:sz w:val="22"/>
                  <w:szCs w:val="22"/>
                  <w:color w:val="000000"/>
                  <w:vertAlign w:val="superscript"/>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340" w:type="dxa"/>
            <w:vAlign w:val="bottom"/>
            <w:shd w:val="clear" w:color="auto" w:fill="0000FF"/>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10.21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200" w:type="dxa"/>
            <w:vAlign w:val="bottom"/>
            <w:tcBorders>
              <w:bottom w:val="single" w:sz="8" w:color="0000FF"/>
            </w:tcBorders>
            <w:gridSpan w:val="22"/>
          </w:tcPr>
          <w:p>
            <w:pPr>
              <w:spacing w:after="0"/>
              <w:rPr>
                <w:rFonts w:ascii="Arial" w:cs="Arial" w:eastAsia="Arial" w:hAnsi="Arial"/>
                <w:sz w:val="18"/>
                <w:szCs w:val="18"/>
                <w:color w:val="0000FF"/>
                <w:w w:val="90"/>
              </w:rPr>
            </w:pPr>
            <w:hyperlink r:id="rId43">
              <w:r>
                <w:rPr>
                  <w:rFonts w:ascii="Arial" w:cs="Arial" w:eastAsia="Arial" w:hAnsi="Arial"/>
                  <w:sz w:val="18"/>
                  <w:szCs w:val="18"/>
                  <w:color w:val="0000FF"/>
                  <w:w w:val="90"/>
                </w:rPr>
                <w:t>Employment Agreement, dated February 14, 2008, by and</w:t>
              </w:r>
            </w:hyperlink>
          </w:p>
        </w:tc>
        <w:tc>
          <w:tcPr>
            <w:tcW w:w="180" w:type="dxa"/>
            <w:vAlign w:val="bottom"/>
            <w:gridSpan w:val="6"/>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8"/>
          </w:tcPr>
          <w:p>
            <w:pPr>
              <w:spacing w:after="0" w:line="197" w:lineRule="exact"/>
              <w:rPr>
                <w:rFonts w:ascii="Arial" w:cs="Arial" w:eastAsia="Arial" w:hAnsi="Arial"/>
                <w:sz w:val="16"/>
                <w:szCs w:val="16"/>
                <w:color w:val="0000FF"/>
              </w:rPr>
            </w:pPr>
            <w:hyperlink r:id="rId43">
              <w:r>
                <w:rPr>
                  <w:rFonts w:ascii="Arial" w:cs="Arial" w:eastAsia="Arial" w:hAnsi="Arial"/>
                  <w:sz w:val="16"/>
                  <w:szCs w:val="16"/>
                  <w:color w:val="0000FF"/>
                </w:rPr>
                <w:t>between the Company and Karl Slatoff</w:t>
              </w:r>
              <w:r>
                <w:rPr>
                  <w:rFonts w:ascii="Arial" w:cs="Arial" w:eastAsia="Arial" w:hAnsi="Arial"/>
                  <w:sz w:val="22"/>
                  <w:szCs w:val="22"/>
                  <w:color w:val="000000"/>
                  <w:vertAlign w:val="superscript"/>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500" w:type="dxa"/>
            <w:vAlign w:val="bottom"/>
            <w:gridSpan w:val="2"/>
            <w:shd w:val="clear" w:color="auto" w:fill="0000FF"/>
          </w:tcPr>
          <w:p>
            <w:pPr>
              <w:spacing w:after="0" w:line="20" w:lineRule="exact"/>
              <w:rPr>
                <w:sz w:val="1"/>
                <w:szCs w:val="1"/>
                <w:color w:val="auto"/>
              </w:rPr>
            </w:pPr>
          </w:p>
        </w:tc>
        <w:tc>
          <w:tcPr>
            <w:tcW w:w="1080" w:type="dxa"/>
            <w:vAlign w:val="bottom"/>
            <w:tcBorders>
              <w:right w:val="single" w:sz="8" w:color="0000FF"/>
            </w:tcBorders>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20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10.22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140" w:type="dxa"/>
            <w:vAlign w:val="bottom"/>
            <w:tcBorders>
              <w:bottom w:val="single" w:sz="8" w:color="0000FF"/>
            </w:tcBorders>
            <w:gridSpan w:val="19"/>
          </w:tcPr>
          <w:p>
            <w:pPr>
              <w:spacing w:after="0"/>
              <w:rPr>
                <w:rFonts w:ascii="Arial" w:cs="Arial" w:eastAsia="Arial" w:hAnsi="Arial"/>
                <w:sz w:val="18"/>
                <w:szCs w:val="18"/>
                <w:color w:val="0000FF"/>
                <w:w w:val="89"/>
              </w:rPr>
            </w:pPr>
            <w:hyperlink r:id="rId44">
              <w:r>
                <w:rPr>
                  <w:rFonts w:ascii="Arial" w:cs="Arial" w:eastAsia="Arial" w:hAnsi="Arial"/>
                  <w:sz w:val="18"/>
                  <w:szCs w:val="18"/>
                  <w:color w:val="0000FF"/>
                  <w:w w:val="89"/>
                </w:rPr>
                <w:t>Employment Agreement dated January 28, 2015 between</w:t>
              </w:r>
            </w:hyperlink>
          </w:p>
        </w:tc>
        <w:tc>
          <w:tcPr>
            <w:tcW w:w="240" w:type="dxa"/>
            <w:vAlign w:val="bottom"/>
            <w:gridSpan w:val="9"/>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8"/>
          </w:tcPr>
          <w:p>
            <w:pPr>
              <w:spacing w:after="0" w:line="197" w:lineRule="exact"/>
              <w:rPr>
                <w:rFonts w:ascii="Arial" w:cs="Arial" w:eastAsia="Arial" w:hAnsi="Arial"/>
                <w:sz w:val="16"/>
                <w:szCs w:val="16"/>
                <w:color w:val="0000FF"/>
              </w:rPr>
            </w:pPr>
            <w:hyperlink r:id="rId44">
              <w:r>
                <w:rPr>
                  <w:rFonts w:ascii="Arial" w:cs="Arial" w:eastAsia="Arial" w:hAnsi="Arial"/>
                  <w:sz w:val="16"/>
                  <w:szCs w:val="16"/>
                  <w:color w:val="0000FF"/>
                </w:rPr>
                <w:t>the Company and Daniel Emerson</w:t>
              </w:r>
              <w:r>
                <w:rPr>
                  <w:rFonts w:ascii="Arial" w:cs="Arial" w:eastAsia="Arial" w:hAnsi="Arial"/>
                  <w:sz w:val="22"/>
                  <w:szCs w:val="22"/>
                  <w:color w:val="000000"/>
                  <w:vertAlign w:val="superscript"/>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500" w:type="dxa"/>
            <w:vAlign w:val="bottom"/>
            <w:gridSpan w:val="2"/>
            <w:shd w:val="clear" w:color="auto" w:fill="0000FF"/>
          </w:tcPr>
          <w:p>
            <w:pPr>
              <w:spacing w:after="0" w:line="20" w:lineRule="exact"/>
              <w:rPr>
                <w:sz w:val="1"/>
                <w:szCs w:val="1"/>
                <w:color w:val="auto"/>
              </w:rPr>
            </w:pPr>
          </w:p>
        </w:tc>
        <w:tc>
          <w:tcPr>
            <w:tcW w:w="1080" w:type="dxa"/>
            <w:vAlign w:val="bottom"/>
            <w:tcBorders>
              <w:right w:val="single" w:sz="8" w:color="0000FF"/>
            </w:tcBorders>
            <w:shd w:val="clear" w:color="auto" w:fill="0000FF"/>
          </w:tcPr>
          <w:p>
            <w:pPr>
              <w:spacing w:after="0" w:line="20" w:lineRule="exact"/>
              <w:rPr>
                <w:sz w:val="1"/>
                <w:szCs w:val="1"/>
                <w:color w:val="auto"/>
              </w:rPr>
            </w:pPr>
          </w:p>
        </w:tc>
        <w:tc>
          <w:tcPr>
            <w:tcW w:w="540" w:type="dxa"/>
            <w:vAlign w:val="bottom"/>
            <w:gridSpan w:val="2"/>
            <w:shd w:val="clear" w:color="auto" w:fill="0000FF"/>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10.23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28"/>
          </w:tcPr>
          <w:p>
            <w:pPr>
              <w:spacing w:after="0"/>
              <w:rPr>
                <w:rFonts w:ascii="Arial" w:cs="Arial" w:eastAsia="Arial" w:hAnsi="Arial"/>
                <w:sz w:val="18"/>
                <w:szCs w:val="18"/>
                <w:color w:val="0000FF"/>
                <w:w w:val="95"/>
              </w:rPr>
            </w:pPr>
            <w:hyperlink r:id="rId45">
              <w:r>
                <w:rPr>
                  <w:rFonts w:ascii="Arial" w:cs="Arial" w:eastAsia="Arial" w:hAnsi="Arial"/>
                  <w:sz w:val="18"/>
                  <w:szCs w:val="18"/>
                  <w:color w:val="0000FF"/>
                  <w:w w:val="95"/>
                </w:rPr>
                <w:t>Management Agreement, dated as of March 10, 2014, by</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500" w:type="dxa"/>
            <w:vAlign w:val="bottom"/>
            <w:gridSpan w:val="2"/>
            <w:shd w:val="clear" w:color="auto" w:fill="0000FF"/>
          </w:tcPr>
          <w:p>
            <w:pPr>
              <w:spacing w:after="0" w:line="20" w:lineRule="exact"/>
              <w:rPr>
                <w:sz w:val="1"/>
                <w:szCs w:val="1"/>
                <w:color w:val="auto"/>
              </w:rPr>
            </w:pPr>
          </w:p>
        </w:tc>
        <w:tc>
          <w:tcPr>
            <w:tcW w:w="1080" w:type="dxa"/>
            <w:vAlign w:val="bottom"/>
            <w:tcBorders>
              <w:right w:val="single" w:sz="8" w:color="0000FF"/>
            </w:tcBorders>
            <w:shd w:val="clear" w:color="auto" w:fill="0000FF"/>
          </w:tcPr>
          <w:p>
            <w:pPr>
              <w:spacing w:after="0" w:line="20" w:lineRule="exact"/>
              <w:rPr>
                <w:sz w:val="1"/>
                <w:szCs w:val="1"/>
                <w:color w:val="auto"/>
              </w:rPr>
            </w:pPr>
          </w:p>
        </w:tc>
        <w:tc>
          <w:tcPr>
            <w:tcW w:w="740" w:type="dxa"/>
            <w:vAlign w:val="bottom"/>
            <w:gridSpan w:val="3"/>
            <w:shd w:val="clear" w:color="auto" w:fill="0000FF"/>
          </w:tcPr>
          <w:p>
            <w:pPr>
              <w:spacing w:after="0" w:line="20" w:lineRule="exact"/>
              <w:rPr>
                <w:sz w:val="1"/>
                <w:szCs w:val="1"/>
                <w:color w:val="auto"/>
              </w:rPr>
            </w:pPr>
          </w:p>
        </w:tc>
        <w:tc>
          <w:tcPr>
            <w:tcW w:w="60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40" w:type="dxa"/>
            <w:vAlign w:val="bottom"/>
            <w:gridSpan w:val="3"/>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gridSpan w:val="2"/>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8"/>
          </w:tcPr>
          <w:p>
            <w:pPr>
              <w:spacing w:after="0" w:line="197" w:lineRule="exact"/>
              <w:rPr>
                <w:rFonts w:ascii="Arial" w:cs="Arial" w:eastAsia="Arial" w:hAnsi="Arial"/>
                <w:sz w:val="16"/>
                <w:szCs w:val="16"/>
                <w:color w:val="0000FF"/>
              </w:rPr>
            </w:pPr>
            <w:hyperlink r:id="rId45">
              <w:r>
                <w:rPr>
                  <w:rFonts w:ascii="Arial" w:cs="Arial" w:eastAsia="Arial" w:hAnsi="Arial"/>
                  <w:sz w:val="16"/>
                  <w:szCs w:val="16"/>
                  <w:color w:val="0000FF"/>
                </w:rPr>
                <w:t>and between the Company and ZelnickMedia Corporation</w:t>
              </w:r>
            </w:hyperlink>
            <w:r>
              <w:rPr>
                <w:rFonts w:ascii="Arial" w:cs="Arial" w:eastAsia="Arial" w:hAnsi="Arial"/>
                <w:sz w:val="22"/>
                <w:szCs w:val="22"/>
                <w:color w:val="000000"/>
                <w:vertAlign w:val="superscript"/>
              </w:rPr>
              <w:t>+</w:t>
            </w: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10.24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140" w:type="dxa"/>
            <w:vAlign w:val="bottom"/>
            <w:tcBorders>
              <w:top w:val="single" w:sz="8" w:color="0000FF"/>
              <w:bottom w:val="single" w:sz="8" w:color="0000FF"/>
            </w:tcBorders>
            <w:gridSpan w:val="19"/>
          </w:tcPr>
          <w:p>
            <w:pPr>
              <w:spacing w:after="0"/>
              <w:rPr>
                <w:rFonts w:ascii="Arial" w:cs="Arial" w:eastAsia="Arial" w:hAnsi="Arial"/>
                <w:sz w:val="18"/>
                <w:szCs w:val="18"/>
                <w:color w:val="0000FF"/>
                <w:w w:val="90"/>
              </w:rPr>
            </w:pPr>
            <w:hyperlink r:id="rId46">
              <w:r>
                <w:rPr>
                  <w:rFonts w:ascii="Arial" w:cs="Arial" w:eastAsia="Arial" w:hAnsi="Arial"/>
                  <w:sz w:val="18"/>
                  <w:szCs w:val="18"/>
                  <w:color w:val="0000FF"/>
                  <w:w w:val="90"/>
                </w:rPr>
                <w:t>Restricted Unit Agreement, dated as of May 20, 2015, by</w:t>
              </w:r>
            </w:hyperlink>
          </w:p>
        </w:tc>
        <w:tc>
          <w:tcPr>
            <w:tcW w:w="40" w:type="dxa"/>
            <w:vAlign w:val="bottom"/>
            <w:tcBorders>
              <w:top w:val="single" w:sz="8" w:color="0000FF"/>
            </w:tcBorders>
            <w:gridSpan w:val="2"/>
          </w:tcPr>
          <w:p>
            <w:pPr>
              <w:spacing w:after="0"/>
              <w:rPr>
                <w:sz w:val="21"/>
                <w:szCs w:val="21"/>
                <w:color w:val="auto"/>
              </w:rPr>
            </w:pPr>
          </w:p>
        </w:tc>
        <w:tc>
          <w:tcPr>
            <w:tcW w:w="200" w:type="dxa"/>
            <w:vAlign w:val="bottom"/>
            <w:gridSpan w:val="7"/>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8"/>
          </w:tcPr>
          <w:p>
            <w:pPr>
              <w:spacing w:after="0" w:line="197" w:lineRule="exact"/>
              <w:rPr>
                <w:rFonts w:ascii="Arial" w:cs="Arial" w:eastAsia="Arial" w:hAnsi="Arial"/>
                <w:sz w:val="16"/>
                <w:szCs w:val="16"/>
                <w:color w:val="0000FF"/>
              </w:rPr>
            </w:pPr>
            <w:hyperlink r:id="rId46">
              <w:r>
                <w:rPr>
                  <w:rFonts w:ascii="Arial" w:cs="Arial" w:eastAsia="Arial" w:hAnsi="Arial"/>
                  <w:sz w:val="16"/>
                  <w:szCs w:val="16"/>
                  <w:color w:val="0000FF"/>
                </w:rPr>
                <w:t>and between the Company and ZelnickMedia Corporation</w:t>
              </w:r>
            </w:hyperlink>
            <w:r>
              <w:rPr>
                <w:rFonts w:ascii="Arial" w:cs="Arial" w:eastAsia="Arial" w:hAnsi="Arial"/>
                <w:sz w:val="22"/>
                <w:szCs w:val="22"/>
                <w:color w:val="000000"/>
                <w:vertAlign w:val="superscript"/>
              </w:rPr>
              <w:t>+</w:t>
            </w: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500" w:type="dxa"/>
            <w:vAlign w:val="bottom"/>
            <w:gridSpan w:val="2"/>
            <w:shd w:val="clear" w:color="auto" w:fill="0000FF"/>
          </w:tcPr>
          <w:p>
            <w:pPr>
              <w:spacing w:after="0" w:line="20" w:lineRule="exact"/>
              <w:rPr>
                <w:sz w:val="1"/>
                <w:szCs w:val="1"/>
                <w:color w:val="auto"/>
              </w:rPr>
            </w:pPr>
          </w:p>
        </w:tc>
        <w:tc>
          <w:tcPr>
            <w:tcW w:w="1080" w:type="dxa"/>
            <w:vAlign w:val="bottom"/>
            <w:tcBorders>
              <w:right w:val="single" w:sz="8" w:color="0000FF"/>
            </w:tcBorders>
            <w:shd w:val="clear" w:color="auto" w:fill="0000FF"/>
          </w:tcPr>
          <w:p>
            <w:pPr>
              <w:spacing w:after="0" w:line="20" w:lineRule="exact"/>
              <w:rPr>
                <w:sz w:val="1"/>
                <w:szCs w:val="1"/>
                <w:color w:val="auto"/>
              </w:rPr>
            </w:pPr>
          </w:p>
        </w:tc>
        <w:tc>
          <w:tcPr>
            <w:tcW w:w="740" w:type="dxa"/>
            <w:vAlign w:val="bottom"/>
            <w:gridSpan w:val="3"/>
            <w:shd w:val="clear" w:color="auto" w:fill="0000FF"/>
          </w:tcPr>
          <w:p>
            <w:pPr>
              <w:spacing w:after="0" w:line="20" w:lineRule="exact"/>
              <w:rPr>
                <w:sz w:val="1"/>
                <w:szCs w:val="1"/>
                <w:color w:val="auto"/>
              </w:rPr>
            </w:pPr>
          </w:p>
        </w:tc>
        <w:tc>
          <w:tcPr>
            <w:tcW w:w="600" w:type="dxa"/>
            <w:vAlign w:val="bottom"/>
            <w:gridSpan w:val="2"/>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40" w:type="dxa"/>
            <w:vAlign w:val="bottom"/>
            <w:gridSpan w:val="3"/>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gridSpan w:val="2"/>
            <w:shd w:val="clear" w:color="auto" w:fill="0000FF"/>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tcBorders>
              <w:right w:val="single" w:sz="8" w:color="0000FF"/>
            </w:tcBorders>
            <w:shd w:val="clear" w:color="auto" w:fill="0000FF"/>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10.25</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28"/>
          </w:tcPr>
          <w:p>
            <w:pPr>
              <w:spacing w:after="0"/>
              <w:rPr>
                <w:rFonts w:ascii="Arial" w:cs="Arial" w:eastAsia="Arial" w:hAnsi="Arial"/>
                <w:sz w:val="18"/>
                <w:szCs w:val="18"/>
                <w:color w:val="0000FF"/>
                <w:w w:val="90"/>
              </w:rPr>
            </w:pPr>
            <w:hyperlink r:id="rId47">
              <w:r>
                <w:rPr>
                  <w:rFonts w:ascii="Arial" w:cs="Arial" w:eastAsia="Arial" w:hAnsi="Arial"/>
                  <w:sz w:val="18"/>
                  <w:szCs w:val="18"/>
                  <w:color w:val="0000FF"/>
                  <w:w w:val="90"/>
                </w:rPr>
                <w:t>Amended and Restated Restricted Unit Agreement Pursuant</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20" w:type="dxa"/>
            <w:vAlign w:val="bottom"/>
            <w:tcBorders>
              <w:top w:val="single" w:sz="8" w:color="0000FF"/>
            </w:tcBorders>
            <w:gridSpan w:val="26"/>
          </w:tcPr>
          <w:p>
            <w:pPr>
              <w:spacing w:after="0" w:line="196" w:lineRule="exact"/>
              <w:rPr>
                <w:rFonts w:ascii="Arial" w:cs="Arial" w:eastAsia="Arial" w:hAnsi="Arial"/>
                <w:sz w:val="18"/>
                <w:szCs w:val="18"/>
                <w:color w:val="0000FF"/>
                <w:w w:val="94"/>
              </w:rPr>
            </w:pPr>
            <w:hyperlink r:id="rId47">
              <w:r>
                <w:rPr>
                  <w:rFonts w:ascii="Arial" w:cs="Arial" w:eastAsia="Arial" w:hAnsi="Arial"/>
                  <w:sz w:val="18"/>
                  <w:szCs w:val="18"/>
                  <w:color w:val="0000FF"/>
                  <w:w w:val="94"/>
                </w:rPr>
                <w:t>to the Take-Two Interactive Software, Inc. 2009 Incentive</w:t>
              </w:r>
            </w:hyperlink>
          </w:p>
        </w:tc>
        <w:tc>
          <w:tcPr>
            <w:tcW w:w="60" w:type="dxa"/>
            <w:vAlign w:val="bottom"/>
            <w:gridSpan w:val="2"/>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60" w:type="dxa"/>
            <w:vAlign w:val="bottom"/>
            <w:tcBorders>
              <w:top w:val="single" w:sz="8" w:color="0000FF"/>
            </w:tcBorders>
            <w:gridSpan w:val="20"/>
          </w:tcPr>
          <w:p>
            <w:pPr>
              <w:spacing w:after="0" w:line="197" w:lineRule="exact"/>
              <w:rPr>
                <w:rFonts w:ascii="Arial" w:cs="Arial" w:eastAsia="Arial" w:hAnsi="Arial"/>
                <w:sz w:val="16"/>
                <w:szCs w:val="16"/>
                <w:color w:val="0000FF"/>
              </w:rPr>
            </w:pPr>
            <w:hyperlink r:id="rId47">
              <w:r>
                <w:rPr>
                  <w:rFonts w:ascii="Arial" w:cs="Arial" w:eastAsia="Arial" w:hAnsi="Arial"/>
                  <w:sz w:val="16"/>
                  <w:szCs w:val="16"/>
                  <w:color w:val="0000FF"/>
                </w:rPr>
                <w:t>Stock Plan, dated as of June 30, 2015</w:t>
              </w:r>
              <w:r>
                <w:rPr>
                  <w:rFonts w:ascii="Arial" w:cs="Arial" w:eastAsia="Arial" w:hAnsi="Arial"/>
                  <w:sz w:val="22"/>
                  <w:szCs w:val="22"/>
                  <w:color w:val="000000"/>
                  <w:vertAlign w:val="superscript"/>
                </w:rPr>
                <w:t>+</w:t>
              </w:r>
            </w:hyperlink>
          </w:p>
        </w:tc>
        <w:tc>
          <w:tcPr>
            <w:tcW w:w="220" w:type="dxa"/>
            <w:vAlign w:val="bottom"/>
            <w:gridSpan w:val="8"/>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500" w:type="dxa"/>
            <w:vAlign w:val="bottom"/>
            <w:gridSpan w:val="2"/>
            <w:shd w:val="clear" w:color="auto" w:fill="0000FF"/>
          </w:tcPr>
          <w:p>
            <w:pPr>
              <w:spacing w:after="0" w:line="20" w:lineRule="exact"/>
              <w:rPr>
                <w:sz w:val="1"/>
                <w:szCs w:val="1"/>
                <w:color w:val="auto"/>
              </w:rPr>
            </w:pPr>
          </w:p>
        </w:tc>
        <w:tc>
          <w:tcPr>
            <w:tcW w:w="1080" w:type="dxa"/>
            <w:vAlign w:val="bottom"/>
            <w:tcBorders>
              <w:right w:val="single" w:sz="8" w:color="0000FF"/>
            </w:tcBorders>
            <w:shd w:val="clear" w:color="auto" w:fill="0000FF"/>
          </w:tcPr>
          <w:p>
            <w:pPr>
              <w:spacing w:after="0" w:line="20" w:lineRule="exact"/>
              <w:rPr>
                <w:sz w:val="1"/>
                <w:szCs w:val="1"/>
                <w:color w:val="auto"/>
              </w:rPr>
            </w:pPr>
          </w:p>
        </w:tc>
        <w:tc>
          <w:tcPr>
            <w:tcW w:w="740" w:type="dxa"/>
            <w:vAlign w:val="bottom"/>
            <w:gridSpan w:val="3"/>
            <w:shd w:val="clear" w:color="auto" w:fill="0000FF"/>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10.26</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260" w:type="dxa"/>
            <w:vAlign w:val="bottom"/>
            <w:tcBorders>
              <w:bottom w:val="single" w:sz="8" w:color="0000FF"/>
            </w:tcBorders>
            <w:gridSpan w:val="25"/>
          </w:tcPr>
          <w:p>
            <w:pPr>
              <w:spacing w:after="0"/>
              <w:rPr>
                <w:rFonts w:ascii="Arial" w:cs="Arial" w:eastAsia="Arial" w:hAnsi="Arial"/>
                <w:sz w:val="18"/>
                <w:szCs w:val="18"/>
                <w:color w:val="0000FF"/>
                <w:w w:val="90"/>
              </w:rPr>
            </w:pPr>
            <w:hyperlink r:id="rId48">
              <w:r>
                <w:rPr>
                  <w:rFonts w:ascii="Arial" w:cs="Arial" w:eastAsia="Arial" w:hAnsi="Arial"/>
                  <w:sz w:val="18"/>
                  <w:szCs w:val="18"/>
                  <w:color w:val="0000FF"/>
                  <w:w w:val="90"/>
                </w:rPr>
                <w:t>Amendment to the Restricted Stock Unit Agreement, dated</w:t>
              </w:r>
            </w:hyperlink>
          </w:p>
        </w:tc>
        <w:tc>
          <w:tcPr>
            <w:tcW w:w="120" w:type="dxa"/>
            <w:vAlign w:val="bottom"/>
            <w:gridSpan w:val="3"/>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40" w:type="dxa"/>
            <w:vAlign w:val="bottom"/>
            <w:tcBorders>
              <w:bottom w:val="single" w:sz="8" w:color="0000FF"/>
            </w:tcBorders>
            <w:gridSpan w:val="27"/>
          </w:tcPr>
          <w:p>
            <w:pPr>
              <w:spacing w:after="0" w:line="196" w:lineRule="exact"/>
              <w:rPr>
                <w:rFonts w:ascii="Arial" w:cs="Arial" w:eastAsia="Arial" w:hAnsi="Arial"/>
                <w:sz w:val="18"/>
                <w:szCs w:val="18"/>
                <w:color w:val="0000FF"/>
                <w:w w:val="90"/>
              </w:rPr>
            </w:pPr>
            <w:hyperlink r:id="rId48">
              <w:r>
                <w:rPr>
                  <w:rFonts w:ascii="Arial" w:cs="Arial" w:eastAsia="Arial" w:hAnsi="Arial"/>
                  <w:sz w:val="18"/>
                  <w:szCs w:val="18"/>
                  <w:color w:val="0000FF"/>
                  <w:w w:val="90"/>
                </w:rPr>
                <w:t>as of March 31, 2016, by and between Take-Two Interactive</w:t>
              </w:r>
            </w:hyperlink>
          </w:p>
        </w:tc>
        <w:tc>
          <w:tcPr>
            <w:tcW w:w="40" w:type="dxa"/>
            <w:vAlign w:val="bottom"/>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8"/>
          </w:tcPr>
          <w:p>
            <w:pPr>
              <w:spacing w:after="0" w:line="197" w:lineRule="exact"/>
              <w:rPr>
                <w:rFonts w:ascii="Arial" w:cs="Arial" w:eastAsia="Arial" w:hAnsi="Arial"/>
                <w:sz w:val="16"/>
                <w:szCs w:val="16"/>
                <w:color w:val="0000FF"/>
              </w:rPr>
            </w:pPr>
            <w:hyperlink r:id="rId48">
              <w:r>
                <w:rPr>
                  <w:rFonts w:ascii="Arial" w:cs="Arial" w:eastAsia="Arial" w:hAnsi="Arial"/>
                  <w:sz w:val="16"/>
                  <w:szCs w:val="16"/>
                  <w:color w:val="0000FF"/>
                </w:rPr>
                <w:t>Software, Inc. and ZelnickMedia Corporation</w:t>
              </w:r>
              <w:r>
                <w:rPr>
                  <w:rFonts w:ascii="Arial" w:cs="Arial" w:eastAsia="Arial" w:hAnsi="Arial"/>
                  <w:sz w:val="22"/>
                  <w:szCs w:val="22"/>
                  <w:color w:val="000000"/>
                  <w:vertAlign w:val="superscript"/>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500" w:type="dxa"/>
            <w:vAlign w:val="bottom"/>
            <w:gridSpan w:val="2"/>
            <w:shd w:val="clear" w:color="auto" w:fill="0000FF"/>
          </w:tcPr>
          <w:p>
            <w:pPr>
              <w:spacing w:after="0" w:line="20" w:lineRule="exact"/>
              <w:rPr>
                <w:sz w:val="1"/>
                <w:szCs w:val="1"/>
                <w:color w:val="auto"/>
              </w:rPr>
            </w:pPr>
          </w:p>
        </w:tc>
        <w:tc>
          <w:tcPr>
            <w:tcW w:w="1080" w:type="dxa"/>
            <w:vAlign w:val="bottom"/>
            <w:tcBorders>
              <w:right w:val="single" w:sz="8" w:color="0000FF"/>
            </w:tcBorders>
            <w:shd w:val="clear" w:color="auto" w:fill="0000FF"/>
          </w:tcPr>
          <w:p>
            <w:pPr>
              <w:spacing w:after="0" w:line="20" w:lineRule="exact"/>
              <w:rPr>
                <w:sz w:val="1"/>
                <w:szCs w:val="1"/>
                <w:color w:val="auto"/>
              </w:rPr>
            </w:pPr>
          </w:p>
        </w:tc>
        <w:tc>
          <w:tcPr>
            <w:tcW w:w="1340" w:type="dxa"/>
            <w:vAlign w:val="bottom"/>
            <w:gridSpan w:val="5"/>
            <w:shd w:val="clear" w:color="auto" w:fill="0000FF"/>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10.27</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28"/>
          </w:tcPr>
          <w:p>
            <w:pPr>
              <w:spacing w:after="0"/>
              <w:rPr>
                <w:rFonts w:ascii="Arial" w:cs="Arial" w:eastAsia="Arial" w:hAnsi="Arial"/>
                <w:sz w:val="18"/>
                <w:szCs w:val="18"/>
                <w:color w:val="0000FF"/>
                <w:w w:val="96"/>
              </w:rPr>
            </w:pPr>
            <w:hyperlink r:id="rId49">
              <w:r>
                <w:rPr>
                  <w:rFonts w:ascii="Arial" w:cs="Arial" w:eastAsia="Arial" w:hAnsi="Arial"/>
                  <w:sz w:val="18"/>
                  <w:szCs w:val="18"/>
                  <w:color w:val="0000FF"/>
                  <w:w w:val="96"/>
                </w:rPr>
                <w:t>Restricted Unit Agreement, dated as of May 20, 2016, by</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20" w:type="dxa"/>
            <w:vAlign w:val="bottom"/>
            <w:tcBorders>
              <w:top w:val="single" w:sz="8" w:color="0000FF"/>
            </w:tcBorders>
            <w:gridSpan w:val="18"/>
          </w:tcPr>
          <w:p>
            <w:pPr>
              <w:spacing w:after="0" w:line="196" w:lineRule="exact"/>
              <w:rPr>
                <w:rFonts w:ascii="Arial" w:cs="Arial" w:eastAsia="Arial" w:hAnsi="Arial"/>
                <w:sz w:val="18"/>
                <w:szCs w:val="18"/>
                <w:color w:val="0000FF"/>
                <w:w w:val="96"/>
              </w:rPr>
            </w:pPr>
            <w:hyperlink r:id="rId49">
              <w:r>
                <w:rPr>
                  <w:rFonts w:ascii="Arial" w:cs="Arial" w:eastAsia="Arial" w:hAnsi="Arial"/>
                  <w:sz w:val="18"/>
                  <w:szCs w:val="18"/>
                  <w:color w:val="0000FF"/>
                  <w:w w:val="96"/>
                </w:rPr>
                <w:t>and between Take-Two Interactive Software, Inc. and</w:t>
              </w:r>
            </w:hyperlink>
          </w:p>
        </w:tc>
        <w:tc>
          <w:tcPr>
            <w:tcW w:w="260" w:type="dxa"/>
            <w:vAlign w:val="bottom"/>
            <w:gridSpan w:val="10"/>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40" w:type="dxa"/>
            <w:vAlign w:val="bottom"/>
            <w:tcBorders>
              <w:top w:val="single" w:sz="8" w:color="0000FF"/>
            </w:tcBorders>
            <w:gridSpan w:val="13"/>
          </w:tcPr>
          <w:p>
            <w:pPr>
              <w:spacing w:after="0" w:line="197" w:lineRule="exact"/>
              <w:rPr>
                <w:rFonts w:ascii="Arial" w:cs="Arial" w:eastAsia="Arial" w:hAnsi="Arial"/>
                <w:sz w:val="16"/>
                <w:szCs w:val="16"/>
                <w:color w:val="0000FF"/>
              </w:rPr>
            </w:pPr>
            <w:hyperlink r:id="rId49">
              <w:r>
                <w:rPr>
                  <w:rFonts w:ascii="Arial" w:cs="Arial" w:eastAsia="Arial" w:hAnsi="Arial"/>
                  <w:sz w:val="16"/>
                  <w:szCs w:val="16"/>
                  <w:color w:val="0000FF"/>
                </w:rPr>
                <w:t>ZelnickMedia Corporation</w:t>
              </w:r>
              <w:r>
                <w:rPr>
                  <w:rFonts w:ascii="Arial" w:cs="Arial" w:eastAsia="Arial" w:hAnsi="Arial"/>
                  <w:sz w:val="22"/>
                  <w:szCs w:val="22"/>
                  <w:color w:val="000000"/>
                  <w:vertAlign w:val="superscript"/>
                </w:rPr>
                <w:t>+</w:t>
              </w:r>
            </w:hyperlink>
          </w:p>
        </w:tc>
        <w:tc>
          <w:tcPr>
            <w:tcW w:w="540" w:type="dxa"/>
            <w:vAlign w:val="bottom"/>
            <w:gridSpan w:val="15"/>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500" w:type="dxa"/>
            <w:vAlign w:val="bottom"/>
            <w:gridSpan w:val="2"/>
            <w:shd w:val="clear" w:color="auto" w:fill="0000FF"/>
          </w:tcPr>
          <w:p>
            <w:pPr>
              <w:spacing w:after="0" w:line="20" w:lineRule="exact"/>
              <w:rPr>
                <w:sz w:val="1"/>
                <w:szCs w:val="1"/>
                <w:color w:val="auto"/>
              </w:rPr>
            </w:pPr>
          </w:p>
        </w:tc>
        <w:tc>
          <w:tcPr>
            <w:tcW w:w="1080" w:type="dxa"/>
            <w:vAlign w:val="bottom"/>
            <w:tcBorders>
              <w:right w:val="single" w:sz="8" w:color="0000FF"/>
            </w:tcBorders>
            <w:shd w:val="clear" w:color="auto" w:fill="0000FF"/>
          </w:tcPr>
          <w:p>
            <w:pPr>
              <w:spacing w:after="0" w:line="20" w:lineRule="exact"/>
              <w:rPr>
                <w:sz w:val="1"/>
                <w:szCs w:val="1"/>
                <w:color w:val="auto"/>
              </w:rPr>
            </w:pPr>
          </w:p>
        </w:tc>
        <w:tc>
          <w:tcPr>
            <w:tcW w:w="1560" w:type="dxa"/>
            <w:vAlign w:val="bottom"/>
            <w:gridSpan w:val="6"/>
          </w:tcPr>
          <w:p>
            <w:pPr>
              <w:spacing w:after="0" w:line="20" w:lineRule="exact"/>
              <w:rPr>
                <w:sz w:val="1"/>
                <w:szCs w:val="1"/>
                <w:color w:val="auto"/>
              </w:rPr>
            </w:pPr>
          </w:p>
        </w:tc>
        <w:tc>
          <w:tcPr>
            <w:tcW w:w="420" w:type="dxa"/>
            <w:vAlign w:val="bottom"/>
            <w:gridSpan w:val="4"/>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10.28</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28"/>
          </w:tcPr>
          <w:p>
            <w:pPr>
              <w:spacing w:after="0"/>
              <w:rPr>
                <w:rFonts w:ascii="Arial" w:cs="Arial" w:eastAsia="Arial" w:hAnsi="Arial"/>
                <w:sz w:val="18"/>
                <w:szCs w:val="18"/>
                <w:color w:val="0000FF"/>
              </w:rPr>
            </w:pPr>
            <w:hyperlink r:id="rId50">
              <w:r>
                <w:rPr>
                  <w:rFonts w:ascii="Arial" w:cs="Arial" w:eastAsia="Arial" w:hAnsi="Arial"/>
                  <w:sz w:val="18"/>
                  <w:szCs w:val="18"/>
                  <w:color w:val="0000FF"/>
                </w:rPr>
                <w:t>Amendment to Amended and Restated Restricted Unit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500" w:type="dxa"/>
            <w:vAlign w:val="bottom"/>
            <w:gridSpan w:val="2"/>
            <w:shd w:val="clear" w:color="auto" w:fill="0000FF"/>
          </w:tcPr>
          <w:p>
            <w:pPr>
              <w:spacing w:after="0" w:line="20" w:lineRule="exact"/>
              <w:rPr>
                <w:sz w:val="1"/>
                <w:szCs w:val="1"/>
                <w:color w:val="auto"/>
              </w:rPr>
            </w:pPr>
          </w:p>
        </w:tc>
        <w:tc>
          <w:tcPr>
            <w:tcW w:w="1080" w:type="dxa"/>
            <w:vAlign w:val="bottom"/>
            <w:tcBorders>
              <w:right w:val="single" w:sz="8" w:color="0000FF"/>
            </w:tcBorders>
            <w:shd w:val="clear" w:color="auto" w:fill="0000FF"/>
          </w:tcPr>
          <w:p>
            <w:pPr>
              <w:spacing w:after="0" w:line="20" w:lineRule="exact"/>
              <w:rPr>
                <w:sz w:val="1"/>
                <w:szCs w:val="1"/>
                <w:color w:val="auto"/>
              </w:rPr>
            </w:pPr>
          </w:p>
        </w:tc>
        <w:tc>
          <w:tcPr>
            <w:tcW w:w="1560" w:type="dxa"/>
            <w:vAlign w:val="bottom"/>
            <w:gridSpan w:val="6"/>
            <w:shd w:val="clear" w:color="auto" w:fill="0000FF"/>
          </w:tcPr>
          <w:p>
            <w:pPr>
              <w:spacing w:after="0" w:line="20" w:lineRule="exact"/>
              <w:rPr>
                <w:sz w:val="1"/>
                <w:szCs w:val="1"/>
                <w:color w:val="auto"/>
              </w:rPr>
            </w:pPr>
          </w:p>
        </w:tc>
        <w:tc>
          <w:tcPr>
            <w:tcW w:w="420" w:type="dxa"/>
            <w:vAlign w:val="bottom"/>
            <w:gridSpan w:val="4"/>
            <w:shd w:val="clear" w:color="auto" w:fill="0000FF"/>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8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8"/>
          </w:tcPr>
          <w:p>
            <w:pPr>
              <w:spacing w:after="0" w:line="196" w:lineRule="exact"/>
              <w:rPr>
                <w:rFonts w:ascii="Arial" w:cs="Arial" w:eastAsia="Arial" w:hAnsi="Arial"/>
                <w:sz w:val="18"/>
                <w:szCs w:val="18"/>
                <w:color w:val="0000FF"/>
                <w:w w:val="93"/>
              </w:rPr>
            </w:pPr>
            <w:hyperlink r:id="rId50">
              <w:r>
                <w:rPr>
                  <w:rFonts w:ascii="Arial" w:cs="Arial" w:eastAsia="Arial" w:hAnsi="Arial"/>
                  <w:sz w:val="18"/>
                  <w:szCs w:val="18"/>
                  <w:color w:val="0000FF"/>
                  <w:w w:val="93"/>
                </w:rPr>
                <w:t>Agreement Pursuant to the Take Two Interactive Software,</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60" w:type="dxa"/>
            <w:vAlign w:val="bottom"/>
            <w:tcBorders>
              <w:top w:val="single" w:sz="8" w:color="0000FF"/>
              <w:bottom w:val="single" w:sz="8" w:color="0000FF"/>
            </w:tcBorders>
            <w:gridSpan w:val="16"/>
          </w:tcPr>
          <w:p>
            <w:pPr>
              <w:spacing w:after="0" w:line="196" w:lineRule="exact"/>
              <w:rPr>
                <w:rFonts w:ascii="Arial" w:cs="Arial" w:eastAsia="Arial" w:hAnsi="Arial"/>
                <w:sz w:val="18"/>
                <w:szCs w:val="18"/>
                <w:color w:val="0000FF"/>
                <w:w w:val="89"/>
              </w:rPr>
            </w:pPr>
            <w:hyperlink r:id="rId50">
              <w:r>
                <w:rPr>
                  <w:rFonts w:ascii="Arial" w:cs="Arial" w:eastAsia="Arial" w:hAnsi="Arial"/>
                  <w:sz w:val="18"/>
                  <w:szCs w:val="18"/>
                  <w:color w:val="0000FF"/>
                  <w:w w:val="89"/>
                </w:rPr>
                <w:t>Inc. 2009 Incentive Stock Plan, dated as of February 7,</w:t>
              </w:r>
            </w:hyperlink>
          </w:p>
        </w:tc>
        <w:tc>
          <w:tcPr>
            <w:tcW w:w="260" w:type="dxa"/>
            <w:vAlign w:val="bottom"/>
            <w:tcBorders>
              <w:top w:val="single" w:sz="8" w:color="0000FF"/>
            </w:tcBorders>
            <w:gridSpan w:val="7"/>
          </w:tcPr>
          <w:p>
            <w:pPr>
              <w:spacing w:after="0"/>
              <w:rPr>
                <w:sz w:val="17"/>
                <w:szCs w:val="17"/>
                <w:color w:val="auto"/>
              </w:rPr>
            </w:pPr>
          </w:p>
        </w:tc>
        <w:tc>
          <w:tcPr>
            <w:tcW w:w="160" w:type="dxa"/>
            <w:vAlign w:val="bottom"/>
            <w:gridSpan w:val="5"/>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gridSpan w:val="3"/>
          </w:tcPr>
          <w:p>
            <w:pPr>
              <w:ind w:left="20"/>
              <w:spacing w:after="0" w:line="197" w:lineRule="exact"/>
              <w:rPr>
                <w:rFonts w:ascii="Arial" w:cs="Arial" w:eastAsia="Arial" w:hAnsi="Arial"/>
                <w:sz w:val="16"/>
                <w:szCs w:val="16"/>
                <w:color w:val="0000FF"/>
              </w:rPr>
            </w:pPr>
            <w:hyperlink r:id="rId50">
              <w:r>
                <w:rPr>
                  <w:rFonts w:ascii="Arial" w:cs="Arial" w:eastAsia="Arial" w:hAnsi="Arial"/>
                  <w:sz w:val="16"/>
                  <w:szCs w:val="16"/>
                  <w:color w:val="0000FF"/>
                </w:rPr>
                <w:t>2017</w:t>
              </w:r>
              <w:r>
                <w:rPr>
                  <w:rFonts w:ascii="Arial" w:cs="Arial" w:eastAsia="Arial" w:hAnsi="Arial"/>
                  <w:sz w:val="22"/>
                  <w:szCs w:val="22"/>
                  <w:color w:val="000000"/>
                  <w:vertAlign w:val="superscript"/>
                </w:rPr>
                <w:t>+</w:t>
              </w:r>
            </w:hyperlink>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560" w:type="dxa"/>
            <w:vAlign w:val="bottom"/>
            <w:gridSpan w:val="6"/>
          </w:tcPr>
          <w:p>
            <w:pPr>
              <w:spacing w:after="0" w:line="20" w:lineRule="exact"/>
              <w:rPr>
                <w:sz w:val="1"/>
                <w:szCs w:val="1"/>
                <w:color w:val="auto"/>
              </w:rPr>
            </w:pPr>
          </w:p>
        </w:tc>
        <w:tc>
          <w:tcPr>
            <w:tcW w:w="640" w:type="dxa"/>
            <w:vAlign w:val="bottom"/>
            <w:gridSpan w:val="9"/>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10.29</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28"/>
          </w:tcPr>
          <w:p>
            <w:pPr>
              <w:spacing w:after="0"/>
              <w:rPr>
                <w:rFonts w:ascii="Arial" w:cs="Arial" w:eastAsia="Arial" w:hAnsi="Arial"/>
                <w:sz w:val="18"/>
                <w:szCs w:val="18"/>
                <w:color w:val="0000FF"/>
                <w:w w:val="96"/>
              </w:rPr>
            </w:pPr>
            <w:hyperlink r:id="rId51">
              <w:r>
                <w:rPr>
                  <w:rFonts w:ascii="Arial" w:cs="Arial" w:eastAsia="Arial" w:hAnsi="Arial"/>
                  <w:sz w:val="18"/>
                  <w:szCs w:val="18"/>
                  <w:color w:val="0000FF"/>
                  <w:w w:val="96"/>
                </w:rPr>
                <w:t>Restricted Unit Agreement, dated as of May 25, 2017, by</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20" w:type="dxa"/>
            <w:vAlign w:val="bottom"/>
            <w:tcBorders>
              <w:top w:val="single" w:sz="8" w:color="0000FF"/>
            </w:tcBorders>
            <w:gridSpan w:val="18"/>
          </w:tcPr>
          <w:p>
            <w:pPr>
              <w:spacing w:after="0" w:line="196" w:lineRule="exact"/>
              <w:rPr>
                <w:rFonts w:ascii="Arial" w:cs="Arial" w:eastAsia="Arial" w:hAnsi="Arial"/>
                <w:sz w:val="18"/>
                <w:szCs w:val="18"/>
                <w:color w:val="0000FF"/>
                <w:w w:val="96"/>
              </w:rPr>
            </w:pPr>
            <w:hyperlink r:id="rId51">
              <w:r>
                <w:rPr>
                  <w:rFonts w:ascii="Arial" w:cs="Arial" w:eastAsia="Arial" w:hAnsi="Arial"/>
                  <w:sz w:val="18"/>
                  <w:szCs w:val="18"/>
                  <w:color w:val="0000FF"/>
                  <w:w w:val="96"/>
                </w:rPr>
                <w:t>and between Take-Two Interactive Software, Inc. and</w:t>
              </w:r>
            </w:hyperlink>
          </w:p>
        </w:tc>
        <w:tc>
          <w:tcPr>
            <w:tcW w:w="260" w:type="dxa"/>
            <w:vAlign w:val="bottom"/>
            <w:gridSpan w:val="10"/>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40" w:type="dxa"/>
            <w:vAlign w:val="bottom"/>
            <w:tcBorders>
              <w:top w:val="single" w:sz="8" w:color="0000FF"/>
            </w:tcBorders>
            <w:gridSpan w:val="13"/>
          </w:tcPr>
          <w:p>
            <w:pPr>
              <w:spacing w:after="0" w:line="197" w:lineRule="exact"/>
              <w:rPr>
                <w:rFonts w:ascii="Arial" w:cs="Arial" w:eastAsia="Arial" w:hAnsi="Arial"/>
                <w:sz w:val="16"/>
                <w:szCs w:val="16"/>
                <w:color w:val="0000FF"/>
              </w:rPr>
            </w:pPr>
            <w:hyperlink r:id="rId51">
              <w:r>
                <w:rPr>
                  <w:rFonts w:ascii="Arial" w:cs="Arial" w:eastAsia="Arial" w:hAnsi="Arial"/>
                  <w:sz w:val="16"/>
                  <w:szCs w:val="16"/>
                  <w:color w:val="0000FF"/>
                </w:rPr>
                <w:t>ZelnickMedia Corporation</w:t>
              </w:r>
              <w:r>
                <w:rPr>
                  <w:rFonts w:ascii="Arial" w:cs="Arial" w:eastAsia="Arial" w:hAnsi="Arial"/>
                  <w:sz w:val="22"/>
                  <w:szCs w:val="22"/>
                  <w:color w:val="000000"/>
                  <w:vertAlign w:val="superscript"/>
                </w:rPr>
                <w:t>+</w:t>
              </w:r>
            </w:hyperlink>
          </w:p>
        </w:tc>
        <w:tc>
          <w:tcPr>
            <w:tcW w:w="540" w:type="dxa"/>
            <w:vAlign w:val="bottom"/>
            <w:gridSpan w:val="15"/>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gridSpan w:val="3"/>
            <w:shd w:val="clear" w:color="auto" w:fill="0000FF"/>
          </w:tcPr>
          <w:p>
            <w:pPr>
              <w:spacing w:after="0" w:line="20" w:lineRule="exact"/>
              <w:rPr>
                <w:sz w:val="1"/>
                <w:szCs w:val="1"/>
                <w:color w:val="auto"/>
              </w:rPr>
            </w:pPr>
          </w:p>
        </w:tc>
        <w:tc>
          <w:tcPr>
            <w:tcW w:w="1080" w:type="dxa"/>
            <w:vAlign w:val="bottom"/>
            <w:tcBorders>
              <w:right w:val="single" w:sz="8" w:color="0000FF"/>
            </w:tcBorders>
            <w:shd w:val="clear" w:color="auto" w:fill="0000FF"/>
          </w:tcPr>
          <w:p>
            <w:pPr>
              <w:spacing w:after="0" w:line="20" w:lineRule="exact"/>
              <w:rPr>
                <w:sz w:val="1"/>
                <w:szCs w:val="1"/>
                <w:color w:val="auto"/>
              </w:rPr>
            </w:pPr>
          </w:p>
        </w:tc>
        <w:tc>
          <w:tcPr>
            <w:tcW w:w="1560" w:type="dxa"/>
            <w:vAlign w:val="bottom"/>
            <w:gridSpan w:val="6"/>
          </w:tcPr>
          <w:p>
            <w:pPr>
              <w:spacing w:after="0" w:line="20" w:lineRule="exact"/>
              <w:rPr>
                <w:sz w:val="1"/>
                <w:szCs w:val="1"/>
                <w:color w:val="auto"/>
              </w:rPr>
            </w:pPr>
          </w:p>
        </w:tc>
        <w:tc>
          <w:tcPr>
            <w:tcW w:w="640" w:type="dxa"/>
            <w:vAlign w:val="bottom"/>
            <w:gridSpan w:val="9"/>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10.30</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28"/>
          </w:tcPr>
          <w:p>
            <w:pPr>
              <w:spacing w:after="0"/>
              <w:rPr>
                <w:rFonts w:ascii="Arial" w:cs="Arial" w:eastAsia="Arial" w:hAnsi="Arial"/>
                <w:sz w:val="18"/>
                <w:szCs w:val="18"/>
                <w:color w:val="0000FF"/>
              </w:rPr>
            </w:pPr>
            <w:hyperlink r:id="rId52">
              <w:r>
                <w:rPr>
                  <w:rFonts w:ascii="Arial" w:cs="Arial" w:eastAsia="Arial" w:hAnsi="Arial"/>
                  <w:sz w:val="18"/>
                  <w:szCs w:val="18"/>
                  <w:color w:val="0000FF"/>
                </w:rPr>
                <w:t>Amendment to Amended and Restated Restricted Unit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gridSpan w:val="3"/>
            <w:shd w:val="clear" w:color="auto" w:fill="0000FF"/>
          </w:tcPr>
          <w:p>
            <w:pPr>
              <w:spacing w:after="0" w:line="20" w:lineRule="exact"/>
              <w:rPr>
                <w:sz w:val="1"/>
                <w:szCs w:val="1"/>
                <w:color w:val="auto"/>
              </w:rPr>
            </w:pPr>
          </w:p>
        </w:tc>
        <w:tc>
          <w:tcPr>
            <w:tcW w:w="1080" w:type="dxa"/>
            <w:vAlign w:val="bottom"/>
            <w:tcBorders>
              <w:right w:val="single" w:sz="8" w:color="0000FF"/>
            </w:tcBorders>
            <w:shd w:val="clear" w:color="auto" w:fill="0000FF"/>
          </w:tcPr>
          <w:p>
            <w:pPr>
              <w:spacing w:after="0" w:line="20" w:lineRule="exact"/>
              <w:rPr>
                <w:sz w:val="1"/>
                <w:szCs w:val="1"/>
                <w:color w:val="auto"/>
              </w:rPr>
            </w:pPr>
          </w:p>
        </w:tc>
        <w:tc>
          <w:tcPr>
            <w:tcW w:w="1560" w:type="dxa"/>
            <w:vAlign w:val="bottom"/>
            <w:gridSpan w:val="6"/>
            <w:shd w:val="clear" w:color="auto" w:fill="0000FF"/>
          </w:tcPr>
          <w:p>
            <w:pPr>
              <w:spacing w:after="0" w:line="20" w:lineRule="exact"/>
              <w:rPr>
                <w:sz w:val="1"/>
                <w:szCs w:val="1"/>
                <w:color w:val="auto"/>
              </w:rPr>
            </w:pPr>
          </w:p>
        </w:tc>
        <w:tc>
          <w:tcPr>
            <w:tcW w:w="420" w:type="dxa"/>
            <w:vAlign w:val="bottom"/>
            <w:gridSpan w:val="4"/>
            <w:shd w:val="clear" w:color="auto" w:fill="0000FF"/>
          </w:tcPr>
          <w:p>
            <w:pPr>
              <w:spacing w:after="0" w:line="20" w:lineRule="exact"/>
              <w:rPr>
                <w:sz w:val="1"/>
                <w:szCs w:val="1"/>
                <w:color w:val="auto"/>
              </w:rPr>
            </w:pPr>
          </w:p>
        </w:tc>
        <w:tc>
          <w:tcPr>
            <w:tcW w:w="220" w:type="dxa"/>
            <w:vAlign w:val="bottom"/>
            <w:gridSpan w:val="5"/>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140" w:type="dxa"/>
            <w:vAlign w:val="bottom"/>
            <w:gridSpan w:val="4"/>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8"/>
          </w:tcPr>
          <w:p>
            <w:pPr>
              <w:spacing w:after="0" w:line="196" w:lineRule="exact"/>
              <w:rPr>
                <w:rFonts w:ascii="Arial" w:cs="Arial" w:eastAsia="Arial" w:hAnsi="Arial"/>
                <w:sz w:val="18"/>
                <w:szCs w:val="18"/>
                <w:color w:val="0000FF"/>
                <w:w w:val="92"/>
              </w:rPr>
            </w:pPr>
            <w:hyperlink r:id="rId52">
              <w:r>
                <w:rPr>
                  <w:rFonts w:ascii="Arial" w:cs="Arial" w:eastAsia="Arial" w:hAnsi="Arial"/>
                  <w:sz w:val="18"/>
                  <w:szCs w:val="18"/>
                  <w:color w:val="0000FF"/>
                  <w:w w:val="92"/>
                </w:rPr>
                <w:t>Agreement Pursuant to the Take-Two Interactive Software,</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40" w:type="dxa"/>
            <w:vAlign w:val="bottom"/>
            <w:tcBorders>
              <w:top w:val="single" w:sz="8" w:color="0000FF"/>
              <w:bottom w:val="single" w:sz="8" w:color="0000FF"/>
            </w:tcBorders>
            <w:gridSpan w:val="19"/>
          </w:tcPr>
          <w:p>
            <w:pPr>
              <w:spacing w:after="0" w:line="196" w:lineRule="exact"/>
              <w:rPr>
                <w:rFonts w:ascii="Arial" w:cs="Arial" w:eastAsia="Arial" w:hAnsi="Arial"/>
                <w:sz w:val="18"/>
                <w:szCs w:val="18"/>
                <w:color w:val="0000FF"/>
                <w:w w:val="89"/>
              </w:rPr>
            </w:pPr>
            <w:hyperlink r:id="rId52">
              <w:r>
                <w:rPr>
                  <w:rFonts w:ascii="Arial" w:cs="Arial" w:eastAsia="Arial" w:hAnsi="Arial"/>
                  <w:sz w:val="18"/>
                  <w:szCs w:val="18"/>
                  <w:color w:val="0000FF"/>
                  <w:w w:val="89"/>
                </w:rPr>
                <w:t>Inc. 2009 Incentive Stock Plan, dated as of December 15,</w:t>
              </w:r>
            </w:hyperlink>
          </w:p>
        </w:tc>
        <w:tc>
          <w:tcPr>
            <w:tcW w:w="100" w:type="dxa"/>
            <w:vAlign w:val="bottom"/>
            <w:tcBorders>
              <w:top w:val="single" w:sz="8" w:color="0000FF"/>
            </w:tcBorders>
            <w:gridSpan w:val="5"/>
          </w:tcPr>
          <w:p>
            <w:pPr>
              <w:spacing w:after="0"/>
              <w:rPr>
                <w:sz w:val="17"/>
                <w:szCs w:val="17"/>
                <w:color w:val="auto"/>
              </w:rPr>
            </w:pPr>
          </w:p>
        </w:tc>
        <w:tc>
          <w:tcPr>
            <w:tcW w:w="140" w:type="dxa"/>
            <w:vAlign w:val="bottom"/>
            <w:gridSpan w:val="4"/>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20" w:type="dxa"/>
            <w:vAlign w:val="bottom"/>
            <w:gridSpan w:val="3"/>
          </w:tcPr>
          <w:p>
            <w:pPr>
              <w:ind w:left="20"/>
              <w:spacing w:after="0" w:line="197" w:lineRule="exact"/>
              <w:rPr>
                <w:rFonts w:ascii="Arial" w:cs="Arial" w:eastAsia="Arial" w:hAnsi="Arial"/>
                <w:sz w:val="16"/>
                <w:szCs w:val="16"/>
                <w:color w:val="0000FF"/>
              </w:rPr>
            </w:pPr>
            <w:hyperlink r:id="rId52">
              <w:r>
                <w:rPr>
                  <w:rFonts w:ascii="Arial" w:cs="Arial" w:eastAsia="Arial" w:hAnsi="Arial"/>
                  <w:sz w:val="16"/>
                  <w:szCs w:val="16"/>
                  <w:color w:val="0000FF"/>
                </w:rPr>
                <w:t>2017</w:t>
              </w:r>
              <w:r>
                <w:rPr>
                  <w:rFonts w:ascii="Arial" w:cs="Arial" w:eastAsia="Arial" w:hAnsi="Arial"/>
                  <w:sz w:val="22"/>
                  <w:szCs w:val="22"/>
                  <w:color w:val="000000"/>
                  <w:vertAlign w:val="superscript"/>
                </w:rPr>
                <w:t>+</w:t>
              </w:r>
            </w:hyperlink>
          </w:p>
        </w:tc>
        <w:tc>
          <w:tcPr>
            <w:tcW w:w="1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560" w:type="dxa"/>
            <w:vAlign w:val="bottom"/>
            <w:gridSpan w:val="6"/>
          </w:tcPr>
          <w:p>
            <w:pPr>
              <w:spacing w:after="0" w:line="20" w:lineRule="exact"/>
              <w:rPr>
                <w:sz w:val="1"/>
                <w:szCs w:val="1"/>
                <w:color w:val="auto"/>
              </w:rPr>
            </w:pPr>
          </w:p>
        </w:tc>
        <w:tc>
          <w:tcPr>
            <w:tcW w:w="680" w:type="dxa"/>
            <w:vAlign w:val="bottom"/>
            <w:gridSpan w:val="11"/>
          </w:tcPr>
          <w:p>
            <w:pPr>
              <w:spacing w:after="0" w:line="20" w:lineRule="exact"/>
              <w:rPr>
                <w:sz w:val="1"/>
                <w:szCs w:val="1"/>
                <w:color w:val="auto"/>
              </w:rPr>
            </w:pPr>
          </w:p>
        </w:tc>
        <w:tc>
          <w:tcPr>
            <w:tcW w:w="200" w:type="dxa"/>
            <w:vAlign w:val="bottom"/>
            <w:gridSpan w:val="7"/>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10.31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180" w:type="dxa"/>
            <w:vAlign w:val="bottom"/>
            <w:tcBorders>
              <w:bottom w:val="single" w:sz="8" w:color="0000FF"/>
            </w:tcBorders>
            <w:gridSpan w:val="21"/>
          </w:tcPr>
          <w:p>
            <w:pPr>
              <w:spacing w:after="0"/>
              <w:rPr>
                <w:rFonts w:ascii="Arial" w:cs="Arial" w:eastAsia="Arial" w:hAnsi="Arial"/>
                <w:sz w:val="18"/>
                <w:szCs w:val="18"/>
                <w:color w:val="0000FF"/>
                <w:w w:val="88"/>
              </w:rPr>
            </w:pPr>
            <w:hyperlink r:id="rId53">
              <w:r>
                <w:rPr>
                  <w:rFonts w:ascii="Arial" w:cs="Arial" w:eastAsia="Arial" w:hAnsi="Arial"/>
                  <w:sz w:val="18"/>
                  <w:szCs w:val="18"/>
                  <w:color w:val="0000FF"/>
                  <w:w w:val="88"/>
                </w:rPr>
                <w:t>Management Agreement, dated as of November 17, 2017,</w:t>
              </w:r>
            </w:hyperlink>
          </w:p>
        </w:tc>
        <w:tc>
          <w:tcPr>
            <w:tcW w:w="200" w:type="dxa"/>
            <w:vAlign w:val="bottom"/>
            <w:gridSpan w:val="7"/>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500" w:type="dxa"/>
            <w:vAlign w:val="bottom"/>
            <w:tcBorders>
              <w:bottom w:val="single" w:sz="8" w:color="0000FF"/>
            </w:tcBorders>
            <w:gridSpan w:val="10"/>
          </w:tcPr>
          <w:p>
            <w:pPr>
              <w:spacing w:after="0" w:line="196" w:lineRule="exact"/>
              <w:rPr>
                <w:rFonts w:ascii="Arial" w:cs="Arial" w:eastAsia="Arial" w:hAnsi="Arial"/>
                <w:sz w:val="18"/>
                <w:szCs w:val="18"/>
                <w:color w:val="0000FF"/>
                <w:w w:val="90"/>
              </w:rPr>
            </w:pPr>
            <w:hyperlink r:id="rId53">
              <w:r>
                <w:rPr>
                  <w:rFonts w:ascii="Arial" w:cs="Arial" w:eastAsia="Arial" w:hAnsi="Arial"/>
                  <w:sz w:val="18"/>
                  <w:szCs w:val="18"/>
                  <w:color w:val="0000FF"/>
                  <w:w w:val="90"/>
                </w:rPr>
                <w:t>by and between the Company and ZelnickMedia</w:t>
              </w:r>
            </w:hyperlink>
          </w:p>
        </w:tc>
        <w:tc>
          <w:tcPr>
            <w:tcW w:w="880" w:type="dxa"/>
            <w:vAlign w:val="bottom"/>
            <w:gridSpan w:val="18"/>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8"/>
          </w:tcPr>
          <w:p>
            <w:pPr>
              <w:spacing w:after="0" w:line="197" w:lineRule="exact"/>
              <w:rPr>
                <w:rFonts w:ascii="Arial" w:cs="Arial" w:eastAsia="Arial" w:hAnsi="Arial"/>
                <w:sz w:val="16"/>
                <w:szCs w:val="16"/>
                <w:color w:val="0000FF"/>
              </w:rPr>
            </w:pPr>
            <w:hyperlink r:id="rId53">
              <w:r>
                <w:rPr>
                  <w:rFonts w:ascii="Arial" w:cs="Arial" w:eastAsia="Arial" w:hAnsi="Arial"/>
                  <w:sz w:val="16"/>
                  <w:szCs w:val="16"/>
                  <w:color w:val="0000FF"/>
                </w:rPr>
                <w:t>Corporation</w:t>
              </w:r>
              <w:r>
                <w:rPr>
                  <w:rFonts w:ascii="Arial" w:cs="Arial" w:eastAsia="Arial" w:hAnsi="Arial"/>
                  <w:sz w:val="22"/>
                  <w:szCs w:val="22"/>
                  <w:color w:val="000000"/>
                  <w:vertAlign w:val="superscript"/>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60" w:type="dxa"/>
            <w:vAlign w:val="bottom"/>
            <w:gridSpan w:val="3"/>
            <w:shd w:val="clear" w:color="auto" w:fill="0000FF"/>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240" w:type="dxa"/>
            <w:vAlign w:val="bottom"/>
            <w:gridSpan w:val="17"/>
          </w:tcPr>
          <w:p>
            <w:pPr>
              <w:spacing w:after="0" w:line="20" w:lineRule="exact"/>
              <w:rPr>
                <w:sz w:val="1"/>
                <w:szCs w:val="1"/>
                <w:color w:val="auto"/>
              </w:rPr>
            </w:pPr>
          </w:p>
        </w:tc>
        <w:tc>
          <w:tcPr>
            <w:tcW w:w="200" w:type="dxa"/>
            <w:vAlign w:val="bottom"/>
            <w:gridSpan w:val="7"/>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10.32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180" w:type="dxa"/>
            <w:vAlign w:val="bottom"/>
            <w:tcBorders>
              <w:bottom w:val="single" w:sz="8" w:color="0000FF"/>
            </w:tcBorders>
            <w:gridSpan w:val="21"/>
          </w:tcPr>
          <w:p>
            <w:pPr>
              <w:spacing w:after="0"/>
              <w:rPr>
                <w:rFonts w:ascii="Arial" w:cs="Arial" w:eastAsia="Arial" w:hAnsi="Arial"/>
                <w:sz w:val="18"/>
                <w:szCs w:val="18"/>
                <w:color w:val="0000FF"/>
                <w:w w:val="90"/>
              </w:rPr>
            </w:pPr>
            <w:hyperlink r:id="rId54">
              <w:r>
                <w:rPr>
                  <w:rFonts w:ascii="Arial" w:cs="Arial" w:eastAsia="Arial" w:hAnsi="Arial"/>
                  <w:sz w:val="18"/>
                  <w:szCs w:val="18"/>
                  <w:color w:val="0000FF"/>
                  <w:w w:val="90"/>
                </w:rPr>
                <w:t>Restricted Unit Agreement, dated as of April 13, 2018, by</w:t>
              </w:r>
            </w:hyperlink>
          </w:p>
        </w:tc>
        <w:tc>
          <w:tcPr>
            <w:tcW w:w="200" w:type="dxa"/>
            <w:vAlign w:val="bottom"/>
            <w:gridSpan w:val="7"/>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8"/>
          </w:tcPr>
          <w:p>
            <w:pPr>
              <w:spacing w:after="0" w:line="196" w:lineRule="exact"/>
              <w:rPr>
                <w:rFonts w:ascii="Arial" w:cs="Arial" w:eastAsia="Arial" w:hAnsi="Arial"/>
                <w:sz w:val="18"/>
                <w:szCs w:val="18"/>
                <w:color w:val="0000FF"/>
              </w:rPr>
            </w:pPr>
            <w:hyperlink r:id="rId54">
              <w:r>
                <w:rPr>
                  <w:rFonts w:ascii="Arial" w:cs="Arial" w:eastAsia="Arial" w:hAnsi="Arial"/>
                  <w:sz w:val="18"/>
                  <w:szCs w:val="18"/>
                  <w:color w:val="0000FF"/>
                </w:rPr>
                <w:t>and between Take-Two Interactive Software, Inc. and</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40" w:type="dxa"/>
            <w:vAlign w:val="bottom"/>
            <w:tcBorders>
              <w:top w:val="single" w:sz="8" w:color="0000FF"/>
            </w:tcBorders>
            <w:gridSpan w:val="13"/>
          </w:tcPr>
          <w:p>
            <w:pPr>
              <w:spacing w:after="0" w:line="197" w:lineRule="exact"/>
              <w:rPr>
                <w:rFonts w:ascii="Arial" w:cs="Arial" w:eastAsia="Arial" w:hAnsi="Arial"/>
                <w:sz w:val="16"/>
                <w:szCs w:val="16"/>
                <w:color w:val="0000FF"/>
              </w:rPr>
            </w:pPr>
            <w:hyperlink r:id="rId54">
              <w:r>
                <w:rPr>
                  <w:rFonts w:ascii="Arial" w:cs="Arial" w:eastAsia="Arial" w:hAnsi="Arial"/>
                  <w:sz w:val="16"/>
                  <w:szCs w:val="16"/>
                  <w:color w:val="0000FF"/>
                </w:rPr>
                <w:t>ZelnickMedia Corporation</w:t>
              </w:r>
              <w:r>
                <w:rPr>
                  <w:rFonts w:ascii="Arial" w:cs="Arial" w:eastAsia="Arial" w:hAnsi="Arial"/>
                  <w:sz w:val="22"/>
                  <w:szCs w:val="22"/>
                  <w:color w:val="000000"/>
                  <w:vertAlign w:val="superscript"/>
                </w:rPr>
                <w:t>+</w:t>
              </w:r>
            </w:hyperlink>
          </w:p>
        </w:tc>
        <w:tc>
          <w:tcPr>
            <w:tcW w:w="540" w:type="dxa"/>
            <w:vAlign w:val="bottom"/>
            <w:gridSpan w:val="15"/>
          </w:tcPr>
          <w:p>
            <w:pPr>
              <w:spacing w:after="0"/>
              <w:rPr>
                <w:sz w:val="17"/>
                <w:szCs w:val="17"/>
                <w:color w:val="auto"/>
              </w:rPr>
            </w:pPr>
          </w:p>
        </w:tc>
      </w:tr>
      <w:tr>
        <w:trPr>
          <w:trHeight w:val="507"/>
        </w:trPr>
        <w:tc>
          <w:tcPr>
            <w:tcW w:w="1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940" w:type="dxa"/>
            <w:vAlign w:val="bottom"/>
            <w:tcBorders>
              <w:top w:val="single" w:sz="8" w:color="0000FF"/>
            </w:tcBorders>
            <w:gridSpan w:val="4"/>
          </w:tcPr>
          <w:p>
            <w:pPr>
              <w:spacing w:after="0"/>
              <w:rPr>
                <w:sz w:val="24"/>
                <w:szCs w:val="24"/>
                <w:color w:val="auto"/>
              </w:rPr>
            </w:pPr>
          </w:p>
        </w:tc>
        <w:tc>
          <w:tcPr>
            <w:tcW w:w="1820" w:type="dxa"/>
            <w:vAlign w:val="bottom"/>
            <w:gridSpan w:val="8"/>
          </w:tcPr>
          <w:p>
            <w:pPr>
              <w:jc w:val="right"/>
              <w:ind w:right="20"/>
              <w:spacing w:after="0"/>
              <w:rPr>
                <w:sz w:val="20"/>
                <w:szCs w:val="20"/>
                <w:color w:val="auto"/>
              </w:rPr>
            </w:pPr>
            <w:r>
              <w:rPr>
                <w:rFonts w:ascii="Arial" w:cs="Arial" w:eastAsia="Arial" w:hAnsi="Arial"/>
                <w:sz w:val="18"/>
                <w:szCs w:val="18"/>
                <w:color w:val="auto"/>
              </w:rPr>
              <w:t>45</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br w:type="column"/>
      </w:r>
    </w:p>
    <w:p>
      <w:pPr>
        <w:jc w:val="center"/>
        <w:ind w:right="20"/>
        <w:spacing w:after="0"/>
        <w:rPr>
          <w:sz w:val="20"/>
          <w:szCs w:val="20"/>
          <w:color w:val="auto"/>
        </w:rPr>
      </w:pPr>
      <w:r>
        <w:rPr>
          <w:rFonts w:ascii="Arial" w:cs="Arial" w:eastAsia="Arial" w:hAnsi="Arial"/>
          <w:sz w:val="14"/>
          <w:szCs w:val="14"/>
          <w:b w:val="1"/>
          <w:bCs w:val="1"/>
          <w:color w:val="auto"/>
        </w:rPr>
        <w:t>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66675</wp:posOffset>
            </wp:positionV>
            <wp:extent cx="27355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extLst>
                    </a:blip>
                    <a:srcRect/>
                    <a:stretch>
                      <a:fillRect/>
                    </a:stretch>
                  </pic:blipFill>
                  <pic:spPr bwMode="auto">
                    <a:xfrm>
                      <a:off x="0" y="0"/>
                      <a:ext cx="2735580" cy="8890"/>
                    </a:xfrm>
                    <a:prstGeom prst="rect">
                      <a:avLst/>
                    </a:prstGeom>
                    <a:noFill/>
                  </pic:spPr>
                </pic:pic>
              </a:graphicData>
            </a:graphic>
          </wp:anchor>
        </w:drawing>
      </w:r>
    </w:p>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Form</w:t>
            </w:r>
          </w:p>
        </w:tc>
        <w:tc>
          <w:tcPr>
            <w:tcW w:w="120" w:type="dxa"/>
            <w:vAlign w:val="bottom"/>
            <w:vMerge w:val="restart"/>
          </w:tcPr>
          <w:p>
            <w:pPr>
              <w:spacing w:after="0"/>
              <w:rPr>
                <w:sz w:val="14"/>
                <w:szCs w:val="14"/>
                <w:color w:val="auto"/>
              </w:rPr>
            </w:pPr>
          </w:p>
        </w:tc>
        <w:tc>
          <w:tcPr>
            <w:tcW w:w="112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Filing Date</w:t>
            </w:r>
          </w:p>
        </w:tc>
        <w:tc>
          <w:tcPr>
            <w:tcW w:w="100" w:type="dxa"/>
            <w:vAlign w:val="bottom"/>
            <w:vMerge w:val="restart"/>
          </w:tcPr>
          <w:p>
            <w:pPr>
              <w:spacing w:after="0"/>
              <w:rPr>
                <w:sz w:val="14"/>
                <w:szCs w:val="14"/>
                <w:color w:val="auto"/>
              </w:rPr>
            </w:pPr>
          </w:p>
        </w:tc>
        <w:tc>
          <w:tcPr>
            <w:tcW w:w="102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Exhibit</w:t>
            </w:r>
          </w:p>
        </w:tc>
        <w:tc>
          <w:tcPr>
            <w:tcW w:w="120" w:type="dxa"/>
            <w:vAlign w:val="bottom"/>
            <w:vMerge w:val="restart"/>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1"/>
              </w:rPr>
              <w:t>Filed</w:t>
            </w:r>
          </w:p>
        </w:tc>
        <w:tc>
          <w:tcPr>
            <w:tcW w:w="0" w:type="dxa"/>
            <w:vAlign w:val="bottom"/>
          </w:tcPr>
          <w:p>
            <w:pPr>
              <w:spacing w:after="0"/>
              <w:rPr>
                <w:sz w:val="1"/>
                <w:szCs w:val="1"/>
                <w:color w:val="auto"/>
              </w:rPr>
            </w:pPr>
          </w:p>
        </w:tc>
      </w:tr>
      <w:tr>
        <w:trPr>
          <w:trHeight w:val="192"/>
        </w:trPr>
        <w:tc>
          <w:tcPr>
            <w:tcW w:w="9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Herewith</w:t>
            </w:r>
          </w:p>
        </w:tc>
        <w:tc>
          <w:tcPr>
            <w:tcW w:w="0" w:type="dxa"/>
            <w:vAlign w:val="bottom"/>
          </w:tcPr>
          <w:p>
            <w:pPr>
              <w:spacing w:after="0"/>
              <w:rPr>
                <w:sz w:val="1"/>
                <w:szCs w:val="1"/>
                <w:color w:val="auto"/>
              </w:rPr>
            </w:pPr>
          </w:p>
        </w:tc>
      </w:tr>
      <w:tr>
        <w:trPr>
          <w:trHeight w:val="243"/>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5/14/2010</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6"/>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1120" w:type="dxa"/>
            <w:vAlign w:val="bottom"/>
          </w:tcPr>
          <w:p>
            <w:pPr>
              <w:jc w:val="center"/>
              <w:spacing w:after="0"/>
              <w:rPr>
                <w:sz w:val="20"/>
                <w:szCs w:val="20"/>
                <w:color w:val="auto"/>
              </w:rPr>
            </w:pPr>
            <w:r>
              <w:rPr>
                <w:rFonts w:ascii="Arial" w:cs="Arial" w:eastAsia="Arial" w:hAnsi="Arial"/>
                <w:sz w:val="18"/>
                <w:szCs w:val="18"/>
                <w:color w:val="auto"/>
                <w:w w:val="90"/>
              </w:rPr>
              <w:t>10/25/2010</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10-Q</w:t>
            </w:r>
          </w:p>
        </w:tc>
        <w:tc>
          <w:tcPr>
            <w:tcW w:w="1120" w:type="dxa"/>
            <w:vAlign w:val="bottom"/>
          </w:tcPr>
          <w:p>
            <w:pPr>
              <w:jc w:val="center"/>
              <w:spacing w:after="0"/>
              <w:rPr>
                <w:sz w:val="20"/>
                <w:szCs w:val="20"/>
                <w:color w:val="auto"/>
              </w:rPr>
            </w:pPr>
            <w:r>
              <w:rPr>
                <w:rFonts w:ascii="Arial" w:cs="Arial" w:eastAsia="Arial" w:hAnsi="Arial"/>
                <w:sz w:val="18"/>
                <w:szCs w:val="18"/>
                <w:color w:val="auto"/>
                <w:w w:val="90"/>
              </w:rPr>
              <w:t>10/31/2012</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10.6</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2/15/2008</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10.3</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10-Q</w:t>
            </w:r>
          </w:p>
        </w:tc>
        <w:tc>
          <w:tcPr>
            <w:tcW w:w="1120" w:type="dxa"/>
            <w:vAlign w:val="bottom"/>
          </w:tcPr>
          <w:p>
            <w:pPr>
              <w:jc w:val="center"/>
              <w:spacing w:after="0"/>
              <w:rPr>
                <w:sz w:val="20"/>
                <w:szCs w:val="20"/>
                <w:color w:val="auto"/>
              </w:rPr>
            </w:pPr>
            <w:r>
              <w:rPr>
                <w:rFonts w:ascii="Arial" w:cs="Arial" w:eastAsia="Arial" w:hAnsi="Arial"/>
                <w:sz w:val="18"/>
                <w:szCs w:val="18"/>
                <w:color w:val="auto"/>
                <w:w w:val="91"/>
              </w:rPr>
              <w:t>2/6/2015</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3/10/2014</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1"/>
              </w:rPr>
              <w:t>S-3 ASR</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5/20/2015</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10.2</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10-Q</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8/10/2015</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10-K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5/19/2016</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8"/>
              </w:rPr>
              <w:t>10.50</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1"/>
              </w:rPr>
              <w:t>S-3 ASR</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5/20/2016</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10.2</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10-Q</w:t>
            </w:r>
          </w:p>
        </w:tc>
        <w:tc>
          <w:tcPr>
            <w:tcW w:w="1120" w:type="dxa"/>
            <w:vAlign w:val="bottom"/>
          </w:tcPr>
          <w:p>
            <w:pPr>
              <w:jc w:val="center"/>
              <w:spacing w:after="0"/>
              <w:rPr>
                <w:sz w:val="20"/>
                <w:szCs w:val="20"/>
                <w:color w:val="auto"/>
              </w:rPr>
            </w:pPr>
            <w:r>
              <w:rPr>
                <w:rFonts w:ascii="Arial" w:cs="Arial" w:eastAsia="Arial" w:hAnsi="Arial"/>
                <w:sz w:val="18"/>
                <w:szCs w:val="18"/>
                <w:color w:val="auto"/>
                <w:w w:val="91"/>
              </w:rPr>
              <w:t>2/8/2017</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10.3</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18"/>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1"/>
              </w:rPr>
              <w:t>S-3 ASR</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5/25/2017</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10.2</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10-Q</w:t>
            </w:r>
          </w:p>
        </w:tc>
        <w:tc>
          <w:tcPr>
            <w:tcW w:w="1120" w:type="dxa"/>
            <w:vAlign w:val="bottom"/>
          </w:tcPr>
          <w:p>
            <w:pPr>
              <w:jc w:val="center"/>
              <w:spacing w:after="0"/>
              <w:rPr>
                <w:sz w:val="20"/>
                <w:szCs w:val="20"/>
                <w:color w:val="auto"/>
              </w:rPr>
            </w:pPr>
            <w:r>
              <w:rPr>
                <w:rFonts w:ascii="Arial" w:cs="Arial" w:eastAsia="Arial" w:hAnsi="Arial"/>
                <w:sz w:val="18"/>
                <w:szCs w:val="18"/>
                <w:color w:val="auto"/>
                <w:w w:val="91"/>
              </w:rPr>
              <w:t>2/8/2018</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10.4</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18"/>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1120" w:type="dxa"/>
            <w:vAlign w:val="bottom"/>
          </w:tcPr>
          <w:p>
            <w:pPr>
              <w:jc w:val="center"/>
              <w:spacing w:after="0"/>
              <w:rPr>
                <w:sz w:val="20"/>
                <w:szCs w:val="20"/>
                <w:color w:val="auto"/>
              </w:rPr>
            </w:pPr>
            <w:r>
              <w:rPr>
                <w:rFonts w:ascii="Arial" w:cs="Arial" w:eastAsia="Arial" w:hAnsi="Arial"/>
                <w:sz w:val="18"/>
                <w:szCs w:val="18"/>
                <w:color w:val="auto"/>
                <w:w w:val="90"/>
              </w:rPr>
              <w:t>11/22/2017</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1"/>
              </w:rPr>
              <w:t>S-3 ASR</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4/13/2018</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10.2</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2">
            <w:col w:w="5860" w:space="100"/>
            <w:col w:w="4320"/>
          </w:cols>
          <w:pgMar w:left="820" w:top="738" w:right="799" w:bottom="1440" w:gutter="0" w:footer="0" w:header="0"/>
        </w:sectPr>
      </w:pPr>
    </w:p>
    <w:bookmarkStart w:id="47" w:name="page48"/>
    <w:bookmarkEnd w:id="47"/>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4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8"/>
              </w:rPr>
              <w:t>Exhibit Number</w:t>
            </w:r>
          </w:p>
        </w:tc>
        <w:tc>
          <w:tcPr>
            <w:tcW w:w="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920" w:type="dxa"/>
            <w:vAlign w:val="bottom"/>
            <w:gridSpan w:val="29"/>
          </w:tcPr>
          <w:p>
            <w:pPr>
              <w:ind w:left="100"/>
              <w:spacing w:after="0"/>
              <w:rPr>
                <w:sz w:val="20"/>
                <w:szCs w:val="20"/>
                <w:color w:val="auto"/>
              </w:rPr>
            </w:pPr>
            <w:r>
              <w:rPr>
                <w:rFonts w:ascii="Arial" w:cs="Arial" w:eastAsia="Arial" w:hAnsi="Arial"/>
                <w:sz w:val="14"/>
                <w:szCs w:val="14"/>
                <w:b w:val="1"/>
                <w:bCs w:val="1"/>
                <w:color w:val="auto"/>
              </w:rPr>
              <w:t>Exhibit Description</w:t>
            </w:r>
          </w:p>
        </w:tc>
      </w:tr>
      <w:tr>
        <w:trPr>
          <w:trHeight w:val="202"/>
        </w:trPr>
        <w:tc>
          <w:tcPr>
            <w:tcW w:w="1340" w:type="dxa"/>
            <w:vAlign w:val="bottom"/>
            <w:tcBorders>
              <w:top w:val="single" w:sz="8" w:color="auto"/>
            </w:tcBorders>
          </w:tcPr>
          <w:p>
            <w:pPr>
              <w:jc w:val="center"/>
              <w:spacing w:after="0" w:line="202" w:lineRule="exact"/>
              <w:rPr>
                <w:sz w:val="20"/>
                <w:szCs w:val="20"/>
                <w:color w:val="auto"/>
              </w:rPr>
            </w:pPr>
            <w:r>
              <w:rPr>
                <w:rFonts w:ascii="Arial" w:cs="Arial" w:eastAsia="Arial" w:hAnsi="Arial"/>
                <w:sz w:val="18"/>
                <w:szCs w:val="18"/>
                <w:color w:val="auto"/>
                <w:w w:val="93"/>
              </w:rPr>
              <w:t>10.33</w:t>
            </w:r>
          </w:p>
        </w:tc>
        <w:tc>
          <w:tcPr>
            <w:tcW w:w="12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4280" w:type="dxa"/>
            <w:vAlign w:val="bottom"/>
            <w:tcBorders>
              <w:top w:val="single" w:sz="8" w:color="auto"/>
              <w:bottom w:val="single" w:sz="8" w:color="0000FF"/>
            </w:tcBorders>
            <w:gridSpan w:val="29"/>
          </w:tcPr>
          <w:p>
            <w:pPr>
              <w:spacing w:after="0" w:line="202" w:lineRule="exact"/>
              <w:rPr>
                <w:rFonts w:ascii="Arial" w:cs="Arial" w:eastAsia="Arial" w:hAnsi="Arial"/>
                <w:sz w:val="18"/>
                <w:szCs w:val="18"/>
                <w:color w:val="0000FF"/>
                <w:w w:val="89"/>
              </w:rPr>
            </w:pPr>
            <w:hyperlink r:id="rId56">
              <w:r>
                <w:rPr>
                  <w:rFonts w:ascii="Arial" w:cs="Arial" w:eastAsia="Arial" w:hAnsi="Arial"/>
                  <w:sz w:val="18"/>
                  <w:szCs w:val="18"/>
                  <w:color w:val="0000FF"/>
                  <w:w w:val="89"/>
                </w:rPr>
                <w:t>Security Agreement dated as of July 3, 2007, made by each</w:t>
              </w:r>
            </w:hyperlink>
          </w:p>
        </w:tc>
        <w:tc>
          <w:tcPr>
            <w:tcW w:w="100" w:type="dxa"/>
            <w:vAlign w:val="bottom"/>
            <w:tcBorders>
              <w:top w:val="single" w:sz="8" w:color="auto"/>
            </w:tcBorders>
            <w:gridSpan w:val="3"/>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40" w:type="dxa"/>
            <w:vAlign w:val="bottom"/>
            <w:tcBorders>
              <w:bottom w:val="single" w:sz="8" w:color="0000FF"/>
            </w:tcBorders>
            <w:gridSpan w:val="23"/>
          </w:tcPr>
          <w:p>
            <w:pPr>
              <w:spacing w:after="0" w:line="196" w:lineRule="exact"/>
              <w:rPr>
                <w:rFonts w:ascii="Arial" w:cs="Arial" w:eastAsia="Arial" w:hAnsi="Arial"/>
                <w:sz w:val="18"/>
                <w:szCs w:val="18"/>
                <w:color w:val="0000FF"/>
                <w:w w:val="89"/>
              </w:rPr>
            </w:pPr>
            <w:hyperlink r:id="rId56">
              <w:r>
                <w:rPr>
                  <w:rFonts w:ascii="Arial" w:cs="Arial" w:eastAsia="Arial" w:hAnsi="Arial"/>
                  <w:sz w:val="18"/>
                  <w:szCs w:val="18"/>
                  <w:color w:val="0000FF"/>
                  <w:w w:val="89"/>
                </w:rPr>
                <w:t>of the Grantors listed on the signature pages thereof and</w:t>
              </w:r>
            </w:hyperlink>
          </w:p>
        </w:tc>
        <w:tc>
          <w:tcPr>
            <w:tcW w:w="340" w:type="dxa"/>
            <w:vAlign w:val="bottom"/>
            <w:gridSpan w:val="9"/>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60" w:type="dxa"/>
            <w:vAlign w:val="bottom"/>
            <w:tcBorders>
              <w:bottom w:val="single" w:sz="8" w:color="0000FF"/>
            </w:tcBorders>
            <w:gridSpan w:val="25"/>
          </w:tcPr>
          <w:p>
            <w:pPr>
              <w:spacing w:after="0" w:line="196" w:lineRule="exact"/>
              <w:rPr>
                <w:rFonts w:ascii="Arial" w:cs="Arial" w:eastAsia="Arial" w:hAnsi="Arial"/>
                <w:sz w:val="18"/>
                <w:szCs w:val="18"/>
                <w:color w:val="0000FF"/>
                <w:w w:val="91"/>
              </w:rPr>
            </w:pPr>
            <w:hyperlink r:id="rId56">
              <w:r>
                <w:rPr>
                  <w:rFonts w:ascii="Arial" w:cs="Arial" w:eastAsia="Arial" w:hAnsi="Arial"/>
                  <w:sz w:val="18"/>
                  <w:szCs w:val="18"/>
                  <w:color w:val="0000FF"/>
                  <w:w w:val="91"/>
                </w:rPr>
                <w:t>Wells Fargo Foothill, Inc. in its capacity as administrative</w:t>
              </w:r>
            </w:hyperlink>
          </w:p>
        </w:tc>
        <w:tc>
          <w:tcPr>
            <w:tcW w:w="220" w:type="dxa"/>
            <w:vAlign w:val="bottom"/>
            <w:gridSpan w:val="7"/>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20" w:type="dxa"/>
            <w:vAlign w:val="bottom"/>
            <w:tcBorders>
              <w:bottom w:val="single" w:sz="8" w:color="0000FF"/>
            </w:tcBorders>
            <w:gridSpan w:val="31"/>
          </w:tcPr>
          <w:p>
            <w:pPr>
              <w:spacing w:after="0" w:line="196" w:lineRule="exact"/>
              <w:rPr>
                <w:rFonts w:ascii="Arial" w:cs="Arial" w:eastAsia="Arial" w:hAnsi="Arial"/>
                <w:sz w:val="18"/>
                <w:szCs w:val="18"/>
                <w:color w:val="0000FF"/>
                <w:w w:val="90"/>
              </w:rPr>
            </w:pPr>
            <w:hyperlink r:id="rId56">
              <w:r>
                <w:rPr>
                  <w:rFonts w:ascii="Arial" w:cs="Arial" w:eastAsia="Arial" w:hAnsi="Arial"/>
                  <w:sz w:val="18"/>
                  <w:szCs w:val="18"/>
                  <w:color w:val="0000FF"/>
                  <w:w w:val="90"/>
                </w:rPr>
                <w:t>agent for the Lender Group and the Bank Product Providers</w:t>
              </w:r>
            </w:hyperlink>
          </w:p>
        </w:tc>
        <w:tc>
          <w:tcPr>
            <w:tcW w:w="60" w:type="dxa"/>
            <w:vAlign w:val="bottom"/>
          </w:tcPr>
          <w:p>
            <w:pPr>
              <w:spacing w:after="0"/>
              <w:rPr>
                <w:sz w:val="17"/>
                <w:szCs w:val="17"/>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10.34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360" w:type="dxa"/>
            <w:vAlign w:val="bottom"/>
            <w:tcBorders>
              <w:bottom w:val="single" w:sz="8" w:color="0000FF"/>
            </w:tcBorders>
            <w:gridSpan w:val="14"/>
          </w:tcPr>
          <w:p>
            <w:pPr>
              <w:spacing w:after="0"/>
              <w:rPr>
                <w:rFonts w:ascii="Arial" w:cs="Arial" w:eastAsia="Arial" w:hAnsi="Arial"/>
                <w:sz w:val="18"/>
                <w:szCs w:val="18"/>
                <w:color w:val="0000FF"/>
                <w:w w:val="89"/>
              </w:rPr>
            </w:pPr>
            <w:hyperlink r:id="rId57">
              <w:r>
                <w:rPr>
                  <w:rFonts w:ascii="Arial" w:cs="Arial" w:eastAsia="Arial" w:hAnsi="Arial"/>
                  <w:sz w:val="18"/>
                  <w:szCs w:val="18"/>
                  <w:color w:val="0000FF"/>
                  <w:w w:val="89"/>
                </w:rPr>
                <w:t>Supplement to Security Agreement dated as of</w:t>
              </w:r>
            </w:hyperlink>
          </w:p>
        </w:tc>
        <w:tc>
          <w:tcPr>
            <w:tcW w:w="1020" w:type="dxa"/>
            <w:vAlign w:val="bottom"/>
            <w:gridSpan w:val="18"/>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00" w:type="dxa"/>
            <w:vAlign w:val="bottom"/>
            <w:tcBorders>
              <w:bottom w:val="single" w:sz="8" w:color="0000FF"/>
            </w:tcBorders>
            <w:gridSpan w:val="30"/>
          </w:tcPr>
          <w:p>
            <w:pPr>
              <w:spacing w:after="0" w:line="196" w:lineRule="exact"/>
              <w:rPr>
                <w:rFonts w:ascii="Arial" w:cs="Arial" w:eastAsia="Arial" w:hAnsi="Arial"/>
                <w:sz w:val="18"/>
                <w:szCs w:val="18"/>
                <w:color w:val="0000FF"/>
                <w:w w:val="90"/>
              </w:rPr>
            </w:pPr>
            <w:hyperlink r:id="rId57">
              <w:r>
                <w:rPr>
                  <w:rFonts w:ascii="Arial" w:cs="Arial" w:eastAsia="Arial" w:hAnsi="Arial"/>
                  <w:sz w:val="18"/>
                  <w:szCs w:val="18"/>
                  <w:color w:val="0000FF"/>
                  <w:w w:val="90"/>
                </w:rPr>
                <w:t>November 16, 2007, made by each of the grantors listed on</w:t>
              </w:r>
            </w:hyperlink>
          </w:p>
        </w:tc>
        <w:tc>
          <w:tcPr>
            <w:tcW w:w="80" w:type="dxa"/>
            <w:vAlign w:val="bottom"/>
            <w:gridSpan w:val="2"/>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20" w:type="dxa"/>
            <w:vAlign w:val="bottom"/>
            <w:tcBorders>
              <w:bottom w:val="single" w:sz="8" w:color="0000FF"/>
            </w:tcBorders>
            <w:gridSpan w:val="31"/>
          </w:tcPr>
          <w:p>
            <w:pPr>
              <w:spacing w:after="0" w:line="196" w:lineRule="exact"/>
              <w:rPr>
                <w:rFonts w:ascii="Arial" w:cs="Arial" w:eastAsia="Arial" w:hAnsi="Arial"/>
                <w:sz w:val="18"/>
                <w:szCs w:val="18"/>
                <w:color w:val="0000FF"/>
                <w:w w:val="90"/>
              </w:rPr>
            </w:pPr>
            <w:hyperlink r:id="rId57">
              <w:r>
                <w:rPr>
                  <w:rFonts w:ascii="Arial" w:cs="Arial" w:eastAsia="Arial" w:hAnsi="Arial"/>
                  <w:sz w:val="18"/>
                  <w:szCs w:val="18"/>
                  <w:color w:val="0000FF"/>
                  <w:w w:val="90"/>
                </w:rPr>
                <w:t>the signature pages thereof and Wells Fargo Foothill, Inc. in</w:t>
              </w:r>
            </w:hyperlink>
          </w:p>
        </w:tc>
        <w:tc>
          <w:tcPr>
            <w:tcW w:w="60" w:type="dxa"/>
            <w:vAlign w:val="bottom"/>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00" w:type="dxa"/>
            <w:vAlign w:val="bottom"/>
            <w:tcBorders>
              <w:bottom w:val="single" w:sz="8" w:color="0000FF"/>
            </w:tcBorders>
            <w:gridSpan w:val="24"/>
          </w:tcPr>
          <w:p>
            <w:pPr>
              <w:spacing w:after="0" w:line="196" w:lineRule="exact"/>
              <w:rPr>
                <w:rFonts w:ascii="Arial" w:cs="Arial" w:eastAsia="Arial" w:hAnsi="Arial"/>
                <w:sz w:val="18"/>
                <w:szCs w:val="18"/>
                <w:color w:val="0000FF"/>
                <w:w w:val="90"/>
              </w:rPr>
            </w:pPr>
            <w:hyperlink r:id="rId57">
              <w:r>
                <w:rPr>
                  <w:rFonts w:ascii="Arial" w:cs="Arial" w:eastAsia="Arial" w:hAnsi="Arial"/>
                  <w:sz w:val="18"/>
                  <w:szCs w:val="18"/>
                  <w:color w:val="0000FF"/>
                  <w:w w:val="90"/>
                </w:rPr>
                <w:t>its capacity as administrative agent for the Lender Group</w:t>
              </w:r>
            </w:hyperlink>
          </w:p>
        </w:tc>
        <w:tc>
          <w:tcPr>
            <w:tcW w:w="280" w:type="dxa"/>
            <w:vAlign w:val="bottom"/>
            <w:gridSpan w:val="8"/>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300" w:type="dxa"/>
            <w:vAlign w:val="bottom"/>
            <w:tcBorders>
              <w:bottom w:val="single" w:sz="8" w:color="0000FF"/>
            </w:tcBorders>
            <w:gridSpan w:val="6"/>
          </w:tcPr>
          <w:p>
            <w:pPr>
              <w:spacing w:after="0" w:line="196" w:lineRule="exact"/>
              <w:rPr>
                <w:rFonts w:ascii="Arial" w:cs="Arial" w:eastAsia="Arial" w:hAnsi="Arial"/>
                <w:sz w:val="18"/>
                <w:szCs w:val="18"/>
                <w:color w:val="0000FF"/>
                <w:w w:val="89"/>
              </w:rPr>
            </w:pPr>
            <w:hyperlink r:id="rId57">
              <w:r>
                <w:rPr>
                  <w:rFonts w:ascii="Arial" w:cs="Arial" w:eastAsia="Arial" w:hAnsi="Arial"/>
                  <w:sz w:val="18"/>
                  <w:szCs w:val="18"/>
                  <w:color w:val="0000FF"/>
                  <w:w w:val="89"/>
                </w:rPr>
                <w:t>and the Bank Product Providers</w:t>
              </w:r>
            </w:hyperlink>
          </w:p>
        </w:tc>
        <w:tc>
          <w:tcPr>
            <w:tcW w:w="2080" w:type="dxa"/>
            <w:vAlign w:val="bottom"/>
            <w:gridSpan w:val="26"/>
          </w:tcPr>
          <w:p>
            <w:pPr>
              <w:spacing w:after="0"/>
              <w:rPr>
                <w:sz w:val="17"/>
                <w:szCs w:val="17"/>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10.35</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260" w:type="dxa"/>
            <w:vAlign w:val="bottom"/>
            <w:tcBorders>
              <w:bottom w:val="single" w:sz="8" w:color="0000FF"/>
            </w:tcBorders>
            <w:gridSpan w:val="28"/>
          </w:tcPr>
          <w:p>
            <w:pPr>
              <w:spacing w:after="0"/>
              <w:rPr>
                <w:rFonts w:ascii="Arial" w:cs="Arial" w:eastAsia="Arial" w:hAnsi="Arial"/>
                <w:sz w:val="18"/>
                <w:szCs w:val="18"/>
                <w:color w:val="0000FF"/>
                <w:w w:val="88"/>
              </w:rPr>
            </w:pPr>
            <w:hyperlink r:id="rId58">
              <w:r>
                <w:rPr>
                  <w:rFonts w:ascii="Arial" w:cs="Arial" w:eastAsia="Arial" w:hAnsi="Arial"/>
                  <w:sz w:val="18"/>
                  <w:szCs w:val="18"/>
                  <w:color w:val="0000FF"/>
                  <w:w w:val="88"/>
                </w:rPr>
                <w:t>Second Amended and Restated Credit Agreement, dated as</w:t>
              </w:r>
            </w:hyperlink>
          </w:p>
        </w:tc>
        <w:tc>
          <w:tcPr>
            <w:tcW w:w="120" w:type="dxa"/>
            <w:vAlign w:val="bottom"/>
            <w:gridSpan w:val="4"/>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60" w:type="dxa"/>
            <w:vAlign w:val="bottom"/>
            <w:tcBorders>
              <w:bottom w:val="single" w:sz="8" w:color="0000FF"/>
            </w:tcBorders>
            <w:gridSpan w:val="25"/>
          </w:tcPr>
          <w:p>
            <w:pPr>
              <w:spacing w:after="0" w:line="196" w:lineRule="exact"/>
              <w:rPr>
                <w:rFonts w:ascii="Arial" w:cs="Arial" w:eastAsia="Arial" w:hAnsi="Arial"/>
                <w:sz w:val="18"/>
                <w:szCs w:val="18"/>
                <w:color w:val="0000FF"/>
                <w:w w:val="89"/>
              </w:rPr>
            </w:pPr>
            <w:hyperlink r:id="rId58">
              <w:r>
                <w:rPr>
                  <w:rFonts w:ascii="Arial" w:cs="Arial" w:eastAsia="Arial" w:hAnsi="Arial"/>
                  <w:sz w:val="18"/>
                  <w:szCs w:val="18"/>
                  <w:color w:val="0000FF"/>
                  <w:w w:val="89"/>
                </w:rPr>
                <w:t>of October 17, 2011, by and among the Company, each of</w:t>
              </w:r>
            </w:hyperlink>
          </w:p>
        </w:tc>
        <w:tc>
          <w:tcPr>
            <w:tcW w:w="220" w:type="dxa"/>
            <w:vAlign w:val="bottom"/>
            <w:gridSpan w:val="7"/>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20" w:type="dxa"/>
            <w:vAlign w:val="bottom"/>
            <w:tcBorders>
              <w:bottom w:val="single" w:sz="8" w:color="0000FF"/>
            </w:tcBorders>
            <w:gridSpan w:val="26"/>
          </w:tcPr>
          <w:p>
            <w:pPr>
              <w:spacing w:after="0" w:line="196" w:lineRule="exact"/>
              <w:rPr>
                <w:rFonts w:ascii="Arial" w:cs="Arial" w:eastAsia="Arial" w:hAnsi="Arial"/>
                <w:sz w:val="18"/>
                <w:szCs w:val="18"/>
                <w:color w:val="0000FF"/>
                <w:w w:val="89"/>
              </w:rPr>
            </w:pPr>
            <w:hyperlink r:id="rId58">
              <w:r>
                <w:rPr>
                  <w:rFonts w:ascii="Arial" w:cs="Arial" w:eastAsia="Arial" w:hAnsi="Arial"/>
                  <w:sz w:val="18"/>
                  <w:szCs w:val="18"/>
                  <w:color w:val="0000FF"/>
                  <w:w w:val="89"/>
                </w:rPr>
                <w:t>its Subsidiaries identified on the signature pages thereto as</w:t>
              </w:r>
            </w:hyperlink>
          </w:p>
        </w:tc>
        <w:tc>
          <w:tcPr>
            <w:tcW w:w="160" w:type="dxa"/>
            <w:vAlign w:val="bottom"/>
            <w:gridSpan w:val="6"/>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740" w:type="dxa"/>
            <w:vAlign w:val="bottom"/>
            <w:tcBorders>
              <w:bottom w:val="single" w:sz="8" w:color="0000FF"/>
            </w:tcBorders>
            <w:gridSpan w:val="16"/>
          </w:tcPr>
          <w:p>
            <w:pPr>
              <w:spacing w:after="0" w:line="196" w:lineRule="exact"/>
              <w:rPr>
                <w:rFonts w:ascii="Arial" w:cs="Arial" w:eastAsia="Arial" w:hAnsi="Arial"/>
                <w:sz w:val="18"/>
                <w:szCs w:val="18"/>
                <w:color w:val="0000FF"/>
                <w:w w:val="90"/>
              </w:rPr>
            </w:pPr>
            <w:hyperlink r:id="rId58">
              <w:r>
                <w:rPr>
                  <w:rFonts w:ascii="Arial" w:cs="Arial" w:eastAsia="Arial" w:hAnsi="Arial"/>
                  <w:sz w:val="18"/>
                  <w:szCs w:val="18"/>
                  <w:color w:val="0000FF"/>
                  <w:w w:val="90"/>
                </w:rPr>
                <w:t>Borrowers, each of its Subsidiaries identified on the</w:t>
              </w:r>
            </w:hyperlink>
          </w:p>
        </w:tc>
        <w:tc>
          <w:tcPr>
            <w:tcW w:w="640" w:type="dxa"/>
            <w:vAlign w:val="bottom"/>
            <w:gridSpan w:val="16"/>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2"/>
          </w:tcPr>
          <w:p>
            <w:pPr>
              <w:spacing w:after="0" w:line="196" w:lineRule="exact"/>
              <w:rPr>
                <w:rFonts w:ascii="Arial" w:cs="Arial" w:eastAsia="Arial" w:hAnsi="Arial"/>
                <w:sz w:val="18"/>
                <w:szCs w:val="18"/>
                <w:color w:val="0000FF"/>
                <w:w w:val="95"/>
              </w:rPr>
            </w:pPr>
            <w:hyperlink r:id="rId58">
              <w:r>
                <w:rPr>
                  <w:rFonts w:ascii="Arial" w:cs="Arial" w:eastAsia="Arial" w:hAnsi="Arial"/>
                  <w:sz w:val="18"/>
                  <w:szCs w:val="18"/>
                  <w:color w:val="0000FF"/>
                  <w:w w:val="95"/>
                </w:rPr>
                <w:t>signature pages thereto as Guarantors, the lender parties</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20" w:type="dxa"/>
            <w:vAlign w:val="bottom"/>
            <w:tcBorders>
              <w:top w:val="single" w:sz="8" w:color="0000FF"/>
            </w:tcBorders>
            <w:gridSpan w:val="22"/>
          </w:tcPr>
          <w:p>
            <w:pPr>
              <w:spacing w:after="0" w:line="196" w:lineRule="exact"/>
              <w:rPr>
                <w:rFonts w:ascii="Arial" w:cs="Arial" w:eastAsia="Arial" w:hAnsi="Arial"/>
                <w:sz w:val="18"/>
                <w:szCs w:val="18"/>
                <w:color w:val="0000FF"/>
              </w:rPr>
            </w:pPr>
            <w:hyperlink r:id="rId58">
              <w:r>
                <w:rPr>
                  <w:rFonts w:ascii="Arial" w:cs="Arial" w:eastAsia="Arial" w:hAnsi="Arial"/>
                  <w:sz w:val="18"/>
                  <w:szCs w:val="18"/>
                  <w:color w:val="0000FF"/>
                </w:rPr>
                <w:t>thereto, and Wells Fargo Capital Finance, Inc., as</w:t>
              </w:r>
            </w:hyperlink>
          </w:p>
        </w:tc>
        <w:tc>
          <w:tcPr>
            <w:tcW w:w="360" w:type="dxa"/>
            <w:vAlign w:val="bottom"/>
            <w:gridSpan w:val="10"/>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60" w:type="dxa"/>
            <w:vAlign w:val="bottom"/>
            <w:tcBorders>
              <w:top w:val="single" w:sz="8" w:color="0000FF"/>
              <w:bottom w:val="single" w:sz="8" w:color="0000FF"/>
            </w:tcBorders>
            <w:gridSpan w:val="3"/>
          </w:tcPr>
          <w:p>
            <w:pPr>
              <w:spacing w:after="0" w:line="196" w:lineRule="exact"/>
              <w:rPr>
                <w:rFonts w:ascii="Arial" w:cs="Arial" w:eastAsia="Arial" w:hAnsi="Arial"/>
                <w:sz w:val="18"/>
                <w:szCs w:val="18"/>
                <w:color w:val="0000FF"/>
                <w:w w:val="89"/>
              </w:rPr>
            </w:pPr>
            <w:hyperlink r:id="rId58">
              <w:r>
                <w:rPr>
                  <w:rFonts w:ascii="Arial" w:cs="Arial" w:eastAsia="Arial" w:hAnsi="Arial"/>
                  <w:sz w:val="18"/>
                  <w:szCs w:val="18"/>
                  <w:color w:val="0000FF"/>
                  <w:w w:val="89"/>
                </w:rPr>
                <w:t>administrative agent</w:t>
              </w:r>
            </w:hyperlink>
          </w:p>
        </w:tc>
        <w:tc>
          <w:tcPr>
            <w:tcW w:w="2080" w:type="dxa"/>
            <w:vAlign w:val="bottom"/>
            <w:tcBorders>
              <w:top w:val="single" w:sz="8" w:color="0000FF"/>
            </w:tcBorders>
            <w:gridSpan w:val="12"/>
          </w:tcPr>
          <w:p>
            <w:pPr>
              <w:spacing w:after="0"/>
              <w:rPr>
                <w:sz w:val="17"/>
                <w:szCs w:val="17"/>
                <w:color w:val="auto"/>
              </w:rPr>
            </w:pPr>
          </w:p>
        </w:tc>
        <w:tc>
          <w:tcPr>
            <w:tcW w:w="840" w:type="dxa"/>
            <w:vAlign w:val="bottom"/>
            <w:gridSpan w:val="17"/>
          </w:tcPr>
          <w:p>
            <w:pPr>
              <w:spacing w:after="0"/>
              <w:rPr>
                <w:sz w:val="17"/>
                <w:szCs w:val="17"/>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10.36</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2"/>
          </w:tcPr>
          <w:p>
            <w:pPr>
              <w:spacing w:after="0"/>
              <w:rPr>
                <w:rFonts w:ascii="Arial" w:cs="Arial" w:eastAsia="Arial" w:hAnsi="Arial"/>
                <w:sz w:val="18"/>
                <w:szCs w:val="18"/>
                <w:color w:val="0000FF"/>
                <w:w w:val="92"/>
              </w:rPr>
            </w:pPr>
            <w:hyperlink r:id="rId59">
              <w:r>
                <w:rPr>
                  <w:rFonts w:ascii="Arial" w:cs="Arial" w:eastAsia="Arial" w:hAnsi="Arial"/>
                  <w:sz w:val="18"/>
                  <w:szCs w:val="18"/>
                  <w:color w:val="0000FF"/>
                  <w:w w:val="92"/>
                </w:rPr>
                <w:t>First Amendment to Second Amended and Restated Credit</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20" w:type="dxa"/>
            <w:vAlign w:val="bottom"/>
            <w:tcBorders>
              <w:top w:val="single" w:sz="8" w:color="0000FF"/>
            </w:tcBorders>
            <w:gridSpan w:val="26"/>
          </w:tcPr>
          <w:p>
            <w:pPr>
              <w:spacing w:after="0" w:line="196" w:lineRule="exact"/>
              <w:rPr>
                <w:rFonts w:ascii="Arial" w:cs="Arial" w:eastAsia="Arial" w:hAnsi="Arial"/>
                <w:sz w:val="18"/>
                <w:szCs w:val="18"/>
                <w:color w:val="0000FF"/>
              </w:rPr>
            </w:pPr>
            <w:hyperlink r:id="rId59">
              <w:r>
                <w:rPr>
                  <w:rFonts w:ascii="Arial" w:cs="Arial" w:eastAsia="Arial" w:hAnsi="Arial"/>
                  <w:sz w:val="18"/>
                  <w:szCs w:val="18"/>
                  <w:color w:val="0000FF"/>
                </w:rPr>
                <w:t>Agreement, dated June 12, 2013</w:t>
              </w:r>
            </w:hyperlink>
          </w:p>
        </w:tc>
        <w:tc>
          <w:tcPr>
            <w:tcW w:w="160" w:type="dxa"/>
            <w:vAlign w:val="bottom"/>
            <w:gridSpan w:val="6"/>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540" w:type="dxa"/>
            <w:vAlign w:val="bottom"/>
            <w:tcBorders>
              <w:right w:val="single" w:sz="8" w:color="0000FF"/>
            </w:tcBorders>
            <w:gridSpan w:val="2"/>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40" w:type="dxa"/>
            <w:vAlign w:val="bottom"/>
            <w:gridSpan w:val="2"/>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10.37</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940" w:type="dxa"/>
            <w:vAlign w:val="bottom"/>
            <w:tcBorders>
              <w:bottom w:val="single" w:sz="8" w:color="0000FF"/>
            </w:tcBorders>
            <w:gridSpan w:val="20"/>
          </w:tcPr>
          <w:p>
            <w:pPr>
              <w:spacing w:after="0"/>
              <w:rPr>
                <w:rFonts w:ascii="Arial" w:cs="Arial" w:eastAsia="Arial" w:hAnsi="Arial"/>
                <w:sz w:val="18"/>
                <w:szCs w:val="18"/>
                <w:color w:val="0000FF"/>
                <w:w w:val="88"/>
              </w:rPr>
            </w:pPr>
            <w:hyperlink r:id="rId60">
              <w:r>
                <w:rPr>
                  <w:rFonts w:ascii="Arial" w:cs="Arial" w:eastAsia="Arial" w:hAnsi="Arial"/>
                  <w:sz w:val="18"/>
                  <w:szCs w:val="18"/>
                  <w:color w:val="0000FF"/>
                  <w:w w:val="88"/>
                </w:rPr>
                <w:t>Second Amendment to Second Amended and Restated</w:t>
              </w:r>
            </w:hyperlink>
          </w:p>
        </w:tc>
        <w:tc>
          <w:tcPr>
            <w:tcW w:w="440" w:type="dxa"/>
            <w:vAlign w:val="bottom"/>
            <w:gridSpan w:val="12"/>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2"/>
          </w:tcPr>
          <w:p>
            <w:pPr>
              <w:spacing w:after="0" w:line="196" w:lineRule="exact"/>
              <w:rPr>
                <w:rFonts w:ascii="Arial" w:cs="Arial" w:eastAsia="Arial" w:hAnsi="Arial"/>
                <w:sz w:val="18"/>
                <w:szCs w:val="18"/>
                <w:color w:val="0000FF"/>
              </w:rPr>
            </w:pPr>
            <w:hyperlink r:id="rId60">
              <w:r>
                <w:rPr>
                  <w:rFonts w:ascii="Arial" w:cs="Arial" w:eastAsia="Arial" w:hAnsi="Arial"/>
                  <w:sz w:val="18"/>
                  <w:szCs w:val="18"/>
                  <w:color w:val="0000FF"/>
                </w:rPr>
                <w:t>Credit Agreement, dated April 28, 2014</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540" w:type="dxa"/>
            <w:vAlign w:val="bottom"/>
            <w:tcBorders>
              <w:right w:val="single" w:sz="8" w:color="0000FF"/>
            </w:tcBorders>
            <w:gridSpan w:val="2"/>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100" w:type="dxa"/>
            <w:vAlign w:val="bottom"/>
            <w:gridSpan w:val="3"/>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10.38</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20" w:type="dxa"/>
            <w:vAlign w:val="bottom"/>
            <w:tcBorders>
              <w:bottom w:val="single" w:sz="8" w:color="0000FF"/>
            </w:tcBorders>
            <w:gridSpan w:val="31"/>
          </w:tcPr>
          <w:p>
            <w:pPr>
              <w:spacing w:after="0"/>
              <w:rPr>
                <w:rFonts w:ascii="Arial" w:cs="Arial" w:eastAsia="Arial" w:hAnsi="Arial"/>
                <w:sz w:val="18"/>
                <w:szCs w:val="18"/>
                <w:color w:val="0000FF"/>
                <w:w w:val="90"/>
              </w:rPr>
            </w:pPr>
            <w:hyperlink r:id="rId61">
              <w:r>
                <w:rPr>
                  <w:rFonts w:ascii="Arial" w:cs="Arial" w:eastAsia="Arial" w:hAnsi="Arial"/>
                  <w:sz w:val="18"/>
                  <w:szCs w:val="18"/>
                  <w:color w:val="0000FF"/>
                  <w:w w:val="90"/>
                </w:rPr>
                <w:t>Third Amendment to Second Amended and Restated Credit</w:t>
              </w:r>
            </w:hyperlink>
          </w:p>
        </w:tc>
        <w:tc>
          <w:tcPr>
            <w:tcW w:w="60" w:type="dxa"/>
            <w:vAlign w:val="bottom"/>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520" w:type="dxa"/>
            <w:vAlign w:val="bottom"/>
            <w:tcBorders>
              <w:bottom w:val="single" w:sz="8" w:color="0000FF"/>
            </w:tcBorders>
            <w:gridSpan w:val="9"/>
          </w:tcPr>
          <w:p>
            <w:pPr>
              <w:spacing w:after="0" w:line="196" w:lineRule="exact"/>
              <w:rPr>
                <w:rFonts w:ascii="Arial" w:cs="Arial" w:eastAsia="Arial" w:hAnsi="Arial"/>
                <w:sz w:val="18"/>
                <w:szCs w:val="18"/>
                <w:color w:val="0000FF"/>
                <w:w w:val="89"/>
              </w:rPr>
            </w:pPr>
            <w:hyperlink r:id="rId61">
              <w:r>
                <w:rPr>
                  <w:rFonts w:ascii="Arial" w:cs="Arial" w:eastAsia="Arial" w:hAnsi="Arial"/>
                  <w:sz w:val="18"/>
                  <w:szCs w:val="18"/>
                  <w:color w:val="0000FF"/>
                  <w:w w:val="89"/>
                </w:rPr>
                <w:t>Agreement, dated August 18, 2014</w:t>
              </w:r>
            </w:hyperlink>
          </w:p>
        </w:tc>
        <w:tc>
          <w:tcPr>
            <w:tcW w:w="1860" w:type="dxa"/>
            <w:vAlign w:val="bottom"/>
            <w:gridSpan w:val="23"/>
          </w:tcPr>
          <w:p>
            <w:pPr>
              <w:spacing w:after="0"/>
              <w:rPr>
                <w:sz w:val="17"/>
                <w:szCs w:val="17"/>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10.39</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2"/>
          </w:tcPr>
          <w:p>
            <w:pPr>
              <w:spacing w:after="0"/>
              <w:rPr>
                <w:rFonts w:ascii="Arial" w:cs="Arial" w:eastAsia="Arial" w:hAnsi="Arial"/>
                <w:sz w:val="18"/>
                <w:szCs w:val="18"/>
                <w:color w:val="0000FF"/>
              </w:rPr>
            </w:pPr>
            <w:hyperlink r:id="rId62">
              <w:r>
                <w:rPr>
                  <w:rFonts w:ascii="Arial" w:cs="Arial" w:eastAsia="Arial" w:hAnsi="Arial"/>
                  <w:sz w:val="18"/>
                  <w:szCs w:val="18"/>
                  <w:color w:val="0000FF"/>
                </w:rPr>
                <w:t>Fourth Amendment to Second Amended and Restated</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80" w:type="dxa"/>
            <w:vAlign w:val="bottom"/>
            <w:tcBorders>
              <w:top w:val="single" w:sz="8" w:color="0000FF"/>
            </w:tcBorders>
            <w:gridSpan w:val="19"/>
          </w:tcPr>
          <w:p>
            <w:pPr>
              <w:spacing w:after="0" w:line="196" w:lineRule="exact"/>
              <w:rPr>
                <w:rFonts w:ascii="Arial" w:cs="Arial" w:eastAsia="Arial" w:hAnsi="Arial"/>
                <w:sz w:val="18"/>
                <w:szCs w:val="18"/>
                <w:color w:val="0000FF"/>
              </w:rPr>
            </w:pPr>
            <w:hyperlink r:id="rId62">
              <w:r>
                <w:rPr>
                  <w:rFonts w:ascii="Arial" w:cs="Arial" w:eastAsia="Arial" w:hAnsi="Arial"/>
                  <w:sz w:val="18"/>
                  <w:szCs w:val="18"/>
                  <w:color w:val="0000FF"/>
                </w:rPr>
                <w:t>Credit Agreement, May 21, 2015</w:t>
              </w:r>
            </w:hyperlink>
          </w:p>
        </w:tc>
        <w:tc>
          <w:tcPr>
            <w:tcW w:w="500" w:type="dxa"/>
            <w:vAlign w:val="bottom"/>
            <w:gridSpan w:val="13"/>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540" w:type="dxa"/>
            <w:vAlign w:val="bottom"/>
            <w:tcBorders>
              <w:right w:val="single" w:sz="8" w:color="0000FF"/>
            </w:tcBorders>
            <w:gridSpan w:val="2"/>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100" w:type="dxa"/>
            <w:vAlign w:val="bottom"/>
            <w:gridSpan w:val="3"/>
            <w:shd w:val="clear" w:color="auto" w:fill="0000FF"/>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10.40</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2"/>
          </w:tcPr>
          <w:p>
            <w:pPr>
              <w:spacing w:after="0"/>
              <w:rPr>
                <w:rFonts w:ascii="Arial" w:cs="Arial" w:eastAsia="Arial" w:hAnsi="Arial"/>
                <w:sz w:val="18"/>
                <w:szCs w:val="18"/>
                <w:color w:val="0000FF"/>
                <w:w w:val="92"/>
              </w:rPr>
            </w:pPr>
            <w:hyperlink r:id="rId63">
              <w:r>
                <w:rPr>
                  <w:rFonts w:ascii="Arial" w:cs="Arial" w:eastAsia="Arial" w:hAnsi="Arial"/>
                  <w:sz w:val="18"/>
                  <w:szCs w:val="18"/>
                  <w:color w:val="0000FF"/>
                  <w:w w:val="92"/>
                </w:rPr>
                <w:t>Fifth Amendment to Second Amended and Restated Credit</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640" w:type="dxa"/>
            <w:vAlign w:val="bottom"/>
            <w:tcBorders>
              <w:top w:val="single" w:sz="8" w:color="0000FF"/>
              <w:bottom w:val="single" w:sz="8" w:color="0000FF"/>
            </w:tcBorders>
            <w:gridSpan w:val="10"/>
          </w:tcPr>
          <w:p>
            <w:pPr>
              <w:spacing w:after="0" w:line="196" w:lineRule="exact"/>
              <w:rPr>
                <w:rFonts w:ascii="Arial" w:cs="Arial" w:eastAsia="Arial" w:hAnsi="Arial"/>
                <w:sz w:val="18"/>
                <w:szCs w:val="18"/>
                <w:color w:val="0000FF"/>
                <w:w w:val="88"/>
              </w:rPr>
            </w:pPr>
            <w:hyperlink r:id="rId63">
              <w:r>
                <w:rPr>
                  <w:rFonts w:ascii="Arial" w:cs="Arial" w:eastAsia="Arial" w:hAnsi="Arial"/>
                  <w:sz w:val="18"/>
                  <w:szCs w:val="18"/>
                  <w:color w:val="0000FF"/>
                  <w:w w:val="88"/>
                </w:rPr>
                <w:t>Agreement, dated February 11, 2016</w:t>
              </w:r>
            </w:hyperlink>
          </w:p>
        </w:tc>
        <w:tc>
          <w:tcPr>
            <w:tcW w:w="1600" w:type="dxa"/>
            <w:vAlign w:val="bottom"/>
            <w:tcBorders>
              <w:top w:val="single" w:sz="8" w:color="0000FF"/>
            </w:tcBorders>
            <w:gridSpan w:val="17"/>
          </w:tcPr>
          <w:p>
            <w:pPr>
              <w:spacing w:after="0"/>
              <w:rPr>
                <w:sz w:val="17"/>
                <w:szCs w:val="17"/>
                <w:color w:val="auto"/>
              </w:rPr>
            </w:pPr>
          </w:p>
        </w:tc>
        <w:tc>
          <w:tcPr>
            <w:tcW w:w="140" w:type="dxa"/>
            <w:vAlign w:val="bottom"/>
            <w:gridSpan w:val="5"/>
          </w:tcPr>
          <w:p>
            <w:pPr>
              <w:spacing w:after="0"/>
              <w:rPr>
                <w:sz w:val="17"/>
                <w:szCs w:val="17"/>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10.41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00" w:type="dxa"/>
            <w:vAlign w:val="bottom"/>
            <w:tcBorders>
              <w:bottom w:val="single" w:sz="8" w:color="0000FF"/>
            </w:tcBorders>
            <w:gridSpan w:val="30"/>
          </w:tcPr>
          <w:p>
            <w:pPr>
              <w:spacing w:after="0"/>
              <w:rPr>
                <w:rFonts w:ascii="Arial" w:cs="Arial" w:eastAsia="Arial" w:hAnsi="Arial"/>
                <w:sz w:val="18"/>
                <w:szCs w:val="18"/>
                <w:color w:val="0000FF"/>
                <w:w w:val="90"/>
              </w:rPr>
            </w:pPr>
            <w:hyperlink r:id="rId64">
              <w:r>
                <w:rPr>
                  <w:rFonts w:ascii="Arial" w:cs="Arial" w:eastAsia="Arial" w:hAnsi="Arial"/>
                  <w:sz w:val="18"/>
                  <w:szCs w:val="18"/>
                  <w:color w:val="0000FF"/>
                  <w:w w:val="90"/>
                </w:rPr>
                <w:t>Sixth Amendment to Second Amended and Restated Credit</w:t>
              </w:r>
            </w:hyperlink>
          </w:p>
        </w:tc>
        <w:tc>
          <w:tcPr>
            <w:tcW w:w="80" w:type="dxa"/>
            <w:vAlign w:val="bottom"/>
            <w:gridSpan w:val="2"/>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2"/>
          </w:tcPr>
          <w:p>
            <w:pPr>
              <w:spacing w:after="0" w:line="196" w:lineRule="exact"/>
              <w:rPr>
                <w:rFonts w:ascii="Arial" w:cs="Arial" w:eastAsia="Arial" w:hAnsi="Arial"/>
                <w:sz w:val="18"/>
                <w:szCs w:val="18"/>
                <w:color w:val="0000FF"/>
              </w:rPr>
            </w:pPr>
            <w:hyperlink r:id="rId64">
              <w:r>
                <w:rPr>
                  <w:rFonts w:ascii="Arial" w:cs="Arial" w:eastAsia="Arial" w:hAnsi="Arial"/>
                  <w:sz w:val="18"/>
                  <w:szCs w:val="18"/>
                  <w:color w:val="0000FF"/>
                </w:rPr>
                <w:t>Agreement, dated April 8, 2016</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540" w:type="dxa"/>
            <w:vAlign w:val="bottom"/>
            <w:tcBorders>
              <w:right w:val="single" w:sz="8" w:color="0000FF"/>
            </w:tcBorders>
            <w:gridSpan w:val="2"/>
            <w:shd w:val="clear" w:color="auto" w:fill="0000FF"/>
          </w:tcPr>
          <w:p>
            <w:pPr>
              <w:spacing w:after="0" w:line="20" w:lineRule="exact"/>
              <w:rPr>
                <w:sz w:val="1"/>
                <w:szCs w:val="1"/>
                <w:color w:val="auto"/>
              </w:rPr>
            </w:pPr>
          </w:p>
        </w:tc>
        <w:tc>
          <w:tcPr>
            <w:tcW w:w="480" w:type="dxa"/>
            <w:vAlign w:val="bottom"/>
            <w:shd w:val="clear" w:color="auto" w:fill="0000FF"/>
          </w:tcPr>
          <w:p>
            <w:pPr>
              <w:spacing w:after="0" w:line="20" w:lineRule="exact"/>
              <w:rPr>
                <w:sz w:val="1"/>
                <w:szCs w:val="1"/>
                <w:color w:val="auto"/>
              </w:rPr>
            </w:pPr>
          </w:p>
        </w:tc>
        <w:tc>
          <w:tcPr>
            <w:tcW w:w="940" w:type="dxa"/>
            <w:vAlign w:val="bottom"/>
            <w:gridSpan w:val="7"/>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20" w:type="dxa"/>
            <w:vAlign w:val="bottom"/>
            <w:gridSpan w:val="5"/>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10.42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2"/>
          </w:tcPr>
          <w:p>
            <w:pPr>
              <w:spacing w:after="0"/>
              <w:rPr>
                <w:rFonts w:ascii="Arial" w:cs="Arial" w:eastAsia="Arial" w:hAnsi="Arial"/>
                <w:sz w:val="18"/>
                <w:szCs w:val="18"/>
                <w:color w:val="0000FF"/>
                <w:w w:val="97"/>
              </w:rPr>
            </w:pPr>
            <w:hyperlink r:id="rId65">
              <w:r>
                <w:rPr>
                  <w:rFonts w:ascii="Arial" w:cs="Arial" w:eastAsia="Arial" w:hAnsi="Arial"/>
                  <w:sz w:val="18"/>
                  <w:szCs w:val="18"/>
                  <w:color w:val="0000FF"/>
                  <w:w w:val="97"/>
                </w:rPr>
                <w:t>Seventh Amendment to Second Amended and Restated</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80" w:type="dxa"/>
            <w:vAlign w:val="bottom"/>
            <w:tcBorders>
              <w:top w:val="single" w:sz="8" w:color="0000FF"/>
            </w:tcBorders>
            <w:gridSpan w:val="21"/>
          </w:tcPr>
          <w:p>
            <w:pPr>
              <w:spacing w:after="0" w:line="196" w:lineRule="exact"/>
              <w:rPr>
                <w:rFonts w:ascii="Arial" w:cs="Arial" w:eastAsia="Arial" w:hAnsi="Arial"/>
                <w:sz w:val="18"/>
                <w:szCs w:val="18"/>
                <w:color w:val="0000FF"/>
              </w:rPr>
            </w:pPr>
            <w:hyperlink r:id="rId65">
              <w:r>
                <w:rPr>
                  <w:rFonts w:ascii="Arial" w:cs="Arial" w:eastAsia="Arial" w:hAnsi="Arial"/>
                  <w:sz w:val="18"/>
                  <w:szCs w:val="18"/>
                  <w:color w:val="0000FF"/>
                </w:rPr>
                <w:t>Credit Agreement, dated December 22, 2017</w:t>
              </w:r>
            </w:hyperlink>
          </w:p>
        </w:tc>
        <w:tc>
          <w:tcPr>
            <w:tcW w:w="400" w:type="dxa"/>
            <w:vAlign w:val="bottom"/>
            <w:gridSpan w:val="11"/>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540" w:type="dxa"/>
            <w:vAlign w:val="bottom"/>
            <w:tcBorders>
              <w:right w:val="single" w:sz="8" w:color="0000FF"/>
            </w:tcBorders>
            <w:gridSpan w:val="2"/>
            <w:shd w:val="clear" w:color="auto" w:fill="0000FF"/>
          </w:tcPr>
          <w:p>
            <w:pPr>
              <w:spacing w:after="0" w:line="20" w:lineRule="exact"/>
              <w:rPr>
                <w:sz w:val="1"/>
                <w:szCs w:val="1"/>
                <w:color w:val="auto"/>
              </w:rPr>
            </w:pPr>
          </w:p>
        </w:tc>
        <w:tc>
          <w:tcPr>
            <w:tcW w:w="1420" w:type="dxa"/>
            <w:vAlign w:val="bottom"/>
            <w:gridSpan w:val="8"/>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gridSpan w:val="5"/>
          </w:tcPr>
          <w:p>
            <w:pPr>
              <w:spacing w:after="0" w:line="20" w:lineRule="exact"/>
              <w:rPr>
                <w:sz w:val="1"/>
                <w:szCs w:val="1"/>
                <w:color w:val="auto"/>
              </w:rPr>
            </w:pPr>
          </w:p>
        </w:tc>
        <w:tc>
          <w:tcPr>
            <w:tcW w:w="220" w:type="dxa"/>
            <w:vAlign w:val="bottom"/>
            <w:gridSpan w:val="5"/>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10.43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320" w:type="dxa"/>
            <w:vAlign w:val="bottom"/>
            <w:tcBorders>
              <w:bottom w:val="single" w:sz="8" w:color="0000FF"/>
            </w:tcBorders>
            <w:gridSpan w:val="13"/>
          </w:tcPr>
          <w:p>
            <w:pPr>
              <w:spacing w:after="0"/>
              <w:rPr>
                <w:rFonts w:ascii="Arial" w:cs="Arial" w:eastAsia="Arial" w:hAnsi="Arial"/>
                <w:sz w:val="18"/>
                <w:szCs w:val="18"/>
                <w:color w:val="0000FF"/>
                <w:w w:val="90"/>
              </w:rPr>
            </w:pPr>
            <w:hyperlink r:id="rId66">
              <w:r>
                <w:rPr>
                  <w:rFonts w:ascii="Arial" w:cs="Arial" w:eastAsia="Arial" w:hAnsi="Arial"/>
                  <w:sz w:val="18"/>
                  <w:szCs w:val="18"/>
                  <w:color w:val="0000FF"/>
                  <w:w w:val="90"/>
                </w:rPr>
                <w:t>Xbox 360 Publisher License Agreement dated</w:t>
              </w:r>
            </w:hyperlink>
          </w:p>
        </w:tc>
        <w:tc>
          <w:tcPr>
            <w:tcW w:w="1060" w:type="dxa"/>
            <w:vAlign w:val="bottom"/>
            <w:gridSpan w:val="19"/>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60" w:type="dxa"/>
            <w:vAlign w:val="bottom"/>
            <w:tcBorders>
              <w:bottom w:val="single" w:sz="8" w:color="0000FF"/>
            </w:tcBorders>
            <w:gridSpan w:val="28"/>
          </w:tcPr>
          <w:p>
            <w:pPr>
              <w:spacing w:after="0" w:line="196" w:lineRule="exact"/>
              <w:rPr>
                <w:rFonts w:ascii="Arial" w:cs="Arial" w:eastAsia="Arial" w:hAnsi="Arial"/>
                <w:sz w:val="18"/>
                <w:szCs w:val="18"/>
                <w:color w:val="0000FF"/>
                <w:w w:val="90"/>
              </w:rPr>
            </w:pPr>
            <w:hyperlink r:id="rId66">
              <w:r>
                <w:rPr>
                  <w:rFonts w:ascii="Arial" w:cs="Arial" w:eastAsia="Arial" w:hAnsi="Arial"/>
                  <w:sz w:val="18"/>
                  <w:szCs w:val="18"/>
                  <w:color w:val="0000FF"/>
                  <w:w w:val="90"/>
                </w:rPr>
                <w:t>November 17, 2005, between Microsoft Licensing, GP and</w:t>
              </w:r>
            </w:hyperlink>
          </w:p>
        </w:tc>
        <w:tc>
          <w:tcPr>
            <w:tcW w:w="120" w:type="dxa"/>
            <w:vAlign w:val="bottom"/>
            <w:gridSpan w:val="4"/>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2"/>
          </w:tcPr>
          <w:p>
            <w:pPr>
              <w:spacing w:after="0" w:line="196" w:lineRule="exact"/>
              <w:rPr>
                <w:rFonts w:ascii="Arial" w:cs="Arial" w:eastAsia="Arial" w:hAnsi="Arial"/>
                <w:sz w:val="18"/>
                <w:szCs w:val="18"/>
                <w:color w:val="0000FF"/>
              </w:rPr>
            </w:pPr>
            <w:hyperlink r:id="rId66">
              <w:r>
                <w:rPr>
                  <w:rFonts w:ascii="Arial" w:cs="Arial" w:eastAsia="Arial" w:hAnsi="Arial"/>
                  <w:sz w:val="18"/>
                  <w:szCs w:val="18"/>
                  <w:color w:val="0000FF"/>
                </w:rPr>
                <w:t>the Company</w:t>
              </w:r>
              <w:r>
                <w:rPr>
                  <w:rFonts w:ascii="Arial" w:cs="Arial" w:eastAsia="Arial" w:hAnsi="Arial"/>
                  <w:sz w:val="18"/>
                  <w:szCs w:val="18"/>
                  <w:color w:val="000000"/>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shd w:val="clear" w:color="auto" w:fill="0000FF"/>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040" w:type="dxa"/>
            <w:vAlign w:val="bottom"/>
            <w:gridSpan w:val="1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gridSpan w:val="5"/>
          </w:tcPr>
          <w:p>
            <w:pPr>
              <w:spacing w:after="0" w:line="20" w:lineRule="exact"/>
              <w:rPr>
                <w:sz w:val="1"/>
                <w:szCs w:val="1"/>
                <w:color w:val="auto"/>
              </w:rPr>
            </w:pPr>
          </w:p>
        </w:tc>
        <w:tc>
          <w:tcPr>
            <w:tcW w:w="280" w:type="dxa"/>
            <w:vAlign w:val="bottom"/>
            <w:gridSpan w:val="8"/>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10.44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32"/>
          </w:tcPr>
          <w:p>
            <w:pPr>
              <w:spacing w:after="0"/>
              <w:rPr>
                <w:rFonts w:ascii="Arial" w:cs="Arial" w:eastAsia="Arial" w:hAnsi="Arial"/>
                <w:sz w:val="18"/>
                <w:szCs w:val="18"/>
                <w:color w:val="0000FF"/>
                <w:w w:val="98"/>
              </w:rPr>
            </w:pPr>
            <w:hyperlink r:id="rId67">
              <w:r>
                <w:rPr>
                  <w:rFonts w:ascii="Arial" w:cs="Arial" w:eastAsia="Arial" w:hAnsi="Arial"/>
                  <w:sz w:val="18"/>
                  <w:szCs w:val="18"/>
                  <w:color w:val="0000FF"/>
                  <w:w w:val="98"/>
                </w:rPr>
                <w:t>Amendment to Xbox 360 Publisher License Agreement,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2"/>
            <w:shd w:val="clear" w:color="auto" w:fill="0000FF"/>
          </w:tcPr>
          <w:p>
            <w:pPr>
              <w:spacing w:after="0" w:line="20" w:lineRule="exact"/>
              <w:rPr>
                <w:sz w:val="1"/>
                <w:szCs w:val="1"/>
                <w:color w:val="auto"/>
              </w:rPr>
            </w:pPr>
          </w:p>
        </w:tc>
        <w:tc>
          <w:tcPr>
            <w:tcW w:w="540" w:type="dxa"/>
            <w:vAlign w:val="bottom"/>
            <w:tcBorders>
              <w:right w:val="single" w:sz="8" w:color="0000FF"/>
            </w:tcBorders>
            <w:gridSpan w:val="2"/>
            <w:shd w:val="clear" w:color="auto" w:fill="0000FF"/>
          </w:tcPr>
          <w:p>
            <w:pPr>
              <w:spacing w:after="0" w:line="20" w:lineRule="exact"/>
              <w:rPr>
                <w:sz w:val="1"/>
                <w:szCs w:val="1"/>
                <w:color w:val="auto"/>
              </w:rPr>
            </w:pPr>
          </w:p>
        </w:tc>
        <w:tc>
          <w:tcPr>
            <w:tcW w:w="2040" w:type="dxa"/>
            <w:vAlign w:val="bottom"/>
            <w:gridSpan w:val="13"/>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80" w:type="dxa"/>
            <w:vAlign w:val="bottom"/>
            <w:gridSpan w:val="5"/>
            <w:shd w:val="clear" w:color="auto" w:fill="0000FF"/>
          </w:tcPr>
          <w:p>
            <w:pPr>
              <w:spacing w:after="0" w:line="20" w:lineRule="exact"/>
              <w:rPr>
                <w:sz w:val="1"/>
                <w:szCs w:val="1"/>
                <w:color w:val="auto"/>
              </w:rPr>
            </w:pPr>
          </w:p>
        </w:tc>
        <w:tc>
          <w:tcPr>
            <w:tcW w:w="280" w:type="dxa"/>
            <w:vAlign w:val="bottom"/>
            <w:gridSpan w:val="8"/>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80" w:type="dxa"/>
            <w:vAlign w:val="bottom"/>
            <w:tcBorders>
              <w:bottom w:val="single" w:sz="8" w:color="0000FF"/>
            </w:tcBorders>
            <w:gridSpan w:val="29"/>
          </w:tcPr>
          <w:p>
            <w:pPr>
              <w:spacing w:after="0" w:line="196" w:lineRule="exact"/>
              <w:rPr>
                <w:rFonts w:ascii="Arial" w:cs="Arial" w:eastAsia="Arial" w:hAnsi="Arial"/>
                <w:sz w:val="18"/>
                <w:szCs w:val="18"/>
                <w:color w:val="0000FF"/>
                <w:w w:val="90"/>
              </w:rPr>
            </w:pPr>
            <w:hyperlink r:id="rId67">
              <w:r>
                <w:rPr>
                  <w:rFonts w:ascii="Arial" w:cs="Arial" w:eastAsia="Arial" w:hAnsi="Arial"/>
                  <w:sz w:val="18"/>
                  <w:szCs w:val="18"/>
                  <w:color w:val="0000FF"/>
                  <w:w w:val="90"/>
                </w:rPr>
                <w:t>dated December 4, 2008, between Microsoft Licensing, GP</w:t>
              </w:r>
            </w:hyperlink>
          </w:p>
        </w:tc>
        <w:tc>
          <w:tcPr>
            <w:tcW w:w="100" w:type="dxa"/>
            <w:vAlign w:val="bottom"/>
            <w:gridSpan w:val="3"/>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2"/>
          </w:tcPr>
          <w:p>
            <w:pPr>
              <w:spacing w:after="0" w:line="196" w:lineRule="exact"/>
              <w:rPr>
                <w:rFonts w:ascii="Arial" w:cs="Arial" w:eastAsia="Arial" w:hAnsi="Arial"/>
                <w:sz w:val="18"/>
                <w:szCs w:val="18"/>
                <w:color w:val="0000FF"/>
              </w:rPr>
            </w:pPr>
            <w:hyperlink r:id="rId67">
              <w:r>
                <w:rPr>
                  <w:rFonts w:ascii="Arial" w:cs="Arial" w:eastAsia="Arial" w:hAnsi="Arial"/>
                  <w:sz w:val="18"/>
                  <w:szCs w:val="18"/>
                  <w:color w:val="0000FF"/>
                </w:rPr>
                <w:t>and the Company</w:t>
              </w:r>
              <w:r>
                <w:rPr>
                  <w:rFonts w:ascii="Arial" w:cs="Arial" w:eastAsia="Arial" w:hAnsi="Arial"/>
                  <w:sz w:val="18"/>
                  <w:szCs w:val="18"/>
                  <w:color w:val="000000"/>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gridSpan w:val="2"/>
            <w:shd w:val="clear" w:color="auto" w:fill="0000FF"/>
          </w:tcPr>
          <w:p>
            <w:pPr>
              <w:spacing w:after="0" w:line="20" w:lineRule="exact"/>
              <w:rPr>
                <w:sz w:val="1"/>
                <w:szCs w:val="1"/>
                <w:color w:val="auto"/>
              </w:rPr>
            </w:pPr>
          </w:p>
        </w:tc>
        <w:tc>
          <w:tcPr>
            <w:tcW w:w="540" w:type="dxa"/>
            <w:vAlign w:val="bottom"/>
            <w:gridSpan w:val="2"/>
          </w:tcPr>
          <w:p>
            <w:pPr>
              <w:spacing w:after="0" w:line="20" w:lineRule="exact"/>
              <w:rPr>
                <w:sz w:val="1"/>
                <w:szCs w:val="1"/>
                <w:color w:val="auto"/>
              </w:rPr>
            </w:pPr>
          </w:p>
        </w:tc>
        <w:tc>
          <w:tcPr>
            <w:tcW w:w="2040" w:type="dxa"/>
            <w:vAlign w:val="bottom"/>
            <w:gridSpan w:val="1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60" w:type="dxa"/>
            <w:vAlign w:val="bottom"/>
            <w:gridSpan w:val="1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10.45</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20" w:type="dxa"/>
            <w:vAlign w:val="bottom"/>
            <w:tcBorders>
              <w:bottom w:val="single" w:sz="8" w:color="0000FF"/>
            </w:tcBorders>
            <w:gridSpan w:val="31"/>
          </w:tcPr>
          <w:p>
            <w:pPr>
              <w:spacing w:after="0"/>
              <w:rPr>
                <w:rFonts w:ascii="Arial" w:cs="Arial" w:eastAsia="Arial" w:hAnsi="Arial"/>
                <w:sz w:val="18"/>
                <w:szCs w:val="18"/>
                <w:color w:val="0000FF"/>
                <w:w w:val="90"/>
              </w:rPr>
            </w:pPr>
            <w:hyperlink r:id="rId68">
              <w:r>
                <w:rPr>
                  <w:rFonts w:ascii="Arial" w:cs="Arial" w:eastAsia="Arial" w:hAnsi="Arial"/>
                  <w:sz w:val="18"/>
                  <w:szCs w:val="18"/>
                  <w:color w:val="0000FF"/>
                  <w:w w:val="90"/>
                </w:rPr>
                <w:t>Amendment to the Xbox 360 Publisher License Agreement,</w:t>
              </w:r>
            </w:hyperlink>
          </w:p>
        </w:tc>
        <w:tc>
          <w:tcPr>
            <w:tcW w:w="60" w:type="dxa"/>
            <w:vAlign w:val="bottom"/>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2"/>
          </w:tcPr>
          <w:p>
            <w:pPr>
              <w:spacing w:after="0" w:line="196" w:lineRule="exact"/>
              <w:rPr>
                <w:rFonts w:ascii="Arial" w:cs="Arial" w:eastAsia="Arial" w:hAnsi="Arial"/>
                <w:sz w:val="18"/>
                <w:szCs w:val="18"/>
                <w:color w:val="0000FF"/>
              </w:rPr>
            </w:pPr>
            <w:hyperlink r:id="rId68">
              <w:r>
                <w:rPr>
                  <w:rFonts w:ascii="Arial" w:cs="Arial" w:eastAsia="Arial" w:hAnsi="Arial"/>
                  <w:sz w:val="18"/>
                  <w:szCs w:val="18"/>
                  <w:color w:val="0000FF"/>
                </w:rPr>
                <w:t>dated November 22, 2011, between the Company and</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60" w:type="dxa"/>
            <w:vAlign w:val="bottom"/>
            <w:tcBorders>
              <w:top w:val="single" w:sz="8" w:color="0000FF"/>
            </w:tcBorders>
            <w:gridSpan w:val="18"/>
          </w:tcPr>
          <w:p>
            <w:pPr>
              <w:spacing w:after="0" w:line="196" w:lineRule="exact"/>
              <w:rPr>
                <w:rFonts w:ascii="Arial" w:cs="Arial" w:eastAsia="Arial" w:hAnsi="Arial"/>
                <w:sz w:val="18"/>
                <w:szCs w:val="18"/>
                <w:color w:val="0000FF"/>
              </w:rPr>
            </w:pPr>
            <w:hyperlink r:id="rId68">
              <w:r>
                <w:rPr>
                  <w:rFonts w:ascii="Arial" w:cs="Arial" w:eastAsia="Arial" w:hAnsi="Arial"/>
                  <w:sz w:val="18"/>
                  <w:szCs w:val="18"/>
                  <w:color w:val="0000FF"/>
                </w:rPr>
                <w:t>Microsoft Licensing, GP</w:t>
              </w:r>
              <w:r>
                <w:rPr>
                  <w:rFonts w:ascii="Arial" w:cs="Arial" w:eastAsia="Arial" w:hAnsi="Arial"/>
                  <w:sz w:val="18"/>
                  <w:szCs w:val="18"/>
                  <w:color w:val="000000"/>
                </w:rPr>
                <w:t>*</w:t>
              </w:r>
            </w:hyperlink>
          </w:p>
        </w:tc>
        <w:tc>
          <w:tcPr>
            <w:tcW w:w="520" w:type="dxa"/>
            <w:vAlign w:val="bottom"/>
            <w:gridSpan w:val="14"/>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0" w:type="dxa"/>
            <w:vAlign w:val="bottom"/>
            <w:tcBorders>
              <w:right w:val="single" w:sz="8" w:color="0000FF"/>
            </w:tcBorders>
            <w:gridSpan w:val="4"/>
            <w:shd w:val="clear" w:color="auto" w:fill="0000FF"/>
          </w:tcPr>
          <w:p>
            <w:pPr>
              <w:spacing w:after="0" w:line="20" w:lineRule="exact"/>
              <w:rPr>
                <w:sz w:val="1"/>
                <w:szCs w:val="1"/>
                <w:color w:val="auto"/>
              </w:rPr>
            </w:pPr>
          </w:p>
        </w:tc>
        <w:tc>
          <w:tcPr>
            <w:tcW w:w="2040" w:type="dxa"/>
            <w:vAlign w:val="bottom"/>
            <w:gridSpan w:val="1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520" w:type="dxa"/>
            <w:vAlign w:val="bottom"/>
            <w:gridSpan w:val="14"/>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10.46</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20" w:type="dxa"/>
            <w:vAlign w:val="bottom"/>
            <w:tcBorders>
              <w:bottom w:val="single" w:sz="8" w:color="0000FF"/>
            </w:tcBorders>
            <w:gridSpan w:val="31"/>
          </w:tcPr>
          <w:p>
            <w:pPr>
              <w:spacing w:after="0"/>
              <w:rPr>
                <w:rFonts w:ascii="Arial" w:cs="Arial" w:eastAsia="Arial" w:hAnsi="Arial"/>
                <w:sz w:val="18"/>
                <w:szCs w:val="18"/>
                <w:color w:val="0000FF"/>
                <w:w w:val="90"/>
              </w:rPr>
            </w:pPr>
            <w:hyperlink r:id="rId69">
              <w:r>
                <w:rPr>
                  <w:rFonts w:ascii="Arial" w:cs="Arial" w:eastAsia="Arial" w:hAnsi="Arial"/>
                  <w:sz w:val="18"/>
                  <w:szCs w:val="18"/>
                  <w:color w:val="0000FF"/>
                  <w:w w:val="90"/>
                </w:rPr>
                <w:t>Amendment to the Xbox 360 Publisher License Agreement,</w:t>
              </w:r>
            </w:hyperlink>
          </w:p>
        </w:tc>
        <w:tc>
          <w:tcPr>
            <w:tcW w:w="60" w:type="dxa"/>
            <w:vAlign w:val="bottom"/>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2"/>
          </w:tcPr>
          <w:p>
            <w:pPr>
              <w:spacing w:after="0" w:line="196" w:lineRule="exact"/>
              <w:rPr>
                <w:rFonts w:ascii="Arial" w:cs="Arial" w:eastAsia="Arial" w:hAnsi="Arial"/>
                <w:sz w:val="18"/>
                <w:szCs w:val="18"/>
                <w:color w:val="0000FF"/>
              </w:rPr>
            </w:pPr>
            <w:hyperlink r:id="rId69">
              <w:r>
                <w:rPr>
                  <w:rFonts w:ascii="Arial" w:cs="Arial" w:eastAsia="Arial" w:hAnsi="Arial"/>
                  <w:sz w:val="18"/>
                  <w:szCs w:val="18"/>
                  <w:color w:val="0000FF"/>
                </w:rPr>
                <w:t>dated December 11, 2012, between the Company and</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40" w:type="dxa"/>
            <w:vAlign w:val="bottom"/>
            <w:tcBorders>
              <w:top w:val="single" w:sz="8" w:color="0000FF"/>
            </w:tcBorders>
            <w:gridSpan w:val="17"/>
          </w:tcPr>
          <w:p>
            <w:pPr>
              <w:spacing w:after="0" w:line="196" w:lineRule="exact"/>
              <w:rPr>
                <w:rFonts w:ascii="Arial" w:cs="Arial" w:eastAsia="Arial" w:hAnsi="Arial"/>
                <w:sz w:val="18"/>
                <w:szCs w:val="18"/>
                <w:color w:val="0000FF"/>
              </w:rPr>
            </w:pPr>
            <w:hyperlink r:id="rId69">
              <w:r>
                <w:rPr>
                  <w:rFonts w:ascii="Arial" w:cs="Arial" w:eastAsia="Arial" w:hAnsi="Arial"/>
                  <w:sz w:val="18"/>
                  <w:szCs w:val="18"/>
                  <w:color w:val="0000FF"/>
                </w:rPr>
                <w:t>Microsoft Licensing, GP</w:t>
              </w:r>
              <w:r>
                <w:rPr>
                  <w:rFonts w:ascii="Arial" w:cs="Arial" w:eastAsia="Arial" w:hAnsi="Arial"/>
                  <w:sz w:val="18"/>
                  <w:szCs w:val="18"/>
                  <w:color w:val="000000"/>
                </w:rPr>
                <w:t>*</w:t>
              </w:r>
            </w:hyperlink>
          </w:p>
        </w:tc>
        <w:tc>
          <w:tcPr>
            <w:tcW w:w="540" w:type="dxa"/>
            <w:vAlign w:val="bottom"/>
            <w:gridSpan w:val="15"/>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0" w:type="dxa"/>
            <w:vAlign w:val="bottom"/>
            <w:tcBorders>
              <w:right w:val="single" w:sz="8" w:color="0000FF"/>
            </w:tcBorders>
            <w:gridSpan w:val="4"/>
            <w:shd w:val="clear" w:color="auto" w:fill="0000FF"/>
          </w:tcPr>
          <w:p>
            <w:pPr>
              <w:spacing w:after="0" w:line="20" w:lineRule="exact"/>
              <w:rPr>
                <w:sz w:val="1"/>
                <w:szCs w:val="1"/>
                <w:color w:val="auto"/>
              </w:rPr>
            </w:pPr>
          </w:p>
        </w:tc>
        <w:tc>
          <w:tcPr>
            <w:tcW w:w="2060" w:type="dxa"/>
            <w:vAlign w:val="bottom"/>
            <w:gridSpan w:val="14"/>
          </w:tcPr>
          <w:p>
            <w:pPr>
              <w:spacing w:after="0" w:line="20" w:lineRule="exact"/>
              <w:rPr>
                <w:sz w:val="1"/>
                <w:szCs w:val="1"/>
                <w:color w:val="auto"/>
              </w:rPr>
            </w:pPr>
          </w:p>
        </w:tc>
        <w:tc>
          <w:tcPr>
            <w:tcW w:w="520" w:type="dxa"/>
            <w:vAlign w:val="bottom"/>
            <w:gridSpan w:val="14"/>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10.47</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20" w:type="dxa"/>
            <w:vAlign w:val="bottom"/>
            <w:tcBorders>
              <w:bottom w:val="single" w:sz="8" w:color="0000FF"/>
            </w:tcBorders>
            <w:gridSpan w:val="31"/>
          </w:tcPr>
          <w:p>
            <w:pPr>
              <w:spacing w:after="0"/>
              <w:rPr>
                <w:rFonts w:ascii="Arial" w:cs="Arial" w:eastAsia="Arial" w:hAnsi="Arial"/>
                <w:sz w:val="18"/>
                <w:szCs w:val="18"/>
                <w:color w:val="0000FF"/>
                <w:w w:val="90"/>
              </w:rPr>
            </w:pPr>
            <w:hyperlink r:id="rId70">
              <w:r>
                <w:rPr>
                  <w:rFonts w:ascii="Arial" w:cs="Arial" w:eastAsia="Arial" w:hAnsi="Arial"/>
                  <w:sz w:val="18"/>
                  <w:szCs w:val="18"/>
                  <w:color w:val="0000FF"/>
                  <w:w w:val="90"/>
                </w:rPr>
                <w:t>Amendment to the Xbox 360 Publisher License Agreement,</w:t>
              </w:r>
            </w:hyperlink>
          </w:p>
        </w:tc>
        <w:tc>
          <w:tcPr>
            <w:tcW w:w="60" w:type="dxa"/>
            <w:vAlign w:val="bottom"/>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32"/>
          </w:tcPr>
          <w:p>
            <w:pPr>
              <w:spacing w:after="0" w:line="196" w:lineRule="exact"/>
              <w:rPr>
                <w:rFonts w:ascii="Arial" w:cs="Arial" w:eastAsia="Arial" w:hAnsi="Arial"/>
                <w:sz w:val="18"/>
                <w:szCs w:val="18"/>
                <w:color w:val="0000FF"/>
              </w:rPr>
            </w:pPr>
            <w:hyperlink r:id="rId70">
              <w:r>
                <w:rPr>
                  <w:rFonts w:ascii="Arial" w:cs="Arial" w:eastAsia="Arial" w:hAnsi="Arial"/>
                  <w:sz w:val="18"/>
                  <w:szCs w:val="18"/>
                  <w:color w:val="0000FF"/>
                </w:rPr>
                <w:t>dated November 13, 2013, between the Company and</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860" w:type="dxa"/>
            <w:vAlign w:val="bottom"/>
            <w:tcBorders>
              <w:top w:val="single" w:sz="8" w:color="0000FF"/>
            </w:tcBorders>
            <w:gridSpan w:val="18"/>
          </w:tcPr>
          <w:p>
            <w:pPr>
              <w:spacing w:after="0" w:line="196" w:lineRule="exact"/>
              <w:rPr>
                <w:rFonts w:ascii="Arial" w:cs="Arial" w:eastAsia="Arial" w:hAnsi="Arial"/>
                <w:sz w:val="18"/>
                <w:szCs w:val="18"/>
                <w:color w:val="0000FF"/>
              </w:rPr>
            </w:pPr>
            <w:hyperlink r:id="rId70">
              <w:r>
                <w:rPr>
                  <w:rFonts w:ascii="Arial" w:cs="Arial" w:eastAsia="Arial" w:hAnsi="Arial"/>
                  <w:sz w:val="18"/>
                  <w:szCs w:val="18"/>
                  <w:color w:val="0000FF"/>
                </w:rPr>
                <w:t>Microsoft Licensing, GP</w:t>
              </w:r>
              <w:r>
                <w:rPr>
                  <w:rFonts w:ascii="Arial" w:cs="Arial" w:eastAsia="Arial" w:hAnsi="Arial"/>
                  <w:sz w:val="18"/>
                  <w:szCs w:val="18"/>
                  <w:color w:val="000000"/>
                </w:rPr>
                <w:t>*</w:t>
              </w:r>
            </w:hyperlink>
          </w:p>
        </w:tc>
        <w:tc>
          <w:tcPr>
            <w:tcW w:w="520" w:type="dxa"/>
            <w:vAlign w:val="bottom"/>
            <w:gridSpan w:val="14"/>
          </w:tcPr>
          <w:p>
            <w:pPr>
              <w:spacing w:after="0"/>
              <w:rPr>
                <w:sz w:val="17"/>
                <w:szCs w:val="17"/>
                <w:color w:val="auto"/>
              </w:rPr>
            </w:pPr>
          </w:p>
        </w:tc>
      </w:tr>
      <w:tr>
        <w:trPr>
          <w:trHeight w:val="507"/>
        </w:trPr>
        <w:tc>
          <w:tcPr>
            <w:tcW w:w="1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0" w:type="dxa"/>
            <w:vAlign w:val="bottom"/>
            <w:tcBorders>
              <w:top w:val="single" w:sz="8" w:color="0000FF"/>
            </w:tcBorders>
            <w:gridSpan w:val="4"/>
          </w:tcPr>
          <w:p>
            <w:pPr>
              <w:spacing w:after="0"/>
              <w:rPr>
                <w:sz w:val="24"/>
                <w:szCs w:val="24"/>
                <w:color w:val="auto"/>
              </w:rPr>
            </w:pPr>
          </w:p>
        </w:tc>
        <w:tc>
          <w:tcPr>
            <w:tcW w:w="2040" w:type="dxa"/>
            <w:vAlign w:val="bottom"/>
            <w:gridSpan w:val="13"/>
          </w:tcPr>
          <w:p>
            <w:pPr>
              <w:jc w:val="right"/>
              <w:ind w:right="100"/>
              <w:spacing w:after="0"/>
              <w:rPr>
                <w:sz w:val="20"/>
                <w:szCs w:val="20"/>
                <w:color w:val="auto"/>
              </w:rPr>
            </w:pPr>
            <w:r>
              <w:rPr>
                <w:rFonts w:ascii="Arial" w:cs="Arial" w:eastAsia="Arial" w:hAnsi="Arial"/>
                <w:sz w:val="18"/>
                <w:szCs w:val="18"/>
                <w:color w:val="auto"/>
              </w:rPr>
              <w:t>46</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br w:type="column"/>
      </w:r>
    </w:p>
    <w:p>
      <w:pPr>
        <w:jc w:val="center"/>
        <w:ind w:right="20"/>
        <w:spacing w:after="0"/>
        <w:rPr>
          <w:sz w:val="20"/>
          <w:szCs w:val="20"/>
          <w:color w:val="auto"/>
        </w:rPr>
      </w:pPr>
      <w:r>
        <w:rPr>
          <w:rFonts w:ascii="Arial" w:cs="Arial" w:eastAsia="Arial" w:hAnsi="Arial"/>
          <w:sz w:val="14"/>
          <w:szCs w:val="14"/>
          <w:b w:val="1"/>
          <w:bCs w:val="1"/>
          <w:color w:val="auto"/>
        </w:rPr>
        <w:t>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66675</wp:posOffset>
            </wp:positionV>
            <wp:extent cx="273558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extLst>
                    </a:blip>
                    <a:srcRect/>
                    <a:stretch>
                      <a:fillRect/>
                    </a:stretch>
                  </pic:blipFill>
                  <pic:spPr bwMode="auto">
                    <a:xfrm>
                      <a:off x="0" y="0"/>
                      <a:ext cx="2735580" cy="8890"/>
                    </a:xfrm>
                    <a:prstGeom prst="rect">
                      <a:avLst/>
                    </a:prstGeom>
                    <a:noFill/>
                  </pic:spPr>
                </pic:pic>
              </a:graphicData>
            </a:graphic>
          </wp:anchor>
        </w:drawing>
      </w:r>
    </w:p>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Form</w:t>
            </w:r>
          </w:p>
        </w:tc>
        <w:tc>
          <w:tcPr>
            <w:tcW w:w="120" w:type="dxa"/>
            <w:vAlign w:val="bottom"/>
            <w:vMerge w:val="restart"/>
          </w:tcPr>
          <w:p>
            <w:pPr>
              <w:spacing w:after="0"/>
              <w:rPr>
                <w:sz w:val="14"/>
                <w:szCs w:val="14"/>
                <w:color w:val="auto"/>
              </w:rPr>
            </w:pPr>
          </w:p>
        </w:tc>
        <w:tc>
          <w:tcPr>
            <w:tcW w:w="11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Filing Date</w:t>
            </w:r>
          </w:p>
        </w:tc>
        <w:tc>
          <w:tcPr>
            <w:tcW w:w="100" w:type="dxa"/>
            <w:vAlign w:val="bottom"/>
            <w:vMerge w:val="restart"/>
          </w:tcPr>
          <w:p>
            <w:pPr>
              <w:spacing w:after="0"/>
              <w:rPr>
                <w:sz w:val="14"/>
                <w:szCs w:val="14"/>
                <w:color w:val="auto"/>
              </w:rPr>
            </w:pP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Exhibit</w:t>
            </w:r>
          </w:p>
        </w:tc>
        <w:tc>
          <w:tcPr>
            <w:tcW w:w="120" w:type="dxa"/>
            <w:vAlign w:val="bottom"/>
            <w:vMerge w:val="restart"/>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1"/>
              </w:rPr>
              <w:t>Filed</w:t>
            </w:r>
          </w:p>
        </w:tc>
        <w:tc>
          <w:tcPr>
            <w:tcW w:w="0" w:type="dxa"/>
            <w:vAlign w:val="bottom"/>
          </w:tcPr>
          <w:p>
            <w:pPr>
              <w:spacing w:after="0"/>
              <w:rPr>
                <w:sz w:val="1"/>
                <w:szCs w:val="1"/>
                <w:color w:val="auto"/>
              </w:rPr>
            </w:pPr>
          </w:p>
        </w:tc>
      </w:tr>
      <w:tr>
        <w:trPr>
          <w:trHeight w:val="192"/>
        </w:trPr>
        <w:tc>
          <w:tcPr>
            <w:tcW w:w="9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Herewith</w:t>
            </w:r>
          </w:p>
        </w:tc>
        <w:tc>
          <w:tcPr>
            <w:tcW w:w="0" w:type="dxa"/>
            <w:vAlign w:val="bottom"/>
          </w:tcPr>
          <w:p>
            <w:pPr>
              <w:spacing w:after="0"/>
              <w:rPr>
                <w:sz w:val="1"/>
                <w:szCs w:val="1"/>
                <w:color w:val="auto"/>
              </w:rPr>
            </w:pPr>
          </w:p>
        </w:tc>
      </w:tr>
      <w:tr>
        <w:trPr>
          <w:trHeight w:val="243"/>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9"/>
              </w:rPr>
              <w:t>8-K</w:t>
            </w:r>
          </w:p>
        </w:tc>
        <w:tc>
          <w:tcPr>
            <w:tcW w:w="1120" w:type="dxa"/>
            <w:vAlign w:val="bottom"/>
          </w:tcPr>
          <w:p>
            <w:pPr>
              <w:jc w:val="right"/>
              <w:ind w:right="179"/>
              <w:spacing w:after="0"/>
              <w:rPr>
                <w:sz w:val="20"/>
                <w:szCs w:val="20"/>
                <w:color w:val="auto"/>
              </w:rPr>
            </w:pPr>
            <w:r>
              <w:rPr>
                <w:rFonts w:ascii="Arial" w:cs="Arial" w:eastAsia="Arial" w:hAnsi="Arial"/>
                <w:sz w:val="18"/>
                <w:szCs w:val="18"/>
                <w:color w:val="auto"/>
              </w:rPr>
              <w:t>7/9/2007</w:t>
            </w:r>
          </w:p>
        </w:tc>
        <w:tc>
          <w:tcPr>
            <w:tcW w:w="100" w:type="dxa"/>
            <w:vAlign w:val="bottom"/>
          </w:tcPr>
          <w:p>
            <w:pPr>
              <w:spacing w:after="0"/>
              <w:rPr>
                <w:sz w:val="21"/>
                <w:szCs w:val="21"/>
                <w:color w:val="auto"/>
              </w:rPr>
            </w:pPr>
          </w:p>
        </w:tc>
        <w:tc>
          <w:tcPr>
            <w:tcW w:w="1020" w:type="dxa"/>
            <w:vAlign w:val="bottom"/>
          </w:tcPr>
          <w:p>
            <w:pPr>
              <w:jc w:val="right"/>
              <w:ind w:right="279"/>
              <w:spacing w:after="0"/>
              <w:rPr>
                <w:sz w:val="20"/>
                <w:szCs w:val="20"/>
                <w:color w:val="auto"/>
              </w:rPr>
            </w:pPr>
            <w:r>
              <w:rPr>
                <w:rFonts w:ascii="Arial" w:cs="Arial" w:eastAsia="Arial" w:hAnsi="Arial"/>
                <w:sz w:val="18"/>
                <w:szCs w:val="18"/>
                <w:color w:val="auto"/>
              </w:rPr>
              <w:t>10.2</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320"/>
        <w:spacing w:after="0"/>
        <w:tabs>
          <w:tab w:leader="none" w:pos="1160" w:val="left"/>
          <w:tab w:leader="none" w:pos="2580" w:val="left"/>
        </w:tabs>
        <w:rPr>
          <w:sz w:val="20"/>
          <w:szCs w:val="20"/>
          <w:color w:val="auto"/>
        </w:rPr>
      </w:pPr>
      <w:r>
        <w:rPr>
          <w:rFonts w:ascii="Arial" w:cs="Arial" w:eastAsia="Arial" w:hAnsi="Arial"/>
          <w:sz w:val="18"/>
          <w:szCs w:val="18"/>
          <w:color w:val="auto"/>
        </w:rPr>
        <w:t>8-K</w:t>
      </w:r>
      <w:r>
        <w:rPr>
          <w:sz w:val="20"/>
          <w:szCs w:val="20"/>
          <w:color w:val="auto"/>
        </w:rPr>
        <w:tab/>
      </w:r>
      <w:r>
        <w:rPr>
          <w:rFonts w:ascii="Arial" w:cs="Arial" w:eastAsia="Arial" w:hAnsi="Arial"/>
          <w:sz w:val="18"/>
          <w:szCs w:val="18"/>
          <w:color w:val="auto"/>
        </w:rPr>
        <w:t>11/20/2007</w:t>
      </w:r>
      <w:r>
        <w:rPr>
          <w:sz w:val="20"/>
          <w:szCs w:val="20"/>
          <w:color w:val="auto"/>
        </w:rPr>
        <w:tab/>
      </w:r>
      <w:r>
        <w:rPr>
          <w:rFonts w:ascii="Arial" w:cs="Arial" w:eastAsia="Arial" w:hAnsi="Arial"/>
          <w:sz w:val="16"/>
          <w:szCs w:val="16"/>
          <w:color w:val="auto"/>
        </w:rPr>
        <w:t>99.2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320"/>
        <w:spacing w:after="0"/>
        <w:tabs>
          <w:tab w:leader="none" w:pos="1160" w:val="left"/>
          <w:tab w:leader="none" w:pos="2580" w:val="left"/>
        </w:tabs>
        <w:rPr>
          <w:sz w:val="20"/>
          <w:szCs w:val="20"/>
          <w:color w:val="auto"/>
        </w:rPr>
      </w:pPr>
      <w:r>
        <w:rPr>
          <w:rFonts w:ascii="Arial" w:cs="Arial" w:eastAsia="Arial" w:hAnsi="Arial"/>
          <w:sz w:val="18"/>
          <w:szCs w:val="18"/>
          <w:color w:val="auto"/>
        </w:rPr>
        <w:t>8-K</w:t>
      </w:r>
      <w:r>
        <w:rPr>
          <w:sz w:val="20"/>
          <w:szCs w:val="20"/>
          <w:color w:val="auto"/>
        </w:rPr>
        <w:tab/>
      </w:r>
      <w:r>
        <w:rPr>
          <w:rFonts w:ascii="Arial" w:cs="Arial" w:eastAsia="Arial" w:hAnsi="Arial"/>
          <w:sz w:val="18"/>
          <w:szCs w:val="18"/>
          <w:color w:val="auto"/>
        </w:rPr>
        <w:t>10/17/2011</w:t>
      </w:r>
      <w:r>
        <w:rPr>
          <w:sz w:val="20"/>
          <w:szCs w:val="20"/>
          <w:color w:val="auto"/>
        </w:rPr>
        <w:tab/>
      </w:r>
      <w:r>
        <w:rPr>
          <w:rFonts w:ascii="Arial" w:cs="Arial" w:eastAsia="Arial" w:hAnsi="Arial"/>
          <w:sz w:val="16"/>
          <w:szCs w:val="16"/>
          <w:color w:val="auto"/>
        </w:rPr>
        <w:t>10.1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660" w:type="dxa"/>
            <w:vAlign w:val="bottom"/>
          </w:tcPr>
          <w:p>
            <w:pPr>
              <w:jc w:val="center"/>
              <w:ind w:right="210"/>
              <w:spacing w:after="0"/>
              <w:rPr>
                <w:sz w:val="20"/>
                <w:szCs w:val="20"/>
                <w:color w:val="auto"/>
              </w:rPr>
            </w:pPr>
            <w:r>
              <w:rPr>
                <w:rFonts w:ascii="Arial" w:cs="Arial" w:eastAsia="Arial" w:hAnsi="Arial"/>
                <w:sz w:val="18"/>
                <w:szCs w:val="18"/>
                <w:color w:val="auto"/>
                <w:w w:val="94"/>
              </w:rPr>
              <w:t>10-K</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5/14/2014</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88"/>
              </w:rPr>
              <w:t>10.27</w:t>
            </w:r>
          </w:p>
        </w:tc>
      </w:tr>
      <w:tr>
        <w:trPr>
          <w:trHeight w:val="486"/>
        </w:trPr>
        <w:tc>
          <w:tcPr>
            <w:tcW w:w="660" w:type="dxa"/>
            <w:vAlign w:val="bottom"/>
          </w:tcPr>
          <w:p>
            <w:pPr>
              <w:jc w:val="center"/>
              <w:ind w:right="210"/>
              <w:spacing w:after="0"/>
              <w:rPr>
                <w:sz w:val="20"/>
                <w:szCs w:val="20"/>
                <w:color w:val="auto"/>
              </w:rPr>
            </w:pPr>
            <w:r>
              <w:rPr>
                <w:rFonts w:ascii="Arial" w:cs="Arial" w:eastAsia="Arial" w:hAnsi="Arial"/>
                <w:sz w:val="18"/>
                <w:szCs w:val="18"/>
                <w:color w:val="auto"/>
                <w:w w:val="94"/>
              </w:rPr>
              <w:t>10-K</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5/14/2014</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88"/>
              </w:rPr>
              <w:t>10.28</w:t>
            </w:r>
          </w:p>
        </w:tc>
      </w:tr>
      <w:tr>
        <w:trPr>
          <w:trHeight w:val="486"/>
        </w:trPr>
        <w:tc>
          <w:tcPr>
            <w:tcW w:w="660" w:type="dxa"/>
            <w:vAlign w:val="bottom"/>
          </w:tcPr>
          <w:p>
            <w:pPr>
              <w:jc w:val="center"/>
              <w:ind w:right="210"/>
              <w:spacing w:after="0"/>
              <w:rPr>
                <w:sz w:val="20"/>
                <w:szCs w:val="20"/>
                <w:color w:val="auto"/>
              </w:rPr>
            </w:pPr>
            <w:r>
              <w:rPr>
                <w:rFonts w:ascii="Arial" w:cs="Arial" w:eastAsia="Arial" w:hAnsi="Arial"/>
                <w:sz w:val="18"/>
                <w:szCs w:val="18"/>
                <w:color w:val="auto"/>
                <w:w w:val="99"/>
              </w:rPr>
              <w:t>8-K</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8/21/2014</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91"/>
              </w:rPr>
              <w:t>10.1</w:t>
            </w:r>
          </w:p>
        </w:tc>
      </w:tr>
      <w:tr>
        <w:trPr>
          <w:trHeight w:val="486"/>
        </w:trPr>
        <w:tc>
          <w:tcPr>
            <w:tcW w:w="660" w:type="dxa"/>
            <w:vAlign w:val="bottom"/>
          </w:tcPr>
          <w:p>
            <w:pPr>
              <w:jc w:val="center"/>
              <w:ind w:right="210"/>
              <w:spacing w:after="0"/>
              <w:rPr>
                <w:sz w:val="20"/>
                <w:szCs w:val="20"/>
                <w:color w:val="auto"/>
              </w:rPr>
            </w:pPr>
            <w:r>
              <w:rPr>
                <w:rFonts w:ascii="Arial" w:cs="Arial" w:eastAsia="Arial" w:hAnsi="Arial"/>
                <w:sz w:val="18"/>
                <w:szCs w:val="18"/>
                <w:color w:val="auto"/>
                <w:w w:val="94"/>
              </w:rPr>
              <w:t>10-K</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5/19/2016</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88"/>
              </w:rPr>
              <w:t>10.45</w:t>
            </w:r>
          </w:p>
        </w:tc>
      </w:tr>
      <w:tr>
        <w:trPr>
          <w:trHeight w:val="486"/>
        </w:trPr>
        <w:tc>
          <w:tcPr>
            <w:tcW w:w="660" w:type="dxa"/>
            <w:vAlign w:val="bottom"/>
          </w:tcPr>
          <w:p>
            <w:pPr>
              <w:jc w:val="center"/>
              <w:ind w:right="210"/>
              <w:spacing w:after="0"/>
              <w:rPr>
                <w:sz w:val="20"/>
                <w:szCs w:val="20"/>
                <w:color w:val="auto"/>
              </w:rPr>
            </w:pPr>
            <w:r>
              <w:rPr>
                <w:rFonts w:ascii="Arial" w:cs="Arial" w:eastAsia="Arial" w:hAnsi="Arial"/>
                <w:sz w:val="18"/>
                <w:szCs w:val="18"/>
                <w:color w:val="auto"/>
                <w:w w:val="99"/>
              </w:rPr>
              <w:t>8-K</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2/12/2016</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91"/>
              </w:rPr>
              <w:t>10.1</w:t>
            </w:r>
          </w:p>
        </w:tc>
      </w:tr>
      <w:tr>
        <w:trPr>
          <w:trHeight w:val="486"/>
        </w:trPr>
        <w:tc>
          <w:tcPr>
            <w:tcW w:w="660" w:type="dxa"/>
            <w:vAlign w:val="bottom"/>
          </w:tcPr>
          <w:p>
            <w:pPr>
              <w:jc w:val="center"/>
              <w:ind w:right="21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8/5/2016</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91"/>
              </w:rPr>
              <w:t>10.1</w:t>
            </w:r>
          </w:p>
        </w:tc>
      </w:tr>
      <w:tr>
        <w:trPr>
          <w:trHeight w:val="486"/>
        </w:trPr>
        <w:tc>
          <w:tcPr>
            <w:tcW w:w="660" w:type="dxa"/>
            <w:vAlign w:val="bottom"/>
          </w:tcPr>
          <w:p>
            <w:pPr>
              <w:jc w:val="center"/>
              <w:ind w:right="21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2/8/2018</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91"/>
              </w:rPr>
              <w:t>10.3</w:t>
            </w:r>
          </w:p>
        </w:tc>
      </w:tr>
      <w:tr>
        <w:trPr>
          <w:trHeight w:val="486"/>
        </w:trPr>
        <w:tc>
          <w:tcPr>
            <w:tcW w:w="660" w:type="dxa"/>
            <w:vAlign w:val="bottom"/>
          </w:tcPr>
          <w:p>
            <w:pPr>
              <w:jc w:val="center"/>
              <w:ind w:right="21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11/8/2011</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91"/>
              </w:rPr>
              <w:t>10.3</w:t>
            </w:r>
          </w:p>
        </w:tc>
      </w:tr>
      <w:tr>
        <w:trPr>
          <w:trHeight w:val="702"/>
        </w:trPr>
        <w:tc>
          <w:tcPr>
            <w:tcW w:w="660" w:type="dxa"/>
            <w:vAlign w:val="bottom"/>
          </w:tcPr>
          <w:p>
            <w:pPr>
              <w:jc w:val="center"/>
              <w:ind w:right="21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6/5/2009</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91"/>
              </w:rPr>
              <w:t>10.1</w:t>
            </w:r>
          </w:p>
        </w:tc>
      </w:tr>
      <w:tr>
        <w:trPr>
          <w:trHeight w:val="702"/>
        </w:trPr>
        <w:tc>
          <w:tcPr>
            <w:tcW w:w="660" w:type="dxa"/>
            <w:vAlign w:val="bottom"/>
          </w:tcPr>
          <w:p>
            <w:pPr>
              <w:jc w:val="center"/>
              <w:ind w:right="21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2/3/2012</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91"/>
              </w:rPr>
              <w:t>10.1</w:t>
            </w:r>
          </w:p>
        </w:tc>
      </w:tr>
      <w:tr>
        <w:trPr>
          <w:trHeight w:val="702"/>
        </w:trPr>
        <w:tc>
          <w:tcPr>
            <w:tcW w:w="660" w:type="dxa"/>
            <w:vAlign w:val="bottom"/>
          </w:tcPr>
          <w:p>
            <w:pPr>
              <w:jc w:val="center"/>
              <w:ind w:right="21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2/6/2013</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91"/>
              </w:rPr>
              <w:t>10.2</w:t>
            </w:r>
          </w:p>
        </w:tc>
      </w:tr>
      <w:tr>
        <w:trPr>
          <w:trHeight w:val="702"/>
        </w:trPr>
        <w:tc>
          <w:tcPr>
            <w:tcW w:w="660" w:type="dxa"/>
            <w:vAlign w:val="bottom"/>
          </w:tcPr>
          <w:p>
            <w:pPr>
              <w:jc w:val="center"/>
              <w:ind w:right="210"/>
              <w:spacing w:after="0"/>
              <w:rPr>
                <w:sz w:val="20"/>
                <w:szCs w:val="20"/>
                <w:color w:val="auto"/>
              </w:rPr>
            </w:pPr>
            <w:r>
              <w:rPr>
                <w:rFonts w:ascii="Arial" w:cs="Arial" w:eastAsia="Arial" w:hAnsi="Arial"/>
                <w:sz w:val="18"/>
                <w:szCs w:val="18"/>
                <w:color w:val="auto"/>
                <w:w w:val="89"/>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2/4/2014</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91"/>
              </w:rPr>
              <w:t>10.2</w:t>
            </w:r>
          </w:p>
        </w:tc>
      </w:tr>
    </w:tbl>
    <w:p>
      <w:pPr>
        <w:sectPr>
          <w:pgSz w:w="11900" w:h="16838" w:orient="portrait"/>
          <w:cols w:equalWidth="0" w:num="2">
            <w:col w:w="5860" w:space="100"/>
            <w:col w:w="4320"/>
          </w:cols>
          <w:pgMar w:left="820" w:top="738" w:right="799" w:bottom="1440" w:gutter="0" w:footer="0" w:header="0"/>
        </w:sectPr>
      </w:pPr>
    </w:p>
    <w:bookmarkStart w:id="48" w:name="page49"/>
    <w:bookmarkEnd w:id="48"/>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4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8"/>
              </w:rPr>
              <w:t>Exhibit Number</w:t>
            </w:r>
          </w:p>
        </w:tc>
        <w:tc>
          <w:tcPr>
            <w:tcW w:w="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3120" w:type="dxa"/>
            <w:vAlign w:val="bottom"/>
            <w:gridSpan w:val="24"/>
          </w:tcPr>
          <w:p>
            <w:pPr>
              <w:ind w:left="300"/>
              <w:spacing w:after="0"/>
              <w:rPr>
                <w:sz w:val="20"/>
                <w:szCs w:val="20"/>
                <w:color w:val="auto"/>
              </w:rPr>
            </w:pPr>
            <w:r>
              <w:rPr>
                <w:rFonts w:ascii="Arial" w:cs="Arial" w:eastAsia="Arial" w:hAnsi="Arial"/>
                <w:sz w:val="14"/>
                <w:szCs w:val="14"/>
                <w:b w:val="1"/>
                <w:bCs w:val="1"/>
                <w:color w:val="auto"/>
              </w:rPr>
              <w:t>Exhibit Description</w:t>
            </w:r>
          </w:p>
        </w:tc>
      </w:tr>
      <w:tr>
        <w:trPr>
          <w:trHeight w:val="202"/>
        </w:trPr>
        <w:tc>
          <w:tcPr>
            <w:tcW w:w="1340" w:type="dxa"/>
            <w:vAlign w:val="bottom"/>
            <w:tcBorders>
              <w:top w:val="single" w:sz="8" w:color="auto"/>
            </w:tcBorders>
          </w:tcPr>
          <w:p>
            <w:pPr>
              <w:jc w:val="center"/>
              <w:spacing w:after="0" w:line="202" w:lineRule="exact"/>
              <w:rPr>
                <w:sz w:val="20"/>
                <w:szCs w:val="20"/>
                <w:color w:val="auto"/>
              </w:rPr>
            </w:pPr>
            <w:r>
              <w:rPr>
                <w:rFonts w:ascii="Arial" w:cs="Arial" w:eastAsia="Arial" w:hAnsi="Arial"/>
                <w:sz w:val="18"/>
                <w:szCs w:val="18"/>
                <w:color w:val="auto"/>
                <w:w w:val="93"/>
              </w:rPr>
              <w:t>10.48</w:t>
            </w:r>
          </w:p>
        </w:tc>
        <w:tc>
          <w:tcPr>
            <w:tcW w:w="12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4320" w:type="dxa"/>
            <w:vAlign w:val="bottom"/>
            <w:tcBorders>
              <w:top w:val="single" w:sz="8" w:color="auto"/>
              <w:bottom w:val="single" w:sz="8" w:color="0000FF"/>
            </w:tcBorders>
            <w:gridSpan w:val="24"/>
          </w:tcPr>
          <w:p>
            <w:pPr>
              <w:spacing w:after="0" w:line="202" w:lineRule="exact"/>
              <w:rPr>
                <w:rFonts w:ascii="Arial" w:cs="Arial" w:eastAsia="Arial" w:hAnsi="Arial"/>
                <w:sz w:val="18"/>
                <w:szCs w:val="18"/>
                <w:color w:val="0000FF"/>
                <w:w w:val="90"/>
              </w:rPr>
            </w:pPr>
            <w:hyperlink r:id="rId72">
              <w:r>
                <w:rPr>
                  <w:rFonts w:ascii="Arial" w:cs="Arial" w:eastAsia="Arial" w:hAnsi="Arial"/>
                  <w:sz w:val="18"/>
                  <w:szCs w:val="18"/>
                  <w:color w:val="0000FF"/>
                  <w:w w:val="90"/>
                </w:rPr>
                <w:t>Amendment to the Xbox 360 Publisher License Agreement,</w:t>
              </w:r>
            </w:hyperlink>
          </w:p>
        </w:tc>
        <w:tc>
          <w:tcPr>
            <w:tcW w:w="60" w:type="dxa"/>
            <w:vAlign w:val="bottom"/>
            <w:tcBorders>
              <w:top w:val="single" w:sz="8" w:color="auto"/>
            </w:tcBorders>
            <w:gridSpan w:val="2"/>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40" w:type="dxa"/>
            <w:vAlign w:val="bottom"/>
            <w:tcBorders>
              <w:bottom w:val="single" w:sz="8" w:color="0000FF"/>
            </w:tcBorders>
            <w:gridSpan w:val="21"/>
          </w:tcPr>
          <w:p>
            <w:pPr>
              <w:spacing w:after="0" w:line="196" w:lineRule="exact"/>
              <w:rPr>
                <w:rFonts w:ascii="Arial" w:cs="Arial" w:eastAsia="Arial" w:hAnsi="Arial"/>
                <w:sz w:val="18"/>
                <w:szCs w:val="18"/>
                <w:color w:val="0000FF"/>
                <w:w w:val="90"/>
              </w:rPr>
            </w:pPr>
            <w:hyperlink r:id="rId72">
              <w:r>
                <w:rPr>
                  <w:rFonts w:ascii="Arial" w:cs="Arial" w:eastAsia="Arial" w:hAnsi="Arial"/>
                  <w:sz w:val="18"/>
                  <w:szCs w:val="18"/>
                  <w:color w:val="0000FF"/>
                  <w:w w:val="90"/>
                </w:rPr>
                <w:t>dated September 30, 2014, between Microsoft Corporation</w:t>
              </w:r>
            </w:hyperlink>
          </w:p>
        </w:tc>
        <w:tc>
          <w:tcPr>
            <w:tcW w:w="140" w:type="dxa"/>
            <w:vAlign w:val="bottom"/>
            <w:gridSpan w:val="5"/>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6"/>
          </w:tcPr>
          <w:p>
            <w:pPr>
              <w:spacing w:after="0" w:line="196" w:lineRule="exact"/>
              <w:rPr>
                <w:rFonts w:ascii="Arial" w:cs="Arial" w:eastAsia="Arial" w:hAnsi="Arial"/>
                <w:sz w:val="18"/>
                <w:szCs w:val="18"/>
                <w:color w:val="0000FF"/>
              </w:rPr>
            </w:pPr>
            <w:hyperlink r:id="rId72">
              <w:r>
                <w:rPr>
                  <w:rFonts w:ascii="Arial" w:cs="Arial" w:eastAsia="Arial" w:hAnsi="Arial"/>
                  <w:sz w:val="18"/>
                  <w:szCs w:val="18"/>
                  <w:color w:val="0000FF"/>
                </w:rPr>
                <w:t>and the Company</w:t>
              </w:r>
              <w:r>
                <w:rPr>
                  <w:rFonts w:ascii="Arial" w:cs="Arial" w:eastAsia="Arial" w:hAnsi="Arial"/>
                  <w:sz w:val="18"/>
                  <w:szCs w:val="18"/>
                  <w:color w:val="000000"/>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shd w:val="clear" w:color="auto" w:fill="0000FF"/>
          </w:tcPr>
          <w:p>
            <w:pPr>
              <w:spacing w:after="0" w:line="20" w:lineRule="exact"/>
              <w:rPr>
                <w:sz w:val="1"/>
                <w:szCs w:val="1"/>
                <w:color w:val="auto"/>
              </w:rPr>
            </w:pPr>
          </w:p>
        </w:tc>
        <w:tc>
          <w:tcPr>
            <w:tcW w:w="300" w:type="dxa"/>
            <w:vAlign w:val="bottom"/>
            <w:shd w:val="clear" w:color="auto" w:fill="0000FF"/>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10.49</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20" w:type="dxa"/>
            <w:vAlign w:val="bottom"/>
            <w:tcBorders>
              <w:bottom w:val="single" w:sz="8" w:color="0000FF"/>
            </w:tcBorders>
            <w:gridSpan w:val="24"/>
          </w:tcPr>
          <w:p>
            <w:pPr>
              <w:spacing w:after="0"/>
              <w:rPr>
                <w:rFonts w:ascii="Arial" w:cs="Arial" w:eastAsia="Arial" w:hAnsi="Arial"/>
                <w:sz w:val="18"/>
                <w:szCs w:val="18"/>
                <w:color w:val="0000FF"/>
                <w:w w:val="90"/>
              </w:rPr>
            </w:pPr>
            <w:hyperlink r:id="rId73">
              <w:r>
                <w:rPr>
                  <w:rFonts w:ascii="Arial" w:cs="Arial" w:eastAsia="Arial" w:hAnsi="Arial"/>
                  <w:sz w:val="18"/>
                  <w:szCs w:val="18"/>
                  <w:color w:val="0000FF"/>
                  <w:w w:val="90"/>
                </w:rPr>
                <w:t>Amendment to the Xbox 360 Publisher License Agreement,</w:t>
              </w:r>
            </w:hyperlink>
          </w:p>
        </w:tc>
        <w:tc>
          <w:tcPr>
            <w:tcW w:w="60" w:type="dxa"/>
            <w:vAlign w:val="bottom"/>
            <w:gridSpan w:val="2"/>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600" w:type="dxa"/>
            <w:vAlign w:val="bottom"/>
            <w:tcBorders>
              <w:bottom w:val="single" w:sz="8" w:color="0000FF"/>
            </w:tcBorders>
            <w:gridSpan w:val="8"/>
          </w:tcPr>
          <w:p>
            <w:pPr>
              <w:spacing w:after="0" w:line="196" w:lineRule="exact"/>
              <w:rPr>
                <w:rFonts w:ascii="Arial" w:cs="Arial" w:eastAsia="Arial" w:hAnsi="Arial"/>
                <w:sz w:val="18"/>
                <w:szCs w:val="18"/>
                <w:color w:val="0000FF"/>
                <w:w w:val="90"/>
              </w:rPr>
            </w:pPr>
            <w:hyperlink r:id="rId73">
              <w:r>
                <w:rPr>
                  <w:rFonts w:ascii="Arial" w:cs="Arial" w:eastAsia="Arial" w:hAnsi="Arial"/>
                  <w:sz w:val="18"/>
                  <w:szCs w:val="18"/>
                  <w:color w:val="0000FF"/>
                  <w:w w:val="90"/>
                </w:rPr>
                <w:t>signed on December 21, 2017, between Microsoft</w:t>
              </w:r>
            </w:hyperlink>
          </w:p>
        </w:tc>
        <w:tc>
          <w:tcPr>
            <w:tcW w:w="780" w:type="dxa"/>
            <w:vAlign w:val="bottom"/>
            <w:gridSpan w:val="18"/>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6"/>
          </w:tcPr>
          <w:p>
            <w:pPr>
              <w:spacing w:after="0" w:line="196" w:lineRule="exact"/>
              <w:rPr>
                <w:rFonts w:ascii="Arial" w:cs="Arial" w:eastAsia="Arial" w:hAnsi="Arial"/>
                <w:sz w:val="18"/>
                <w:szCs w:val="18"/>
                <w:color w:val="0000FF"/>
              </w:rPr>
            </w:pPr>
            <w:hyperlink r:id="rId73">
              <w:r>
                <w:rPr>
                  <w:rFonts w:ascii="Arial" w:cs="Arial" w:eastAsia="Arial" w:hAnsi="Arial"/>
                  <w:sz w:val="18"/>
                  <w:szCs w:val="18"/>
                  <w:color w:val="0000FF"/>
                </w:rPr>
                <w:t>Corporation and the Company</w:t>
              </w:r>
              <w:r>
                <w:rPr>
                  <w:rFonts w:ascii="Arial" w:cs="Arial" w:eastAsia="Arial" w:hAnsi="Arial"/>
                  <w:sz w:val="18"/>
                  <w:szCs w:val="18"/>
                  <w:color w:val="000000"/>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shd w:val="clear" w:color="auto" w:fill="0000FF"/>
          </w:tcPr>
          <w:p>
            <w:pPr>
              <w:spacing w:after="0" w:line="20" w:lineRule="exact"/>
              <w:rPr>
                <w:sz w:val="1"/>
                <w:szCs w:val="1"/>
                <w:color w:val="auto"/>
              </w:rPr>
            </w:pPr>
          </w:p>
        </w:tc>
        <w:tc>
          <w:tcPr>
            <w:tcW w:w="1220" w:type="dxa"/>
            <w:vAlign w:val="bottom"/>
            <w:gridSpan w:val="2"/>
            <w:shd w:val="clear" w:color="auto" w:fill="0000FF"/>
          </w:tcPr>
          <w:p>
            <w:pPr>
              <w:spacing w:after="0" w:line="20" w:lineRule="exact"/>
              <w:rPr>
                <w:sz w:val="1"/>
                <w:szCs w:val="1"/>
                <w:color w:val="auto"/>
              </w:rPr>
            </w:pPr>
          </w:p>
        </w:tc>
        <w:tc>
          <w:tcPr>
            <w:tcW w:w="360" w:type="dxa"/>
            <w:vAlign w:val="bottom"/>
            <w:tcBorders>
              <w:left w:val="single" w:sz="8" w:color="0000FF"/>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10.50</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260" w:type="dxa"/>
            <w:vAlign w:val="bottom"/>
            <w:tcBorders>
              <w:bottom w:val="single" w:sz="8" w:color="0000FF"/>
            </w:tcBorders>
            <w:gridSpan w:val="22"/>
          </w:tcPr>
          <w:p>
            <w:pPr>
              <w:spacing w:after="0"/>
              <w:rPr>
                <w:rFonts w:ascii="Arial" w:cs="Arial" w:eastAsia="Arial" w:hAnsi="Arial"/>
                <w:sz w:val="18"/>
                <w:szCs w:val="18"/>
                <w:color w:val="0000FF"/>
                <w:w w:val="90"/>
              </w:rPr>
            </w:pPr>
            <w:hyperlink r:id="rId74">
              <w:r>
                <w:rPr>
                  <w:rFonts w:ascii="Arial" w:cs="Arial" w:eastAsia="Arial" w:hAnsi="Arial"/>
                  <w:sz w:val="18"/>
                  <w:szCs w:val="18"/>
                  <w:color w:val="0000FF"/>
                  <w:w w:val="90"/>
                </w:rPr>
                <w:t>Xbox One Publisher License Agreement dated October 31,</w:t>
              </w:r>
            </w:hyperlink>
          </w:p>
        </w:tc>
        <w:tc>
          <w:tcPr>
            <w:tcW w:w="120" w:type="dxa"/>
            <w:vAlign w:val="bottom"/>
            <w:gridSpan w:val="4"/>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6"/>
          </w:tcPr>
          <w:p>
            <w:pPr>
              <w:spacing w:after="0" w:line="196" w:lineRule="exact"/>
              <w:rPr>
                <w:rFonts w:ascii="Arial" w:cs="Arial" w:eastAsia="Arial" w:hAnsi="Arial"/>
                <w:sz w:val="18"/>
                <w:szCs w:val="18"/>
                <w:color w:val="0000FF"/>
                <w:w w:val="93"/>
              </w:rPr>
            </w:pPr>
            <w:hyperlink r:id="rId74">
              <w:r>
                <w:rPr>
                  <w:rFonts w:ascii="Arial" w:cs="Arial" w:eastAsia="Arial" w:hAnsi="Arial"/>
                  <w:sz w:val="18"/>
                  <w:szCs w:val="18"/>
                  <w:color w:val="0000FF"/>
                  <w:w w:val="93"/>
                </w:rPr>
                <w:t>2013, between Microsoft Licensing, GP and the Company</w:t>
              </w:r>
            </w:hyperlink>
            <w:r>
              <w:rPr>
                <w:rFonts w:ascii="Arial" w:cs="Arial" w:eastAsia="Arial" w:hAnsi="Arial"/>
                <w:sz w:val="18"/>
                <w:szCs w:val="18"/>
                <w:color w:val="000000"/>
                <w:w w:val="93"/>
              </w:rPr>
              <w:t>*</w:t>
            </w: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shd w:val="clear" w:color="auto" w:fill="0000FF"/>
          </w:tcPr>
          <w:p>
            <w:pPr>
              <w:spacing w:after="0" w:line="20" w:lineRule="exact"/>
              <w:rPr>
                <w:sz w:val="1"/>
                <w:szCs w:val="1"/>
                <w:color w:val="auto"/>
              </w:rPr>
            </w:pPr>
          </w:p>
        </w:tc>
        <w:tc>
          <w:tcPr>
            <w:tcW w:w="1220" w:type="dxa"/>
            <w:vAlign w:val="bottom"/>
            <w:gridSpan w:val="2"/>
            <w:shd w:val="clear" w:color="auto" w:fill="0000FF"/>
          </w:tcPr>
          <w:p>
            <w:pPr>
              <w:spacing w:after="0" w:line="20" w:lineRule="exact"/>
              <w:rPr>
                <w:sz w:val="1"/>
                <w:szCs w:val="1"/>
                <w:color w:val="auto"/>
              </w:rPr>
            </w:pPr>
          </w:p>
        </w:tc>
        <w:tc>
          <w:tcPr>
            <w:tcW w:w="360" w:type="dxa"/>
            <w:vAlign w:val="bottom"/>
            <w:tcBorders>
              <w:left w:val="single" w:sz="8" w:color="0000FF"/>
            </w:tcBorders>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8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tcBorders>
              <w:right w:val="single" w:sz="8" w:color="0000FF"/>
            </w:tcBorders>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10.51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26"/>
          </w:tcPr>
          <w:p>
            <w:pPr>
              <w:spacing w:after="0"/>
              <w:rPr>
                <w:rFonts w:ascii="Arial" w:cs="Arial" w:eastAsia="Arial" w:hAnsi="Arial"/>
                <w:sz w:val="18"/>
                <w:szCs w:val="18"/>
                <w:color w:val="0000FF"/>
                <w:w w:val="91"/>
              </w:rPr>
            </w:pPr>
            <w:hyperlink r:id="rId75">
              <w:r>
                <w:rPr>
                  <w:rFonts w:ascii="Arial" w:cs="Arial" w:eastAsia="Arial" w:hAnsi="Arial"/>
                  <w:sz w:val="18"/>
                  <w:szCs w:val="18"/>
                  <w:color w:val="0000FF"/>
                  <w:w w:val="91"/>
                </w:rPr>
                <w:t>Amendment to the Xbox One Publisher License Agreement,</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40" w:type="dxa"/>
            <w:vAlign w:val="bottom"/>
            <w:tcBorders>
              <w:top w:val="single" w:sz="8" w:color="0000FF"/>
            </w:tcBorders>
            <w:gridSpan w:val="25"/>
          </w:tcPr>
          <w:p>
            <w:pPr>
              <w:spacing w:after="0" w:line="196" w:lineRule="exact"/>
              <w:rPr>
                <w:rFonts w:ascii="Arial" w:cs="Arial" w:eastAsia="Arial" w:hAnsi="Arial"/>
                <w:sz w:val="18"/>
                <w:szCs w:val="18"/>
                <w:color w:val="0000FF"/>
                <w:w w:val="94"/>
              </w:rPr>
            </w:pPr>
            <w:hyperlink r:id="rId75">
              <w:r>
                <w:rPr>
                  <w:rFonts w:ascii="Arial" w:cs="Arial" w:eastAsia="Arial" w:hAnsi="Arial"/>
                  <w:sz w:val="18"/>
                  <w:szCs w:val="18"/>
                  <w:color w:val="0000FF"/>
                  <w:w w:val="94"/>
                </w:rPr>
                <w:t>dated May 7, 2014, between Microsoft Licensing, GP and</w:t>
              </w:r>
            </w:hyperlink>
          </w:p>
        </w:tc>
        <w:tc>
          <w:tcPr>
            <w:tcW w:w="40" w:type="dxa"/>
            <w:vAlign w:val="bottom"/>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60" w:type="dxa"/>
            <w:vAlign w:val="bottom"/>
            <w:tcBorders>
              <w:top w:val="single" w:sz="8" w:color="0000FF"/>
            </w:tcBorders>
            <w:gridSpan w:val="18"/>
          </w:tcPr>
          <w:p>
            <w:pPr>
              <w:spacing w:after="0" w:line="196" w:lineRule="exact"/>
              <w:rPr>
                <w:rFonts w:ascii="Arial" w:cs="Arial" w:eastAsia="Arial" w:hAnsi="Arial"/>
                <w:sz w:val="18"/>
                <w:szCs w:val="18"/>
                <w:color w:val="0000FF"/>
              </w:rPr>
            </w:pPr>
            <w:hyperlink r:id="rId75">
              <w:r>
                <w:rPr>
                  <w:rFonts w:ascii="Arial" w:cs="Arial" w:eastAsia="Arial" w:hAnsi="Arial"/>
                  <w:sz w:val="18"/>
                  <w:szCs w:val="18"/>
                  <w:color w:val="0000FF"/>
                </w:rPr>
                <w:t>the Company</w:t>
              </w:r>
              <w:r>
                <w:rPr>
                  <w:rFonts w:ascii="Arial" w:cs="Arial" w:eastAsia="Arial" w:hAnsi="Arial"/>
                  <w:sz w:val="18"/>
                  <w:szCs w:val="18"/>
                  <w:color w:val="000000"/>
                </w:rPr>
                <w:t>*</w:t>
              </w:r>
            </w:hyperlink>
          </w:p>
        </w:tc>
        <w:tc>
          <w:tcPr>
            <w:tcW w:w="220" w:type="dxa"/>
            <w:vAlign w:val="bottom"/>
            <w:gridSpan w:val="8"/>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shd w:val="clear" w:color="auto" w:fill="0000FF"/>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10.52</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26"/>
          </w:tcPr>
          <w:p>
            <w:pPr>
              <w:spacing w:after="0"/>
              <w:rPr>
                <w:rFonts w:ascii="Arial" w:cs="Arial" w:eastAsia="Arial" w:hAnsi="Arial"/>
                <w:sz w:val="18"/>
                <w:szCs w:val="18"/>
                <w:color w:val="0000FF"/>
                <w:w w:val="91"/>
              </w:rPr>
            </w:pPr>
            <w:hyperlink r:id="rId76">
              <w:r>
                <w:rPr>
                  <w:rFonts w:ascii="Arial" w:cs="Arial" w:eastAsia="Arial" w:hAnsi="Arial"/>
                  <w:sz w:val="18"/>
                  <w:szCs w:val="18"/>
                  <w:color w:val="0000FF"/>
                  <w:w w:val="91"/>
                </w:rPr>
                <w:t>Amendment to the Xbox One Publisher License Agreement,</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40" w:type="dxa"/>
            <w:vAlign w:val="bottom"/>
            <w:tcBorders>
              <w:top w:val="single" w:sz="8" w:color="0000FF"/>
            </w:tcBorders>
            <w:gridSpan w:val="25"/>
          </w:tcPr>
          <w:p>
            <w:pPr>
              <w:spacing w:after="0" w:line="196" w:lineRule="exact"/>
              <w:rPr>
                <w:rFonts w:ascii="Arial" w:cs="Arial" w:eastAsia="Arial" w:hAnsi="Arial"/>
                <w:sz w:val="18"/>
                <w:szCs w:val="18"/>
                <w:color w:val="0000FF"/>
                <w:w w:val="90"/>
              </w:rPr>
            </w:pPr>
            <w:hyperlink r:id="rId76">
              <w:r>
                <w:rPr>
                  <w:rFonts w:ascii="Arial" w:cs="Arial" w:eastAsia="Arial" w:hAnsi="Arial"/>
                  <w:sz w:val="18"/>
                  <w:szCs w:val="18"/>
                  <w:color w:val="0000FF"/>
                  <w:w w:val="90"/>
                </w:rPr>
                <w:t>dated January 30, 2015, between Microsoft Corporation and</w:t>
              </w:r>
            </w:hyperlink>
          </w:p>
        </w:tc>
        <w:tc>
          <w:tcPr>
            <w:tcW w:w="40" w:type="dxa"/>
            <w:vAlign w:val="bottom"/>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20" w:type="dxa"/>
            <w:vAlign w:val="bottom"/>
            <w:tcBorders>
              <w:top w:val="single" w:sz="8" w:color="0000FF"/>
            </w:tcBorders>
            <w:gridSpan w:val="24"/>
          </w:tcPr>
          <w:p>
            <w:pPr>
              <w:spacing w:after="0" w:line="196" w:lineRule="exact"/>
              <w:rPr>
                <w:rFonts w:ascii="Arial" w:cs="Arial" w:eastAsia="Arial" w:hAnsi="Arial"/>
                <w:sz w:val="18"/>
                <w:szCs w:val="18"/>
                <w:color w:val="0000FF"/>
              </w:rPr>
            </w:pPr>
            <w:hyperlink r:id="rId76">
              <w:r>
                <w:rPr>
                  <w:rFonts w:ascii="Arial" w:cs="Arial" w:eastAsia="Arial" w:hAnsi="Arial"/>
                  <w:sz w:val="18"/>
                  <w:szCs w:val="18"/>
                  <w:color w:val="0000FF"/>
                </w:rPr>
                <w:t>the Company</w:t>
              </w:r>
              <w:r>
                <w:rPr>
                  <w:rFonts w:ascii="Arial" w:cs="Arial" w:eastAsia="Arial" w:hAnsi="Arial"/>
                  <w:sz w:val="18"/>
                  <w:szCs w:val="18"/>
                  <w:color w:val="000000"/>
                </w:rPr>
                <w:t>*</w:t>
              </w:r>
            </w:hyperlink>
          </w:p>
        </w:tc>
        <w:tc>
          <w:tcPr>
            <w:tcW w:w="60" w:type="dxa"/>
            <w:vAlign w:val="bottom"/>
            <w:gridSpan w:val="2"/>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960" w:type="dxa"/>
            <w:vAlign w:val="bottom"/>
            <w:shd w:val="clear" w:color="auto" w:fill="0000FF"/>
          </w:tcPr>
          <w:p>
            <w:pPr>
              <w:spacing w:after="0" w:line="20" w:lineRule="exact"/>
              <w:rPr>
                <w:sz w:val="1"/>
                <w:szCs w:val="1"/>
                <w:color w:val="auto"/>
              </w:rPr>
            </w:pPr>
          </w:p>
        </w:tc>
        <w:tc>
          <w:tcPr>
            <w:tcW w:w="1220" w:type="dxa"/>
            <w:vAlign w:val="bottom"/>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10.53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900" w:type="dxa"/>
            <w:vAlign w:val="bottom"/>
            <w:tcBorders>
              <w:bottom w:val="single" w:sz="8" w:color="0000FF"/>
            </w:tcBorders>
            <w:gridSpan w:val="11"/>
          </w:tcPr>
          <w:p>
            <w:pPr>
              <w:spacing w:after="0"/>
              <w:rPr>
                <w:rFonts w:ascii="Arial" w:cs="Arial" w:eastAsia="Arial" w:hAnsi="Arial"/>
                <w:sz w:val="18"/>
                <w:szCs w:val="18"/>
                <w:color w:val="0000FF"/>
                <w:w w:val="90"/>
              </w:rPr>
            </w:pPr>
            <w:hyperlink r:id="rId77">
              <w:r>
                <w:rPr>
                  <w:rFonts w:ascii="Arial" w:cs="Arial" w:eastAsia="Arial" w:hAnsi="Arial"/>
                  <w:sz w:val="18"/>
                  <w:szCs w:val="18"/>
                  <w:color w:val="0000FF"/>
                  <w:w w:val="90"/>
                </w:rPr>
                <w:t>Amendment No. 3 to the Xbox One Publisher License</w:t>
              </w:r>
            </w:hyperlink>
          </w:p>
        </w:tc>
        <w:tc>
          <w:tcPr>
            <w:tcW w:w="480" w:type="dxa"/>
            <w:vAlign w:val="bottom"/>
            <w:gridSpan w:val="15"/>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80" w:type="dxa"/>
            <w:vAlign w:val="bottom"/>
            <w:tcBorders>
              <w:bottom w:val="single" w:sz="8" w:color="0000FF"/>
            </w:tcBorders>
            <w:gridSpan w:val="14"/>
          </w:tcPr>
          <w:p>
            <w:pPr>
              <w:spacing w:after="0" w:line="196" w:lineRule="exact"/>
              <w:rPr>
                <w:rFonts w:ascii="Arial" w:cs="Arial" w:eastAsia="Arial" w:hAnsi="Arial"/>
                <w:sz w:val="18"/>
                <w:szCs w:val="18"/>
                <w:color w:val="0000FF"/>
                <w:w w:val="90"/>
              </w:rPr>
            </w:pPr>
            <w:hyperlink r:id="rId77">
              <w:r>
                <w:rPr>
                  <w:rFonts w:ascii="Arial" w:cs="Arial" w:eastAsia="Arial" w:hAnsi="Arial"/>
                  <w:sz w:val="18"/>
                  <w:szCs w:val="18"/>
                  <w:color w:val="0000FF"/>
                  <w:w w:val="90"/>
                </w:rPr>
                <w:t>Agreement, dated August 13, 2015, between Microsoft</w:t>
              </w:r>
            </w:hyperlink>
          </w:p>
        </w:tc>
        <w:tc>
          <w:tcPr>
            <w:tcW w:w="400" w:type="dxa"/>
            <w:vAlign w:val="bottom"/>
            <w:gridSpan w:val="12"/>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6"/>
          </w:tcPr>
          <w:p>
            <w:pPr>
              <w:spacing w:after="0" w:line="196" w:lineRule="exact"/>
              <w:rPr>
                <w:rFonts w:ascii="Arial" w:cs="Arial" w:eastAsia="Arial" w:hAnsi="Arial"/>
                <w:sz w:val="18"/>
                <w:szCs w:val="18"/>
                <w:color w:val="0000FF"/>
              </w:rPr>
            </w:pPr>
            <w:hyperlink r:id="rId77">
              <w:r>
                <w:rPr>
                  <w:rFonts w:ascii="Arial" w:cs="Arial" w:eastAsia="Arial" w:hAnsi="Arial"/>
                  <w:sz w:val="18"/>
                  <w:szCs w:val="18"/>
                  <w:color w:val="0000FF"/>
                </w:rPr>
                <w:t>Corporation and the Company</w:t>
              </w:r>
              <w:r>
                <w:rPr>
                  <w:rFonts w:ascii="Arial" w:cs="Arial" w:eastAsia="Arial" w:hAnsi="Arial"/>
                  <w:sz w:val="18"/>
                  <w:szCs w:val="18"/>
                  <w:color w:val="000000"/>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80" w:type="dxa"/>
            <w:vAlign w:val="bottom"/>
            <w:gridSpan w:val="3"/>
            <w:shd w:val="clear" w:color="auto" w:fill="0000FF"/>
          </w:tcPr>
          <w:p>
            <w:pPr>
              <w:spacing w:after="0" w:line="20" w:lineRule="exact"/>
              <w:rPr>
                <w:sz w:val="1"/>
                <w:szCs w:val="1"/>
                <w:color w:val="auto"/>
              </w:rPr>
            </w:pPr>
          </w:p>
        </w:tc>
        <w:tc>
          <w:tcPr>
            <w:tcW w:w="360" w:type="dxa"/>
            <w:vAlign w:val="bottom"/>
            <w:tcBorders>
              <w:left w:val="single" w:sz="8" w:color="0000FF"/>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10.54</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900" w:type="dxa"/>
            <w:vAlign w:val="bottom"/>
            <w:tcBorders>
              <w:bottom w:val="single" w:sz="8" w:color="0000FF"/>
            </w:tcBorders>
            <w:gridSpan w:val="11"/>
          </w:tcPr>
          <w:p>
            <w:pPr>
              <w:spacing w:after="0"/>
              <w:rPr>
                <w:rFonts w:ascii="Arial" w:cs="Arial" w:eastAsia="Arial" w:hAnsi="Arial"/>
                <w:sz w:val="18"/>
                <w:szCs w:val="18"/>
                <w:color w:val="0000FF"/>
                <w:w w:val="90"/>
              </w:rPr>
            </w:pPr>
            <w:hyperlink r:id="rId78">
              <w:r>
                <w:rPr>
                  <w:rFonts w:ascii="Arial" w:cs="Arial" w:eastAsia="Arial" w:hAnsi="Arial"/>
                  <w:sz w:val="18"/>
                  <w:szCs w:val="18"/>
                  <w:color w:val="0000FF"/>
                  <w:w w:val="90"/>
                </w:rPr>
                <w:t>Amendment No. 4 to the Xbox One Publisher License</w:t>
              </w:r>
            </w:hyperlink>
          </w:p>
        </w:tc>
        <w:tc>
          <w:tcPr>
            <w:tcW w:w="480" w:type="dxa"/>
            <w:vAlign w:val="bottom"/>
            <w:gridSpan w:val="15"/>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00" w:type="dxa"/>
            <w:vAlign w:val="bottom"/>
            <w:tcBorders>
              <w:bottom w:val="single" w:sz="8" w:color="0000FF"/>
            </w:tcBorders>
            <w:gridSpan w:val="19"/>
          </w:tcPr>
          <w:p>
            <w:pPr>
              <w:spacing w:after="0" w:line="196" w:lineRule="exact"/>
              <w:rPr>
                <w:rFonts w:ascii="Arial" w:cs="Arial" w:eastAsia="Arial" w:hAnsi="Arial"/>
                <w:sz w:val="18"/>
                <w:szCs w:val="18"/>
                <w:color w:val="0000FF"/>
                <w:w w:val="89"/>
              </w:rPr>
            </w:pPr>
            <w:hyperlink r:id="rId78">
              <w:r>
                <w:rPr>
                  <w:rFonts w:ascii="Arial" w:cs="Arial" w:eastAsia="Arial" w:hAnsi="Arial"/>
                  <w:sz w:val="18"/>
                  <w:szCs w:val="18"/>
                  <w:color w:val="0000FF"/>
                  <w:w w:val="89"/>
                </w:rPr>
                <w:t>Agreement, dated December 15, 2016, between Microsoft</w:t>
              </w:r>
            </w:hyperlink>
          </w:p>
        </w:tc>
        <w:tc>
          <w:tcPr>
            <w:tcW w:w="180" w:type="dxa"/>
            <w:vAlign w:val="bottom"/>
            <w:gridSpan w:val="7"/>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6"/>
          </w:tcPr>
          <w:p>
            <w:pPr>
              <w:spacing w:after="0" w:line="196" w:lineRule="exact"/>
              <w:rPr>
                <w:rFonts w:ascii="Arial" w:cs="Arial" w:eastAsia="Arial" w:hAnsi="Arial"/>
                <w:sz w:val="18"/>
                <w:szCs w:val="18"/>
                <w:color w:val="0000FF"/>
              </w:rPr>
            </w:pPr>
            <w:hyperlink r:id="rId78">
              <w:r>
                <w:rPr>
                  <w:rFonts w:ascii="Arial" w:cs="Arial" w:eastAsia="Arial" w:hAnsi="Arial"/>
                  <w:sz w:val="18"/>
                  <w:szCs w:val="18"/>
                  <w:color w:val="0000FF"/>
                </w:rPr>
                <w:t>Corporation and the Company</w:t>
              </w:r>
              <w:r>
                <w:rPr>
                  <w:rFonts w:ascii="Arial" w:cs="Arial" w:eastAsia="Arial" w:hAnsi="Arial"/>
                  <w:sz w:val="18"/>
                  <w:szCs w:val="18"/>
                  <w:color w:val="000000"/>
                </w:rPr>
                <w: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80" w:type="dxa"/>
            <w:vAlign w:val="bottom"/>
            <w:gridSpan w:val="3"/>
            <w:shd w:val="clear" w:color="auto" w:fill="0000FF"/>
          </w:tcPr>
          <w:p>
            <w:pPr>
              <w:spacing w:after="0" w:line="20" w:lineRule="exact"/>
              <w:rPr>
                <w:sz w:val="1"/>
                <w:szCs w:val="1"/>
                <w:color w:val="auto"/>
              </w:rPr>
            </w:pPr>
          </w:p>
        </w:tc>
        <w:tc>
          <w:tcPr>
            <w:tcW w:w="360" w:type="dxa"/>
            <w:vAlign w:val="bottom"/>
            <w:tcBorders>
              <w:left w:val="single" w:sz="8" w:color="0000FF"/>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10.55</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900" w:type="dxa"/>
            <w:vAlign w:val="bottom"/>
            <w:tcBorders>
              <w:bottom w:val="single" w:sz="8" w:color="0000FF"/>
            </w:tcBorders>
            <w:gridSpan w:val="11"/>
          </w:tcPr>
          <w:p>
            <w:pPr>
              <w:spacing w:after="0"/>
              <w:rPr>
                <w:rFonts w:ascii="Arial" w:cs="Arial" w:eastAsia="Arial" w:hAnsi="Arial"/>
                <w:sz w:val="18"/>
                <w:szCs w:val="18"/>
                <w:color w:val="0000FF"/>
                <w:w w:val="90"/>
              </w:rPr>
            </w:pPr>
            <w:hyperlink w:anchor="page92">
              <w:r>
                <w:rPr>
                  <w:rFonts w:ascii="Arial" w:cs="Arial" w:eastAsia="Arial" w:hAnsi="Arial"/>
                  <w:sz w:val="18"/>
                  <w:szCs w:val="18"/>
                  <w:color w:val="0000FF"/>
                  <w:w w:val="90"/>
                </w:rPr>
                <w:t>Amendment No. 5 to the Xbox One Publisher License</w:t>
              </w:r>
            </w:hyperlink>
          </w:p>
        </w:tc>
        <w:tc>
          <w:tcPr>
            <w:tcW w:w="480" w:type="dxa"/>
            <w:vAlign w:val="bottom"/>
            <w:gridSpan w:val="15"/>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6"/>
          </w:tcPr>
          <w:p>
            <w:pPr>
              <w:spacing w:after="0" w:line="196" w:lineRule="exact"/>
              <w:rPr>
                <w:rFonts w:ascii="Arial" w:cs="Arial" w:eastAsia="Arial" w:hAnsi="Arial"/>
                <w:sz w:val="18"/>
                <w:szCs w:val="18"/>
                <w:color w:val="0000FF"/>
                <w:w w:val="91"/>
              </w:rPr>
            </w:pPr>
            <w:hyperlink w:anchor="page92">
              <w:r>
                <w:rPr>
                  <w:rFonts w:ascii="Arial" w:cs="Arial" w:eastAsia="Arial" w:hAnsi="Arial"/>
                  <w:sz w:val="18"/>
                  <w:szCs w:val="18"/>
                  <w:color w:val="0000FF"/>
                  <w:w w:val="91"/>
                </w:rPr>
                <w:t>Agreement, signed on January 10, 2018, between Microsoft</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00" w:type="dxa"/>
            <w:vAlign w:val="bottom"/>
            <w:tcBorders>
              <w:top w:val="single" w:sz="8" w:color="0000FF"/>
            </w:tcBorders>
            <w:gridSpan w:val="23"/>
          </w:tcPr>
          <w:p>
            <w:pPr>
              <w:spacing w:after="0" w:line="196" w:lineRule="exact"/>
              <w:rPr>
                <w:rFonts w:ascii="Arial" w:cs="Arial" w:eastAsia="Arial" w:hAnsi="Arial"/>
                <w:sz w:val="18"/>
                <w:szCs w:val="18"/>
                <w:color w:val="0000FF"/>
              </w:rPr>
            </w:pPr>
            <w:hyperlink w:anchor="page92">
              <w:r>
                <w:rPr>
                  <w:rFonts w:ascii="Arial" w:cs="Arial" w:eastAsia="Arial" w:hAnsi="Arial"/>
                  <w:sz w:val="18"/>
                  <w:szCs w:val="18"/>
                  <w:color w:val="0000FF"/>
                </w:rPr>
                <w:t>Corporation and the Company</w:t>
              </w:r>
              <w:r>
                <w:rPr>
                  <w:rFonts w:ascii="Arial" w:cs="Arial" w:eastAsia="Arial" w:hAnsi="Arial"/>
                  <w:sz w:val="18"/>
                  <w:szCs w:val="18"/>
                  <w:color w:val="000000"/>
                </w:rPr>
                <w:t>**</w:t>
              </w:r>
            </w:hyperlink>
          </w:p>
        </w:tc>
        <w:tc>
          <w:tcPr>
            <w:tcW w:w="80" w:type="dxa"/>
            <w:vAlign w:val="bottom"/>
            <w:gridSpan w:val="3"/>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180" w:type="dxa"/>
            <w:vAlign w:val="bottom"/>
            <w:gridSpan w:val="3"/>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6"/>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10.56</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080" w:type="dxa"/>
            <w:vAlign w:val="bottom"/>
            <w:tcBorders>
              <w:bottom w:val="single" w:sz="8" w:color="0000FF"/>
            </w:tcBorders>
            <w:gridSpan w:val="17"/>
          </w:tcPr>
          <w:p>
            <w:pPr>
              <w:spacing w:after="0"/>
              <w:rPr>
                <w:rFonts w:ascii="Arial" w:cs="Arial" w:eastAsia="Arial" w:hAnsi="Arial"/>
                <w:sz w:val="18"/>
                <w:szCs w:val="18"/>
                <w:color w:val="0000FF"/>
                <w:w w:val="90"/>
              </w:rPr>
            </w:pPr>
            <w:hyperlink r:id="rId79">
              <w:r>
                <w:rPr>
                  <w:rFonts w:ascii="Arial" w:cs="Arial" w:eastAsia="Arial" w:hAnsi="Arial"/>
                  <w:sz w:val="18"/>
                  <w:szCs w:val="18"/>
                  <w:color w:val="0000FF"/>
                  <w:w w:val="90"/>
                </w:rPr>
                <w:t>PlayStation Global Developer and Publisher Agreement,</w:t>
              </w:r>
            </w:hyperlink>
          </w:p>
        </w:tc>
        <w:tc>
          <w:tcPr>
            <w:tcW w:w="300" w:type="dxa"/>
            <w:vAlign w:val="bottom"/>
            <w:gridSpan w:val="9"/>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80" w:type="dxa"/>
            <w:vAlign w:val="bottom"/>
            <w:tcBorders>
              <w:bottom w:val="single" w:sz="8" w:color="0000FF"/>
            </w:tcBorders>
            <w:gridSpan w:val="14"/>
          </w:tcPr>
          <w:p>
            <w:pPr>
              <w:spacing w:after="0" w:line="196" w:lineRule="exact"/>
              <w:rPr>
                <w:rFonts w:ascii="Arial" w:cs="Arial" w:eastAsia="Arial" w:hAnsi="Arial"/>
                <w:sz w:val="18"/>
                <w:szCs w:val="18"/>
                <w:color w:val="0000FF"/>
                <w:w w:val="89"/>
              </w:rPr>
            </w:pPr>
            <w:hyperlink r:id="rId79">
              <w:r>
                <w:rPr>
                  <w:rFonts w:ascii="Arial" w:cs="Arial" w:eastAsia="Arial" w:hAnsi="Arial"/>
                  <w:sz w:val="18"/>
                  <w:szCs w:val="18"/>
                  <w:color w:val="0000FF"/>
                  <w:w w:val="89"/>
                </w:rPr>
                <w:t>dated as of March 23, 2017, between the Company and</w:t>
              </w:r>
            </w:hyperlink>
          </w:p>
        </w:tc>
        <w:tc>
          <w:tcPr>
            <w:tcW w:w="400" w:type="dxa"/>
            <w:vAlign w:val="bottom"/>
            <w:gridSpan w:val="12"/>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6"/>
          </w:tcPr>
          <w:p>
            <w:pPr>
              <w:spacing w:after="0" w:line="196" w:lineRule="exact"/>
              <w:rPr>
                <w:rFonts w:ascii="Arial" w:cs="Arial" w:eastAsia="Arial" w:hAnsi="Arial"/>
                <w:sz w:val="18"/>
                <w:szCs w:val="18"/>
                <w:color w:val="0000FF"/>
                <w:w w:val="94"/>
              </w:rPr>
            </w:pPr>
            <w:hyperlink r:id="rId79">
              <w:r>
                <w:rPr>
                  <w:rFonts w:ascii="Arial" w:cs="Arial" w:eastAsia="Arial" w:hAnsi="Arial"/>
                  <w:sz w:val="18"/>
                  <w:szCs w:val="18"/>
                  <w:color w:val="0000FF"/>
                  <w:w w:val="94"/>
                </w:rPr>
                <w:t>certain of its affiliates and Sony Interactive Entertainment,</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00" w:type="dxa"/>
            <w:vAlign w:val="bottom"/>
            <w:tcBorders>
              <w:top w:val="single" w:sz="8" w:color="0000FF"/>
            </w:tcBorders>
            <w:gridSpan w:val="19"/>
          </w:tcPr>
          <w:p>
            <w:pPr>
              <w:spacing w:after="0" w:line="196" w:lineRule="exact"/>
              <w:rPr>
                <w:rFonts w:ascii="Arial" w:cs="Arial" w:eastAsia="Arial" w:hAnsi="Arial"/>
                <w:sz w:val="18"/>
                <w:szCs w:val="18"/>
                <w:color w:val="0000FF"/>
                <w:w w:val="95"/>
              </w:rPr>
            </w:pPr>
            <w:hyperlink r:id="rId79">
              <w:r>
                <w:rPr>
                  <w:rFonts w:ascii="Arial" w:cs="Arial" w:eastAsia="Arial" w:hAnsi="Arial"/>
                  <w:sz w:val="18"/>
                  <w:szCs w:val="18"/>
                  <w:color w:val="0000FF"/>
                  <w:w w:val="95"/>
                </w:rPr>
                <w:t>Inc., Sony Interactive Entertainment America LLC, and</w:t>
              </w:r>
            </w:hyperlink>
          </w:p>
        </w:tc>
        <w:tc>
          <w:tcPr>
            <w:tcW w:w="180" w:type="dxa"/>
            <w:vAlign w:val="bottom"/>
            <w:gridSpan w:val="7"/>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00" w:type="dxa"/>
            <w:vAlign w:val="bottom"/>
            <w:tcBorders>
              <w:top w:val="single" w:sz="8" w:color="0000FF"/>
            </w:tcBorders>
            <w:gridSpan w:val="15"/>
          </w:tcPr>
          <w:p>
            <w:pPr>
              <w:spacing w:after="0" w:line="196" w:lineRule="exact"/>
              <w:rPr>
                <w:rFonts w:ascii="Arial" w:cs="Arial" w:eastAsia="Arial" w:hAnsi="Arial"/>
                <w:sz w:val="18"/>
                <w:szCs w:val="18"/>
                <w:color w:val="0000FF"/>
              </w:rPr>
            </w:pPr>
            <w:hyperlink r:id="rId79">
              <w:r>
                <w:rPr>
                  <w:rFonts w:ascii="Arial" w:cs="Arial" w:eastAsia="Arial" w:hAnsi="Arial"/>
                  <w:sz w:val="18"/>
                  <w:szCs w:val="18"/>
                  <w:color w:val="0000FF"/>
                </w:rPr>
                <w:t>Sony Interactive Entertainment Europe Ltd.</w:t>
              </w:r>
              <w:r>
                <w:rPr>
                  <w:rFonts w:ascii="Arial" w:cs="Arial" w:eastAsia="Arial" w:hAnsi="Arial"/>
                  <w:sz w:val="18"/>
                  <w:szCs w:val="18"/>
                  <w:color w:val="000000"/>
                </w:rPr>
                <w:t>**</w:t>
              </w:r>
            </w:hyperlink>
          </w:p>
        </w:tc>
        <w:tc>
          <w:tcPr>
            <w:tcW w:w="380" w:type="dxa"/>
            <w:vAlign w:val="bottom"/>
            <w:gridSpan w:val="11"/>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540" w:type="dxa"/>
            <w:vAlign w:val="bottom"/>
            <w:gridSpan w:val="4"/>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200" w:type="dxa"/>
            <w:vAlign w:val="bottom"/>
            <w:gridSpan w:val="4"/>
          </w:tcPr>
          <w:p>
            <w:pPr>
              <w:spacing w:after="0" w:line="20" w:lineRule="exact"/>
              <w:rPr>
                <w:sz w:val="1"/>
                <w:szCs w:val="1"/>
                <w:color w:val="auto"/>
              </w:rPr>
            </w:pPr>
          </w:p>
        </w:tc>
        <w:tc>
          <w:tcPr>
            <w:tcW w:w="160" w:type="dxa"/>
            <w:vAlign w:val="bottom"/>
            <w:gridSpan w:val="6"/>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10.57</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880" w:type="dxa"/>
            <w:vAlign w:val="bottom"/>
            <w:tcBorders>
              <w:bottom w:val="single" w:sz="8" w:color="0000FF"/>
            </w:tcBorders>
            <w:gridSpan w:val="10"/>
          </w:tcPr>
          <w:p>
            <w:pPr>
              <w:spacing w:after="0"/>
              <w:rPr>
                <w:rFonts w:ascii="Arial" w:cs="Arial" w:eastAsia="Arial" w:hAnsi="Arial"/>
                <w:sz w:val="18"/>
                <w:szCs w:val="18"/>
                <w:color w:val="0000FF"/>
                <w:w w:val="89"/>
              </w:rPr>
            </w:pPr>
            <w:hyperlink r:id="rId80">
              <w:r>
                <w:rPr>
                  <w:rFonts w:ascii="Arial" w:cs="Arial" w:eastAsia="Arial" w:hAnsi="Arial"/>
                  <w:sz w:val="18"/>
                  <w:szCs w:val="18"/>
                  <w:color w:val="0000FF"/>
                  <w:w w:val="89"/>
                </w:rPr>
                <w:t>Lease Agreement between the Company and Moklam</w:t>
              </w:r>
            </w:hyperlink>
          </w:p>
        </w:tc>
        <w:tc>
          <w:tcPr>
            <w:tcW w:w="500" w:type="dxa"/>
            <w:vAlign w:val="bottom"/>
            <w:gridSpan w:val="16"/>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540" w:type="dxa"/>
            <w:vAlign w:val="bottom"/>
            <w:tcBorders>
              <w:bottom w:val="single" w:sz="8" w:color="0000FF"/>
            </w:tcBorders>
            <w:gridSpan w:val="4"/>
          </w:tcPr>
          <w:p>
            <w:pPr>
              <w:spacing w:after="0" w:line="196" w:lineRule="exact"/>
              <w:rPr>
                <w:rFonts w:ascii="Arial" w:cs="Arial" w:eastAsia="Arial" w:hAnsi="Arial"/>
                <w:sz w:val="18"/>
                <w:szCs w:val="18"/>
                <w:color w:val="0000FF"/>
                <w:w w:val="89"/>
              </w:rPr>
            </w:pPr>
            <w:hyperlink r:id="rId80">
              <w:r>
                <w:rPr>
                  <w:rFonts w:ascii="Arial" w:cs="Arial" w:eastAsia="Arial" w:hAnsi="Arial"/>
                  <w:sz w:val="18"/>
                  <w:szCs w:val="18"/>
                  <w:color w:val="0000FF"/>
                  <w:w w:val="89"/>
                </w:rPr>
                <w:t>Enterprises, Inc. dated July 1, 2002</w:t>
              </w:r>
            </w:hyperlink>
          </w:p>
        </w:tc>
        <w:tc>
          <w:tcPr>
            <w:tcW w:w="1840" w:type="dxa"/>
            <w:vAlign w:val="bottom"/>
            <w:gridSpan w:val="22"/>
          </w:tcPr>
          <w:p>
            <w:pPr>
              <w:spacing w:after="0"/>
              <w:rPr>
                <w:sz w:val="17"/>
                <w:szCs w:val="17"/>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10.58</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26"/>
          </w:tcPr>
          <w:p>
            <w:pPr>
              <w:spacing w:after="0"/>
              <w:rPr>
                <w:rFonts w:ascii="Arial" w:cs="Arial" w:eastAsia="Arial" w:hAnsi="Arial"/>
                <w:sz w:val="18"/>
                <w:szCs w:val="18"/>
                <w:color w:val="0000FF"/>
                <w:w w:val="98"/>
              </w:rPr>
            </w:pPr>
            <w:hyperlink r:id="rId81">
              <w:r>
                <w:rPr>
                  <w:rFonts w:ascii="Arial" w:cs="Arial" w:eastAsia="Arial" w:hAnsi="Arial"/>
                  <w:sz w:val="18"/>
                  <w:szCs w:val="18"/>
                  <w:color w:val="0000FF"/>
                  <w:w w:val="98"/>
                </w:rPr>
                <w:t>Sixth Lease Modification Agreement, dated January 18,</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180" w:type="dxa"/>
            <w:vAlign w:val="bottom"/>
            <w:gridSpan w:val="6"/>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80" w:type="dxa"/>
            <w:vAlign w:val="bottom"/>
            <w:gridSpan w:val="2"/>
            <w:shd w:val="clear" w:color="auto" w:fill="0000FF"/>
          </w:tcPr>
          <w:p>
            <w:pPr>
              <w:spacing w:after="0" w:line="20" w:lineRule="exact"/>
              <w:rPr>
                <w:sz w:val="1"/>
                <w:szCs w:val="1"/>
                <w:color w:val="auto"/>
              </w:rPr>
            </w:pPr>
          </w:p>
        </w:tc>
        <w:tc>
          <w:tcPr>
            <w:tcW w:w="300" w:type="dxa"/>
            <w:vAlign w:val="bottom"/>
            <w:gridSpan w:val="3"/>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60" w:type="dxa"/>
            <w:vAlign w:val="bottom"/>
            <w:gridSpan w:val="3"/>
            <w:shd w:val="clear" w:color="auto" w:fill="0000FF"/>
          </w:tcPr>
          <w:p>
            <w:pPr>
              <w:spacing w:after="0" w:line="20" w:lineRule="exact"/>
              <w:rPr>
                <w:sz w:val="1"/>
                <w:szCs w:val="1"/>
                <w:color w:val="auto"/>
              </w:rPr>
            </w:pPr>
          </w:p>
        </w:tc>
        <w:tc>
          <w:tcPr>
            <w:tcW w:w="200" w:type="dxa"/>
            <w:vAlign w:val="bottom"/>
            <w:gridSpan w:val="4"/>
          </w:tcPr>
          <w:p>
            <w:pPr>
              <w:spacing w:after="0" w:line="20" w:lineRule="exact"/>
              <w:rPr>
                <w:sz w:val="1"/>
                <w:szCs w:val="1"/>
                <w:color w:val="auto"/>
              </w:rPr>
            </w:pPr>
          </w:p>
        </w:tc>
        <w:tc>
          <w:tcPr>
            <w:tcW w:w="160" w:type="dxa"/>
            <w:vAlign w:val="bottom"/>
            <w:gridSpan w:val="6"/>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40" w:type="dxa"/>
            <w:vAlign w:val="bottom"/>
            <w:tcBorders>
              <w:bottom w:val="single" w:sz="8" w:color="0000FF"/>
            </w:tcBorders>
            <w:gridSpan w:val="21"/>
          </w:tcPr>
          <w:p>
            <w:pPr>
              <w:spacing w:after="0" w:line="196" w:lineRule="exact"/>
              <w:rPr>
                <w:rFonts w:ascii="Arial" w:cs="Arial" w:eastAsia="Arial" w:hAnsi="Arial"/>
                <w:sz w:val="18"/>
                <w:szCs w:val="18"/>
                <w:color w:val="0000FF"/>
                <w:w w:val="90"/>
              </w:rPr>
            </w:pPr>
            <w:hyperlink r:id="rId81">
              <w:r>
                <w:rPr>
                  <w:rFonts w:ascii="Arial" w:cs="Arial" w:eastAsia="Arial" w:hAnsi="Arial"/>
                  <w:sz w:val="18"/>
                  <w:szCs w:val="18"/>
                  <w:color w:val="0000FF"/>
                  <w:w w:val="90"/>
                </w:rPr>
                <w:t>2012, between the Company and Moklam Enterprises, Inc.</w:t>
              </w:r>
            </w:hyperlink>
          </w:p>
        </w:tc>
        <w:tc>
          <w:tcPr>
            <w:tcW w:w="140" w:type="dxa"/>
            <w:vAlign w:val="bottom"/>
            <w:gridSpan w:val="5"/>
          </w:tcPr>
          <w:p>
            <w:pPr>
              <w:spacing w:after="0"/>
              <w:rPr>
                <w:sz w:val="17"/>
                <w:szCs w:val="17"/>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10.59</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960" w:type="dxa"/>
            <w:vAlign w:val="bottom"/>
            <w:tcBorders>
              <w:bottom w:val="single" w:sz="8" w:color="0000FF"/>
            </w:tcBorders>
            <w:gridSpan w:val="13"/>
          </w:tcPr>
          <w:p>
            <w:pPr>
              <w:spacing w:after="0"/>
              <w:rPr>
                <w:rFonts w:ascii="Arial" w:cs="Arial" w:eastAsia="Arial" w:hAnsi="Arial"/>
                <w:sz w:val="18"/>
                <w:szCs w:val="18"/>
                <w:color w:val="0000FF"/>
                <w:w w:val="91"/>
              </w:rPr>
            </w:pPr>
            <w:hyperlink r:id="rId82">
              <w:r>
                <w:rPr>
                  <w:rFonts w:ascii="Arial" w:cs="Arial" w:eastAsia="Arial" w:hAnsi="Arial"/>
                  <w:sz w:val="18"/>
                  <w:szCs w:val="18"/>
                  <w:color w:val="0000FF"/>
                  <w:w w:val="91"/>
                </w:rPr>
                <w:t>Seventh Lease Modification Agreement, dated April 8,</w:t>
              </w:r>
            </w:hyperlink>
          </w:p>
        </w:tc>
        <w:tc>
          <w:tcPr>
            <w:tcW w:w="420" w:type="dxa"/>
            <w:vAlign w:val="bottom"/>
            <w:gridSpan w:val="13"/>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40" w:type="dxa"/>
            <w:vAlign w:val="bottom"/>
            <w:tcBorders>
              <w:bottom w:val="single" w:sz="8" w:color="0000FF"/>
            </w:tcBorders>
            <w:gridSpan w:val="21"/>
          </w:tcPr>
          <w:p>
            <w:pPr>
              <w:spacing w:after="0" w:line="196" w:lineRule="exact"/>
              <w:rPr>
                <w:rFonts w:ascii="Arial" w:cs="Arial" w:eastAsia="Arial" w:hAnsi="Arial"/>
                <w:sz w:val="18"/>
                <w:szCs w:val="18"/>
                <w:color w:val="0000FF"/>
                <w:w w:val="90"/>
              </w:rPr>
            </w:pPr>
            <w:hyperlink r:id="rId82">
              <w:r>
                <w:rPr>
                  <w:rFonts w:ascii="Arial" w:cs="Arial" w:eastAsia="Arial" w:hAnsi="Arial"/>
                  <w:sz w:val="18"/>
                  <w:szCs w:val="18"/>
                  <w:color w:val="0000FF"/>
                  <w:w w:val="90"/>
                </w:rPr>
                <w:t>2014, between the Company and Moklam Enterprises, Inc.</w:t>
              </w:r>
            </w:hyperlink>
          </w:p>
        </w:tc>
        <w:tc>
          <w:tcPr>
            <w:tcW w:w="140" w:type="dxa"/>
            <w:vAlign w:val="bottom"/>
            <w:gridSpan w:val="5"/>
          </w:tcPr>
          <w:p>
            <w:pPr>
              <w:spacing w:after="0"/>
              <w:rPr>
                <w:sz w:val="17"/>
                <w:szCs w:val="17"/>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10.60</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640" w:type="dxa"/>
            <w:vAlign w:val="bottom"/>
            <w:tcBorders>
              <w:bottom w:val="single" w:sz="8" w:color="0000FF"/>
            </w:tcBorders>
            <w:gridSpan w:val="9"/>
          </w:tcPr>
          <w:p>
            <w:pPr>
              <w:spacing w:after="0"/>
              <w:rPr>
                <w:rFonts w:ascii="Arial" w:cs="Arial" w:eastAsia="Arial" w:hAnsi="Arial"/>
                <w:sz w:val="18"/>
                <w:szCs w:val="18"/>
                <w:color w:val="0000FF"/>
                <w:w w:val="90"/>
              </w:rPr>
            </w:pPr>
            <w:hyperlink r:id="rId83">
              <w:r>
                <w:rPr>
                  <w:rFonts w:ascii="Arial" w:cs="Arial" w:eastAsia="Arial" w:hAnsi="Arial"/>
                  <w:sz w:val="18"/>
                  <w:szCs w:val="18"/>
                  <w:color w:val="0000FF"/>
                  <w:w w:val="90"/>
                </w:rPr>
                <w:t>Eighth Lease Modification Agreement, dated as of</w:t>
              </w:r>
            </w:hyperlink>
          </w:p>
        </w:tc>
        <w:tc>
          <w:tcPr>
            <w:tcW w:w="740" w:type="dxa"/>
            <w:vAlign w:val="bottom"/>
            <w:gridSpan w:val="17"/>
          </w:tcPr>
          <w:p>
            <w:pPr>
              <w:spacing w:after="0"/>
              <w:rPr>
                <w:sz w:val="21"/>
                <w:szCs w:val="2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6"/>
          </w:tcPr>
          <w:p>
            <w:pPr>
              <w:spacing w:after="0" w:line="196" w:lineRule="exact"/>
              <w:rPr>
                <w:rFonts w:ascii="Arial" w:cs="Arial" w:eastAsia="Arial" w:hAnsi="Arial"/>
                <w:sz w:val="18"/>
                <w:szCs w:val="18"/>
                <w:color w:val="0000FF"/>
                <w:w w:val="99"/>
              </w:rPr>
            </w:pPr>
            <w:hyperlink r:id="rId83">
              <w:r>
                <w:rPr>
                  <w:rFonts w:ascii="Arial" w:cs="Arial" w:eastAsia="Arial" w:hAnsi="Arial"/>
                  <w:sz w:val="18"/>
                  <w:szCs w:val="18"/>
                  <w:color w:val="0000FF"/>
                  <w:w w:val="99"/>
                </w:rPr>
                <w:t>January 6, 2015, by and between Take-Two Interactive</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40" w:type="dxa"/>
            <w:vAlign w:val="bottom"/>
            <w:tcBorders>
              <w:top w:val="single" w:sz="8" w:color="0000FF"/>
            </w:tcBorders>
            <w:gridSpan w:val="12"/>
          </w:tcPr>
          <w:p>
            <w:pPr>
              <w:spacing w:after="0" w:line="196" w:lineRule="exact"/>
              <w:rPr>
                <w:rFonts w:ascii="Arial" w:cs="Arial" w:eastAsia="Arial" w:hAnsi="Arial"/>
                <w:sz w:val="18"/>
                <w:szCs w:val="18"/>
                <w:color w:val="0000FF"/>
              </w:rPr>
            </w:pPr>
            <w:hyperlink r:id="rId83">
              <w:r>
                <w:rPr>
                  <w:rFonts w:ascii="Arial" w:cs="Arial" w:eastAsia="Arial" w:hAnsi="Arial"/>
                  <w:sz w:val="18"/>
                  <w:szCs w:val="18"/>
                  <w:color w:val="0000FF"/>
                </w:rPr>
                <w:t>Software, Inc. and Moklam Enterprises, Inc.</w:t>
              </w:r>
            </w:hyperlink>
          </w:p>
        </w:tc>
        <w:tc>
          <w:tcPr>
            <w:tcW w:w="440" w:type="dxa"/>
            <w:vAlign w:val="bottom"/>
            <w:gridSpan w:val="14"/>
          </w:tcPr>
          <w:p>
            <w:pPr>
              <w:spacing w:after="0"/>
              <w:rPr>
                <w:sz w:val="17"/>
                <w:szCs w:val="17"/>
                <w:color w:val="auto"/>
              </w:rPr>
            </w:pPr>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180" w:type="dxa"/>
            <w:vAlign w:val="bottom"/>
            <w:gridSpan w:val="6"/>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60" w:type="dxa"/>
            <w:vAlign w:val="bottom"/>
            <w:gridSpan w:val="13"/>
          </w:tcPr>
          <w:p>
            <w:pPr>
              <w:spacing w:after="0" w:line="20" w:lineRule="exact"/>
              <w:rPr>
                <w:sz w:val="1"/>
                <w:szCs w:val="1"/>
                <w:color w:val="auto"/>
              </w:rPr>
            </w:pPr>
          </w:p>
        </w:tc>
        <w:tc>
          <w:tcPr>
            <w:tcW w:w="160" w:type="dxa"/>
            <w:vAlign w:val="bottom"/>
            <w:gridSpan w:val="6"/>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10.61</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26"/>
          </w:tcPr>
          <w:p>
            <w:pPr>
              <w:spacing w:after="0"/>
              <w:rPr>
                <w:rFonts w:ascii="Arial" w:cs="Arial" w:eastAsia="Arial" w:hAnsi="Arial"/>
                <w:sz w:val="18"/>
                <w:szCs w:val="18"/>
                <w:color w:val="0000FF"/>
              </w:rPr>
            </w:pPr>
            <w:hyperlink r:id="rId84">
              <w:r>
                <w:rPr>
                  <w:rFonts w:ascii="Arial" w:cs="Arial" w:eastAsia="Arial" w:hAnsi="Arial"/>
                  <w:sz w:val="18"/>
                  <w:szCs w:val="18"/>
                  <w:color w:val="0000FF"/>
                </w:rPr>
                <w:t>Ninth Lease Modification Agreement, dated as of</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560" w:type="dxa"/>
            <w:vAlign w:val="bottom"/>
            <w:gridSpan w:val="7"/>
            <w:shd w:val="clear" w:color="auto" w:fill="0000FF"/>
          </w:tcPr>
          <w:p>
            <w:pPr>
              <w:spacing w:after="0" w:line="20" w:lineRule="exact"/>
              <w:rPr>
                <w:sz w:val="1"/>
                <w:szCs w:val="1"/>
                <w:color w:val="auto"/>
              </w:rPr>
            </w:pPr>
          </w:p>
        </w:tc>
        <w:tc>
          <w:tcPr>
            <w:tcW w:w="660" w:type="dxa"/>
            <w:vAlign w:val="bottom"/>
            <w:gridSpan w:val="13"/>
          </w:tcPr>
          <w:p>
            <w:pPr>
              <w:spacing w:after="0" w:line="20" w:lineRule="exact"/>
              <w:rPr>
                <w:sz w:val="1"/>
                <w:szCs w:val="1"/>
                <w:color w:val="auto"/>
              </w:rPr>
            </w:pPr>
          </w:p>
        </w:tc>
        <w:tc>
          <w:tcPr>
            <w:tcW w:w="160" w:type="dxa"/>
            <w:vAlign w:val="bottom"/>
            <w:gridSpan w:val="6"/>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20" w:type="dxa"/>
            <w:vAlign w:val="bottom"/>
            <w:tcBorders>
              <w:bottom w:val="single" w:sz="8" w:color="0000FF"/>
            </w:tcBorders>
            <w:gridSpan w:val="20"/>
          </w:tcPr>
          <w:p>
            <w:pPr>
              <w:spacing w:after="0" w:line="196" w:lineRule="exact"/>
              <w:rPr>
                <w:rFonts w:ascii="Arial" w:cs="Arial" w:eastAsia="Arial" w:hAnsi="Arial"/>
                <w:sz w:val="18"/>
                <w:szCs w:val="18"/>
                <w:color w:val="0000FF"/>
                <w:w w:val="89"/>
              </w:rPr>
            </w:pPr>
            <w:hyperlink r:id="rId84">
              <w:r>
                <w:rPr>
                  <w:rFonts w:ascii="Arial" w:cs="Arial" w:eastAsia="Arial" w:hAnsi="Arial"/>
                  <w:sz w:val="18"/>
                  <w:szCs w:val="18"/>
                  <w:color w:val="0000FF"/>
                  <w:w w:val="89"/>
                </w:rPr>
                <w:t>December 15, 2015, by and between Take-Two Interactive</w:t>
              </w:r>
            </w:hyperlink>
          </w:p>
        </w:tc>
        <w:tc>
          <w:tcPr>
            <w:tcW w:w="160" w:type="dxa"/>
            <w:vAlign w:val="bottom"/>
            <w:gridSpan w:val="6"/>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26"/>
          </w:tcPr>
          <w:p>
            <w:pPr>
              <w:spacing w:after="0" w:line="196" w:lineRule="exact"/>
              <w:rPr>
                <w:rFonts w:ascii="Arial" w:cs="Arial" w:eastAsia="Arial" w:hAnsi="Arial"/>
                <w:sz w:val="18"/>
                <w:szCs w:val="18"/>
                <w:color w:val="0000FF"/>
              </w:rPr>
            </w:pPr>
            <w:hyperlink r:id="rId84">
              <w:r>
                <w:rPr>
                  <w:rFonts w:ascii="Arial" w:cs="Arial" w:eastAsia="Arial" w:hAnsi="Arial"/>
                  <w:sz w:val="18"/>
                  <w:szCs w:val="18"/>
                  <w:color w:val="0000FF"/>
                </w:rPr>
                <w:t>Software, Inc. and Moklam Enterprises, Inc.</w:t>
              </w:r>
            </w:hyperlink>
          </w:p>
        </w:tc>
      </w:tr>
      <w:tr>
        <w:trPr>
          <w:trHeight w:val="507"/>
        </w:trPr>
        <w:tc>
          <w:tcPr>
            <w:tcW w:w="1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180" w:type="dxa"/>
            <w:vAlign w:val="bottom"/>
            <w:tcBorders>
              <w:top w:val="single" w:sz="8" w:color="0000FF"/>
            </w:tcBorders>
            <w:gridSpan w:val="6"/>
          </w:tcPr>
          <w:p>
            <w:pPr>
              <w:spacing w:after="0"/>
              <w:rPr>
                <w:sz w:val="24"/>
                <w:szCs w:val="24"/>
                <w:color w:val="auto"/>
              </w:rPr>
            </w:pPr>
          </w:p>
        </w:tc>
        <w:tc>
          <w:tcPr>
            <w:tcW w:w="700" w:type="dxa"/>
            <w:vAlign w:val="bottom"/>
            <w:gridSpan w:val="4"/>
          </w:tcPr>
          <w:p>
            <w:pPr>
              <w:jc w:val="right"/>
              <w:ind w:right="140"/>
              <w:spacing w:after="0"/>
              <w:rPr>
                <w:sz w:val="20"/>
                <w:szCs w:val="20"/>
                <w:color w:val="auto"/>
              </w:rPr>
            </w:pPr>
            <w:r>
              <w:rPr>
                <w:rFonts w:ascii="Arial" w:cs="Arial" w:eastAsia="Arial" w:hAnsi="Arial"/>
                <w:sz w:val="18"/>
                <w:szCs w:val="18"/>
                <w:color w:val="auto"/>
              </w:rPr>
              <w:t>47</w:t>
            </w: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br w:type="column"/>
      </w:r>
    </w:p>
    <w:p>
      <w:pPr>
        <w:jc w:val="center"/>
        <w:ind w:right="20"/>
        <w:spacing w:after="0"/>
        <w:rPr>
          <w:sz w:val="20"/>
          <w:szCs w:val="20"/>
          <w:color w:val="auto"/>
        </w:rPr>
      </w:pPr>
      <w:r>
        <w:rPr>
          <w:rFonts w:ascii="Arial" w:cs="Arial" w:eastAsia="Arial" w:hAnsi="Arial"/>
          <w:sz w:val="14"/>
          <w:szCs w:val="14"/>
          <w:b w:val="1"/>
          <w:bCs w:val="1"/>
          <w:color w:val="auto"/>
        </w:rPr>
        <w:t>Incorporated by Reference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66675</wp:posOffset>
            </wp:positionV>
            <wp:extent cx="273558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a:extLst>
                        <a:ext uri="{28A0092B-C50C-407E-A947-70E740481C1C}"/>
                      </a:extLst>
                    </a:blip>
                    <a:srcRect/>
                    <a:stretch>
                      <a:fillRect/>
                    </a:stretch>
                  </pic:blipFill>
                  <pic:spPr bwMode="auto">
                    <a:xfrm>
                      <a:off x="0" y="0"/>
                      <a:ext cx="2735580" cy="8890"/>
                    </a:xfrm>
                    <a:prstGeom prst="rect">
                      <a:avLst/>
                    </a:prstGeom>
                    <a:noFill/>
                  </pic:spPr>
                </pic:pic>
              </a:graphicData>
            </a:graphic>
          </wp:anchor>
        </w:drawing>
      </w:r>
    </w:p>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7"/>
              </w:rPr>
              <w:t>Form</w:t>
            </w:r>
          </w:p>
        </w:tc>
        <w:tc>
          <w:tcPr>
            <w:tcW w:w="120" w:type="dxa"/>
            <w:vAlign w:val="bottom"/>
            <w:vMerge w:val="restart"/>
          </w:tcPr>
          <w:p>
            <w:pPr>
              <w:spacing w:after="0"/>
              <w:rPr>
                <w:sz w:val="14"/>
                <w:szCs w:val="14"/>
                <w:color w:val="auto"/>
              </w:rPr>
            </w:pPr>
          </w:p>
        </w:tc>
        <w:tc>
          <w:tcPr>
            <w:tcW w:w="112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Filing Date</w:t>
            </w:r>
          </w:p>
        </w:tc>
        <w:tc>
          <w:tcPr>
            <w:tcW w:w="100" w:type="dxa"/>
            <w:vAlign w:val="bottom"/>
            <w:vMerge w:val="restart"/>
          </w:tcPr>
          <w:p>
            <w:pPr>
              <w:spacing w:after="0"/>
              <w:rPr>
                <w:sz w:val="14"/>
                <w:szCs w:val="14"/>
                <w:color w:val="auto"/>
              </w:rPr>
            </w:pPr>
          </w:p>
        </w:tc>
        <w:tc>
          <w:tcPr>
            <w:tcW w:w="102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Exhibit</w:t>
            </w:r>
          </w:p>
        </w:tc>
        <w:tc>
          <w:tcPr>
            <w:tcW w:w="120" w:type="dxa"/>
            <w:vAlign w:val="bottom"/>
            <w:vMerge w:val="restart"/>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1"/>
              </w:rPr>
              <w:t>Filed</w:t>
            </w:r>
          </w:p>
        </w:tc>
        <w:tc>
          <w:tcPr>
            <w:tcW w:w="0" w:type="dxa"/>
            <w:vAlign w:val="bottom"/>
          </w:tcPr>
          <w:p>
            <w:pPr>
              <w:spacing w:after="0"/>
              <w:rPr>
                <w:sz w:val="1"/>
                <w:szCs w:val="1"/>
                <w:color w:val="auto"/>
              </w:rPr>
            </w:pPr>
          </w:p>
        </w:tc>
      </w:tr>
      <w:tr>
        <w:trPr>
          <w:trHeight w:val="192"/>
        </w:trPr>
        <w:tc>
          <w:tcPr>
            <w:tcW w:w="9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Herewith</w:t>
            </w:r>
          </w:p>
        </w:tc>
        <w:tc>
          <w:tcPr>
            <w:tcW w:w="0" w:type="dxa"/>
            <w:vAlign w:val="bottom"/>
          </w:tcPr>
          <w:p>
            <w:pPr>
              <w:spacing w:after="0"/>
              <w:rPr>
                <w:sz w:val="1"/>
                <w:szCs w:val="1"/>
                <w:color w:val="auto"/>
              </w:rPr>
            </w:pPr>
          </w:p>
        </w:tc>
      </w:tr>
      <w:tr>
        <w:trPr>
          <w:trHeight w:val="243"/>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10-Q</w:t>
            </w:r>
          </w:p>
        </w:tc>
        <w:tc>
          <w:tcPr>
            <w:tcW w:w="1120" w:type="dxa"/>
            <w:vAlign w:val="bottom"/>
          </w:tcPr>
          <w:p>
            <w:pPr>
              <w:jc w:val="center"/>
              <w:spacing w:after="0"/>
              <w:rPr>
                <w:sz w:val="20"/>
                <w:szCs w:val="20"/>
                <w:color w:val="auto"/>
              </w:rPr>
            </w:pPr>
            <w:r>
              <w:rPr>
                <w:rFonts w:ascii="Arial" w:cs="Arial" w:eastAsia="Arial" w:hAnsi="Arial"/>
                <w:sz w:val="18"/>
                <w:szCs w:val="18"/>
                <w:color w:val="auto"/>
                <w:w w:val="90"/>
              </w:rPr>
              <w:t>10/30/2014</w:t>
            </w:r>
          </w:p>
        </w:tc>
        <w:tc>
          <w:tcPr>
            <w:tcW w:w="100" w:type="dxa"/>
            <w:vAlign w:val="bottom"/>
          </w:tcPr>
          <w:p>
            <w:pPr>
              <w:spacing w:after="0"/>
              <w:rPr>
                <w:sz w:val="21"/>
                <w:szCs w:val="21"/>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10-Q</w:t>
            </w:r>
          </w:p>
        </w:tc>
        <w:tc>
          <w:tcPr>
            <w:tcW w:w="1120" w:type="dxa"/>
            <w:vAlign w:val="bottom"/>
          </w:tcPr>
          <w:p>
            <w:pPr>
              <w:jc w:val="center"/>
              <w:spacing w:after="0"/>
              <w:rPr>
                <w:sz w:val="20"/>
                <w:szCs w:val="20"/>
                <w:color w:val="auto"/>
              </w:rPr>
            </w:pPr>
            <w:r>
              <w:rPr>
                <w:rFonts w:ascii="Arial" w:cs="Arial" w:eastAsia="Arial" w:hAnsi="Arial"/>
                <w:sz w:val="18"/>
                <w:szCs w:val="18"/>
                <w:color w:val="auto"/>
                <w:w w:val="91"/>
              </w:rPr>
              <w:t>2/8/2018</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10.2</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10-Q</w:t>
            </w:r>
          </w:p>
        </w:tc>
        <w:tc>
          <w:tcPr>
            <w:tcW w:w="1120" w:type="dxa"/>
            <w:vAlign w:val="bottom"/>
          </w:tcPr>
          <w:p>
            <w:pPr>
              <w:jc w:val="center"/>
              <w:spacing w:after="0"/>
              <w:rPr>
                <w:sz w:val="20"/>
                <w:szCs w:val="20"/>
                <w:color w:val="auto"/>
              </w:rPr>
            </w:pPr>
            <w:r>
              <w:rPr>
                <w:rFonts w:ascii="Arial" w:cs="Arial" w:eastAsia="Arial" w:hAnsi="Arial"/>
                <w:sz w:val="18"/>
                <w:szCs w:val="18"/>
                <w:color w:val="auto"/>
                <w:w w:val="91"/>
              </w:rPr>
              <w:t>2/4/2014</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89"/>
              </w:rPr>
              <w:t>10-Q</w:t>
            </w:r>
          </w:p>
        </w:tc>
        <w:tc>
          <w:tcPr>
            <w:tcW w:w="1120" w:type="dxa"/>
            <w:vAlign w:val="bottom"/>
          </w:tcPr>
          <w:p>
            <w:pPr>
              <w:jc w:val="center"/>
              <w:spacing w:after="0"/>
              <w:rPr>
                <w:sz w:val="20"/>
                <w:szCs w:val="20"/>
                <w:color w:val="auto"/>
              </w:rPr>
            </w:pPr>
            <w:r>
              <w:rPr>
                <w:rFonts w:ascii="Arial" w:cs="Arial" w:eastAsia="Arial" w:hAnsi="Arial"/>
                <w:sz w:val="18"/>
                <w:szCs w:val="18"/>
                <w:color w:val="auto"/>
                <w:w w:val="91"/>
              </w:rPr>
              <w:t>8/6/2014</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10.1</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10-K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5/19/2016</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8"/>
              </w:rPr>
              <w:t>10.48</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10-K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5/19/2016</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8"/>
              </w:rPr>
              <w:t>10.49</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8"/>
              </w:rPr>
              <w:t>10-Q/A</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5/23/2017</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91"/>
              </w:rPr>
              <w:t>10.2</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02"/>
        </w:trPr>
        <w:tc>
          <w:tcPr>
            <w:tcW w:w="9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702"/>
        </w:trPr>
        <w:tc>
          <w:tcPr>
            <w:tcW w:w="1040" w:type="dxa"/>
            <w:vAlign w:val="bottom"/>
            <w:gridSpan w:val="2"/>
          </w:tcPr>
          <w:p>
            <w:pPr>
              <w:jc w:val="center"/>
              <w:ind w:right="120"/>
              <w:spacing w:after="0"/>
              <w:rPr>
                <w:sz w:val="20"/>
                <w:szCs w:val="20"/>
                <w:color w:val="auto"/>
              </w:rPr>
            </w:pPr>
            <w:r>
              <w:rPr>
                <w:rFonts w:ascii="Arial" w:cs="Arial" w:eastAsia="Arial" w:hAnsi="Arial"/>
                <w:sz w:val="18"/>
                <w:szCs w:val="18"/>
                <w:color w:val="auto"/>
                <w:w w:val="94"/>
              </w:rPr>
              <w:t>10-K</w:t>
            </w:r>
          </w:p>
        </w:tc>
        <w:tc>
          <w:tcPr>
            <w:tcW w:w="1120" w:type="dxa"/>
            <w:vAlign w:val="bottom"/>
          </w:tcPr>
          <w:p>
            <w:pPr>
              <w:jc w:val="center"/>
              <w:spacing w:after="0"/>
              <w:rPr>
                <w:sz w:val="20"/>
                <w:szCs w:val="20"/>
                <w:color w:val="auto"/>
              </w:rPr>
            </w:pPr>
            <w:r>
              <w:rPr>
                <w:rFonts w:ascii="Arial" w:cs="Arial" w:eastAsia="Arial" w:hAnsi="Arial"/>
                <w:sz w:val="18"/>
                <w:szCs w:val="18"/>
                <w:color w:val="auto"/>
                <w:w w:val="89"/>
              </w:rPr>
              <w:t>5/24/2017</w:t>
            </w:r>
          </w:p>
        </w:tc>
        <w:tc>
          <w:tcPr>
            <w:tcW w:w="100" w:type="dxa"/>
            <w:vAlign w:val="bottom"/>
          </w:tcPr>
          <w:p>
            <w:pPr>
              <w:spacing w:after="0"/>
              <w:rPr>
                <w:sz w:val="24"/>
                <w:szCs w:val="24"/>
                <w:color w:val="auto"/>
              </w:rPr>
            </w:pPr>
          </w:p>
        </w:tc>
        <w:tc>
          <w:tcPr>
            <w:tcW w:w="1020" w:type="dxa"/>
            <w:vAlign w:val="bottom"/>
          </w:tcPr>
          <w:p>
            <w:pPr>
              <w:jc w:val="center"/>
              <w:spacing w:after="0"/>
              <w:rPr>
                <w:sz w:val="20"/>
                <w:szCs w:val="20"/>
                <w:color w:val="auto"/>
              </w:rPr>
            </w:pPr>
            <w:r>
              <w:rPr>
                <w:rFonts w:ascii="Arial" w:cs="Arial" w:eastAsia="Arial" w:hAnsi="Arial"/>
                <w:sz w:val="18"/>
                <w:szCs w:val="18"/>
                <w:color w:val="auto"/>
                <w:w w:val="88"/>
              </w:rPr>
              <w:t>10.48</w:t>
            </w:r>
          </w:p>
        </w:tc>
        <w:tc>
          <w:tcPr>
            <w:tcW w:w="1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660" w:type="dxa"/>
            <w:vAlign w:val="bottom"/>
          </w:tcPr>
          <w:p>
            <w:pPr>
              <w:spacing w:after="0"/>
              <w:rPr>
                <w:sz w:val="20"/>
                <w:szCs w:val="20"/>
                <w:color w:val="auto"/>
              </w:rPr>
            </w:pPr>
            <w:r>
              <w:rPr>
                <w:rFonts w:ascii="Arial" w:cs="Arial" w:eastAsia="Arial" w:hAnsi="Arial"/>
                <w:sz w:val="18"/>
                <w:szCs w:val="18"/>
                <w:color w:val="auto"/>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9/16/2002</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91"/>
              </w:rPr>
              <w:t>10.2</w:t>
            </w:r>
          </w:p>
        </w:tc>
      </w:tr>
      <w:tr>
        <w:trPr>
          <w:trHeight w:val="486"/>
        </w:trPr>
        <w:tc>
          <w:tcPr>
            <w:tcW w:w="660" w:type="dxa"/>
            <w:vAlign w:val="bottom"/>
          </w:tcPr>
          <w:p>
            <w:pPr>
              <w:spacing w:after="0"/>
              <w:rPr>
                <w:sz w:val="20"/>
                <w:szCs w:val="20"/>
                <w:color w:val="auto"/>
              </w:rPr>
            </w:pPr>
            <w:r>
              <w:rPr>
                <w:rFonts w:ascii="Arial" w:cs="Arial" w:eastAsia="Arial" w:hAnsi="Arial"/>
                <w:sz w:val="18"/>
                <w:szCs w:val="18"/>
                <w:color w:val="auto"/>
              </w:rPr>
              <w:t>10-K</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5/23/2012</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88"/>
              </w:rPr>
              <w:t>10.45</w:t>
            </w:r>
          </w:p>
        </w:tc>
      </w:tr>
      <w:tr>
        <w:trPr>
          <w:trHeight w:val="486"/>
        </w:trPr>
        <w:tc>
          <w:tcPr>
            <w:tcW w:w="660" w:type="dxa"/>
            <w:vAlign w:val="bottom"/>
          </w:tcPr>
          <w:p>
            <w:pPr>
              <w:spacing w:after="0"/>
              <w:rPr>
                <w:sz w:val="20"/>
                <w:szCs w:val="20"/>
                <w:color w:val="auto"/>
              </w:rPr>
            </w:pPr>
            <w:r>
              <w:rPr>
                <w:rFonts w:ascii="Arial" w:cs="Arial" w:eastAsia="Arial" w:hAnsi="Arial"/>
                <w:sz w:val="18"/>
                <w:szCs w:val="18"/>
                <w:color w:val="auto"/>
              </w:rPr>
              <w:t>10-K</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5/14/2014</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88"/>
              </w:rPr>
              <w:t>10.39</w:t>
            </w:r>
          </w:p>
        </w:tc>
      </w:tr>
      <w:tr>
        <w:trPr>
          <w:trHeight w:val="486"/>
        </w:trPr>
        <w:tc>
          <w:tcPr>
            <w:tcW w:w="660" w:type="dxa"/>
            <w:vAlign w:val="bottom"/>
          </w:tcPr>
          <w:p>
            <w:pPr>
              <w:spacing w:after="0"/>
              <w:rPr>
                <w:sz w:val="20"/>
                <w:szCs w:val="20"/>
                <w:color w:val="auto"/>
              </w:rPr>
            </w:pPr>
            <w:r>
              <w:rPr>
                <w:rFonts w:ascii="Arial" w:cs="Arial" w:eastAsia="Arial" w:hAnsi="Arial"/>
                <w:sz w:val="18"/>
                <w:szCs w:val="18"/>
                <w:color w:val="auto"/>
              </w:rPr>
              <w:t>10-K</w:t>
            </w:r>
          </w:p>
        </w:tc>
        <w:tc>
          <w:tcPr>
            <w:tcW w:w="1320" w:type="dxa"/>
            <w:vAlign w:val="bottom"/>
          </w:tcPr>
          <w:p>
            <w:pPr>
              <w:jc w:val="center"/>
              <w:spacing w:after="0"/>
              <w:rPr>
                <w:sz w:val="20"/>
                <w:szCs w:val="20"/>
                <w:color w:val="auto"/>
              </w:rPr>
            </w:pPr>
            <w:r>
              <w:rPr>
                <w:rFonts w:ascii="Arial" w:cs="Arial" w:eastAsia="Arial" w:hAnsi="Arial"/>
                <w:sz w:val="18"/>
                <w:szCs w:val="18"/>
                <w:color w:val="auto"/>
                <w:w w:val="89"/>
              </w:rPr>
              <w:t>5/19/2016</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88"/>
              </w:rPr>
              <w:t>10.47</w:t>
            </w:r>
          </w:p>
        </w:tc>
      </w:tr>
      <w:tr>
        <w:trPr>
          <w:trHeight w:val="702"/>
        </w:trPr>
        <w:tc>
          <w:tcPr>
            <w:tcW w:w="660" w:type="dxa"/>
            <w:vAlign w:val="bottom"/>
          </w:tcPr>
          <w:p>
            <w:pPr>
              <w:spacing w:after="0"/>
              <w:rPr>
                <w:sz w:val="20"/>
                <w:szCs w:val="20"/>
                <w:color w:val="auto"/>
              </w:rPr>
            </w:pPr>
            <w:r>
              <w:rPr>
                <w:rFonts w:ascii="Arial" w:cs="Arial" w:eastAsia="Arial" w:hAnsi="Arial"/>
                <w:sz w:val="18"/>
                <w:szCs w:val="18"/>
                <w:color w:val="auto"/>
              </w:rPr>
              <w:t>10-Q</w:t>
            </w:r>
          </w:p>
        </w:tc>
        <w:tc>
          <w:tcPr>
            <w:tcW w:w="1320" w:type="dxa"/>
            <w:vAlign w:val="bottom"/>
          </w:tcPr>
          <w:p>
            <w:pPr>
              <w:jc w:val="center"/>
              <w:spacing w:after="0"/>
              <w:rPr>
                <w:sz w:val="20"/>
                <w:szCs w:val="20"/>
                <w:color w:val="auto"/>
              </w:rPr>
            </w:pPr>
            <w:r>
              <w:rPr>
                <w:rFonts w:ascii="Arial" w:cs="Arial" w:eastAsia="Arial" w:hAnsi="Arial"/>
                <w:sz w:val="18"/>
                <w:szCs w:val="18"/>
                <w:color w:val="auto"/>
                <w:w w:val="91"/>
              </w:rPr>
              <w:t>2/4/2016</w:t>
            </w:r>
          </w:p>
        </w:tc>
        <w:tc>
          <w:tcPr>
            <w:tcW w:w="700" w:type="dxa"/>
            <w:vAlign w:val="bottom"/>
          </w:tcPr>
          <w:p>
            <w:pPr>
              <w:jc w:val="center"/>
              <w:ind w:left="210"/>
              <w:spacing w:after="0"/>
              <w:rPr>
                <w:sz w:val="20"/>
                <w:szCs w:val="20"/>
                <w:color w:val="auto"/>
              </w:rPr>
            </w:pPr>
            <w:r>
              <w:rPr>
                <w:rFonts w:ascii="Arial" w:cs="Arial" w:eastAsia="Arial" w:hAnsi="Arial"/>
                <w:sz w:val="18"/>
                <w:szCs w:val="18"/>
                <w:color w:val="auto"/>
                <w:w w:val="91"/>
              </w:rPr>
              <w:t>10.1</w:t>
            </w:r>
          </w:p>
        </w:tc>
      </w:tr>
    </w:tbl>
    <w:p>
      <w:pPr>
        <w:sectPr>
          <w:pgSz w:w="11900" w:h="16838" w:orient="portrait"/>
          <w:cols w:equalWidth="0" w:num="2">
            <w:col w:w="5860" w:space="100"/>
            <w:col w:w="4320"/>
          </w:cols>
          <w:pgMar w:left="820" w:top="738" w:right="799" w:bottom="1440" w:gutter="0" w:footer="0" w:header="0"/>
        </w:sectPr>
      </w:pPr>
    </w:p>
    <w:bookmarkStart w:id="49" w:name="page50"/>
    <w:bookmarkEnd w:id="49"/>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46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8"/>
              </w:rPr>
              <w:t>Exhibit Number</w:t>
            </w:r>
          </w:p>
        </w:tc>
        <w:tc>
          <w:tcPr>
            <w:tcW w:w="20" w:type="dxa"/>
            <w:vAlign w:val="bottom"/>
          </w:tcPr>
          <w:p>
            <w:pPr>
              <w:spacing w:after="0"/>
              <w:rPr>
                <w:sz w:val="16"/>
                <w:szCs w:val="16"/>
                <w:color w:val="auto"/>
              </w:rPr>
            </w:pPr>
          </w:p>
        </w:tc>
        <w:tc>
          <w:tcPr>
            <w:tcW w:w="4380" w:type="dxa"/>
            <w:vAlign w:val="bottom"/>
            <w:gridSpan w:val="9"/>
          </w:tcPr>
          <w:p>
            <w:pPr>
              <w:ind w:left="1560"/>
              <w:spacing w:after="0"/>
              <w:rPr>
                <w:sz w:val="20"/>
                <w:szCs w:val="20"/>
                <w:color w:val="auto"/>
              </w:rPr>
            </w:pPr>
            <w:r>
              <w:rPr>
                <w:rFonts w:ascii="Arial" w:cs="Arial" w:eastAsia="Arial" w:hAnsi="Arial"/>
                <w:sz w:val="14"/>
                <w:szCs w:val="14"/>
                <w:b w:val="1"/>
                <w:bCs w:val="1"/>
                <w:color w:val="auto"/>
              </w:rPr>
              <w:t>Exhibit Description</w:t>
            </w:r>
          </w:p>
        </w:tc>
      </w:tr>
      <w:tr>
        <w:trPr>
          <w:trHeight w:val="202"/>
        </w:trPr>
        <w:tc>
          <w:tcPr>
            <w:tcW w:w="1340" w:type="dxa"/>
            <w:vAlign w:val="bottom"/>
            <w:tcBorders>
              <w:top w:val="single" w:sz="8" w:color="auto"/>
            </w:tcBorders>
          </w:tcPr>
          <w:p>
            <w:pPr>
              <w:jc w:val="center"/>
              <w:spacing w:after="0" w:line="202" w:lineRule="exact"/>
              <w:rPr>
                <w:sz w:val="20"/>
                <w:szCs w:val="20"/>
                <w:color w:val="auto"/>
              </w:rPr>
            </w:pPr>
            <w:r>
              <w:rPr>
                <w:rFonts w:ascii="Arial" w:cs="Arial" w:eastAsia="Arial" w:hAnsi="Arial"/>
                <w:sz w:val="18"/>
                <w:szCs w:val="18"/>
                <w:color w:val="auto"/>
                <w:w w:val="93"/>
              </w:rPr>
              <w:t>10.62</w:t>
            </w:r>
          </w:p>
        </w:tc>
        <w:tc>
          <w:tcPr>
            <w:tcW w:w="12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4380" w:type="dxa"/>
            <w:vAlign w:val="bottom"/>
            <w:tcBorders>
              <w:top w:val="single" w:sz="8" w:color="auto"/>
            </w:tcBorders>
            <w:gridSpan w:val="9"/>
          </w:tcPr>
          <w:p>
            <w:pPr>
              <w:spacing w:after="0" w:line="202" w:lineRule="exact"/>
              <w:rPr>
                <w:rFonts w:ascii="Arial" w:cs="Arial" w:eastAsia="Arial" w:hAnsi="Arial"/>
                <w:sz w:val="18"/>
                <w:szCs w:val="18"/>
                <w:color w:val="0000FF"/>
                <w:w w:val="93"/>
              </w:rPr>
            </w:pPr>
            <w:hyperlink r:id="rId86">
              <w:r>
                <w:rPr>
                  <w:rFonts w:ascii="Arial" w:cs="Arial" w:eastAsia="Arial" w:hAnsi="Arial"/>
                  <w:sz w:val="18"/>
                  <w:szCs w:val="18"/>
                  <w:color w:val="0000FF"/>
                  <w:w w:val="93"/>
                </w:rPr>
                <w:t>Lease Agreement, dated as of December 12, 2016, by and</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60" w:type="dxa"/>
            <w:vAlign w:val="bottom"/>
            <w:tcBorders>
              <w:top w:val="single" w:sz="8" w:color="0000FF"/>
              <w:bottom w:val="single" w:sz="8" w:color="0000FF"/>
            </w:tcBorders>
            <w:gridSpan w:val="5"/>
          </w:tcPr>
          <w:p>
            <w:pPr>
              <w:spacing w:after="0" w:line="196" w:lineRule="exact"/>
              <w:rPr>
                <w:rFonts w:ascii="Arial" w:cs="Arial" w:eastAsia="Arial" w:hAnsi="Arial"/>
                <w:sz w:val="18"/>
                <w:szCs w:val="18"/>
                <w:color w:val="0000FF"/>
                <w:w w:val="90"/>
              </w:rPr>
            </w:pPr>
            <w:hyperlink r:id="rId86">
              <w:r>
                <w:rPr>
                  <w:rFonts w:ascii="Arial" w:cs="Arial" w:eastAsia="Arial" w:hAnsi="Arial"/>
                  <w:sz w:val="18"/>
                  <w:szCs w:val="18"/>
                  <w:color w:val="0000FF"/>
                  <w:w w:val="90"/>
                </w:rPr>
                <w:t>between Take-Two Interactive Software, Inc. and DOLP</w:t>
              </w:r>
            </w:hyperlink>
          </w:p>
        </w:tc>
        <w:tc>
          <w:tcPr>
            <w:tcW w:w="100" w:type="dxa"/>
            <w:vAlign w:val="bottom"/>
            <w:tcBorders>
              <w:top w:val="single" w:sz="8" w:color="0000FF"/>
            </w:tcBorders>
          </w:tcPr>
          <w:p>
            <w:pPr>
              <w:spacing w:after="0"/>
              <w:rPr>
                <w:sz w:val="17"/>
                <w:szCs w:val="17"/>
                <w:color w:val="auto"/>
              </w:rPr>
            </w:pPr>
          </w:p>
        </w:tc>
        <w:tc>
          <w:tcPr>
            <w:tcW w:w="220" w:type="dxa"/>
            <w:vAlign w:val="bottom"/>
            <w:gridSpan w:val="3"/>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9"/>
          </w:tcPr>
          <w:p>
            <w:pPr>
              <w:spacing w:after="0" w:line="196" w:lineRule="exact"/>
              <w:rPr>
                <w:rFonts w:ascii="Arial" w:cs="Arial" w:eastAsia="Arial" w:hAnsi="Arial"/>
                <w:sz w:val="18"/>
                <w:szCs w:val="18"/>
                <w:color w:val="0000FF"/>
                <w:w w:val="99"/>
              </w:rPr>
            </w:pPr>
            <w:hyperlink r:id="rId86">
              <w:r>
                <w:rPr>
                  <w:rFonts w:ascii="Arial" w:cs="Arial" w:eastAsia="Arial" w:hAnsi="Arial"/>
                  <w:sz w:val="18"/>
                  <w:szCs w:val="18"/>
                  <w:color w:val="0000FF"/>
                  <w:w w:val="99"/>
                </w:rPr>
                <w:t>1133 Properties II LLC for a premises with entrances at</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60" w:type="dxa"/>
            <w:vAlign w:val="bottom"/>
            <w:shd w:val="clear" w:color="auto" w:fill="0000FF"/>
          </w:tcPr>
          <w:p>
            <w:pPr>
              <w:spacing w:after="0" w:line="20" w:lineRule="exact"/>
              <w:rPr>
                <w:sz w:val="1"/>
                <w:szCs w:val="1"/>
                <w:color w:val="auto"/>
              </w:rPr>
            </w:pPr>
          </w:p>
        </w:tc>
        <w:tc>
          <w:tcPr>
            <w:tcW w:w="184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9"/>
          </w:tcPr>
          <w:p>
            <w:pPr>
              <w:spacing w:after="0" w:line="196" w:lineRule="exact"/>
              <w:rPr>
                <w:rFonts w:ascii="Arial" w:cs="Arial" w:eastAsia="Arial" w:hAnsi="Arial"/>
                <w:sz w:val="18"/>
                <w:szCs w:val="18"/>
                <w:color w:val="0000FF"/>
                <w:w w:val="96"/>
              </w:rPr>
            </w:pPr>
            <w:hyperlink r:id="rId86">
              <w:r>
                <w:rPr>
                  <w:rFonts w:ascii="Arial" w:cs="Arial" w:eastAsia="Arial" w:hAnsi="Arial"/>
                  <w:sz w:val="18"/>
                  <w:szCs w:val="18"/>
                  <w:color w:val="0000FF"/>
                  <w:w w:val="96"/>
                </w:rPr>
                <w:t>1133 Avenue of the Americas and 110 West 44th Street,</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60" w:type="dxa"/>
            <w:vAlign w:val="bottom"/>
            <w:tcBorders>
              <w:top w:val="single" w:sz="8" w:color="0000FF"/>
              <w:bottom w:val="single" w:sz="8" w:color="0000FF"/>
            </w:tcBorders>
          </w:tcPr>
          <w:p>
            <w:pPr>
              <w:spacing w:after="0" w:line="196" w:lineRule="exact"/>
              <w:rPr>
                <w:rFonts w:ascii="Arial" w:cs="Arial" w:eastAsia="Arial" w:hAnsi="Arial"/>
                <w:sz w:val="18"/>
                <w:szCs w:val="18"/>
                <w:color w:val="0000FF"/>
                <w:w w:val="92"/>
              </w:rPr>
            </w:pPr>
            <w:hyperlink r:id="rId86">
              <w:r>
                <w:rPr>
                  <w:rFonts w:ascii="Arial" w:cs="Arial" w:eastAsia="Arial" w:hAnsi="Arial"/>
                  <w:sz w:val="18"/>
                  <w:szCs w:val="18"/>
                  <w:color w:val="0000FF"/>
                  <w:w w:val="92"/>
                </w:rPr>
                <w:t>New York, New York 10036</w:t>
              </w:r>
            </w:hyperlink>
          </w:p>
        </w:tc>
        <w:tc>
          <w:tcPr>
            <w:tcW w:w="1960" w:type="dxa"/>
            <w:vAlign w:val="bottom"/>
            <w:tcBorders>
              <w:top w:val="single" w:sz="8" w:color="0000FF"/>
            </w:tcBorders>
            <w:gridSpan w:val="3"/>
          </w:tcPr>
          <w:p>
            <w:pPr>
              <w:spacing w:after="0"/>
              <w:rPr>
                <w:sz w:val="17"/>
                <w:szCs w:val="17"/>
                <w:color w:val="auto"/>
              </w:rPr>
            </w:pPr>
          </w:p>
        </w:tc>
        <w:tc>
          <w:tcPr>
            <w:tcW w:w="360" w:type="dxa"/>
            <w:vAlign w:val="bottom"/>
            <w:gridSpan w:val="5"/>
          </w:tcPr>
          <w:p>
            <w:pPr>
              <w:spacing w:after="0"/>
              <w:rPr>
                <w:sz w:val="17"/>
                <w:szCs w:val="17"/>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3"/>
              </w:rPr>
              <w:t>10.63</w:t>
            </w:r>
          </w:p>
        </w:tc>
        <w:tc>
          <w:tcPr>
            <w:tcW w:w="1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9"/>
          </w:tcPr>
          <w:p>
            <w:pPr>
              <w:spacing w:after="0"/>
              <w:rPr>
                <w:rFonts w:ascii="Arial" w:cs="Arial" w:eastAsia="Arial" w:hAnsi="Arial"/>
                <w:sz w:val="18"/>
                <w:szCs w:val="18"/>
                <w:color w:val="0000FF"/>
                <w:w w:val="92"/>
              </w:rPr>
            </w:pPr>
            <w:hyperlink r:id="rId87">
              <w:r>
                <w:rPr>
                  <w:rFonts w:ascii="Arial" w:cs="Arial" w:eastAsia="Arial" w:hAnsi="Arial"/>
                  <w:sz w:val="18"/>
                  <w:szCs w:val="18"/>
                  <w:color w:val="0000FF"/>
                  <w:w w:val="92"/>
                </w:rPr>
                <w:t>Registration Rights Agreement, dated January 31, 2017, by</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900" w:type="dxa"/>
            <w:vAlign w:val="bottom"/>
            <w:gridSpan w:val="2"/>
            <w:shd w:val="clear" w:color="auto" w:fill="0000FF"/>
          </w:tcPr>
          <w:p>
            <w:pPr>
              <w:spacing w:after="0" w:line="20" w:lineRule="exact"/>
              <w:rPr>
                <w:sz w:val="1"/>
                <w:szCs w:val="1"/>
                <w:color w:val="auto"/>
              </w:rPr>
            </w:pPr>
          </w:p>
        </w:tc>
        <w:tc>
          <w:tcPr>
            <w:tcW w:w="360" w:type="dxa"/>
            <w:vAlign w:val="bottom"/>
            <w:gridSpan w:val="5"/>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9"/>
          </w:tcPr>
          <w:p>
            <w:pPr>
              <w:spacing w:after="0" w:line="196" w:lineRule="exact"/>
              <w:rPr>
                <w:rFonts w:ascii="Arial" w:cs="Arial" w:eastAsia="Arial" w:hAnsi="Arial"/>
                <w:sz w:val="18"/>
                <w:szCs w:val="18"/>
                <w:color w:val="0000FF"/>
                <w:w w:val="91"/>
              </w:rPr>
            </w:pPr>
            <w:hyperlink r:id="rId87">
              <w:r>
                <w:rPr>
                  <w:rFonts w:ascii="Arial" w:cs="Arial" w:eastAsia="Arial" w:hAnsi="Arial"/>
                  <w:sz w:val="18"/>
                  <w:szCs w:val="18"/>
                  <w:color w:val="0000FF"/>
                  <w:w w:val="91"/>
                </w:rPr>
                <w:t>and among Take-Two Interactive Software, Inc, Andres Bou</w:t>
              </w:r>
            </w:hyperlink>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900" w:type="dxa"/>
            <w:vAlign w:val="bottom"/>
            <w:tcBorders>
              <w:top w:val="single" w:sz="8" w:color="0000FF"/>
              <w:bottom w:val="single" w:sz="8" w:color="0000FF"/>
            </w:tcBorders>
            <w:gridSpan w:val="2"/>
          </w:tcPr>
          <w:p>
            <w:pPr>
              <w:spacing w:after="0" w:line="196" w:lineRule="exact"/>
              <w:rPr>
                <w:rFonts w:ascii="Arial" w:cs="Arial" w:eastAsia="Arial" w:hAnsi="Arial"/>
                <w:sz w:val="18"/>
                <w:szCs w:val="18"/>
                <w:color w:val="0000FF"/>
                <w:w w:val="90"/>
              </w:rPr>
            </w:pPr>
            <w:hyperlink r:id="rId87">
              <w:r>
                <w:rPr>
                  <w:rFonts w:ascii="Arial" w:cs="Arial" w:eastAsia="Arial" w:hAnsi="Arial"/>
                  <w:sz w:val="18"/>
                  <w:szCs w:val="18"/>
                  <w:color w:val="0000FF"/>
                  <w:w w:val="90"/>
                </w:rPr>
                <w:t>Ortiz, Horacio Martos Borja, Marc Canaleta Caupena,</w:t>
              </w:r>
            </w:hyperlink>
          </w:p>
        </w:tc>
        <w:tc>
          <w:tcPr>
            <w:tcW w:w="440" w:type="dxa"/>
            <w:vAlign w:val="bottom"/>
            <w:tcBorders>
              <w:top w:val="single" w:sz="8" w:color="0000FF"/>
            </w:tcBorders>
            <w:gridSpan w:val="6"/>
          </w:tcPr>
          <w:p>
            <w:pPr>
              <w:spacing w:after="0"/>
              <w:rPr>
                <w:sz w:val="17"/>
                <w:szCs w:val="17"/>
                <w:color w:val="auto"/>
              </w:rPr>
            </w:pPr>
          </w:p>
        </w:tc>
        <w:tc>
          <w:tcPr>
            <w:tcW w:w="40" w:type="dxa"/>
            <w:vAlign w:val="bottom"/>
          </w:tcPr>
          <w:p>
            <w:pPr>
              <w:spacing w:after="0"/>
              <w:rPr>
                <w:sz w:val="17"/>
                <w:szCs w:val="17"/>
                <w:color w:val="auto"/>
              </w:rPr>
            </w:pPr>
          </w:p>
        </w:tc>
      </w:tr>
      <w:tr>
        <w:trPr>
          <w:trHeight w:val="196"/>
        </w:trPr>
        <w:tc>
          <w:tcPr>
            <w:tcW w:w="1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9"/>
          </w:tcPr>
          <w:p>
            <w:pPr>
              <w:spacing w:after="0" w:line="196" w:lineRule="exact"/>
              <w:rPr>
                <w:rFonts w:ascii="Arial" w:cs="Arial" w:eastAsia="Arial" w:hAnsi="Arial"/>
                <w:sz w:val="18"/>
                <w:szCs w:val="18"/>
                <w:color w:val="0000FF"/>
                <w:w w:val="93"/>
              </w:rPr>
            </w:pPr>
            <w:hyperlink r:id="rId87">
              <w:r>
                <w:rPr>
                  <w:rFonts w:ascii="Arial" w:cs="Arial" w:eastAsia="Arial" w:hAnsi="Arial"/>
                  <w:sz w:val="18"/>
                  <w:szCs w:val="18"/>
                  <w:color w:val="0000FF"/>
                  <w:w w:val="93"/>
                </w:rPr>
                <w:t>Voladuras Hinojo, S.L., Nauta Tech Invest III, S.C.R., S.A.,</w:t>
              </w:r>
            </w:hyperlink>
          </w:p>
        </w:tc>
      </w:tr>
      <w:tr>
        <w:trPr>
          <w:trHeight w:val="20"/>
        </w:trPr>
        <w:tc>
          <w:tcPr>
            <w:tcW w:w="13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60" w:type="dxa"/>
            <w:vAlign w:val="bottom"/>
            <w:shd w:val="clear" w:color="auto" w:fill="0000FF"/>
          </w:tcPr>
          <w:p>
            <w:pPr>
              <w:spacing w:after="0" w:line="20" w:lineRule="exact"/>
              <w:rPr>
                <w:sz w:val="1"/>
                <w:szCs w:val="1"/>
                <w:color w:val="auto"/>
              </w:rPr>
            </w:pPr>
          </w:p>
        </w:tc>
        <w:tc>
          <w:tcPr>
            <w:tcW w:w="184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tcBorders>
              <w:left w:val="single" w:sz="8" w:color="0000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13" w:lineRule="exact"/>
        <w:rPr>
          <w:sz w:val="20"/>
          <w:szCs w:val="20"/>
          <w:color w:val="auto"/>
        </w:rPr>
      </w:pPr>
    </w:p>
    <w:p>
      <w:pPr>
        <w:ind w:left="1480" w:right="140"/>
        <w:spacing w:after="0" w:line="269" w:lineRule="auto"/>
        <w:rPr>
          <w:rFonts w:ascii="Arial" w:cs="Arial" w:eastAsia="Arial" w:hAnsi="Arial"/>
          <w:sz w:val="17"/>
          <w:szCs w:val="17"/>
          <w:u w:val="single" w:color="auto"/>
          <w:color w:val="0000FF"/>
        </w:rPr>
      </w:pPr>
      <w:hyperlink r:id="rId87">
        <w:r>
          <w:rPr>
            <w:rFonts w:ascii="Arial" w:cs="Arial" w:eastAsia="Arial" w:hAnsi="Arial"/>
            <w:sz w:val="17"/>
            <w:szCs w:val="17"/>
            <w:u w:val="single" w:color="auto"/>
            <w:color w:val="0000FF"/>
          </w:rPr>
          <w:t>Bilbao Vizcaya Holding, S.A., La Banque Postale</w:t>
        </w:r>
      </w:hyperlink>
      <w:r>
        <w:rPr>
          <w:rFonts w:ascii="Arial" w:cs="Arial" w:eastAsia="Arial" w:hAnsi="Arial"/>
          <w:sz w:val="17"/>
          <w:szCs w:val="17"/>
          <w:u w:val="single" w:color="auto"/>
          <w:color w:val="0000FF"/>
        </w:rPr>
        <w:t xml:space="preserve"> </w:t>
      </w:r>
      <w:hyperlink r:id="rId87">
        <w:r>
          <w:rPr>
            <w:rFonts w:ascii="Arial" w:cs="Arial" w:eastAsia="Arial" w:hAnsi="Arial"/>
            <w:sz w:val="17"/>
            <w:szCs w:val="17"/>
            <w:u w:val="single" w:color="auto"/>
            <w:color w:val="0000FF"/>
          </w:rPr>
          <w:t>Innovation 11 FCPI, Capital Croissance 4, Objectif</w:t>
        </w:r>
      </w:hyperlink>
      <w:r>
        <w:rPr>
          <w:rFonts w:ascii="Arial" w:cs="Arial" w:eastAsia="Arial" w:hAnsi="Arial"/>
          <w:sz w:val="17"/>
          <w:szCs w:val="17"/>
          <w:u w:val="single" w:color="auto"/>
          <w:color w:val="0000FF"/>
        </w:rPr>
        <w:t xml:space="preserve"> </w:t>
      </w:r>
      <w:hyperlink r:id="rId87">
        <w:r>
          <w:rPr>
            <w:rFonts w:ascii="Arial" w:cs="Arial" w:eastAsia="Arial" w:hAnsi="Arial"/>
            <w:sz w:val="17"/>
            <w:szCs w:val="17"/>
            <w:u w:val="single" w:color="auto"/>
            <w:color w:val="0000FF"/>
          </w:rPr>
          <w:t>Innovation Patrimoine 4 FCPI, Strategie PME 2011 FCPI,</w:t>
        </w:r>
      </w:hyperlink>
      <w:r>
        <w:rPr>
          <w:rFonts w:ascii="Arial" w:cs="Arial" w:eastAsia="Arial" w:hAnsi="Arial"/>
          <w:sz w:val="17"/>
          <w:szCs w:val="17"/>
          <w:u w:val="single" w:color="auto"/>
          <w:color w:val="0000FF"/>
        </w:rPr>
        <w:t xml:space="preserve"> </w:t>
      </w:r>
      <w:hyperlink r:id="rId87">
        <w:r>
          <w:rPr>
            <w:rFonts w:ascii="Arial" w:cs="Arial" w:eastAsia="Arial" w:hAnsi="Arial"/>
            <w:sz w:val="17"/>
            <w:szCs w:val="17"/>
            <w:u w:val="single" w:color="auto"/>
            <w:color w:val="0000FF"/>
          </w:rPr>
          <w:t>Idinvest Patrimoine FCPI, Allianz Eco Innovation 3 FCPI,</w:t>
        </w:r>
      </w:hyperlink>
      <w:r>
        <w:rPr>
          <w:rFonts w:ascii="Arial" w:cs="Arial" w:eastAsia="Arial" w:hAnsi="Arial"/>
          <w:sz w:val="17"/>
          <w:szCs w:val="17"/>
          <w:u w:val="single" w:color="auto"/>
          <w:color w:val="0000FF"/>
        </w:rPr>
        <w:t xml:space="preserve"> </w:t>
      </w:r>
      <w:hyperlink r:id="rId87">
        <w:r>
          <w:rPr>
            <w:rFonts w:ascii="Arial" w:cs="Arial" w:eastAsia="Arial" w:hAnsi="Arial"/>
            <w:sz w:val="17"/>
            <w:szCs w:val="17"/>
            <w:u w:val="single" w:color="auto"/>
            <w:color w:val="0000FF"/>
          </w:rPr>
          <w:t>Objectif Innovation 5 FCPI, Idinvest Crossance FCPI, SG</w:t>
        </w:r>
      </w:hyperlink>
      <w:r>
        <w:rPr>
          <w:rFonts w:ascii="Arial" w:cs="Arial" w:eastAsia="Arial" w:hAnsi="Arial"/>
          <w:sz w:val="17"/>
          <w:szCs w:val="17"/>
          <w:u w:val="single" w:color="auto"/>
          <w:color w:val="0000FF"/>
        </w:rPr>
        <w:t xml:space="preserve"> </w:t>
      </w:r>
      <w:hyperlink r:id="rId87">
        <w:r>
          <w:rPr>
            <w:rFonts w:ascii="Arial" w:cs="Arial" w:eastAsia="Arial" w:hAnsi="Arial"/>
            <w:sz w:val="17"/>
            <w:szCs w:val="17"/>
            <w:u w:val="single" w:color="auto"/>
            <w:color w:val="0000FF"/>
          </w:rPr>
          <w:t>Innovation 2011 FCPI, Allianz Eco Innovation 2 FCPI,</w:t>
        </w:r>
      </w:hyperlink>
      <w:r>
        <w:rPr>
          <w:rFonts w:ascii="Arial" w:cs="Arial" w:eastAsia="Arial" w:hAnsi="Arial"/>
          <w:sz w:val="17"/>
          <w:szCs w:val="17"/>
          <w:u w:val="single" w:color="auto"/>
          <w:color w:val="0000FF"/>
        </w:rPr>
        <w:t xml:space="preserve"> </w:t>
      </w:r>
      <w:hyperlink r:id="rId87">
        <w:r>
          <w:rPr>
            <w:rFonts w:ascii="Arial" w:cs="Arial" w:eastAsia="Arial" w:hAnsi="Arial"/>
            <w:sz w:val="17"/>
            <w:szCs w:val="17"/>
            <w:u w:val="single" w:color="auto"/>
            <w:color w:val="0000FF"/>
          </w:rPr>
          <w:t>Objectif Innovation 4 FCPI, Idinvest Flexible 2016 FCPI,</w:t>
        </w:r>
      </w:hyperlink>
      <w:r>
        <w:rPr>
          <w:rFonts w:ascii="Arial" w:cs="Arial" w:eastAsia="Arial" w:hAnsi="Arial"/>
          <w:sz w:val="17"/>
          <w:szCs w:val="17"/>
          <w:u w:val="single" w:color="auto"/>
          <w:color w:val="0000FF"/>
        </w:rPr>
        <w:t xml:space="preserve"> </w:t>
      </w:r>
      <w:hyperlink r:id="rId87">
        <w:r>
          <w:rPr>
            <w:rFonts w:ascii="Arial" w:cs="Arial" w:eastAsia="Arial" w:hAnsi="Arial"/>
            <w:sz w:val="17"/>
            <w:szCs w:val="17"/>
            <w:u w:val="single" w:color="auto"/>
            <w:color w:val="0000FF"/>
          </w:rPr>
          <w:t>Capital Croissance 5 FCPI, Objectif Innovation Patrimoine</w:t>
        </w:r>
      </w:hyperlink>
      <w:r>
        <w:rPr>
          <w:rFonts w:ascii="Arial" w:cs="Arial" w:eastAsia="Arial" w:hAnsi="Arial"/>
          <w:sz w:val="17"/>
          <w:szCs w:val="17"/>
          <w:u w:val="single" w:color="auto"/>
          <w:color w:val="0000FF"/>
        </w:rPr>
        <w:t xml:space="preserve"> </w:t>
      </w:r>
      <w:hyperlink r:id="rId87">
        <w:r>
          <w:rPr>
            <w:rFonts w:ascii="Arial" w:cs="Arial" w:eastAsia="Arial" w:hAnsi="Arial"/>
            <w:sz w:val="17"/>
            <w:szCs w:val="17"/>
            <w:u w:val="single" w:color="auto"/>
            <w:color w:val="0000FF"/>
          </w:rPr>
          <w:t>5 FCPI, Idinvest Patrimoine 2 FCPI, Objectif Innovation</w:t>
        </w:r>
      </w:hyperlink>
      <w:r>
        <w:rPr>
          <w:rFonts w:ascii="Arial" w:cs="Arial" w:eastAsia="Arial" w:hAnsi="Arial"/>
          <w:sz w:val="17"/>
          <w:szCs w:val="17"/>
          <w:u w:val="single" w:color="auto"/>
          <w:color w:val="0000FF"/>
        </w:rPr>
        <w:t xml:space="preserve"> </w:t>
      </w:r>
      <w:hyperlink r:id="rId87">
        <w:r>
          <w:rPr>
            <w:rFonts w:ascii="Arial" w:cs="Arial" w:eastAsia="Arial" w:hAnsi="Arial"/>
            <w:sz w:val="17"/>
            <w:szCs w:val="17"/>
            <w:u w:val="single" w:color="auto"/>
            <w:color w:val="0000FF"/>
          </w:rPr>
          <w:t>Patrimoine 6 FCPI, Idinvest Patrimoine 3 FCPI, Greylock</w:t>
        </w:r>
      </w:hyperlink>
      <w:r>
        <w:rPr>
          <w:rFonts w:ascii="Arial" w:cs="Arial" w:eastAsia="Arial" w:hAnsi="Arial"/>
          <w:sz w:val="17"/>
          <w:szCs w:val="17"/>
          <w:u w:val="single" w:color="auto"/>
          <w:color w:val="0000FF"/>
        </w:rPr>
        <w:t xml:space="preserve"> </w:t>
      </w:r>
      <w:hyperlink r:id="rId87">
        <w:r>
          <w:rPr>
            <w:rFonts w:ascii="Arial" w:cs="Arial" w:eastAsia="Arial" w:hAnsi="Arial"/>
            <w:sz w:val="17"/>
            <w:szCs w:val="17"/>
            <w:u w:val="single" w:color="auto"/>
            <w:color w:val="0000FF"/>
          </w:rPr>
          <w:t>Israel Investment Vehicle in Social Point, LTD, and</w:t>
        </w:r>
      </w:hyperlink>
      <w:r>
        <w:rPr>
          <w:rFonts w:ascii="Arial" w:cs="Arial" w:eastAsia="Arial" w:hAnsi="Arial"/>
          <w:sz w:val="17"/>
          <w:szCs w:val="17"/>
          <w:u w:val="single" w:color="auto"/>
          <w:color w:val="0000FF"/>
        </w:rPr>
        <w:t xml:space="preserve"> </w:t>
      </w:r>
      <w:hyperlink r:id="rId87">
        <w:r>
          <w:rPr>
            <w:rFonts w:ascii="Arial" w:cs="Arial" w:eastAsia="Arial" w:hAnsi="Arial"/>
            <w:sz w:val="17"/>
            <w:szCs w:val="17"/>
            <w:u w:val="single" w:color="auto"/>
            <w:color w:val="0000FF"/>
          </w:rPr>
          <w:t>HCPESP, S.a.r.l.</w:t>
        </w:r>
      </w:hyperlink>
    </w:p>
    <w:p>
      <w:pPr>
        <w:spacing w:after="0" w:line="234" w:lineRule="exact"/>
        <w:rPr>
          <w:rFonts w:ascii="Arial" w:cs="Arial" w:eastAsia="Arial" w:hAnsi="Arial"/>
          <w:sz w:val="17"/>
          <w:szCs w:val="17"/>
          <w:u w:val="single" w:color="auto"/>
          <w:color w:val="0000FF"/>
        </w:rPr>
      </w:pPr>
    </w:p>
    <w:p>
      <w:pPr>
        <w:ind w:left="5040"/>
        <w:spacing w:after="0"/>
        <w:rPr>
          <w:sz w:val="20"/>
          <w:szCs w:val="20"/>
          <w:color w:val="auto"/>
        </w:rPr>
      </w:pPr>
      <w:r>
        <w:rPr>
          <w:rFonts w:ascii="Arial" w:cs="Arial" w:eastAsia="Arial" w:hAnsi="Arial"/>
          <w:sz w:val="18"/>
          <w:szCs w:val="18"/>
          <w:color w:val="auto"/>
        </w:rPr>
        <w:t>48</w:t>
      </w:r>
    </w:p>
    <w:p>
      <w:pPr>
        <w:spacing w:after="0" w:line="20" w:lineRule="exact"/>
        <w:rPr>
          <w:rFonts w:ascii="Arial" w:cs="Arial" w:eastAsia="Arial" w:hAnsi="Arial"/>
          <w:sz w:val="17"/>
          <w:szCs w:val="17"/>
          <w:u w:val="single" w:color="auto"/>
          <w:color w:val="0000FF"/>
        </w:rPr>
      </w:pPr>
      <w:r>
        <w:rPr>
          <w:rFonts w:ascii="Arial" w:cs="Arial" w:eastAsia="Arial" w:hAnsi="Arial"/>
          <w:sz w:val="17"/>
          <w:szCs w:val="17"/>
          <w:u w:val="single" w:color="auto"/>
          <w:color w:val="0000FF"/>
        </w:rPr>
        <w:br w:type="column"/>
      </w:r>
    </w:p>
    <w:p>
      <w:pPr>
        <w:jc w:val="center"/>
        <w:ind w:right="20"/>
        <w:spacing w:after="0"/>
        <w:rPr>
          <w:sz w:val="20"/>
          <w:szCs w:val="20"/>
          <w:color w:val="auto"/>
        </w:rPr>
      </w:pPr>
      <w:r>
        <w:rPr>
          <w:rFonts w:ascii="Arial" w:cs="Arial" w:eastAsia="Arial" w:hAnsi="Arial"/>
          <w:sz w:val="14"/>
          <w:szCs w:val="14"/>
          <w:b w:val="1"/>
          <w:bCs w:val="1"/>
          <w:color w:val="auto"/>
        </w:rPr>
        <w:t>Incorporated by Reference</w:t>
      </w:r>
    </w:p>
    <w:p>
      <w:pPr>
        <w:spacing w:after="0" w:line="20" w:lineRule="exact"/>
        <w:rPr>
          <w:rFonts w:ascii="Arial" w:cs="Arial" w:eastAsia="Arial" w:hAnsi="Arial"/>
          <w:sz w:val="17"/>
          <w:szCs w:val="17"/>
          <w:u w:val="single" w:color="auto"/>
          <w:color w:val="0000FF"/>
        </w:rPr>
      </w:pPr>
      <w:r>
        <w:rPr>
          <w:rFonts w:ascii="Arial" w:cs="Arial" w:eastAsia="Arial" w:hAnsi="Arial"/>
          <w:sz w:val="17"/>
          <w:szCs w:val="17"/>
          <w:u w:val="single" w:color="auto"/>
          <w:color w:val="0000FF"/>
        </w:rPr>
        <w:drawing>
          <wp:anchor simplePos="0" relativeHeight="251657728" behindDoc="1" locked="0" layoutInCell="0" allowOverlap="1">
            <wp:simplePos x="0" y="0"/>
            <wp:positionH relativeFrom="column">
              <wp:posOffset>3175</wp:posOffset>
            </wp:positionH>
            <wp:positionV relativeFrom="paragraph">
              <wp:posOffset>66675</wp:posOffset>
            </wp:positionV>
            <wp:extent cx="273558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8">
                      <a:extLst>
                        <a:ext uri="{28A0092B-C50C-407E-A947-70E740481C1C}"/>
                      </a:extLst>
                    </a:blip>
                    <a:srcRect/>
                    <a:stretch>
                      <a:fillRect/>
                    </a:stretch>
                  </pic:blipFill>
                  <pic:spPr bwMode="auto">
                    <a:xfrm>
                      <a:off x="0" y="0"/>
                      <a:ext cx="2735580" cy="8890"/>
                    </a:xfrm>
                    <a:prstGeom prst="rect">
                      <a:avLst/>
                    </a:prstGeom>
                    <a:noFill/>
                  </pic:spPr>
                </pic:pic>
              </a:graphicData>
            </a:graphic>
          </wp:anchor>
        </w:drawing>
      </w:r>
    </w:p>
    <w:p>
      <w:pPr>
        <w:spacing w:after="0" w:line="90" w:lineRule="exact"/>
        <w:rPr>
          <w:rFonts w:ascii="Arial" w:cs="Arial" w:eastAsia="Arial" w:hAnsi="Arial"/>
          <w:sz w:val="17"/>
          <w:szCs w:val="17"/>
          <w:u w:val="single" w:color="auto"/>
          <w:color w:val="0000FF"/>
        </w:rPr>
      </w:pPr>
    </w:p>
    <w:tbl>
      <w:tblPr>
        <w:tblLayout w:type="fixed"/>
        <w:tblInd w:w="0" w:type="dxa"/>
        <w:tblCellMar>
          <w:top w:w="0" w:type="dxa"/>
          <w:left w:w="0" w:type="dxa"/>
          <w:bottom w:w="0" w:type="dxa"/>
          <w:right w:w="0" w:type="dxa"/>
        </w:tblCellMar>
      </w:tblPr>
      <w:tr>
        <w:trPr>
          <w:trHeight w:val="161"/>
        </w:trPr>
        <w:tc>
          <w:tcPr>
            <w:tcW w:w="92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Form</w:t>
            </w:r>
          </w:p>
        </w:tc>
        <w:tc>
          <w:tcPr>
            <w:tcW w:w="120" w:type="dxa"/>
            <w:vAlign w:val="bottom"/>
            <w:vMerge w:val="restart"/>
          </w:tcPr>
          <w:p>
            <w:pPr>
              <w:spacing w:after="0"/>
              <w:rPr>
                <w:sz w:val="14"/>
                <w:szCs w:val="14"/>
                <w:color w:val="auto"/>
              </w:rPr>
            </w:pPr>
          </w:p>
        </w:tc>
        <w:tc>
          <w:tcPr>
            <w:tcW w:w="11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Filing Date</w:t>
            </w:r>
          </w:p>
        </w:tc>
        <w:tc>
          <w:tcPr>
            <w:tcW w:w="100" w:type="dxa"/>
            <w:vAlign w:val="bottom"/>
            <w:vMerge w:val="restart"/>
          </w:tcPr>
          <w:p>
            <w:pPr>
              <w:spacing w:after="0"/>
              <w:rPr>
                <w:sz w:val="14"/>
                <w:szCs w:val="14"/>
                <w:color w:val="auto"/>
              </w:rPr>
            </w:pPr>
          </w:p>
        </w:tc>
        <w:tc>
          <w:tcPr>
            <w:tcW w:w="10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8"/>
              </w:rPr>
              <w:t>Exhibit</w:t>
            </w:r>
          </w:p>
        </w:tc>
        <w:tc>
          <w:tcPr>
            <w:tcW w:w="120" w:type="dxa"/>
            <w:vAlign w:val="bottom"/>
            <w:vMerge w:val="restart"/>
          </w:tcPr>
          <w:p>
            <w:pPr>
              <w:spacing w:after="0"/>
              <w:rPr>
                <w:sz w:val="14"/>
                <w:szCs w:val="14"/>
                <w:color w:val="auto"/>
              </w:rPr>
            </w:pPr>
          </w:p>
        </w:tc>
        <w:tc>
          <w:tcPr>
            <w:tcW w:w="920" w:type="dxa"/>
            <w:vAlign w:val="bottom"/>
          </w:tcPr>
          <w:p>
            <w:pPr>
              <w:jc w:val="center"/>
              <w:spacing w:after="0"/>
              <w:rPr>
                <w:sz w:val="20"/>
                <w:szCs w:val="20"/>
                <w:color w:val="auto"/>
              </w:rPr>
            </w:pPr>
            <w:r>
              <w:rPr>
                <w:rFonts w:ascii="Arial" w:cs="Arial" w:eastAsia="Arial" w:hAnsi="Arial"/>
                <w:sz w:val="14"/>
                <w:szCs w:val="14"/>
                <w:b w:val="1"/>
                <w:bCs w:val="1"/>
                <w:color w:val="auto"/>
                <w:w w:val="91"/>
              </w:rPr>
              <w:t>Filed</w:t>
            </w:r>
          </w:p>
        </w:tc>
        <w:tc>
          <w:tcPr>
            <w:tcW w:w="0" w:type="dxa"/>
            <w:vAlign w:val="bottom"/>
          </w:tcPr>
          <w:p>
            <w:pPr>
              <w:spacing w:after="0"/>
              <w:rPr>
                <w:sz w:val="1"/>
                <w:szCs w:val="1"/>
                <w:color w:val="auto"/>
              </w:rPr>
            </w:pPr>
          </w:p>
        </w:tc>
      </w:tr>
      <w:tr>
        <w:trPr>
          <w:trHeight w:val="192"/>
        </w:trPr>
        <w:tc>
          <w:tcPr>
            <w:tcW w:w="9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1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8"/>
              </w:rPr>
              <w:t>Herewith</w:t>
            </w:r>
          </w:p>
        </w:tc>
        <w:tc>
          <w:tcPr>
            <w:tcW w:w="0" w:type="dxa"/>
            <w:vAlign w:val="bottom"/>
          </w:tcPr>
          <w:p>
            <w:pPr>
              <w:spacing w:after="0"/>
              <w:rPr>
                <w:sz w:val="1"/>
                <w:szCs w:val="1"/>
                <w:color w:val="auto"/>
              </w:rPr>
            </w:pPr>
          </w:p>
        </w:tc>
      </w:tr>
      <w:tr>
        <w:trPr>
          <w:trHeight w:val="243"/>
        </w:trPr>
        <w:tc>
          <w:tcPr>
            <w:tcW w:w="1040" w:type="dxa"/>
            <w:vAlign w:val="bottom"/>
            <w:gridSpan w:val="2"/>
          </w:tcPr>
          <w:p>
            <w:pPr>
              <w:ind w:left="280"/>
              <w:spacing w:after="0"/>
              <w:rPr>
                <w:sz w:val="20"/>
                <w:szCs w:val="20"/>
                <w:color w:val="auto"/>
              </w:rPr>
            </w:pPr>
            <w:r>
              <w:rPr>
                <w:rFonts w:ascii="Arial" w:cs="Arial" w:eastAsia="Arial" w:hAnsi="Arial"/>
                <w:sz w:val="18"/>
                <w:szCs w:val="18"/>
                <w:color w:val="auto"/>
              </w:rPr>
              <w:t>10-Q</w:t>
            </w:r>
          </w:p>
        </w:tc>
        <w:tc>
          <w:tcPr>
            <w:tcW w:w="1120" w:type="dxa"/>
            <w:vAlign w:val="bottom"/>
          </w:tcPr>
          <w:p>
            <w:pPr>
              <w:jc w:val="right"/>
              <w:ind w:right="179"/>
              <w:spacing w:after="0"/>
              <w:rPr>
                <w:sz w:val="20"/>
                <w:szCs w:val="20"/>
                <w:color w:val="auto"/>
              </w:rPr>
            </w:pPr>
            <w:r>
              <w:rPr>
                <w:rFonts w:ascii="Arial" w:cs="Arial" w:eastAsia="Arial" w:hAnsi="Arial"/>
                <w:sz w:val="18"/>
                <w:szCs w:val="18"/>
                <w:color w:val="auto"/>
              </w:rPr>
              <w:t>2/8/2017</w:t>
            </w:r>
          </w:p>
        </w:tc>
        <w:tc>
          <w:tcPr>
            <w:tcW w:w="100" w:type="dxa"/>
            <w:vAlign w:val="bottom"/>
          </w:tcPr>
          <w:p>
            <w:pPr>
              <w:spacing w:after="0"/>
              <w:rPr>
                <w:sz w:val="21"/>
                <w:szCs w:val="21"/>
                <w:color w:val="auto"/>
              </w:rPr>
            </w:pPr>
          </w:p>
        </w:tc>
        <w:tc>
          <w:tcPr>
            <w:tcW w:w="1020" w:type="dxa"/>
            <w:vAlign w:val="bottom"/>
          </w:tcPr>
          <w:p>
            <w:pPr>
              <w:jc w:val="right"/>
              <w:ind w:right="279"/>
              <w:spacing w:after="0"/>
              <w:rPr>
                <w:sz w:val="20"/>
                <w:szCs w:val="20"/>
                <w:color w:val="auto"/>
              </w:rPr>
            </w:pPr>
            <w:r>
              <w:rPr>
                <w:rFonts w:ascii="Arial" w:cs="Arial" w:eastAsia="Arial" w:hAnsi="Arial"/>
                <w:sz w:val="18"/>
                <w:szCs w:val="18"/>
                <w:color w:val="auto"/>
              </w:rPr>
              <w:t>10.1</w:t>
            </w:r>
          </w:p>
        </w:tc>
        <w:tc>
          <w:tcPr>
            <w:tcW w:w="12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rFonts w:ascii="Arial" w:cs="Arial" w:eastAsia="Arial" w:hAnsi="Arial"/>
          <w:sz w:val="17"/>
          <w:szCs w:val="17"/>
          <w:u w:val="single" w:color="auto"/>
          <w:color w:val="0000FF"/>
        </w:rPr>
      </w:pPr>
    </w:p>
    <w:p>
      <w:pPr>
        <w:spacing w:after="0" w:line="200" w:lineRule="exact"/>
        <w:rPr>
          <w:rFonts w:ascii="Arial" w:cs="Arial" w:eastAsia="Arial" w:hAnsi="Arial"/>
          <w:sz w:val="17"/>
          <w:szCs w:val="17"/>
          <w:u w:val="single" w:color="auto"/>
          <w:color w:val="0000FF"/>
        </w:rPr>
      </w:pPr>
    </w:p>
    <w:p>
      <w:pPr>
        <w:spacing w:after="0" w:line="200" w:lineRule="exact"/>
        <w:rPr>
          <w:rFonts w:ascii="Arial" w:cs="Arial" w:eastAsia="Arial" w:hAnsi="Arial"/>
          <w:sz w:val="17"/>
          <w:szCs w:val="17"/>
          <w:u w:val="single" w:color="auto"/>
          <w:color w:val="0000FF"/>
        </w:rPr>
      </w:pPr>
    </w:p>
    <w:p>
      <w:pPr>
        <w:spacing w:after="0" w:line="304" w:lineRule="exact"/>
        <w:rPr>
          <w:rFonts w:ascii="Arial" w:cs="Arial" w:eastAsia="Arial" w:hAnsi="Arial"/>
          <w:sz w:val="17"/>
          <w:szCs w:val="17"/>
          <w:u w:val="single" w:color="auto"/>
          <w:color w:val="0000FF"/>
        </w:rPr>
      </w:pPr>
    </w:p>
    <w:p>
      <w:pPr>
        <w:ind w:left="320"/>
        <w:spacing w:after="0"/>
        <w:tabs>
          <w:tab w:leader="none" w:pos="1240" w:val="left"/>
          <w:tab w:leader="none" w:pos="2580" w:val="left"/>
        </w:tabs>
        <w:rPr>
          <w:sz w:val="20"/>
          <w:szCs w:val="20"/>
          <w:color w:val="auto"/>
        </w:rPr>
      </w:pPr>
      <w:r>
        <w:rPr>
          <w:rFonts w:ascii="Arial" w:cs="Arial" w:eastAsia="Arial" w:hAnsi="Arial"/>
          <w:sz w:val="18"/>
          <w:szCs w:val="18"/>
          <w:color w:val="auto"/>
        </w:rPr>
        <w:t>8-K</w:t>
      </w:r>
      <w:r>
        <w:rPr>
          <w:sz w:val="20"/>
          <w:szCs w:val="20"/>
          <w:color w:val="auto"/>
        </w:rPr>
        <w:tab/>
      </w:r>
      <w:r>
        <w:rPr>
          <w:rFonts w:ascii="Arial" w:cs="Arial" w:eastAsia="Arial" w:hAnsi="Arial"/>
          <w:sz w:val="18"/>
          <w:szCs w:val="18"/>
          <w:color w:val="auto"/>
        </w:rPr>
        <w:t>2/3/2017</w:t>
      </w:r>
      <w:r>
        <w:rPr>
          <w:sz w:val="20"/>
          <w:szCs w:val="20"/>
          <w:color w:val="auto"/>
        </w:rPr>
        <w:tab/>
      </w:r>
      <w:r>
        <w:rPr>
          <w:rFonts w:ascii="Arial" w:cs="Arial" w:eastAsia="Arial" w:hAnsi="Arial"/>
          <w:sz w:val="16"/>
          <w:szCs w:val="16"/>
          <w:color w:val="auto"/>
        </w:rPr>
        <w:t>10.1</w:t>
      </w:r>
    </w:p>
    <w:p>
      <w:pPr>
        <w:sectPr>
          <w:pgSz w:w="11900" w:h="16838" w:orient="portrait"/>
          <w:cols w:equalWidth="0" w:num="2">
            <w:col w:w="5860" w:space="100"/>
            <w:col w:w="4320"/>
          </w:cols>
          <w:pgMar w:left="820" w:top="738" w:right="799" w:bottom="1440" w:gutter="0" w:footer="0" w:header="0"/>
        </w:sectPr>
      </w:pPr>
    </w:p>
    <w:bookmarkStart w:id="50" w:name="page51"/>
    <w:bookmarkEnd w:id="50"/>
    <w:tbl>
      <w:tblPr>
        <w:tblLayout w:type="fixed"/>
        <w:tblInd w:w="620" w:type="dxa"/>
        <w:tblCellMar>
          <w:top w:w="0" w:type="dxa"/>
          <w:left w:w="0" w:type="dxa"/>
          <w:bottom w:w="0" w:type="dxa"/>
          <w:right w:w="0" w:type="dxa"/>
        </w:tblCellMar>
      </w:tblPr>
      <w:tr>
        <w:trPr>
          <w:trHeight w:val="192"/>
        </w:trPr>
        <w:tc>
          <w:tcPr>
            <w:tcW w:w="13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440" w:type="dxa"/>
            <w:vAlign w:val="bottom"/>
            <w:tcBorders>
              <w:bottom w:val="single" w:sz="8" w:color="auto"/>
            </w:tcBorders>
            <w:gridSpan w:val="4"/>
          </w:tcPr>
          <w:p>
            <w:pPr>
              <w:ind w:left="400"/>
              <w:spacing w:after="0"/>
              <w:rPr>
                <w:sz w:val="20"/>
                <w:szCs w:val="20"/>
                <w:color w:val="auto"/>
              </w:rPr>
            </w:pPr>
            <w:r>
              <w:rPr>
                <w:rFonts w:ascii="Arial" w:cs="Arial" w:eastAsia="Arial" w:hAnsi="Arial"/>
                <w:sz w:val="14"/>
                <w:szCs w:val="14"/>
                <w:b w:val="1"/>
                <w:bCs w:val="1"/>
                <w:color w:val="auto"/>
              </w:rPr>
              <w:t>Importance by Reference</w:t>
            </w:r>
          </w:p>
        </w:tc>
        <w:tc>
          <w:tcPr>
            <w:tcW w:w="9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13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Exhibit Number</w:t>
            </w:r>
          </w:p>
        </w:tc>
        <w:tc>
          <w:tcPr>
            <w:tcW w:w="100" w:type="dxa"/>
            <w:vAlign w:val="bottom"/>
            <w:vMerge w:val="restart"/>
          </w:tcPr>
          <w:p>
            <w:pPr>
              <w:spacing w:after="0"/>
              <w:rPr>
                <w:sz w:val="13"/>
                <w:szCs w:val="13"/>
                <w:color w:val="auto"/>
              </w:rPr>
            </w:pPr>
          </w:p>
        </w:tc>
        <w:tc>
          <w:tcPr>
            <w:tcW w:w="20" w:type="dxa"/>
            <w:vAlign w:val="bottom"/>
          </w:tcPr>
          <w:p>
            <w:pPr>
              <w:spacing w:after="0"/>
              <w:rPr>
                <w:sz w:val="13"/>
                <w:szCs w:val="13"/>
                <w:color w:val="auto"/>
              </w:rPr>
            </w:pPr>
          </w:p>
        </w:tc>
        <w:tc>
          <w:tcPr>
            <w:tcW w:w="4260" w:type="dxa"/>
            <w:vAlign w:val="bottom"/>
            <w:gridSpan w:val="10"/>
            <w:vMerge w:val="restart"/>
          </w:tcPr>
          <w:p>
            <w:pPr>
              <w:ind w:left="1520"/>
              <w:spacing w:after="0"/>
              <w:rPr>
                <w:sz w:val="20"/>
                <w:szCs w:val="20"/>
                <w:color w:val="auto"/>
              </w:rPr>
            </w:pPr>
            <w:r>
              <w:rPr>
                <w:rFonts w:ascii="Arial" w:cs="Arial" w:eastAsia="Arial" w:hAnsi="Arial"/>
                <w:sz w:val="14"/>
                <w:szCs w:val="14"/>
                <w:b w:val="1"/>
                <w:bCs w:val="1"/>
                <w:color w:val="auto"/>
              </w:rPr>
              <w:t>Exhibit Description</w:t>
            </w:r>
          </w:p>
        </w:tc>
        <w:tc>
          <w:tcPr>
            <w:tcW w:w="120" w:type="dxa"/>
            <w:vAlign w:val="bottom"/>
            <w:vMerge w:val="restart"/>
          </w:tcPr>
          <w:p>
            <w:pPr>
              <w:spacing w:after="0"/>
              <w:rPr>
                <w:sz w:val="13"/>
                <w:szCs w:val="13"/>
                <w:color w:val="auto"/>
              </w:rPr>
            </w:pPr>
          </w:p>
        </w:tc>
        <w:tc>
          <w:tcPr>
            <w:tcW w:w="90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Form</w:t>
            </w:r>
          </w:p>
        </w:tc>
        <w:tc>
          <w:tcPr>
            <w:tcW w:w="100" w:type="dxa"/>
            <w:vAlign w:val="bottom"/>
            <w:vMerge w:val="restart"/>
          </w:tcPr>
          <w:p>
            <w:pPr>
              <w:spacing w:after="0"/>
              <w:rPr>
                <w:sz w:val="13"/>
                <w:szCs w:val="13"/>
                <w:color w:val="auto"/>
              </w:rPr>
            </w:pPr>
          </w:p>
        </w:tc>
        <w:tc>
          <w:tcPr>
            <w:tcW w:w="1220" w:type="dxa"/>
            <w:vAlign w:val="bottom"/>
            <w:vMerge w:val="restart"/>
          </w:tcPr>
          <w:p>
            <w:pPr>
              <w:ind w:left="260"/>
              <w:spacing w:after="0"/>
              <w:rPr>
                <w:sz w:val="20"/>
                <w:szCs w:val="20"/>
                <w:color w:val="auto"/>
              </w:rPr>
            </w:pPr>
            <w:r>
              <w:rPr>
                <w:rFonts w:ascii="Arial" w:cs="Arial" w:eastAsia="Arial" w:hAnsi="Arial"/>
                <w:sz w:val="14"/>
                <w:szCs w:val="14"/>
                <w:b w:val="1"/>
                <w:bCs w:val="1"/>
                <w:color w:val="auto"/>
              </w:rPr>
              <w:t>Filing Date</w:t>
            </w:r>
          </w:p>
        </w:tc>
        <w:tc>
          <w:tcPr>
            <w:tcW w:w="100" w:type="dxa"/>
            <w:vAlign w:val="bottom"/>
            <w:vMerge w:val="restart"/>
          </w:tcPr>
          <w:p>
            <w:pPr>
              <w:spacing w:after="0"/>
              <w:rPr>
                <w:sz w:val="13"/>
                <w:szCs w:val="13"/>
                <w:color w:val="auto"/>
              </w:rPr>
            </w:pPr>
          </w:p>
        </w:tc>
        <w:tc>
          <w:tcPr>
            <w:tcW w:w="1020" w:type="dxa"/>
            <w:vAlign w:val="bottom"/>
            <w:vMerge w:val="restart"/>
          </w:tcPr>
          <w:p>
            <w:pPr>
              <w:ind w:left="280"/>
              <w:spacing w:after="0"/>
              <w:rPr>
                <w:sz w:val="20"/>
                <w:szCs w:val="20"/>
                <w:color w:val="auto"/>
              </w:rPr>
            </w:pPr>
            <w:r>
              <w:rPr>
                <w:rFonts w:ascii="Arial" w:cs="Arial" w:eastAsia="Arial" w:hAnsi="Arial"/>
                <w:sz w:val="14"/>
                <w:szCs w:val="14"/>
                <w:b w:val="1"/>
                <w:bCs w:val="1"/>
                <w:color w:val="auto"/>
              </w:rPr>
              <w:t>Exhibit</w:t>
            </w:r>
          </w:p>
        </w:tc>
        <w:tc>
          <w:tcPr>
            <w:tcW w:w="100" w:type="dxa"/>
            <w:vAlign w:val="bottom"/>
            <w:vMerge w:val="restart"/>
          </w:tcPr>
          <w:p>
            <w:pPr>
              <w:spacing w:after="0"/>
              <w:rPr>
                <w:sz w:val="13"/>
                <w:szCs w:val="13"/>
                <w:color w:val="auto"/>
              </w:rPr>
            </w:pPr>
          </w:p>
        </w:tc>
        <w:tc>
          <w:tcPr>
            <w:tcW w:w="92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7"/>
              </w:rPr>
              <w:t>Filed</w:t>
            </w:r>
          </w:p>
        </w:tc>
        <w:tc>
          <w:tcPr>
            <w:tcW w:w="0" w:type="dxa"/>
            <w:vAlign w:val="bottom"/>
          </w:tcPr>
          <w:p>
            <w:pPr>
              <w:spacing w:after="0"/>
              <w:rPr>
                <w:sz w:val="1"/>
                <w:szCs w:val="1"/>
                <w:color w:val="auto"/>
              </w:rPr>
            </w:pPr>
          </w:p>
        </w:tc>
      </w:tr>
      <w:tr>
        <w:trPr>
          <w:trHeight w:val="192"/>
        </w:trPr>
        <w:tc>
          <w:tcPr>
            <w:tcW w:w="134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4260" w:type="dxa"/>
            <w:vAlign w:val="bottom"/>
            <w:tcBorders>
              <w:bottom w:val="single" w:sz="8" w:color="auto"/>
            </w:tcBorders>
            <w:gridSpan w:val="10"/>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90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2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9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4"/>
              </w:rPr>
              <w:t>Herewith</w:t>
            </w:r>
          </w:p>
        </w:tc>
        <w:tc>
          <w:tcPr>
            <w:tcW w:w="0" w:type="dxa"/>
            <w:vAlign w:val="bottom"/>
          </w:tcPr>
          <w:p>
            <w:pPr>
              <w:spacing w:after="0"/>
              <w:rPr>
                <w:sz w:val="1"/>
                <w:szCs w:val="1"/>
                <w:color w:val="auto"/>
              </w:rPr>
            </w:pPr>
          </w:p>
        </w:tc>
      </w:tr>
      <w:tr>
        <w:trPr>
          <w:trHeight w:val="202"/>
        </w:trPr>
        <w:tc>
          <w:tcPr>
            <w:tcW w:w="1340" w:type="dxa"/>
            <w:vAlign w:val="bottom"/>
          </w:tcPr>
          <w:p>
            <w:pPr>
              <w:jc w:val="center"/>
              <w:spacing w:after="0" w:line="202" w:lineRule="exact"/>
              <w:rPr>
                <w:sz w:val="20"/>
                <w:szCs w:val="20"/>
                <w:color w:val="auto"/>
              </w:rPr>
            </w:pPr>
            <w:r>
              <w:rPr>
                <w:rFonts w:ascii="Arial" w:cs="Arial" w:eastAsia="Arial" w:hAnsi="Arial"/>
                <w:sz w:val="18"/>
                <w:szCs w:val="18"/>
                <w:color w:val="auto"/>
                <w:w w:val="91"/>
              </w:rPr>
              <w:t>21.1</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100" w:type="dxa"/>
            <w:vAlign w:val="bottom"/>
            <w:tcBorders>
              <w:bottom w:val="single" w:sz="8" w:color="0000FF"/>
            </w:tcBorders>
          </w:tcPr>
          <w:p>
            <w:pPr>
              <w:spacing w:after="0" w:line="202" w:lineRule="exact"/>
              <w:rPr>
                <w:rFonts w:ascii="Arial" w:cs="Arial" w:eastAsia="Arial" w:hAnsi="Arial"/>
                <w:sz w:val="18"/>
                <w:szCs w:val="18"/>
                <w:color w:val="0000FF"/>
                <w:w w:val="90"/>
              </w:rPr>
            </w:pPr>
            <w:hyperlink w:anchor="page103">
              <w:r>
                <w:rPr>
                  <w:rFonts w:ascii="Arial" w:cs="Arial" w:eastAsia="Arial" w:hAnsi="Arial"/>
                  <w:sz w:val="18"/>
                  <w:szCs w:val="18"/>
                  <w:color w:val="0000FF"/>
                  <w:w w:val="90"/>
                </w:rPr>
                <w:t>Subsidiaries of the Company</w:t>
              </w:r>
            </w:hyperlink>
          </w:p>
        </w:tc>
        <w:tc>
          <w:tcPr>
            <w:tcW w:w="2280" w:type="dxa"/>
            <w:vAlign w:val="bottom"/>
            <w:gridSpan w:val="10"/>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jc w:val="center"/>
              <w:spacing w:after="0" w:line="202" w:lineRule="exact"/>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1"/>
              </w:rPr>
              <w:t>23.1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11"/>
          </w:tcPr>
          <w:p>
            <w:pPr>
              <w:spacing w:after="0"/>
              <w:rPr>
                <w:rFonts w:ascii="Arial" w:cs="Arial" w:eastAsia="Arial" w:hAnsi="Arial"/>
                <w:sz w:val="18"/>
                <w:szCs w:val="18"/>
                <w:color w:val="0000FF"/>
              </w:rPr>
            </w:pPr>
            <w:hyperlink w:anchor="page107">
              <w:r>
                <w:rPr>
                  <w:rFonts w:ascii="Arial" w:cs="Arial" w:eastAsia="Arial" w:hAnsi="Arial"/>
                  <w:sz w:val="18"/>
                  <w:szCs w:val="18"/>
                  <w:color w:val="0000FF"/>
                </w:rPr>
                <w:t>Consent of Ernst &amp; Young LLP</w:t>
              </w:r>
            </w:hyperlink>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80" w:type="dxa"/>
            <w:vAlign w:val="bottom"/>
            <w:gridSpan w:val="2"/>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1"/>
              </w:rPr>
              <w:t>31.1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11"/>
          </w:tcPr>
          <w:p>
            <w:pPr>
              <w:spacing w:after="0"/>
              <w:rPr>
                <w:rFonts w:ascii="Arial" w:cs="Arial" w:eastAsia="Arial" w:hAnsi="Arial"/>
                <w:sz w:val="18"/>
                <w:szCs w:val="18"/>
                <w:color w:val="0000FF"/>
              </w:rPr>
            </w:pPr>
            <w:hyperlink w:anchor="page108">
              <w:r>
                <w:rPr>
                  <w:rFonts w:ascii="Arial" w:cs="Arial" w:eastAsia="Arial" w:hAnsi="Arial"/>
                  <w:sz w:val="18"/>
                  <w:szCs w:val="18"/>
                  <w:color w:val="0000FF"/>
                </w:rPr>
                <w:t>Chief Executive Officer Certification Pursuant to</w:t>
              </w:r>
            </w:hyperlink>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520" w:type="dxa"/>
            <w:vAlign w:val="bottom"/>
            <w:gridSpan w:val="3"/>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11"/>
          </w:tcPr>
          <w:p>
            <w:pPr>
              <w:spacing w:after="0" w:line="196" w:lineRule="exact"/>
              <w:rPr>
                <w:rFonts w:ascii="Arial" w:cs="Arial" w:eastAsia="Arial" w:hAnsi="Arial"/>
                <w:sz w:val="18"/>
                <w:szCs w:val="18"/>
                <w:color w:val="0000FF"/>
                <w:w w:val="97"/>
              </w:rPr>
            </w:pPr>
            <w:hyperlink w:anchor="page108">
              <w:r>
                <w:rPr>
                  <w:rFonts w:ascii="Arial" w:cs="Arial" w:eastAsia="Arial" w:hAnsi="Arial"/>
                  <w:sz w:val="18"/>
                  <w:szCs w:val="18"/>
                  <w:color w:val="0000FF"/>
                  <w:w w:val="97"/>
                </w:rPr>
                <w:t>Rules 13a-15(e) and 15d-15(e) under the Securities and</w:t>
              </w:r>
            </w:hyperlink>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520" w:type="dxa"/>
            <w:vAlign w:val="bottom"/>
            <w:gridSpan w:val="3"/>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0" w:type="dxa"/>
            <w:vAlign w:val="bottom"/>
            <w:tcBorders>
              <w:right w:val="single" w:sz="8" w:color="0000FF"/>
            </w:tcBorders>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11"/>
          </w:tcPr>
          <w:p>
            <w:pPr>
              <w:spacing w:after="0" w:line="196" w:lineRule="exact"/>
              <w:rPr>
                <w:rFonts w:ascii="Arial" w:cs="Arial" w:eastAsia="Arial" w:hAnsi="Arial"/>
                <w:sz w:val="18"/>
                <w:szCs w:val="18"/>
                <w:color w:val="0000FF"/>
                <w:w w:val="92"/>
              </w:rPr>
            </w:pPr>
            <w:hyperlink w:anchor="page108">
              <w:r>
                <w:rPr>
                  <w:rFonts w:ascii="Arial" w:cs="Arial" w:eastAsia="Arial" w:hAnsi="Arial"/>
                  <w:sz w:val="18"/>
                  <w:szCs w:val="18"/>
                  <w:color w:val="0000FF"/>
                  <w:w w:val="92"/>
                </w:rPr>
                <w:t>Exchange Act of 1934, as adopted pursuant to Section 302</w:t>
              </w:r>
            </w:hyperlink>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540" w:type="dxa"/>
            <w:vAlign w:val="bottom"/>
            <w:tcBorders>
              <w:top w:val="single" w:sz="8" w:color="0000FF"/>
              <w:bottom w:val="single" w:sz="8" w:color="0000FF"/>
            </w:tcBorders>
            <w:gridSpan w:val="4"/>
          </w:tcPr>
          <w:p>
            <w:pPr>
              <w:spacing w:after="0" w:line="196" w:lineRule="exact"/>
              <w:rPr>
                <w:rFonts w:ascii="Arial" w:cs="Arial" w:eastAsia="Arial" w:hAnsi="Arial"/>
                <w:sz w:val="18"/>
                <w:szCs w:val="18"/>
                <w:color w:val="0000FF"/>
                <w:w w:val="91"/>
              </w:rPr>
            </w:pPr>
            <w:hyperlink w:anchor="page108">
              <w:r>
                <w:rPr>
                  <w:rFonts w:ascii="Arial" w:cs="Arial" w:eastAsia="Arial" w:hAnsi="Arial"/>
                  <w:sz w:val="18"/>
                  <w:szCs w:val="18"/>
                  <w:color w:val="0000FF"/>
                  <w:w w:val="91"/>
                </w:rPr>
                <w:t>of the Sarbanes-Oxley Act of 2002</w:t>
              </w:r>
            </w:hyperlink>
          </w:p>
        </w:tc>
        <w:tc>
          <w:tcPr>
            <w:tcW w:w="1680" w:type="dxa"/>
            <w:vAlign w:val="bottom"/>
            <w:tcBorders>
              <w:top w:val="single" w:sz="8" w:color="0000FF"/>
            </w:tcBorders>
            <w:gridSpan w:val="5"/>
          </w:tcPr>
          <w:p>
            <w:pPr>
              <w:spacing w:after="0"/>
              <w:rPr>
                <w:sz w:val="17"/>
                <w:szCs w:val="17"/>
                <w:color w:val="auto"/>
              </w:rPr>
            </w:pPr>
          </w:p>
        </w:tc>
        <w:tc>
          <w:tcPr>
            <w:tcW w:w="160" w:type="dxa"/>
            <w:vAlign w:val="bottom"/>
            <w:gridSpan w:val="2"/>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1"/>
              </w:rPr>
              <w:t>31.2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540" w:type="dxa"/>
            <w:vAlign w:val="bottom"/>
            <w:tcBorders>
              <w:bottom w:val="single" w:sz="8" w:color="0000FF"/>
            </w:tcBorders>
            <w:gridSpan w:val="5"/>
          </w:tcPr>
          <w:p>
            <w:pPr>
              <w:spacing w:after="0"/>
              <w:rPr>
                <w:rFonts w:ascii="Arial" w:cs="Arial" w:eastAsia="Arial" w:hAnsi="Arial"/>
                <w:sz w:val="18"/>
                <w:szCs w:val="18"/>
                <w:color w:val="0000FF"/>
                <w:w w:val="93"/>
              </w:rPr>
            </w:pPr>
            <w:hyperlink w:anchor="page109">
              <w:r>
                <w:rPr>
                  <w:rFonts w:ascii="Arial" w:cs="Arial" w:eastAsia="Arial" w:hAnsi="Arial"/>
                  <w:sz w:val="18"/>
                  <w:szCs w:val="18"/>
                  <w:color w:val="0000FF"/>
                  <w:w w:val="93"/>
                </w:rPr>
                <w:t>Chief Financial Officer Certification Pursuant to</w:t>
              </w:r>
            </w:hyperlink>
          </w:p>
        </w:tc>
        <w:tc>
          <w:tcPr>
            <w:tcW w:w="840" w:type="dxa"/>
            <w:vAlign w:val="bottom"/>
            <w:gridSpan w:val="6"/>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11"/>
          </w:tcPr>
          <w:p>
            <w:pPr>
              <w:spacing w:after="0" w:line="196" w:lineRule="exact"/>
              <w:rPr>
                <w:rFonts w:ascii="Arial" w:cs="Arial" w:eastAsia="Arial" w:hAnsi="Arial"/>
                <w:sz w:val="18"/>
                <w:szCs w:val="18"/>
                <w:color w:val="0000FF"/>
                <w:w w:val="97"/>
              </w:rPr>
            </w:pPr>
            <w:hyperlink w:anchor="page109">
              <w:r>
                <w:rPr>
                  <w:rFonts w:ascii="Arial" w:cs="Arial" w:eastAsia="Arial" w:hAnsi="Arial"/>
                  <w:sz w:val="18"/>
                  <w:szCs w:val="18"/>
                  <w:color w:val="0000FF"/>
                  <w:w w:val="97"/>
                </w:rPr>
                <w:t>Rules 13a-15(e) and 15d-15(e) under the Securities and</w:t>
              </w:r>
            </w:hyperlink>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520" w:type="dxa"/>
            <w:vAlign w:val="bottom"/>
            <w:gridSpan w:val="3"/>
            <w:shd w:val="clear" w:color="auto" w:fill="0000FF"/>
          </w:tcPr>
          <w:p>
            <w:pPr>
              <w:spacing w:after="0" w:line="20" w:lineRule="exact"/>
              <w:rPr>
                <w:sz w:val="1"/>
                <w:szCs w:val="1"/>
                <w:color w:val="auto"/>
              </w:rPr>
            </w:pPr>
          </w:p>
        </w:tc>
        <w:tc>
          <w:tcPr>
            <w:tcW w:w="1240" w:type="dxa"/>
            <w:vAlign w:val="bottom"/>
            <w:tcBorders>
              <w:right w:val="single" w:sz="8" w:color="0000FF"/>
            </w:tcBorders>
            <w:gridSpan w:val="3"/>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11"/>
          </w:tcPr>
          <w:p>
            <w:pPr>
              <w:spacing w:after="0" w:line="196" w:lineRule="exact"/>
              <w:rPr>
                <w:rFonts w:ascii="Arial" w:cs="Arial" w:eastAsia="Arial" w:hAnsi="Arial"/>
                <w:sz w:val="18"/>
                <w:szCs w:val="18"/>
                <w:color w:val="0000FF"/>
                <w:w w:val="92"/>
              </w:rPr>
            </w:pPr>
            <w:hyperlink w:anchor="page109">
              <w:r>
                <w:rPr>
                  <w:rFonts w:ascii="Arial" w:cs="Arial" w:eastAsia="Arial" w:hAnsi="Arial"/>
                  <w:sz w:val="18"/>
                  <w:szCs w:val="18"/>
                  <w:color w:val="0000FF"/>
                  <w:w w:val="92"/>
                </w:rPr>
                <w:t>Exchange Act of 1934, as adopted pursuant to Section 302</w:t>
              </w:r>
            </w:hyperlink>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540" w:type="dxa"/>
            <w:vAlign w:val="bottom"/>
            <w:tcBorders>
              <w:top w:val="single" w:sz="8" w:color="0000FF"/>
              <w:bottom w:val="single" w:sz="8" w:color="0000FF"/>
            </w:tcBorders>
            <w:gridSpan w:val="4"/>
          </w:tcPr>
          <w:p>
            <w:pPr>
              <w:spacing w:after="0" w:line="196" w:lineRule="exact"/>
              <w:rPr>
                <w:rFonts w:ascii="Arial" w:cs="Arial" w:eastAsia="Arial" w:hAnsi="Arial"/>
                <w:sz w:val="18"/>
                <w:szCs w:val="18"/>
                <w:color w:val="0000FF"/>
                <w:w w:val="91"/>
              </w:rPr>
            </w:pPr>
            <w:hyperlink w:anchor="page109">
              <w:r>
                <w:rPr>
                  <w:rFonts w:ascii="Arial" w:cs="Arial" w:eastAsia="Arial" w:hAnsi="Arial"/>
                  <w:sz w:val="18"/>
                  <w:szCs w:val="18"/>
                  <w:color w:val="0000FF"/>
                  <w:w w:val="91"/>
                </w:rPr>
                <w:t>of the Sarbanes-Oxley Act of 2002</w:t>
              </w:r>
            </w:hyperlink>
          </w:p>
        </w:tc>
        <w:tc>
          <w:tcPr>
            <w:tcW w:w="1680" w:type="dxa"/>
            <w:vAlign w:val="bottom"/>
            <w:tcBorders>
              <w:top w:val="single" w:sz="8" w:color="0000FF"/>
            </w:tcBorders>
            <w:gridSpan w:val="5"/>
          </w:tcPr>
          <w:p>
            <w:pPr>
              <w:spacing w:after="0"/>
              <w:rPr>
                <w:sz w:val="17"/>
                <w:szCs w:val="17"/>
                <w:color w:val="auto"/>
              </w:rPr>
            </w:pPr>
          </w:p>
        </w:tc>
        <w:tc>
          <w:tcPr>
            <w:tcW w:w="160" w:type="dxa"/>
            <w:vAlign w:val="bottom"/>
            <w:gridSpan w:val="2"/>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1"/>
              </w:rPr>
              <w:t>32.1</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380" w:type="dxa"/>
            <w:vAlign w:val="bottom"/>
            <w:gridSpan w:val="11"/>
          </w:tcPr>
          <w:p>
            <w:pPr>
              <w:spacing w:after="0"/>
              <w:rPr>
                <w:rFonts w:ascii="Arial" w:cs="Arial" w:eastAsia="Arial" w:hAnsi="Arial"/>
                <w:sz w:val="18"/>
                <w:szCs w:val="18"/>
                <w:color w:val="0000FF"/>
              </w:rPr>
            </w:pPr>
            <w:hyperlink w:anchor="page110">
              <w:r>
                <w:rPr>
                  <w:rFonts w:ascii="Arial" w:cs="Arial" w:eastAsia="Arial" w:hAnsi="Arial"/>
                  <w:sz w:val="18"/>
                  <w:szCs w:val="18"/>
                  <w:color w:val="0000FF"/>
                </w:rPr>
                <w:t>Chief Executive Officer Certification pursuant to 18</w:t>
              </w:r>
            </w:hyperlink>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0"/>
        </w:trPr>
        <w:tc>
          <w:tcPr>
            <w:tcW w:w="13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520" w:type="dxa"/>
            <w:vAlign w:val="bottom"/>
            <w:gridSpan w:val="3"/>
            <w:shd w:val="clear" w:color="auto" w:fill="0000FF"/>
          </w:tcPr>
          <w:p>
            <w:pPr>
              <w:spacing w:after="0" w:line="20" w:lineRule="exact"/>
              <w:rPr>
                <w:sz w:val="1"/>
                <w:szCs w:val="1"/>
                <w:color w:val="auto"/>
              </w:rPr>
            </w:pPr>
          </w:p>
        </w:tc>
        <w:tc>
          <w:tcPr>
            <w:tcW w:w="1240" w:type="dxa"/>
            <w:vAlign w:val="bottom"/>
            <w:tcBorders>
              <w:right w:val="single" w:sz="8" w:color="0000FF"/>
            </w:tcBorders>
            <w:gridSpan w:val="3"/>
            <w:shd w:val="clear" w:color="auto" w:fill="0000FF"/>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00" w:type="dxa"/>
            <w:vAlign w:val="bottom"/>
            <w:tcBorders>
              <w:bottom w:val="single" w:sz="8" w:color="0000FF"/>
            </w:tcBorders>
            <w:gridSpan w:val="8"/>
          </w:tcPr>
          <w:p>
            <w:pPr>
              <w:spacing w:after="0" w:line="196" w:lineRule="exact"/>
              <w:rPr>
                <w:rFonts w:ascii="Arial" w:cs="Arial" w:eastAsia="Arial" w:hAnsi="Arial"/>
                <w:sz w:val="18"/>
                <w:szCs w:val="18"/>
                <w:color w:val="0000FF"/>
                <w:w w:val="88"/>
              </w:rPr>
            </w:pPr>
            <w:hyperlink w:anchor="page110">
              <w:r>
                <w:rPr>
                  <w:rFonts w:ascii="Arial" w:cs="Arial" w:eastAsia="Arial" w:hAnsi="Arial"/>
                  <w:sz w:val="18"/>
                  <w:szCs w:val="18"/>
                  <w:color w:val="0000FF"/>
                  <w:w w:val="88"/>
                </w:rPr>
                <w:t>U.S.C. Section 1350, as adopted Pursuant to Section 906</w:t>
              </w:r>
            </w:hyperlink>
          </w:p>
        </w:tc>
        <w:tc>
          <w:tcPr>
            <w:tcW w:w="280" w:type="dxa"/>
            <w:vAlign w:val="bottom"/>
            <w:gridSpan w:val="3"/>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540" w:type="dxa"/>
            <w:vAlign w:val="bottom"/>
            <w:tcBorders>
              <w:bottom w:val="single" w:sz="8" w:color="0000FF"/>
            </w:tcBorders>
            <w:gridSpan w:val="4"/>
          </w:tcPr>
          <w:p>
            <w:pPr>
              <w:spacing w:after="0" w:line="196" w:lineRule="exact"/>
              <w:rPr>
                <w:rFonts w:ascii="Arial" w:cs="Arial" w:eastAsia="Arial" w:hAnsi="Arial"/>
                <w:sz w:val="18"/>
                <w:szCs w:val="18"/>
                <w:color w:val="0000FF"/>
                <w:w w:val="91"/>
              </w:rPr>
            </w:pPr>
            <w:hyperlink w:anchor="page110">
              <w:r>
                <w:rPr>
                  <w:rFonts w:ascii="Arial" w:cs="Arial" w:eastAsia="Arial" w:hAnsi="Arial"/>
                  <w:sz w:val="18"/>
                  <w:szCs w:val="18"/>
                  <w:color w:val="0000FF"/>
                  <w:w w:val="91"/>
                </w:rPr>
                <w:t>of the Sarbanes-Oxley Act of 2002</w:t>
              </w:r>
            </w:hyperlink>
          </w:p>
        </w:tc>
        <w:tc>
          <w:tcPr>
            <w:tcW w:w="1840" w:type="dxa"/>
            <w:vAlign w:val="bottom"/>
            <w:gridSpan w:val="7"/>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1340" w:type="dxa"/>
            <w:vAlign w:val="bottom"/>
          </w:tcPr>
          <w:p>
            <w:pPr>
              <w:jc w:val="center"/>
              <w:spacing w:after="0"/>
              <w:rPr>
                <w:sz w:val="20"/>
                <w:szCs w:val="20"/>
                <w:color w:val="auto"/>
              </w:rPr>
            </w:pPr>
            <w:r>
              <w:rPr>
                <w:rFonts w:ascii="Arial" w:cs="Arial" w:eastAsia="Arial" w:hAnsi="Arial"/>
                <w:sz w:val="18"/>
                <w:szCs w:val="18"/>
                <w:color w:val="auto"/>
                <w:w w:val="91"/>
              </w:rPr>
              <w:t>32.2</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760" w:type="dxa"/>
            <w:vAlign w:val="bottom"/>
            <w:tcBorders>
              <w:bottom w:val="single" w:sz="8" w:color="0000FF"/>
            </w:tcBorders>
            <w:gridSpan w:val="6"/>
          </w:tcPr>
          <w:p>
            <w:pPr>
              <w:spacing w:after="0"/>
              <w:rPr>
                <w:rFonts w:ascii="Arial" w:cs="Arial" w:eastAsia="Arial" w:hAnsi="Arial"/>
                <w:sz w:val="18"/>
                <w:szCs w:val="18"/>
                <w:color w:val="0000FF"/>
                <w:w w:val="93"/>
              </w:rPr>
            </w:pPr>
            <w:hyperlink w:anchor="page111">
              <w:r>
                <w:rPr>
                  <w:rFonts w:ascii="Arial" w:cs="Arial" w:eastAsia="Arial" w:hAnsi="Arial"/>
                  <w:sz w:val="18"/>
                  <w:szCs w:val="18"/>
                  <w:color w:val="0000FF"/>
                  <w:w w:val="93"/>
                </w:rPr>
                <w:t>Chief Financial Officer Certification pursuant to 18</w:t>
              </w:r>
            </w:hyperlink>
          </w:p>
        </w:tc>
        <w:tc>
          <w:tcPr>
            <w:tcW w:w="620" w:type="dxa"/>
            <w:vAlign w:val="bottom"/>
            <w:gridSpan w:val="5"/>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100" w:type="dxa"/>
            <w:vAlign w:val="bottom"/>
            <w:tcBorders>
              <w:bottom w:val="single" w:sz="8" w:color="0000FF"/>
            </w:tcBorders>
            <w:gridSpan w:val="8"/>
          </w:tcPr>
          <w:p>
            <w:pPr>
              <w:spacing w:after="0" w:line="196" w:lineRule="exact"/>
              <w:rPr>
                <w:rFonts w:ascii="Arial" w:cs="Arial" w:eastAsia="Arial" w:hAnsi="Arial"/>
                <w:sz w:val="18"/>
                <w:szCs w:val="18"/>
                <w:color w:val="0000FF"/>
                <w:w w:val="88"/>
              </w:rPr>
            </w:pPr>
            <w:hyperlink w:anchor="page111">
              <w:r>
                <w:rPr>
                  <w:rFonts w:ascii="Arial" w:cs="Arial" w:eastAsia="Arial" w:hAnsi="Arial"/>
                  <w:sz w:val="18"/>
                  <w:szCs w:val="18"/>
                  <w:color w:val="0000FF"/>
                  <w:w w:val="88"/>
                </w:rPr>
                <w:t>U.S.C. Section 1350, as adopted Pursuant to Section 906</w:t>
              </w:r>
            </w:hyperlink>
          </w:p>
        </w:tc>
        <w:tc>
          <w:tcPr>
            <w:tcW w:w="280" w:type="dxa"/>
            <w:vAlign w:val="bottom"/>
            <w:gridSpan w:val="3"/>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380" w:type="dxa"/>
            <w:vAlign w:val="bottom"/>
            <w:gridSpan w:val="11"/>
          </w:tcPr>
          <w:p>
            <w:pPr>
              <w:spacing w:after="0" w:line="196" w:lineRule="exact"/>
              <w:rPr>
                <w:rFonts w:ascii="Arial" w:cs="Arial" w:eastAsia="Arial" w:hAnsi="Arial"/>
                <w:sz w:val="18"/>
                <w:szCs w:val="18"/>
                <w:color w:val="0000FF"/>
              </w:rPr>
            </w:pPr>
            <w:hyperlink w:anchor="page111">
              <w:r>
                <w:rPr>
                  <w:rFonts w:ascii="Arial" w:cs="Arial" w:eastAsia="Arial" w:hAnsi="Arial"/>
                  <w:sz w:val="18"/>
                  <w:szCs w:val="18"/>
                  <w:color w:val="0000FF"/>
                </w:rPr>
                <w:t>of the Sarbanes-Oxley Act of 2002</w:t>
              </w:r>
            </w:hyperlink>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91"/>
        </w:trPr>
        <w:tc>
          <w:tcPr>
            <w:tcW w:w="1440" w:type="dxa"/>
            <w:vAlign w:val="bottom"/>
            <w:gridSpan w:val="2"/>
          </w:tcPr>
          <w:p>
            <w:pPr>
              <w:jc w:val="center"/>
              <w:ind w:right="120"/>
              <w:spacing w:after="0"/>
              <w:rPr>
                <w:sz w:val="20"/>
                <w:szCs w:val="20"/>
                <w:color w:val="auto"/>
              </w:rPr>
            </w:pPr>
            <w:r>
              <w:rPr>
                <w:rFonts w:ascii="Arial" w:cs="Arial" w:eastAsia="Arial" w:hAnsi="Arial"/>
                <w:sz w:val="18"/>
                <w:szCs w:val="18"/>
                <w:color w:val="auto"/>
                <w:w w:val="92"/>
              </w:rPr>
              <w:t>101.INS</w:t>
            </w:r>
          </w:p>
        </w:tc>
        <w:tc>
          <w:tcPr>
            <w:tcW w:w="20" w:type="dxa"/>
            <w:vAlign w:val="bottom"/>
          </w:tcPr>
          <w:p>
            <w:pPr>
              <w:spacing w:after="0"/>
              <w:rPr>
                <w:sz w:val="24"/>
                <w:szCs w:val="24"/>
                <w:color w:val="auto"/>
              </w:rPr>
            </w:pPr>
          </w:p>
        </w:tc>
        <w:tc>
          <w:tcPr>
            <w:tcW w:w="2520" w:type="dxa"/>
            <w:vAlign w:val="bottom"/>
            <w:tcBorders>
              <w:top w:val="single" w:sz="8" w:color="0000FF"/>
            </w:tcBorders>
            <w:gridSpan w:val="3"/>
          </w:tcPr>
          <w:p>
            <w:pPr>
              <w:spacing w:after="0"/>
              <w:rPr>
                <w:sz w:val="20"/>
                <w:szCs w:val="20"/>
                <w:color w:val="auto"/>
              </w:rPr>
            </w:pPr>
            <w:r>
              <w:rPr>
                <w:rFonts w:ascii="Arial" w:cs="Arial" w:eastAsia="Arial" w:hAnsi="Arial"/>
                <w:sz w:val="18"/>
                <w:szCs w:val="18"/>
                <w:color w:val="auto"/>
              </w:rPr>
              <w:t>XBRL Instance Document.</w:t>
            </w:r>
          </w:p>
        </w:tc>
        <w:tc>
          <w:tcPr>
            <w:tcW w:w="1860" w:type="dxa"/>
            <w:vAlign w:val="bottom"/>
            <w:gridSpan w:val="8"/>
          </w:tcPr>
          <w:p>
            <w:pPr>
              <w:spacing w:after="0"/>
              <w:rPr>
                <w:sz w:val="24"/>
                <w:szCs w:val="24"/>
                <w:color w:val="auto"/>
              </w:rPr>
            </w:pPr>
          </w:p>
        </w:tc>
        <w:tc>
          <w:tcPr>
            <w:tcW w:w="9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70"/>
        </w:trPr>
        <w:tc>
          <w:tcPr>
            <w:tcW w:w="1440" w:type="dxa"/>
            <w:vAlign w:val="bottom"/>
            <w:gridSpan w:val="2"/>
          </w:tcPr>
          <w:p>
            <w:pPr>
              <w:jc w:val="center"/>
              <w:ind w:right="100"/>
              <w:spacing w:after="0"/>
              <w:rPr>
                <w:sz w:val="20"/>
                <w:szCs w:val="20"/>
                <w:color w:val="auto"/>
              </w:rPr>
            </w:pPr>
            <w:r>
              <w:rPr>
                <w:rFonts w:ascii="Arial" w:cs="Arial" w:eastAsia="Arial" w:hAnsi="Arial"/>
                <w:sz w:val="18"/>
                <w:szCs w:val="18"/>
                <w:color w:val="auto"/>
                <w:w w:val="90"/>
              </w:rPr>
              <w:t>101.SCH</w:t>
            </w:r>
          </w:p>
        </w:tc>
        <w:tc>
          <w:tcPr>
            <w:tcW w:w="20" w:type="dxa"/>
            <w:vAlign w:val="bottom"/>
          </w:tcPr>
          <w:p>
            <w:pPr>
              <w:spacing w:after="0"/>
              <w:rPr>
                <w:sz w:val="23"/>
                <w:szCs w:val="23"/>
                <w:color w:val="auto"/>
              </w:rPr>
            </w:pPr>
          </w:p>
        </w:tc>
        <w:tc>
          <w:tcPr>
            <w:tcW w:w="4380" w:type="dxa"/>
            <w:vAlign w:val="bottom"/>
            <w:gridSpan w:val="11"/>
          </w:tcPr>
          <w:p>
            <w:pPr>
              <w:spacing w:after="0"/>
              <w:rPr>
                <w:sz w:val="20"/>
                <w:szCs w:val="20"/>
                <w:color w:val="auto"/>
              </w:rPr>
            </w:pPr>
            <w:r>
              <w:rPr>
                <w:rFonts w:ascii="Arial" w:cs="Arial" w:eastAsia="Arial" w:hAnsi="Arial"/>
                <w:sz w:val="18"/>
                <w:szCs w:val="18"/>
                <w:color w:val="auto"/>
              </w:rPr>
              <w:t>XBRL Taxonomy Extension Schema Document.</w:t>
            </w: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70"/>
        </w:trPr>
        <w:tc>
          <w:tcPr>
            <w:tcW w:w="1440" w:type="dxa"/>
            <w:vAlign w:val="bottom"/>
            <w:gridSpan w:val="2"/>
          </w:tcPr>
          <w:p>
            <w:pPr>
              <w:jc w:val="center"/>
              <w:ind w:right="120"/>
              <w:spacing w:after="0"/>
              <w:rPr>
                <w:sz w:val="20"/>
                <w:szCs w:val="20"/>
                <w:color w:val="auto"/>
              </w:rPr>
            </w:pPr>
            <w:r>
              <w:rPr>
                <w:rFonts w:ascii="Arial" w:cs="Arial" w:eastAsia="Arial" w:hAnsi="Arial"/>
                <w:sz w:val="18"/>
                <w:szCs w:val="18"/>
                <w:color w:val="auto"/>
                <w:w w:val="97"/>
              </w:rPr>
              <w:t>101.CAL</w:t>
            </w:r>
          </w:p>
        </w:tc>
        <w:tc>
          <w:tcPr>
            <w:tcW w:w="20" w:type="dxa"/>
            <w:vAlign w:val="bottom"/>
          </w:tcPr>
          <w:p>
            <w:pPr>
              <w:spacing w:after="0"/>
              <w:rPr>
                <w:sz w:val="23"/>
                <w:szCs w:val="23"/>
                <w:color w:val="auto"/>
              </w:rPr>
            </w:pPr>
          </w:p>
        </w:tc>
        <w:tc>
          <w:tcPr>
            <w:tcW w:w="4380" w:type="dxa"/>
            <w:vAlign w:val="bottom"/>
            <w:gridSpan w:val="11"/>
          </w:tcPr>
          <w:p>
            <w:pPr>
              <w:spacing w:after="0"/>
              <w:rPr>
                <w:sz w:val="20"/>
                <w:szCs w:val="20"/>
                <w:color w:val="auto"/>
              </w:rPr>
            </w:pPr>
            <w:r>
              <w:rPr>
                <w:rFonts w:ascii="Arial" w:cs="Arial" w:eastAsia="Arial" w:hAnsi="Arial"/>
                <w:sz w:val="18"/>
                <w:szCs w:val="18"/>
                <w:color w:val="auto"/>
              </w:rPr>
              <w:t>XBRL Taxonomy Calculation Linkbase Document.</w:t>
            </w: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70"/>
        </w:trPr>
        <w:tc>
          <w:tcPr>
            <w:tcW w:w="1440" w:type="dxa"/>
            <w:vAlign w:val="bottom"/>
            <w:gridSpan w:val="2"/>
          </w:tcPr>
          <w:p>
            <w:pPr>
              <w:jc w:val="center"/>
              <w:ind w:right="120"/>
              <w:spacing w:after="0"/>
              <w:rPr>
                <w:sz w:val="20"/>
                <w:szCs w:val="20"/>
                <w:color w:val="auto"/>
              </w:rPr>
            </w:pPr>
            <w:r>
              <w:rPr>
                <w:rFonts w:ascii="Arial" w:cs="Arial" w:eastAsia="Arial" w:hAnsi="Arial"/>
                <w:sz w:val="18"/>
                <w:szCs w:val="18"/>
                <w:color w:val="auto"/>
                <w:w w:val="98"/>
              </w:rPr>
              <w:t>101.LAB</w:t>
            </w:r>
          </w:p>
        </w:tc>
        <w:tc>
          <w:tcPr>
            <w:tcW w:w="20" w:type="dxa"/>
            <w:vAlign w:val="bottom"/>
          </w:tcPr>
          <w:p>
            <w:pPr>
              <w:spacing w:after="0"/>
              <w:rPr>
                <w:sz w:val="23"/>
                <w:szCs w:val="23"/>
                <w:color w:val="auto"/>
              </w:rPr>
            </w:pPr>
          </w:p>
        </w:tc>
        <w:tc>
          <w:tcPr>
            <w:tcW w:w="4380" w:type="dxa"/>
            <w:vAlign w:val="bottom"/>
            <w:gridSpan w:val="11"/>
          </w:tcPr>
          <w:p>
            <w:pPr>
              <w:spacing w:after="0"/>
              <w:rPr>
                <w:sz w:val="20"/>
                <w:szCs w:val="20"/>
                <w:color w:val="auto"/>
              </w:rPr>
            </w:pPr>
            <w:r>
              <w:rPr>
                <w:rFonts w:ascii="Arial" w:cs="Arial" w:eastAsia="Arial" w:hAnsi="Arial"/>
                <w:sz w:val="18"/>
                <w:szCs w:val="18"/>
                <w:color w:val="auto"/>
              </w:rPr>
              <w:t>XBRL Taxonomy Label Linkbase Document.</w:t>
            </w: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70"/>
        </w:trPr>
        <w:tc>
          <w:tcPr>
            <w:tcW w:w="144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101.PRE</w:t>
            </w:r>
          </w:p>
        </w:tc>
        <w:tc>
          <w:tcPr>
            <w:tcW w:w="20" w:type="dxa"/>
            <w:vAlign w:val="bottom"/>
          </w:tcPr>
          <w:p>
            <w:pPr>
              <w:spacing w:after="0"/>
              <w:rPr>
                <w:sz w:val="23"/>
                <w:szCs w:val="23"/>
                <w:color w:val="auto"/>
              </w:rPr>
            </w:pPr>
          </w:p>
        </w:tc>
        <w:tc>
          <w:tcPr>
            <w:tcW w:w="4380" w:type="dxa"/>
            <w:vAlign w:val="bottom"/>
            <w:gridSpan w:val="11"/>
          </w:tcPr>
          <w:p>
            <w:pPr>
              <w:spacing w:after="0"/>
              <w:rPr>
                <w:sz w:val="20"/>
                <w:szCs w:val="20"/>
                <w:color w:val="auto"/>
              </w:rPr>
            </w:pPr>
            <w:r>
              <w:rPr>
                <w:rFonts w:ascii="Arial" w:cs="Arial" w:eastAsia="Arial" w:hAnsi="Arial"/>
                <w:sz w:val="18"/>
                <w:szCs w:val="18"/>
                <w:color w:val="auto"/>
              </w:rPr>
              <w:t>XBRL Taxonomy Presentation Linkbase Document.</w:t>
            </w: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r>
        <w:trPr>
          <w:trHeight w:val="270"/>
        </w:trPr>
        <w:tc>
          <w:tcPr>
            <w:tcW w:w="1440" w:type="dxa"/>
            <w:vAlign w:val="bottom"/>
            <w:gridSpan w:val="2"/>
          </w:tcPr>
          <w:p>
            <w:pPr>
              <w:jc w:val="center"/>
              <w:ind w:right="100"/>
              <w:spacing w:after="0"/>
              <w:rPr>
                <w:sz w:val="20"/>
                <w:szCs w:val="20"/>
                <w:color w:val="auto"/>
              </w:rPr>
            </w:pPr>
            <w:r>
              <w:rPr>
                <w:rFonts w:ascii="Arial" w:cs="Arial" w:eastAsia="Arial" w:hAnsi="Arial"/>
                <w:sz w:val="18"/>
                <w:szCs w:val="18"/>
                <w:color w:val="auto"/>
                <w:w w:val="92"/>
              </w:rPr>
              <w:t>101.DEF</w:t>
            </w:r>
          </w:p>
        </w:tc>
        <w:tc>
          <w:tcPr>
            <w:tcW w:w="20" w:type="dxa"/>
            <w:vAlign w:val="bottom"/>
          </w:tcPr>
          <w:p>
            <w:pPr>
              <w:spacing w:after="0"/>
              <w:rPr>
                <w:sz w:val="23"/>
                <w:szCs w:val="23"/>
                <w:color w:val="auto"/>
              </w:rPr>
            </w:pPr>
          </w:p>
        </w:tc>
        <w:tc>
          <w:tcPr>
            <w:tcW w:w="4380" w:type="dxa"/>
            <w:vAlign w:val="bottom"/>
            <w:gridSpan w:val="11"/>
          </w:tcPr>
          <w:p>
            <w:pPr>
              <w:spacing w:after="0"/>
              <w:rPr>
                <w:sz w:val="20"/>
                <w:szCs w:val="20"/>
                <w:color w:val="auto"/>
              </w:rPr>
            </w:pPr>
            <w:r>
              <w:rPr>
                <w:rFonts w:ascii="Arial" w:cs="Arial" w:eastAsia="Arial" w:hAnsi="Arial"/>
                <w:sz w:val="18"/>
                <w:szCs w:val="18"/>
                <w:color w:val="auto"/>
              </w:rPr>
              <w:t>XBRL Taxonomy Extension Definition Document.</w:t>
            </w:r>
          </w:p>
        </w:tc>
        <w:tc>
          <w:tcPr>
            <w:tcW w:w="9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0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920" w:type="dxa"/>
            <w:vAlign w:val="bottom"/>
          </w:tcPr>
          <w:p>
            <w:pPr>
              <w:jc w:val="center"/>
              <w:spacing w:after="0"/>
              <w:rPr>
                <w:sz w:val="20"/>
                <w:szCs w:val="20"/>
                <w:color w:val="auto"/>
              </w:rPr>
            </w:pPr>
            <w:r>
              <w:rPr>
                <w:rFonts w:ascii="Arial" w:cs="Arial" w:eastAsia="Arial" w:hAnsi="Arial"/>
                <w:sz w:val="18"/>
                <w:szCs w:val="18"/>
                <w:color w:val="auto"/>
                <w:w w:val="99"/>
              </w:rPr>
              <w:t>X</w:t>
            </w:r>
          </w:p>
        </w:tc>
        <w:tc>
          <w:tcPr>
            <w:tcW w:w="0" w:type="dxa"/>
            <w:vAlign w:val="bottom"/>
          </w:tcPr>
          <w:p>
            <w:pPr>
              <w:spacing w:after="0"/>
              <w:rPr>
                <w:sz w:val="1"/>
                <w:szCs w:val="1"/>
                <w:color w:val="auto"/>
              </w:rPr>
            </w:pPr>
          </w:p>
        </w:tc>
      </w:tr>
    </w:tbl>
    <w:p>
      <w:pPr>
        <w:spacing w:after="0" w:line="8" w:lineRule="exact"/>
        <w:rPr>
          <w:sz w:val="20"/>
          <w:szCs w:val="20"/>
          <w:color w:val="auto"/>
        </w:rPr>
      </w:pPr>
    </w:p>
    <w:p>
      <w:pPr>
        <w:spacing w:after="0"/>
        <w:rPr>
          <w:sz w:val="20"/>
          <w:szCs w:val="20"/>
          <w:color w:val="auto"/>
        </w:rPr>
      </w:pPr>
      <w:r>
        <w:rPr>
          <w:rFonts w:ascii="Arial" w:cs="Arial" w:eastAsia="Arial" w:hAnsi="Arial"/>
          <w:sz w:val="14"/>
          <w:szCs w:val="14"/>
          <w:color w:val="auto"/>
        </w:rPr>
        <w:t>_______________________________________________________________________________</w:t>
      </w:r>
    </w:p>
    <w:p>
      <w:pPr>
        <w:spacing w:after="0" w:line="136" w:lineRule="exact"/>
        <w:rPr>
          <w:sz w:val="20"/>
          <w:szCs w:val="20"/>
          <w:color w:val="auto"/>
        </w:rPr>
      </w:pPr>
    </w:p>
    <w:p>
      <w:pPr>
        <w:ind w:right="1020" w:firstLine="8"/>
        <w:spacing w:after="0" w:line="442" w:lineRule="auto"/>
        <w:tabs>
          <w:tab w:leader="none" w:pos="405" w:val="left"/>
        </w:tabs>
        <w:numPr>
          <w:ilvl w:val="0"/>
          <w:numId w:val="16"/>
        </w:numPr>
        <w:rPr>
          <w:rFonts w:ascii="Arial" w:cs="Arial" w:eastAsia="Arial" w:hAnsi="Arial"/>
          <w:sz w:val="14"/>
          <w:szCs w:val="14"/>
          <w:color w:val="auto"/>
        </w:rPr>
      </w:pPr>
      <w:r>
        <w:rPr>
          <w:rFonts w:ascii="Arial" w:cs="Arial" w:eastAsia="Arial" w:hAnsi="Arial"/>
          <w:sz w:val="14"/>
          <w:szCs w:val="14"/>
          <w:color w:val="auto"/>
        </w:rPr>
        <w:t>Schedules omitted pursuant to item 601(b)(2) of Regulation S-K. The Company agrees to furnish supplementally a copy of any omitted schedule to the SEC upon its request. + Represents a management contract or compensatory plan or arrangement.</w:t>
      </w:r>
    </w:p>
    <w:p>
      <w:pPr>
        <w:spacing w:after="0" w:line="1" w:lineRule="exact"/>
        <w:rPr>
          <w:sz w:val="20"/>
          <w:szCs w:val="20"/>
          <w:color w:val="auto"/>
        </w:rPr>
      </w:pPr>
    </w:p>
    <w:p>
      <w:pPr>
        <w:ind w:left="420" w:right="580" w:hanging="412"/>
        <w:spacing w:after="0" w:line="273" w:lineRule="auto"/>
        <w:tabs>
          <w:tab w:leader="none" w:pos="420" w:val="left"/>
        </w:tabs>
        <w:numPr>
          <w:ilvl w:val="0"/>
          <w:numId w:val="17"/>
        </w:numPr>
        <w:rPr>
          <w:rFonts w:ascii="Arial" w:cs="Arial" w:eastAsia="Arial" w:hAnsi="Arial"/>
          <w:sz w:val="14"/>
          <w:szCs w:val="14"/>
          <w:color w:val="auto"/>
        </w:rPr>
      </w:pPr>
      <w:r>
        <w:rPr>
          <w:rFonts w:ascii="Arial" w:cs="Arial" w:eastAsia="Arial" w:hAnsi="Arial"/>
          <w:sz w:val="14"/>
          <w:szCs w:val="14"/>
          <w:color w:val="auto"/>
        </w:rPr>
        <w:t>Portions thereof were omitted and filed separately with the Securities and Exchange Commission pursuant to a request for confidential treatment that was granted in accordance with Exchange Act Rule 24b-2.</w:t>
      </w:r>
    </w:p>
    <w:p>
      <w:pPr>
        <w:spacing w:after="0" w:line="93" w:lineRule="exact"/>
        <w:rPr>
          <w:sz w:val="20"/>
          <w:szCs w:val="20"/>
          <w:color w:val="auto"/>
        </w:rPr>
      </w:pPr>
    </w:p>
    <w:p>
      <w:pPr>
        <w:ind w:left="420" w:right="440" w:hanging="412"/>
        <w:spacing w:after="0" w:line="273" w:lineRule="auto"/>
        <w:tabs>
          <w:tab w:leader="none" w:pos="420" w:val="left"/>
        </w:tabs>
        <w:numPr>
          <w:ilvl w:val="0"/>
          <w:numId w:val="18"/>
        </w:numPr>
        <w:rPr>
          <w:rFonts w:ascii="Arial" w:cs="Arial" w:eastAsia="Arial" w:hAnsi="Arial"/>
          <w:sz w:val="14"/>
          <w:szCs w:val="14"/>
          <w:color w:val="auto"/>
        </w:rPr>
      </w:pPr>
      <w:r>
        <w:rPr>
          <w:rFonts w:ascii="Arial" w:cs="Arial" w:eastAsia="Arial" w:hAnsi="Arial"/>
          <w:sz w:val="14"/>
          <w:szCs w:val="14"/>
          <w:color w:val="auto"/>
        </w:rPr>
        <w:t>Portions hereof have been omitted and filed separately with the Securities and Exchange Commission pursuant to a request for confidential treatment in accordance with Exchange Act Rule 24b-2.</w:t>
      </w:r>
    </w:p>
    <w:p>
      <w:pPr>
        <w:spacing w:after="0" w:line="9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Attached as Exhibit 101 to this report are the following formatted in XBRL (Extensible Business Reporting Language): (i) Consolidated Balance Sheets at March 31, 2018 and 2017, (ii) Consolidated Statements of Operations for the fiscal years ended March 31, 2018, 2017 and 2016, (iii) Consolidated Statements of Comprehensive Income (Loss) for the fiscal years ended March 31, 2018, 2017 and 2016, (iv) Consolidated Statements of Cash Flows for the fiscal years ended March 31, 2018, 2017 and 2016, (v) Consolidated Statements of Stockholders' Equity for the fiscal years ended March 31, 2018, 2017 and 2016; and (vi) Notes to the Consolidated Financial Statements.</w:t>
      </w:r>
    </w:p>
    <w:p>
      <w:pPr>
        <w:spacing w:after="0" w:line="3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806" w:right="239" w:bottom="1440" w:gutter="0" w:footer="0" w:header="0"/>
        </w:sectPr>
      </w:pPr>
    </w:p>
    <w:bookmarkStart w:id="51" w:name="page52"/>
    <w:bookmarkEnd w:id="51"/>
    <w:p>
      <w:pPr>
        <w:spacing w:after="0"/>
        <w:tabs>
          <w:tab w:leader="none" w:pos="80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6"/>
          <w:szCs w:val="16"/>
          <w:b w:val="1"/>
          <w:bCs w:val="1"/>
          <w:color w:val="auto"/>
        </w:rPr>
        <w:t>Form 10-K Summary</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right"/>
        <w:ind w:right="4419"/>
        <w:spacing w:after="0"/>
        <w:rPr>
          <w:sz w:val="20"/>
          <w:szCs w:val="20"/>
          <w:color w:val="auto"/>
        </w:rPr>
      </w:pPr>
      <w:r>
        <w:rPr>
          <w:rFonts w:ascii="Arial" w:cs="Arial" w:eastAsia="Arial" w:hAnsi="Arial"/>
          <w:sz w:val="18"/>
          <w:szCs w:val="18"/>
          <w:color w:val="auto"/>
        </w:rPr>
        <w:t>50</w:t>
      </w:r>
    </w:p>
    <w:p>
      <w:pPr>
        <w:sectPr>
          <w:pgSz w:w="11900" w:h="16838" w:orient="portrait"/>
          <w:cols w:equalWidth="0" w:num="1">
            <w:col w:w="10219"/>
          </w:cols>
          <w:pgMar w:left="240" w:top="715" w:right="1440" w:bottom="1440" w:gutter="0" w:footer="0" w:header="0"/>
        </w:sectPr>
      </w:pPr>
    </w:p>
    <w:bookmarkStart w:id="52" w:name="page53"/>
    <w:bookmarkEnd w:id="5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20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200" w:type="dxa"/>
            <w:vAlign w:val="bottom"/>
            <w:gridSpan w:val="3"/>
          </w:tcPr>
          <w:p>
            <w:pPr>
              <w:jc w:val="center"/>
              <w:ind w:right="880"/>
              <w:spacing w:after="0"/>
              <w:rPr>
                <w:sz w:val="20"/>
                <w:szCs w:val="20"/>
                <w:color w:val="auto"/>
              </w:rPr>
            </w:pPr>
            <w:r>
              <w:rPr>
                <w:rFonts w:ascii="Arial" w:cs="Arial" w:eastAsia="Arial" w:hAnsi="Arial"/>
                <w:sz w:val="18"/>
                <w:szCs w:val="18"/>
                <w:b w:val="1"/>
                <w:bCs w:val="1"/>
                <w:color w:val="auto"/>
              </w:rPr>
              <w:t>TAKE-TWO INTERACTIVE SOFTWARE, INC.</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4"/>
        </w:trPr>
        <w:tc>
          <w:tcPr>
            <w:tcW w:w="20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5200" w:type="dxa"/>
            <w:vAlign w:val="bottom"/>
            <w:gridSpan w:val="3"/>
          </w:tcPr>
          <w:p>
            <w:pPr>
              <w:jc w:val="center"/>
              <w:ind w:right="900"/>
              <w:spacing w:after="0"/>
              <w:rPr>
                <w:sz w:val="20"/>
                <w:szCs w:val="20"/>
                <w:color w:val="auto"/>
              </w:rPr>
            </w:pPr>
            <w:r>
              <w:rPr>
                <w:rFonts w:ascii="Arial" w:cs="Arial" w:eastAsia="Arial" w:hAnsi="Arial"/>
                <w:sz w:val="18"/>
                <w:szCs w:val="18"/>
                <w:b w:val="1"/>
                <w:bCs w:val="1"/>
                <w:color w:val="auto"/>
                <w:w w:val="98"/>
              </w:rPr>
              <w:t>FISCAL YEAR ENDED MARCH 31, 2018</w:t>
            </w:r>
          </w:p>
        </w:tc>
        <w:tc>
          <w:tcPr>
            <w:tcW w:w="2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351"/>
        </w:trPr>
        <w:tc>
          <w:tcPr>
            <w:tcW w:w="20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0" w:type="dxa"/>
            <w:vAlign w:val="bottom"/>
            <w:gridSpan w:val="3"/>
          </w:tcPr>
          <w:p>
            <w:pPr>
              <w:jc w:val="center"/>
              <w:ind w:right="880"/>
              <w:spacing w:after="0"/>
              <w:rPr>
                <w:sz w:val="20"/>
                <w:szCs w:val="20"/>
                <w:color w:val="auto"/>
              </w:rPr>
            </w:pPr>
            <w:r>
              <w:rPr>
                <w:rFonts w:ascii="Arial" w:cs="Arial" w:eastAsia="Arial" w:hAnsi="Arial"/>
                <w:sz w:val="18"/>
                <w:szCs w:val="18"/>
                <w:b w:val="1"/>
                <w:bCs w:val="1"/>
                <w:color w:val="auto"/>
              </w:rPr>
              <w:t>INDEX TO FINANCIAL STATEMENTS</w:t>
            </w: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750"/>
        </w:trPr>
        <w:tc>
          <w:tcPr>
            <w:tcW w:w="20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440" w:type="dxa"/>
            <w:vAlign w:val="bottom"/>
          </w:tcPr>
          <w:p>
            <w:pPr>
              <w:spacing w:after="0"/>
              <w:rPr>
                <w:sz w:val="24"/>
                <w:szCs w:val="24"/>
                <w:color w:val="auto"/>
              </w:rPr>
            </w:pPr>
          </w:p>
        </w:tc>
        <w:tc>
          <w:tcPr>
            <w:tcW w:w="480" w:type="dxa"/>
            <w:vAlign w:val="bottom"/>
            <w:tcBorders>
              <w:bottom w:val="single" w:sz="8" w:color="auto"/>
            </w:tcBorders>
            <w:gridSpan w:val="3"/>
          </w:tcPr>
          <w:p>
            <w:pPr>
              <w:jc w:val="right"/>
              <w:ind w:right="100"/>
              <w:spacing w:after="0"/>
              <w:rPr>
                <w:sz w:val="20"/>
                <w:szCs w:val="20"/>
                <w:color w:val="auto"/>
              </w:rPr>
            </w:pPr>
            <w:r>
              <w:rPr>
                <w:rFonts w:ascii="Arial" w:cs="Arial" w:eastAsia="Arial" w:hAnsi="Arial"/>
                <w:sz w:val="14"/>
                <w:szCs w:val="14"/>
                <w:b w:val="1"/>
                <w:bCs w:val="1"/>
                <w:color w:val="auto"/>
              </w:rPr>
              <w:t>Page</w:t>
            </w:r>
          </w:p>
        </w:tc>
      </w:tr>
      <w:tr>
        <w:trPr>
          <w:trHeight w:val="189"/>
        </w:trPr>
        <w:tc>
          <w:tcPr>
            <w:tcW w:w="8720" w:type="dxa"/>
            <w:vAlign w:val="bottom"/>
            <w:gridSpan w:val="8"/>
          </w:tcPr>
          <w:p>
            <w:pPr>
              <w:spacing w:after="0" w:line="170" w:lineRule="exact"/>
              <w:rPr>
                <w:rFonts w:ascii="Arial" w:cs="Arial" w:eastAsia="Arial" w:hAnsi="Arial"/>
                <w:sz w:val="18"/>
                <w:szCs w:val="18"/>
                <w:color w:val="0000EE"/>
              </w:rPr>
            </w:pPr>
            <w:hyperlink w:anchor="page54">
              <w:r>
                <w:rPr>
                  <w:rFonts w:ascii="Arial" w:cs="Arial" w:eastAsia="Arial" w:hAnsi="Arial"/>
                  <w:sz w:val="18"/>
                  <w:szCs w:val="18"/>
                  <w:color w:val="0000EE"/>
                </w:rPr>
                <w:t>Reports of Independent Registered Public Accounting Firm</w:t>
              </w:r>
            </w:hyperlink>
          </w:p>
        </w:tc>
        <w:tc>
          <w:tcPr>
            <w:tcW w:w="260" w:type="dxa"/>
            <w:vAlign w:val="bottom"/>
          </w:tcPr>
          <w:p>
            <w:pPr>
              <w:spacing w:after="0"/>
              <w:rPr>
                <w:sz w:val="16"/>
                <w:szCs w:val="16"/>
                <w:color w:val="auto"/>
              </w:rPr>
            </w:pPr>
          </w:p>
        </w:tc>
        <w:tc>
          <w:tcPr>
            <w:tcW w:w="220" w:type="dxa"/>
            <w:vAlign w:val="bottom"/>
            <w:gridSpan w:val="2"/>
          </w:tcPr>
          <w:p>
            <w:pPr>
              <w:jc w:val="right"/>
              <w:ind w:right="40"/>
              <w:spacing w:after="0" w:line="170" w:lineRule="exact"/>
              <w:rPr>
                <w:rFonts w:ascii="Arial" w:cs="Arial" w:eastAsia="Arial" w:hAnsi="Arial"/>
                <w:sz w:val="18"/>
                <w:szCs w:val="18"/>
                <w:color w:val="0000EE"/>
                <w:w w:val="79"/>
              </w:rPr>
            </w:pPr>
            <w:hyperlink w:anchor="page54">
              <w:r>
                <w:rPr>
                  <w:rFonts w:ascii="Arial" w:cs="Arial" w:eastAsia="Arial" w:hAnsi="Arial"/>
                  <w:sz w:val="18"/>
                  <w:szCs w:val="18"/>
                  <w:color w:val="0000EE"/>
                  <w:w w:val="79"/>
                </w:rPr>
                <w:t>52</w:t>
              </w:r>
            </w:hyperlink>
          </w:p>
        </w:tc>
      </w:tr>
      <w:tr>
        <w:trPr>
          <w:trHeight w:val="27"/>
        </w:trPr>
        <w:tc>
          <w:tcPr>
            <w:tcW w:w="2080" w:type="dxa"/>
            <w:vAlign w:val="bottom"/>
            <w:shd w:val="clear" w:color="auto" w:fill="0000EE"/>
          </w:tcPr>
          <w:p>
            <w:pPr>
              <w:spacing w:after="0"/>
              <w:rPr>
                <w:sz w:val="2"/>
                <w:szCs w:val="2"/>
                <w:color w:val="auto"/>
              </w:rPr>
            </w:pPr>
          </w:p>
        </w:tc>
        <w:tc>
          <w:tcPr>
            <w:tcW w:w="720" w:type="dxa"/>
            <w:vAlign w:val="bottom"/>
            <w:shd w:val="clear" w:color="auto" w:fill="0000EE"/>
          </w:tcPr>
          <w:p>
            <w:pPr>
              <w:spacing w:after="0"/>
              <w:rPr>
                <w:sz w:val="2"/>
                <w:szCs w:val="2"/>
                <w:color w:val="auto"/>
              </w:rPr>
            </w:pPr>
          </w:p>
        </w:tc>
        <w:tc>
          <w:tcPr>
            <w:tcW w:w="60" w:type="dxa"/>
            <w:vAlign w:val="bottom"/>
            <w:shd w:val="clear" w:color="auto" w:fill="0000EE"/>
          </w:tcPr>
          <w:p>
            <w:pPr>
              <w:spacing w:after="0"/>
              <w:rPr>
                <w:sz w:val="2"/>
                <w:szCs w:val="2"/>
                <w:color w:val="auto"/>
              </w:rPr>
            </w:pPr>
          </w:p>
        </w:tc>
        <w:tc>
          <w:tcPr>
            <w:tcW w:w="540" w:type="dxa"/>
            <w:vAlign w:val="bottom"/>
            <w:shd w:val="clear" w:color="auto" w:fill="0000EE"/>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720" w:type="dxa"/>
            <w:vAlign w:val="bottom"/>
            <w:shd w:val="clear" w:color="auto" w:fill="0000EE"/>
          </w:tcPr>
          <w:p>
            <w:pPr>
              <w:spacing w:after="0"/>
              <w:rPr>
                <w:sz w:val="2"/>
                <w:szCs w:val="2"/>
                <w:color w:val="auto"/>
              </w:rPr>
            </w:pPr>
          </w:p>
        </w:tc>
        <w:tc>
          <w:tcPr>
            <w:tcW w:w="4480" w:type="dxa"/>
            <w:vAlign w:val="bottom"/>
            <w:gridSpan w:val="2"/>
            <w:shd w:val="clear" w:color="auto" w:fill="0000EE"/>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shd w:val="clear" w:color="auto" w:fill="0000EE"/>
          </w:tcPr>
          <w:p>
            <w:pPr>
              <w:spacing w:after="0"/>
              <w:rPr>
                <w:sz w:val="2"/>
                <w:szCs w:val="2"/>
                <w:color w:val="auto"/>
              </w:rPr>
            </w:pPr>
          </w:p>
        </w:tc>
        <w:tc>
          <w:tcPr>
            <w:tcW w:w="40" w:type="dxa"/>
            <w:vAlign w:val="bottom"/>
          </w:tcPr>
          <w:p>
            <w:pPr>
              <w:spacing w:after="0"/>
              <w:rPr>
                <w:sz w:val="2"/>
                <w:szCs w:val="2"/>
                <w:color w:val="auto"/>
              </w:rPr>
            </w:pPr>
          </w:p>
        </w:tc>
      </w:tr>
      <w:tr>
        <w:trPr>
          <w:trHeight w:val="257"/>
        </w:trPr>
        <w:tc>
          <w:tcPr>
            <w:tcW w:w="8720" w:type="dxa"/>
            <w:vAlign w:val="bottom"/>
            <w:gridSpan w:val="8"/>
          </w:tcPr>
          <w:p>
            <w:pPr>
              <w:spacing w:after="0"/>
              <w:rPr>
                <w:rFonts w:ascii="Arial" w:cs="Arial" w:eastAsia="Arial" w:hAnsi="Arial"/>
                <w:sz w:val="18"/>
                <w:szCs w:val="18"/>
                <w:color w:val="0000EE"/>
              </w:rPr>
            </w:pPr>
            <w:hyperlink w:anchor="page56">
              <w:r>
                <w:rPr>
                  <w:rFonts w:ascii="Arial" w:cs="Arial" w:eastAsia="Arial" w:hAnsi="Arial"/>
                  <w:sz w:val="18"/>
                  <w:szCs w:val="18"/>
                  <w:color w:val="0000EE"/>
                </w:rPr>
                <w:t>Consolidated Balance Sheets</w:t>
              </w:r>
            </w:hyperlink>
            <w:r>
              <w:rPr>
                <w:rFonts w:ascii="Arial" w:cs="Arial" w:eastAsia="Arial" w:hAnsi="Arial"/>
                <w:sz w:val="18"/>
                <w:szCs w:val="18"/>
                <w:color w:val="000000"/>
              </w:rPr>
              <w:t>—At</w:t>
            </w:r>
            <w:r>
              <w:rPr>
                <w:rFonts w:ascii="Arial" w:cs="Arial" w:eastAsia="Arial" w:hAnsi="Arial"/>
                <w:sz w:val="18"/>
                <w:szCs w:val="18"/>
                <w:color w:val="0000EE"/>
              </w:rPr>
              <w:t xml:space="preserve"> </w:t>
            </w:r>
            <w:r>
              <w:rPr>
                <w:rFonts w:ascii="Arial" w:cs="Arial" w:eastAsia="Arial" w:hAnsi="Arial"/>
                <w:sz w:val="18"/>
                <w:szCs w:val="18"/>
                <w:color w:val="000000"/>
              </w:rPr>
              <w:t>March 31, 2018 and 2017</w:t>
            </w:r>
          </w:p>
        </w:tc>
        <w:tc>
          <w:tcPr>
            <w:tcW w:w="260" w:type="dxa"/>
            <w:vAlign w:val="bottom"/>
          </w:tcPr>
          <w:p>
            <w:pPr>
              <w:spacing w:after="0"/>
              <w:rPr>
                <w:sz w:val="22"/>
                <w:szCs w:val="22"/>
                <w:color w:val="auto"/>
              </w:rPr>
            </w:pPr>
          </w:p>
        </w:tc>
        <w:tc>
          <w:tcPr>
            <w:tcW w:w="220" w:type="dxa"/>
            <w:vAlign w:val="bottom"/>
            <w:gridSpan w:val="2"/>
          </w:tcPr>
          <w:p>
            <w:pPr>
              <w:jc w:val="right"/>
              <w:ind w:right="40"/>
              <w:spacing w:after="0"/>
              <w:rPr>
                <w:rFonts w:ascii="Arial" w:cs="Arial" w:eastAsia="Arial" w:hAnsi="Arial"/>
                <w:sz w:val="18"/>
                <w:szCs w:val="18"/>
                <w:color w:val="0000EE"/>
                <w:w w:val="79"/>
              </w:rPr>
            </w:pPr>
            <w:hyperlink w:anchor="page56">
              <w:r>
                <w:rPr>
                  <w:rFonts w:ascii="Arial" w:cs="Arial" w:eastAsia="Arial" w:hAnsi="Arial"/>
                  <w:sz w:val="18"/>
                  <w:szCs w:val="18"/>
                  <w:color w:val="0000EE"/>
                  <w:w w:val="79"/>
                </w:rPr>
                <w:t>54</w:t>
              </w:r>
            </w:hyperlink>
          </w:p>
        </w:tc>
      </w:tr>
      <w:tr>
        <w:trPr>
          <w:trHeight w:val="20"/>
        </w:trPr>
        <w:tc>
          <w:tcPr>
            <w:tcW w:w="2080" w:type="dxa"/>
            <w:vAlign w:val="bottom"/>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48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8720" w:type="dxa"/>
            <w:vAlign w:val="bottom"/>
            <w:gridSpan w:val="8"/>
          </w:tcPr>
          <w:p>
            <w:pPr>
              <w:spacing w:after="0"/>
              <w:rPr>
                <w:rFonts w:ascii="Arial" w:cs="Arial" w:eastAsia="Arial" w:hAnsi="Arial"/>
                <w:sz w:val="18"/>
                <w:szCs w:val="18"/>
                <w:color w:val="0000EE"/>
              </w:rPr>
            </w:pPr>
            <w:hyperlink w:anchor="page57">
              <w:r>
                <w:rPr>
                  <w:rFonts w:ascii="Arial" w:cs="Arial" w:eastAsia="Arial" w:hAnsi="Arial"/>
                  <w:sz w:val="18"/>
                  <w:szCs w:val="18"/>
                  <w:color w:val="0000EE"/>
                </w:rPr>
                <w:t>Consolidated Statements of Operations</w:t>
              </w:r>
            </w:hyperlink>
            <w:r>
              <w:rPr>
                <w:rFonts w:ascii="Arial" w:cs="Arial" w:eastAsia="Arial" w:hAnsi="Arial"/>
                <w:sz w:val="18"/>
                <w:szCs w:val="18"/>
                <w:color w:val="000000"/>
              </w:rPr>
              <w:t>—For</w:t>
            </w:r>
            <w:r>
              <w:rPr>
                <w:rFonts w:ascii="Arial" w:cs="Arial" w:eastAsia="Arial" w:hAnsi="Arial"/>
                <w:sz w:val="18"/>
                <w:szCs w:val="18"/>
                <w:color w:val="0000EE"/>
              </w:rPr>
              <w:t xml:space="preserve"> </w:t>
            </w:r>
            <w:r>
              <w:rPr>
                <w:rFonts w:ascii="Arial" w:cs="Arial" w:eastAsia="Arial" w:hAnsi="Arial"/>
                <w:sz w:val="18"/>
                <w:szCs w:val="18"/>
                <w:color w:val="000000"/>
              </w:rPr>
              <w:t>the fiscal years ended March 31, 2018, 2017 and 2016</w:t>
            </w:r>
          </w:p>
        </w:tc>
        <w:tc>
          <w:tcPr>
            <w:tcW w:w="480" w:type="dxa"/>
            <w:vAlign w:val="bottom"/>
            <w:gridSpan w:val="3"/>
          </w:tcPr>
          <w:p>
            <w:pPr>
              <w:jc w:val="right"/>
              <w:ind w:right="40"/>
              <w:spacing w:after="0"/>
              <w:rPr>
                <w:rFonts w:ascii="Arial" w:cs="Arial" w:eastAsia="Arial" w:hAnsi="Arial"/>
                <w:sz w:val="18"/>
                <w:szCs w:val="18"/>
                <w:color w:val="0000EE"/>
              </w:rPr>
            </w:pPr>
            <w:hyperlink w:anchor="page57">
              <w:r>
                <w:rPr>
                  <w:rFonts w:ascii="Arial" w:cs="Arial" w:eastAsia="Arial" w:hAnsi="Arial"/>
                  <w:sz w:val="18"/>
                  <w:szCs w:val="18"/>
                  <w:color w:val="0000EE"/>
                </w:rPr>
                <w:t>55</w:t>
              </w:r>
            </w:hyperlink>
          </w:p>
        </w:tc>
      </w:tr>
      <w:tr>
        <w:trPr>
          <w:trHeight w:val="20"/>
        </w:trPr>
        <w:tc>
          <w:tcPr>
            <w:tcW w:w="280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48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8720" w:type="dxa"/>
            <w:vAlign w:val="bottom"/>
            <w:gridSpan w:val="8"/>
          </w:tcPr>
          <w:p>
            <w:pPr>
              <w:spacing w:after="0"/>
              <w:rPr>
                <w:rFonts w:ascii="Arial" w:cs="Arial" w:eastAsia="Arial" w:hAnsi="Arial"/>
                <w:sz w:val="18"/>
                <w:szCs w:val="18"/>
                <w:color w:val="0000EE"/>
                <w:w w:val="90"/>
              </w:rPr>
            </w:pPr>
            <w:hyperlink w:anchor="page58">
              <w:r>
                <w:rPr>
                  <w:rFonts w:ascii="Arial" w:cs="Arial" w:eastAsia="Arial" w:hAnsi="Arial"/>
                  <w:sz w:val="18"/>
                  <w:szCs w:val="18"/>
                  <w:color w:val="0000EE"/>
                  <w:w w:val="90"/>
                </w:rPr>
                <w:t>Consolidated Statements of Comprehensive Income (Loss)</w:t>
              </w:r>
            </w:hyperlink>
            <w:r>
              <w:rPr>
                <w:rFonts w:ascii="Arial" w:cs="Arial" w:eastAsia="Arial" w:hAnsi="Arial"/>
                <w:sz w:val="18"/>
                <w:szCs w:val="18"/>
                <w:color w:val="000000"/>
                <w:w w:val="90"/>
              </w:rPr>
              <w:t>—For</w:t>
            </w:r>
            <w:r>
              <w:rPr>
                <w:rFonts w:ascii="Arial" w:cs="Arial" w:eastAsia="Arial" w:hAnsi="Arial"/>
                <w:sz w:val="18"/>
                <w:szCs w:val="18"/>
                <w:color w:val="0000EE"/>
                <w:w w:val="90"/>
              </w:rPr>
              <w:t xml:space="preserve"> </w:t>
            </w:r>
            <w:r>
              <w:rPr>
                <w:rFonts w:ascii="Arial" w:cs="Arial" w:eastAsia="Arial" w:hAnsi="Arial"/>
                <w:sz w:val="18"/>
                <w:szCs w:val="18"/>
                <w:color w:val="000000"/>
                <w:w w:val="90"/>
              </w:rPr>
              <w:t>the fiscal years ended March 31, 2018, 2017 and 2016</w:t>
            </w:r>
          </w:p>
        </w:tc>
        <w:tc>
          <w:tcPr>
            <w:tcW w:w="480" w:type="dxa"/>
            <w:vAlign w:val="bottom"/>
            <w:gridSpan w:val="3"/>
          </w:tcPr>
          <w:p>
            <w:pPr>
              <w:jc w:val="right"/>
              <w:ind w:right="40"/>
              <w:spacing w:after="0"/>
              <w:rPr>
                <w:rFonts w:ascii="Arial" w:cs="Arial" w:eastAsia="Arial" w:hAnsi="Arial"/>
                <w:sz w:val="18"/>
                <w:szCs w:val="18"/>
                <w:color w:val="0000EE"/>
              </w:rPr>
            </w:pPr>
            <w:hyperlink w:anchor="page58">
              <w:r>
                <w:rPr>
                  <w:rFonts w:ascii="Arial" w:cs="Arial" w:eastAsia="Arial" w:hAnsi="Arial"/>
                  <w:sz w:val="18"/>
                  <w:szCs w:val="18"/>
                  <w:color w:val="0000EE"/>
                </w:rPr>
                <w:t>56</w:t>
              </w:r>
            </w:hyperlink>
          </w:p>
        </w:tc>
      </w:tr>
      <w:tr>
        <w:trPr>
          <w:trHeight w:val="20"/>
        </w:trPr>
        <w:tc>
          <w:tcPr>
            <w:tcW w:w="2860" w:type="dxa"/>
            <w:vAlign w:val="bottom"/>
            <w:gridSpan w:val="3"/>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4480" w:type="dxa"/>
            <w:vAlign w:val="bottom"/>
            <w:gridSpan w:val="2"/>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8720" w:type="dxa"/>
            <w:vAlign w:val="bottom"/>
            <w:gridSpan w:val="8"/>
          </w:tcPr>
          <w:p>
            <w:pPr>
              <w:spacing w:after="0"/>
              <w:rPr>
                <w:rFonts w:ascii="Arial" w:cs="Arial" w:eastAsia="Arial" w:hAnsi="Arial"/>
                <w:sz w:val="18"/>
                <w:szCs w:val="18"/>
                <w:color w:val="0000EE"/>
              </w:rPr>
            </w:pPr>
            <w:hyperlink w:anchor="page59">
              <w:r>
                <w:rPr>
                  <w:rFonts w:ascii="Arial" w:cs="Arial" w:eastAsia="Arial" w:hAnsi="Arial"/>
                  <w:sz w:val="18"/>
                  <w:szCs w:val="18"/>
                  <w:color w:val="0000EE"/>
                </w:rPr>
                <w:t>Consolidated Statements of Cash Flows</w:t>
              </w:r>
            </w:hyperlink>
            <w:r>
              <w:rPr>
                <w:rFonts w:ascii="Arial" w:cs="Arial" w:eastAsia="Arial" w:hAnsi="Arial"/>
                <w:sz w:val="18"/>
                <w:szCs w:val="18"/>
                <w:color w:val="000000"/>
              </w:rPr>
              <w:t>—For</w:t>
            </w:r>
            <w:r>
              <w:rPr>
                <w:rFonts w:ascii="Arial" w:cs="Arial" w:eastAsia="Arial" w:hAnsi="Arial"/>
                <w:sz w:val="18"/>
                <w:szCs w:val="18"/>
                <w:color w:val="0000EE"/>
              </w:rPr>
              <w:t xml:space="preserve"> </w:t>
            </w:r>
            <w:r>
              <w:rPr>
                <w:rFonts w:ascii="Arial" w:cs="Arial" w:eastAsia="Arial" w:hAnsi="Arial"/>
                <w:sz w:val="18"/>
                <w:szCs w:val="18"/>
                <w:color w:val="000000"/>
              </w:rPr>
              <w:t>the fiscal years ended March 31, 2018, 2017 and 2016</w:t>
            </w:r>
          </w:p>
        </w:tc>
        <w:tc>
          <w:tcPr>
            <w:tcW w:w="480" w:type="dxa"/>
            <w:vAlign w:val="bottom"/>
            <w:gridSpan w:val="3"/>
          </w:tcPr>
          <w:p>
            <w:pPr>
              <w:jc w:val="right"/>
              <w:ind w:right="40"/>
              <w:spacing w:after="0"/>
              <w:rPr>
                <w:rFonts w:ascii="Arial" w:cs="Arial" w:eastAsia="Arial" w:hAnsi="Arial"/>
                <w:sz w:val="18"/>
                <w:szCs w:val="18"/>
                <w:color w:val="0000EE"/>
              </w:rPr>
            </w:pPr>
            <w:hyperlink w:anchor="page59">
              <w:r>
                <w:rPr>
                  <w:rFonts w:ascii="Arial" w:cs="Arial" w:eastAsia="Arial" w:hAnsi="Arial"/>
                  <w:sz w:val="18"/>
                  <w:szCs w:val="18"/>
                  <w:color w:val="0000EE"/>
                </w:rPr>
                <w:t>57</w:t>
              </w:r>
            </w:hyperlink>
          </w:p>
        </w:tc>
      </w:tr>
      <w:tr>
        <w:trPr>
          <w:trHeight w:val="20"/>
        </w:trPr>
        <w:tc>
          <w:tcPr>
            <w:tcW w:w="2860" w:type="dxa"/>
            <w:vAlign w:val="bottom"/>
            <w:gridSpan w:val="3"/>
            <w:shd w:val="clear" w:color="auto" w:fill="0000EE"/>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5200" w:type="dxa"/>
            <w:vAlign w:val="bottom"/>
            <w:gridSpan w:val="3"/>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8720" w:type="dxa"/>
            <w:vAlign w:val="bottom"/>
            <w:gridSpan w:val="8"/>
          </w:tcPr>
          <w:p>
            <w:pPr>
              <w:spacing w:after="0"/>
              <w:rPr>
                <w:rFonts w:ascii="Arial" w:cs="Arial" w:eastAsia="Arial" w:hAnsi="Arial"/>
                <w:sz w:val="18"/>
                <w:szCs w:val="18"/>
                <w:color w:val="0000EE"/>
                <w:w w:val="99"/>
              </w:rPr>
            </w:pPr>
            <w:hyperlink w:anchor="page60">
              <w:r>
                <w:rPr>
                  <w:rFonts w:ascii="Arial" w:cs="Arial" w:eastAsia="Arial" w:hAnsi="Arial"/>
                  <w:sz w:val="18"/>
                  <w:szCs w:val="18"/>
                  <w:color w:val="0000EE"/>
                  <w:w w:val="99"/>
                </w:rPr>
                <w:t>Consolidated Statements of Stockholders' Equity</w:t>
              </w:r>
            </w:hyperlink>
            <w:r>
              <w:rPr>
                <w:rFonts w:ascii="Arial" w:cs="Arial" w:eastAsia="Arial" w:hAnsi="Arial"/>
                <w:sz w:val="18"/>
                <w:szCs w:val="18"/>
                <w:color w:val="000000"/>
                <w:w w:val="99"/>
              </w:rPr>
              <w:t>—For</w:t>
            </w:r>
            <w:r>
              <w:rPr>
                <w:rFonts w:ascii="Arial" w:cs="Arial" w:eastAsia="Arial" w:hAnsi="Arial"/>
                <w:sz w:val="18"/>
                <w:szCs w:val="18"/>
                <w:color w:val="0000EE"/>
                <w:w w:val="99"/>
              </w:rPr>
              <w:t xml:space="preserve"> </w:t>
            </w:r>
            <w:r>
              <w:rPr>
                <w:rFonts w:ascii="Arial" w:cs="Arial" w:eastAsia="Arial" w:hAnsi="Arial"/>
                <w:sz w:val="18"/>
                <w:szCs w:val="18"/>
                <w:color w:val="000000"/>
                <w:w w:val="99"/>
              </w:rPr>
              <w:t>the fiscal years ended March 31, 2018, 2017 and 2016</w:t>
            </w:r>
          </w:p>
        </w:tc>
        <w:tc>
          <w:tcPr>
            <w:tcW w:w="480" w:type="dxa"/>
            <w:vAlign w:val="bottom"/>
            <w:gridSpan w:val="3"/>
          </w:tcPr>
          <w:p>
            <w:pPr>
              <w:jc w:val="right"/>
              <w:ind w:right="40"/>
              <w:spacing w:after="0"/>
              <w:rPr>
                <w:rFonts w:ascii="Arial" w:cs="Arial" w:eastAsia="Arial" w:hAnsi="Arial"/>
                <w:sz w:val="18"/>
                <w:szCs w:val="18"/>
                <w:color w:val="0000EE"/>
              </w:rPr>
            </w:pPr>
            <w:hyperlink w:anchor="page60">
              <w:r>
                <w:rPr>
                  <w:rFonts w:ascii="Arial" w:cs="Arial" w:eastAsia="Arial" w:hAnsi="Arial"/>
                  <w:sz w:val="18"/>
                  <w:szCs w:val="18"/>
                  <w:color w:val="0000EE"/>
                </w:rPr>
                <w:t>58</w:t>
              </w:r>
            </w:hyperlink>
          </w:p>
        </w:tc>
      </w:tr>
      <w:tr>
        <w:trPr>
          <w:trHeight w:val="20"/>
        </w:trPr>
        <w:tc>
          <w:tcPr>
            <w:tcW w:w="3400" w:type="dxa"/>
            <w:vAlign w:val="bottom"/>
            <w:gridSpan w:val="4"/>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5200" w:type="dxa"/>
            <w:vAlign w:val="bottom"/>
            <w:gridSpan w:val="3"/>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250"/>
        </w:trPr>
        <w:tc>
          <w:tcPr>
            <w:tcW w:w="3520" w:type="dxa"/>
            <w:vAlign w:val="bottom"/>
            <w:gridSpan w:val="5"/>
          </w:tcPr>
          <w:p>
            <w:pPr>
              <w:spacing w:after="0"/>
              <w:rPr>
                <w:rFonts w:ascii="Arial" w:cs="Arial" w:eastAsia="Arial" w:hAnsi="Arial"/>
                <w:sz w:val="18"/>
                <w:szCs w:val="18"/>
                <w:color w:val="0000EE"/>
                <w:w w:val="92"/>
              </w:rPr>
            </w:pPr>
            <w:hyperlink w:anchor="page61">
              <w:r>
                <w:rPr>
                  <w:rFonts w:ascii="Arial" w:cs="Arial" w:eastAsia="Arial" w:hAnsi="Arial"/>
                  <w:sz w:val="18"/>
                  <w:szCs w:val="18"/>
                  <w:color w:val="0000EE"/>
                  <w:w w:val="92"/>
                </w:rPr>
                <w:t>Notes to the Consolidated Financial Statements</w:t>
              </w:r>
            </w:hyperlink>
          </w:p>
        </w:tc>
        <w:tc>
          <w:tcPr>
            <w:tcW w:w="5200" w:type="dxa"/>
            <w:vAlign w:val="bottom"/>
            <w:gridSpan w:val="3"/>
          </w:tcPr>
          <w:p>
            <w:pPr>
              <w:spacing w:after="0"/>
              <w:rPr>
                <w:sz w:val="21"/>
                <w:szCs w:val="21"/>
                <w:color w:val="auto"/>
              </w:rPr>
            </w:pPr>
          </w:p>
        </w:tc>
        <w:tc>
          <w:tcPr>
            <w:tcW w:w="260" w:type="dxa"/>
            <w:vAlign w:val="bottom"/>
          </w:tcPr>
          <w:p>
            <w:pPr>
              <w:spacing w:after="0"/>
              <w:rPr>
                <w:sz w:val="21"/>
                <w:szCs w:val="21"/>
                <w:color w:val="auto"/>
              </w:rPr>
            </w:pPr>
          </w:p>
        </w:tc>
        <w:tc>
          <w:tcPr>
            <w:tcW w:w="220" w:type="dxa"/>
            <w:vAlign w:val="bottom"/>
            <w:gridSpan w:val="2"/>
          </w:tcPr>
          <w:p>
            <w:pPr>
              <w:jc w:val="right"/>
              <w:ind w:right="40"/>
              <w:spacing w:after="0"/>
              <w:rPr>
                <w:rFonts w:ascii="Arial" w:cs="Arial" w:eastAsia="Arial" w:hAnsi="Arial"/>
                <w:sz w:val="18"/>
                <w:szCs w:val="18"/>
                <w:color w:val="0000EE"/>
                <w:w w:val="79"/>
              </w:rPr>
            </w:pPr>
            <w:hyperlink w:anchor="page61">
              <w:r>
                <w:rPr>
                  <w:rFonts w:ascii="Arial" w:cs="Arial" w:eastAsia="Arial" w:hAnsi="Arial"/>
                  <w:sz w:val="18"/>
                  <w:szCs w:val="18"/>
                  <w:color w:val="0000EE"/>
                  <w:w w:val="79"/>
                </w:rPr>
                <w:t>59</w:t>
              </w:r>
            </w:hyperlink>
          </w:p>
        </w:tc>
      </w:tr>
      <w:tr>
        <w:trPr>
          <w:trHeight w:val="20"/>
        </w:trPr>
        <w:tc>
          <w:tcPr>
            <w:tcW w:w="208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175" w:lineRule="exact"/>
        <w:rPr>
          <w:sz w:val="20"/>
          <w:szCs w:val="20"/>
          <w:color w:val="auto"/>
        </w:rPr>
      </w:pPr>
    </w:p>
    <w:p>
      <w:pPr>
        <w:ind w:left="4040"/>
        <w:spacing w:after="0"/>
        <w:rPr>
          <w:sz w:val="20"/>
          <w:szCs w:val="20"/>
          <w:color w:val="auto"/>
        </w:rPr>
      </w:pPr>
      <w:r>
        <w:rPr>
          <w:rFonts w:ascii="Arial" w:cs="Arial" w:eastAsia="Arial" w:hAnsi="Arial"/>
          <w:sz w:val="18"/>
          <w:szCs w:val="18"/>
          <w:color w:val="auto"/>
        </w:rPr>
        <w:t>(All other items in this report are inapplicable)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0219"/>
          </w:cols>
          <w:pgMar w:left="240" w:top="341" w:right="1440" w:bottom="1440" w:gutter="0" w:footer="0" w:header="0"/>
        </w:sectPr>
      </w:pPr>
    </w:p>
    <w:bookmarkStart w:id="53" w:name="page54"/>
    <w:bookmarkEnd w:id="5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3" w:lineRule="exact"/>
        <w:rPr>
          <w:sz w:val="20"/>
          <w:szCs w:val="20"/>
          <w:color w:val="auto"/>
        </w:rPr>
      </w:pPr>
    </w:p>
    <w:p>
      <w:pPr>
        <w:ind w:left="264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and the Board of Directors of Take-Two Interactive Software, Inc.</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283"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We have audited the accompanying consolidated balance sheets of Take-Two Interactive Software, Inc. (the Company) as of March 31, 2018 and 2017, the related consolidated statements of operations, comprehensive income (loss), cash flows and stockholders’ equity for each of the three years in the period ended March 31, 2018, and the related notes (collectively referred to as the “consolidated financial statements”). In our opinion, the consolidated financial statements present fairly, in all material respects, the financial position of the Company at March 31, 2018 and 2017, and the results of its operations and its cash flows for each of the three years in the period ended March 31, 2018, in conformity with U.S. generally accepted accounting principles.</w:t>
      </w:r>
    </w:p>
    <w:p>
      <w:pPr>
        <w:spacing w:after="0" w:line="21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also have audited, in accordance with the standards of the Public Company Accounting Oversight Board (United States) (PCAOB), the Company’s internal control over financial reporting as of March 31, 2018, based on criteria established in Internal Control-Integrated Framework issued by the Committee of Sponsoring Organizations of the Treadway Commission (2013 framework) and our report dated May 16, 2018 expressed an unqualified opinion thereon.</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Adoption of ASU No. 2016-09</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 xml:space="preserve">As discussed in Note 1 to the consolidated financial statements, the Company changed its method of accounting for stock-based compensation in 2018 due to the adoption of ASU No. 2016-09, </w:t>
      </w:r>
      <w:r>
        <w:rPr>
          <w:rFonts w:ascii="Arial" w:cs="Arial" w:eastAsia="Arial" w:hAnsi="Arial"/>
          <w:sz w:val="18"/>
          <w:szCs w:val="18"/>
          <w:i w:val="1"/>
          <w:iCs w:val="1"/>
          <w:color w:val="auto"/>
        </w:rPr>
        <w:t>Improvements to Employee Share-Based Payment Accounting</w:t>
      </w:r>
      <w:r>
        <w:rPr>
          <w:rFonts w:ascii="Arial" w:cs="Arial" w:eastAsia="Arial" w:hAnsi="Arial"/>
          <w:sz w:val="18"/>
          <w:szCs w:val="18"/>
          <w:color w:val="auto"/>
        </w:rPr>
        <w:t>.</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83"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20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97"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Company’s auditor since 2006.</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New York, NY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May 16, 2018</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420"/>
          </w:cols>
          <w:pgMar w:left="240" w:top="341" w:right="239" w:bottom="1440" w:gutter="0" w:footer="0" w:header="0"/>
        </w:sectPr>
      </w:pPr>
    </w:p>
    <w:bookmarkStart w:id="54" w:name="page55"/>
    <w:bookmarkEnd w:id="5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83" w:lineRule="exact"/>
        <w:rPr>
          <w:sz w:val="20"/>
          <w:szCs w:val="20"/>
          <w:color w:val="auto"/>
        </w:rPr>
      </w:pPr>
    </w:p>
    <w:p>
      <w:pPr>
        <w:ind w:right="2620" w:firstLine="2624"/>
        <w:spacing w:after="0" w:line="423" w:lineRule="auto"/>
        <w:rPr>
          <w:sz w:val="20"/>
          <w:szCs w:val="20"/>
          <w:color w:val="auto"/>
        </w:rPr>
      </w:pPr>
      <w:r>
        <w:rPr>
          <w:rFonts w:ascii="Arial" w:cs="Arial" w:eastAsia="Arial" w:hAnsi="Arial"/>
          <w:sz w:val="18"/>
          <w:szCs w:val="18"/>
          <w:b w:val="1"/>
          <w:bCs w:val="1"/>
          <w:color w:val="auto"/>
        </w:rPr>
        <w:t xml:space="preserve">REPORT OF INDEPENDENT REGISTERED PUBLIC ACCOUNTING FIRM </w:t>
      </w:r>
      <w:r>
        <w:rPr>
          <w:rFonts w:ascii="Arial" w:cs="Arial" w:eastAsia="Arial" w:hAnsi="Arial"/>
          <w:sz w:val="18"/>
          <w:szCs w:val="18"/>
          <w:color w:val="auto"/>
        </w:rPr>
        <w:t xml:space="preserve">To the Stockholders and the Board of Directors of Take-Two Interactive Software, Inc. </w:t>
      </w:r>
      <w:r>
        <w:rPr>
          <w:rFonts w:ascii="Arial" w:cs="Arial" w:eastAsia="Arial" w:hAnsi="Arial"/>
          <w:sz w:val="18"/>
          <w:szCs w:val="18"/>
          <w:b w:val="1"/>
          <w:bCs w:val="1"/>
          <w:color w:val="auto"/>
        </w:rPr>
        <w:t>Opinion on Internal Control over Financial Reporting</w:t>
      </w:r>
    </w:p>
    <w:p>
      <w:pPr>
        <w:spacing w:after="0" w:line="9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have audited Take-Two Interactive Software, Inc.'s (the Company) internal control over financial reporting as of March 31, 2018, based on criteria established in Internal Control-Integrated Framework issued by the Committee of Sponsoring Organizations of the Treadway Commission (2013 framework) (the COSO criteria). In our opinion, the Company maintained, in all material respects, effective internal control over financial reporting as of March 31, 2018, based on the COSO criteria.</w:t>
      </w:r>
    </w:p>
    <w:p>
      <w:pPr>
        <w:spacing w:after="0" w:line="241"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also have audited, in accordance with the standards of the Public Company Accounting Oversight Board (United States) (PCAOB), the consolidated balance sheets of the Company as of March 31, 2018 and 2017, the related consolidated statements of operations, comprehensive income (loss), cash flows and stockholders’ equity for each of the three years in the period ended March 31, 2018, and the related notes and our report dated May 16, 2018 expressed an unqualified opinion thereon.</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8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24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w:t>
      </w:r>
    </w:p>
    <w:p>
      <w:pPr>
        <w:spacing w:after="0" w:line="22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Definition and Limitations of Internal Control Over Financial Reporting</w:t>
      </w:r>
    </w:p>
    <w:p>
      <w:pPr>
        <w:spacing w:after="0" w:line="283"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22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New York, NY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May 16,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341" w:right="23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TAKE-TWO INTERACTIVE SOFTWARE, INC.</w:t>
      </w:r>
    </w:p>
    <w:p>
      <w:pPr>
        <w:spacing w:after="0" w:line="27" w:lineRule="exact"/>
        <w:rPr>
          <w:sz w:val="20"/>
          <w:szCs w:val="20"/>
          <w:color w:val="auto"/>
        </w:rPr>
      </w:pPr>
    </w:p>
    <w:p>
      <w:pPr>
        <w:ind w:left="4160"/>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ind w:left="4140"/>
        <w:spacing w:after="0"/>
        <w:rPr>
          <w:sz w:val="20"/>
          <w:szCs w:val="20"/>
          <w:color w:val="auto"/>
        </w:rPr>
      </w:pPr>
      <w:r>
        <w:rPr>
          <w:rFonts w:ascii="Arial" w:cs="Arial" w:eastAsia="Arial" w:hAnsi="Arial"/>
          <w:sz w:val="18"/>
          <w:szCs w:val="18"/>
          <w:b w:val="1"/>
          <w:bCs w:val="1"/>
          <w:color w:val="auto"/>
        </w:rPr>
        <w:t>(in thousands, except per share amounts)</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3"/>
          </w:tcPr>
          <w:p>
            <w:pPr>
              <w:jc w:val="right"/>
              <w:ind w:right="70"/>
              <w:spacing w:after="0"/>
              <w:rPr>
                <w:sz w:val="20"/>
                <w:szCs w:val="20"/>
                <w:color w:val="auto"/>
              </w:rPr>
            </w:pPr>
            <w:r>
              <w:rPr>
                <w:rFonts w:ascii="Arial" w:cs="Arial" w:eastAsia="Arial" w:hAnsi="Arial"/>
                <w:sz w:val="14"/>
                <w:szCs w:val="14"/>
                <w:b w:val="1"/>
                <w:bCs w:val="1"/>
                <w:color w:val="auto"/>
              </w:rPr>
              <w:t>March 31,</w:t>
            </w:r>
          </w:p>
        </w:tc>
        <w:tc>
          <w:tcPr>
            <w:tcW w:w="10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824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8360" w:type="dxa"/>
            <w:vAlign w:val="bottom"/>
            <w:tcBorders>
              <w:bottom w:val="single" w:sz="8" w:color="CCEEFF"/>
            </w:tcBorders>
            <w:gridSpan w:val="2"/>
            <w:shd w:val="clear" w:color="auto" w:fill="CCEEFF"/>
          </w:tcPr>
          <w:p>
            <w:pPr>
              <w:ind w:left="3780"/>
              <w:spacing w:after="0"/>
              <w:rPr>
                <w:sz w:val="20"/>
                <w:szCs w:val="20"/>
                <w:color w:val="auto"/>
              </w:rPr>
            </w:pPr>
            <w:r>
              <w:rPr>
                <w:rFonts w:ascii="Arial" w:cs="Arial" w:eastAsia="Arial" w:hAnsi="Arial"/>
                <w:sz w:val="18"/>
                <w:szCs w:val="18"/>
                <w:b w:val="1"/>
                <w:bCs w:val="1"/>
                <w:color w:val="auto"/>
              </w:rPr>
              <w:t>ASSETS</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60" w:type="dxa"/>
            <w:vAlign w:val="bottom"/>
            <w:gridSpan w:val="2"/>
          </w:tcPr>
          <w:p>
            <w:pPr>
              <w:ind w:left="40"/>
              <w:spacing w:after="0"/>
              <w:rPr>
                <w:sz w:val="20"/>
                <w:szCs w:val="20"/>
                <w:color w:val="auto"/>
              </w:rPr>
            </w:pPr>
            <w:r>
              <w:rPr>
                <w:rFonts w:ascii="Arial" w:cs="Arial" w:eastAsia="Arial" w:hAnsi="Arial"/>
                <w:sz w:val="18"/>
                <w:szCs w:val="18"/>
                <w:color w:val="auto"/>
              </w:rPr>
              <w:t>Current assets:</w:t>
            </w: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Cash and cash equivalents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808,973</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943,396</w:t>
            </w:r>
          </w:p>
        </w:tc>
        <w:tc>
          <w:tcPr>
            <w:tcW w:w="0" w:type="dxa"/>
            <w:vAlign w:val="bottom"/>
          </w:tcPr>
          <w:p>
            <w:pPr>
              <w:spacing w:after="0"/>
              <w:rPr>
                <w:sz w:val="1"/>
                <w:szCs w:val="1"/>
                <w:color w:val="auto"/>
              </w:rPr>
            </w:pPr>
          </w:p>
        </w:tc>
      </w:tr>
      <w:tr>
        <w:trPr>
          <w:trHeight w:val="243"/>
        </w:trPr>
        <w:tc>
          <w:tcPr>
            <w:tcW w:w="8360" w:type="dxa"/>
            <w:vAlign w:val="bottom"/>
            <w:gridSpan w:val="2"/>
          </w:tcPr>
          <w:p>
            <w:pPr>
              <w:ind w:left="180"/>
              <w:spacing w:after="0"/>
              <w:rPr>
                <w:sz w:val="20"/>
                <w:szCs w:val="20"/>
                <w:color w:val="auto"/>
              </w:rPr>
            </w:pPr>
            <w:r>
              <w:rPr>
                <w:rFonts w:ascii="Arial" w:cs="Arial" w:eastAsia="Arial" w:hAnsi="Arial"/>
                <w:sz w:val="18"/>
                <w:szCs w:val="18"/>
                <w:color w:val="auto"/>
              </w:rPr>
              <w:t>Short-term investments</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b w:val="1"/>
                <w:bCs w:val="1"/>
                <w:color w:val="auto"/>
              </w:rPr>
              <w:t>615,406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448,932</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Restricted cash</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437,398</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337,818</w:t>
            </w:r>
          </w:p>
        </w:tc>
        <w:tc>
          <w:tcPr>
            <w:tcW w:w="0" w:type="dxa"/>
            <w:vAlign w:val="bottom"/>
          </w:tcPr>
          <w:p>
            <w:pPr>
              <w:spacing w:after="0"/>
              <w:rPr>
                <w:sz w:val="1"/>
                <w:szCs w:val="1"/>
                <w:color w:val="auto"/>
              </w:rPr>
            </w:pPr>
          </w:p>
        </w:tc>
      </w:tr>
      <w:tr>
        <w:trPr>
          <w:trHeight w:val="243"/>
        </w:trPr>
        <w:tc>
          <w:tcPr>
            <w:tcW w:w="8360" w:type="dxa"/>
            <w:vAlign w:val="bottom"/>
            <w:gridSpan w:val="2"/>
          </w:tcPr>
          <w:p>
            <w:pPr>
              <w:ind w:left="180"/>
              <w:spacing w:after="0"/>
              <w:rPr>
                <w:sz w:val="20"/>
                <w:szCs w:val="20"/>
                <w:color w:val="auto"/>
              </w:rPr>
            </w:pPr>
            <w:r>
              <w:rPr>
                <w:rFonts w:ascii="Arial" w:cs="Arial" w:eastAsia="Arial" w:hAnsi="Arial"/>
                <w:sz w:val="18"/>
                <w:szCs w:val="18"/>
                <w:color w:val="auto"/>
                <w:w w:val="97"/>
              </w:rPr>
              <w:t>Accounts receivable, net of allowances of $54,290 and $66,483 at March 31, 2018 and 2017, respectively</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b w:val="1"/>
                <w:bCs w:val="1"/>
                <w:color w:val="auto"/>
              </w:rPr>
              <w:t>247,649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219,558</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Inventory</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15,162</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16,323</w:t>
            </w:r>
          </w:p>
        </w:tc>
        <w:tc>
          <w:tcPr>
            <w:tcW w:w="0" w:type="dxa"/>
            <w:vAlign w:val="bottom"/>
          </w:tcPr>
          <w:p>
            <w:pPr>
              <w:spacing w:after="0"/>
              <w:rPr>
                <w:sz w:val="1"/>
                <w:szCs w:val="1"/>
                <w:color w:val="auto"/>
              </w:rPr>
            </w:pPr>
          </w:p>
        </w:tc>
      </w:tr>
      <w:tr>
        <w:trPr>
          <w:trHeight w:val="243"/>
        </w:trPr>
        <w:tc>
          <w:tcPr>
            <w:tcW w:w="8360" w:type="dxa"/>
            <w:vAlign w:val="bottom"/>
            <w:gridSpan w:val="2"/>
          </w:tcPr>
          <w:p>
            <w:pPr>
              <w:ind w:left="180"/>
              <w:spacing w:after="0"/>
              <w:rPr>
                <w:sz w:val="20"/>
                <w:szCs w:val="20"/>
                <w:color w:val="auto"/>
              </w:rPr>
            </w:pPr>
            <w:r>
              <w:rPr>
                <w:rFonts w:ascii="Arial" w:cs="Arial" w:eastAsia="Arial" w:hAnsi="Arial"/>
                <w:sz w:val="18"/>
                <w:szCs w:val="18"/>
                <w:color w:val="auto"/>
              </w:rPr>
              <w:t>Software development costs and licenses</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b w:val="1"/>
                <w:bCs w:val="1"/>
                <w:color w:val="auto"/>
              </w:rPr>
              <w:t>33,284</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41,721</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Deferred cost of goods sold</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117,851</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127,901</w:t>
            </w:r>
          </w:p>
        </w:tc>
        <w:tc>
          <w:tcPr>
            <w:tcW w:w="0" w:type="dxa"/>
            <w:vAlign w:val="bottom"/>
          </w:tcPr>
          <w:p>
            <w:pPr>
              <w:spacing w:after="0"/>
              <w:rPr>
                <w:sz w:val="1"/>
                <w:szCs w:val="1"/>
                <w:color w:val="auto"/>
              </w:rPr>
            </w:pPr>
          </w:p>
        </w:tc>
      </w:tr>
      <w:tr>
        <w:trPr>
          <w:trHeight w:val="243"/>
        </w:trPr>
        <w:tc>
          <w:tcPr>
            <w:tcW w:w="8360" w:type="dxa"/>
            <w:vAlign w:val="bottom"/>
            <w:gridSpan w:val="2"/>
          </w:tcPr>
          <w:p>
            <w:pPr>
              <w:ind w:left="180"/>
              <w:spacing w:after="0"/>
              <w:rPr>
                <w:sz w:val="20"/>
                <w:szCs w:val="20"/>
                <w:color w:val="auto"/>
              </w:rPr>
            </w:pPr>
            <w:r>
              <w:rPr>
                <w:rFonts w:ascii="Arial" w:cs="Arial" w:eastAsia="Arial" w:hAnsi="Arial"/>
                <w:sz w:val="18"/>
                <w:szCs w:val="18"/>
                <w:color w:val="auto"/>
              </w:rPr>
              <w:t>Prepaid expenses and other</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b w:val="1"/>
                <w:bCs w:val="1"/>
                <w:color w:val="auto"/>
              </w:rPr>
              <w:t>133,454</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59,593</w:t>
            </w:r>
          </w:p>
        </w:tc>
        <w:tc>
          <w:tcPr>
            <w:tcW w:w="0" w:type="dxa"/>
            <w:vAlign w:val="bottom"/>
          </w:tcPr>
          <w:p>
            <w:pPr>
              <w:spacing w:after="0"/>
              <w:rPr>
                <w:sz w:val="1"/>
                <w:szCs w:val="1"/>
                <w:color w:val="auto"/>
              </w:rPr>
            </w:pPr>
          </w:p>
        </w:tc>
      </w:tr>
      <w:tr>
        <w:trPr>
          <w:trHeight w:val="27"/>
        </w:trPr>
        <w:tc>
          <w:tcPr>
            <w:tcW w:w="8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6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Total current assets</w:t>
            </w: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2,409,177</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2,195,242</w:t>
            </w:r>
          </w:p>
        </w:tc>
        <w:tc>
          <w:tcPr>
            <w:tcW w:w="0" w:type="dxa"/>
            <w:vAlign w:val="bottom"/>
          </w:tcPr>
          <w:p>
            <w:pPr>
              <w:spacing w:after="0"/>
              <w:rPr>
                <w:sz w:val="1"/>
                <w:szCs w:val="1"/>
                <w:color w:val="auto"/>
              </w:rPr>
            </w:pPr>
          </w:p>
        </w:tc>
      </w:tr>
      <w:tr>
        <w:trPr>
          <w:trHeight w:val="20"/>
        </w:trPr>
        <w:tc>
          <w:tcPr>
            <w:tcW w:w="8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8360" w:type="dxa"/>
            <w:vAlign w:val="bottom"/>
            <w:gridSpan w:val="2"/>
          </w:tcPr>
          <w:p>
            <w:pPr>
              <w:ind w:left="180"/>
              <w:spacing w:after="0"/>
              <w:rPr>
                <w:sz w:val="20"/>
                <w:szCs w:val="20"/>
                <w:color w:val="auto"/>
              </w:rPr>
            </w:pPr>
            <w:r>
              <w:rPr>
                <w:rFonts w:ascii="Arial" w:cs="Arial" w:eastAsia="Arial" w:hAnsi="Arial"/>
                <w:sz w:val="18"/>
                <w:szCs w:val="18"/>
                <w:color w:val="auto"/>
              </w:rPr>
              <w:t>Fixed assets, net</w:t>
            </w:r>
          </w:p>
        </w:tc>
        <w:tc>
          <w:tcPr>
            <w:tcW w:w="360" w:type="dxa"/>
            <w:vAlign w:val="bottom"/>
          </w:tcPr>
          <w:p>
            <w:pPr>
              <w:spacing w:after="0"/>
              <w:rPr>
                <w:sz w:val="19"/>
                <w:szCs w:val="19"/>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b w:val="1"/>
                <w:bCs w:val="1"/>
                <w:color w:val="auto"/>
              </w:rPr>
              <w:t>102,478</w:t>
            </w: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67,300</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Software development costs and licenses, net of current portion</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639,369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381,910</w:t>
            </w:r>
          </w:p>
        </w:tc>
        <w:tc>
          <w:tcPr>
            <w:tcW w:w="0" w:type="dxa"/>
            <w:vAlign w:val="bottom"/>
          </w:tcPr>
          <w:p>
            <w:pPr>
              <w:spacing w:after="0"/>
              <w:rPr>
                <w:sz w:val="1"/>
                <w:szCs w:val="1"/>
                <w:color w:val="auto"/>
              </w:rPr>
            </w:pPr>
          </w:p>
        </w:tc>
      </w:tr>
      <w:tr>
        <w:trPr>
          <w:trHeight w:val="243"/>
        </w:trPr>
        <w:tc>
          <w:tcPr>
            <w:tcW w:w="8360" w:type="dxa"/>
            <w:vAlign w:val="bottom"/>
            <w:gridSpan w:val="2"/>
          </w:tcPr>
          <w:p>
            <w:pPr>
              <w:ind w:left="180"/>
              <w:spacing w:after="0"/>
              <w:rPr>
                <w:sz w:val="20"/>
                <w:szCs w:val="20"/>
                <w:color w:val="auto"/>
              </w:rPr>
            </w:pPr>
            <w:r>
              <w:rPr>
                <w:rFonts w:ascii="Arial" w:cs="Arial" w:eastAsia="Arial" w:hAnsi="Arial"/>
                <w:sz w:val="18"/>
                <w:szCs w:val="18"/>
                <w:color w:val="auto"/>
              </w:rPr>
              <w:t>Deferred cost of goods sold, net of current portion</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b w:val="1"/>
                <w:bCs w:val="1"/>
                <w:color w:val="auto"/>
              </w:rPr>
              <w:t>26,719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Goodwill</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399,530</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359,115</w:t>
            </w:r>
          </w:p>
        </w:tc>
        <w:tc>
          <w:tcPr>
            <w:tcW w:w="0" w:type="dxa"/>
            <w:vAlign w:val="bottom"/>
          </w:tcPr>
          <w:p>
            <w:pPr>
              <w:spacing w:after="0"/>
              <w:rPr>
                <w:sz w:val="1"/>
                <w:szCs w:val="1"/>
                <w:color w:val="auto"/>
              </w:rPr>
            </w:pPr>
          </w:p>
        </w:tc>
      </w:tr>
      <w:tr>
        <w:trPr>
          <w:trHeight w:val="243"/>
        </w:trPr>
        <w:tc>
          <w:tcPr>
            <w:tcW w:w="8360" w:type="dxa"/>
            <w:vAlign w:val="bottom"/>
            <w:gridSpan w:val="2"/>
          </w:tcPr>
          <w:p>
            <w:pPr>
              <w:ind w:left="180"/>
              <w:spacing w:after="0"/>
              <w:rPr>
                <w:sz w:val="20"/>
                <w:szCs w:val="20"/>
                <w:color w:val="auto"/>
              </w:rPr>
            </w:pPr>
            <w:r>
              <w:rPr>
                <w:rFonts w:ascii="Arial" w:cs="Arial" w:eastAsia="Arial" w:hAnsi="Arial"/>
                <w:sz w:val="18"/>
                <w:szCs w:val="18"/>
                <w:color w:val="auto"/>
              </w:rPr>
              <w:t>Other intangibles, net</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b w:val="1"/>
                <w:bCs w:val="1"/>
                <w:color w:val="auto"/>
              </w:rPr>
              <w:t>103,681</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110,262</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Other assets</w:t>
            </w: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56,887</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35,325</w:t>
            </w:r>
          </w:p>
        </w:tc>
        <w:tc>
          <w:tcPr>
            <w:tcW w:w="0" w:type="dxa"/>
            <w:vAlign w:val="bottom"/>
          </w:tcPr>
          <w:p>
            <w:pPr>
              <w:spacing w:after="0"/>
              <w:rPr>
                <w:sz w:val="1"/>
                <w:szCs w:val="1"/>
                <w:color w:val="auto"/>
              </w:rPr>
            </w:pPr>
          </w:p>
        </w:tc>
      </w:tr>
      <w:tr>
        <w:trPr>
          <w:trHeight w:val="237"/>
        </w:trPr>
        <w:tc>
          <w:tcPr>
            <w:tcW w:w="824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Total assets</w:t>
            </w:r>
          </w:p>
        </w:tc>
        <w:tc>
          <w:tcPr>
            <w:tcW w:w="12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3,737,841</w:t>
            </w:r>
          </w:p>
        </w:tc>
        <w:tc>
          <w:tcPr>
            <w:tcW w:w="100" w:type="dxa"/>
            <w:vAlign w:val="bottom"/>
          </w:tcPr>
          <w:p>
            <w:pPr>
              <w:spacing w:after="0"/>
              <w:rPr>
                <w:sz w:val="20"/>
                <w:szCs w:val="20"/>
                <w:color w:val="auto"/>
              </w:rPr>
            </w:pPr>
          </w:p>
        </w:tc>
        <w:tc>
          <w:tcPr>
            <w:tcW w:w="44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3,149,154</w:t>
            </w:r>
          </w:p>
        </w:tc>
        <w:tc>
          <w:tcPr>
            <w:tcW w:w="0" w:type="dxa"/>
            <w:vAlign w:val="bottom"/>
          </w:tcPr>
          <w:p>
            <w:pPr>
              <w:spacing w:after="0"/>
              <w:rPr>
                <w:sz w:val="1"/>
                <w:szCs w:val="1"/>
                <w:color w:val="auto"/>
              </w:rPr>
            </w:pPr>
          </w:p>
        </w:tc>
      </w:tr>
      <w:tr>
        <w:trPr>
          <w:trHeight w:val="67"/>
        </w:trPr>
        <w:tc>
          <w:tcPr>
            <w:tcW w:w="824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8360" w:type="dxa"/>
            <w:vAlign w:val="bottom"/>
            <w:tcBorders>
              <w:bottom w:val="single" w:sz="8" w:color="CCEEFF"/>
            </w:tcBorders>
            <w:gridSpan w:val="2"/>
            <w:shd w:val="clear" w:color="auto" w:fill="CCEEFF"/>
          </w:tcPr>
          <w:p>
            <w:pPr>
              <w:ind w:left="2160"/>
              <w:spacing w:after="0"/>
              <w:rPr>
                <w:sz w:val="20"/>
                <w:szCs w:val="20"/>
                <w:color w:val="auto"/>
              </w:rPr>
            </w:pPr>
            <w:r>
              <w:rPr>
                <w:rFonts w:ascii="Arial" w:cs="Arial" w:eastAsia="Arial" w:hAnsi="Arial"/>
                <w:sz w:val="18"/>
                <w:szCs w:val="18"/>
                <w:b w:val="1"/>
                <w:bCs w:val="1"/>
                <w:color w:val="auto"/>
              </w:rPr>
              <w:t>LIABILITIES AND STOCKHOLDERS' EQUITY</w:t>
            </w:r>
          </w:p>
        </w:tc>
        <w:tc>
          <w:tcPr>
            <w:tcW w:w="36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8360" w:type="dxa"/>
            <w:vAlign w:val="bottom"/>
            <w:gridSpan w:val="2"/>
          </w:tcPr>
          <w:p>
            <w:pPr>
              <w:ind w:left="40"/>
              <w:spacing w:after="0"/>
              <w:rPr>
                <w:sz w:val="20"/>
                <w:szCs w:val="20"/>
                <w:color w:val="auto"/>
              </w:rPr>
            </w:pPr>
            <w:r>
              <w:rPr>
                <w:rFonts w:ascii="Arial" w:cs="Arial" w:eastAsia="Arial" w:hAnsi="Arial"/>
                <w:sz w:val="18"/>
                <w:szCs w:val="18"/>
                <w:color w:val="auto"/>
              </w:rPr>
              <w:t>Current liabilities:</w:t>
            </w: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Accounts payable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35,029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31,892</w:t>
            </w:r>
          </w:p>
        </w:tc>
        <w:tc>
          <w:tcPr>
            <w:tcW w:w="0" w:type="dxa"/>
            <w:vAlign w:val="bottom"/>
          </w:tcPr>
          <w:p>
            <w:pPr>
              <w:spacing w:after="0"/>
              <w:rPr>
                <w:sz w:val="1"/>
                <w:szCs w:val="1"/>
                <w:color w:val="auto"/>
              </w:rPr>
            </w:pPr>
          </w:p>
        </w:tc>
      </w:tr>
      <w:tr>
        <w:trPr>
          <w:trHeight w:val="243"/>
        </w:trPr>
        <w:tc>
          <w:tcPr>
            <w:tcW w:w="8360" w:type="dxa"/>
            <w:vAlign w:val="bottom"/>
            <w:gridSpan w:val="2"/>
          </w:tcPr>
          <w:p>
            <w:pPr>
              <w:ind w:left="180"/>
              <w:spacing w:after="0"/>
              <w:rPr>
                <w:sz w:val="20"/>
                <w:szCs w:val="20"/>
                <w:color w:val="auto"/>
              </w:rPr>
            </w:pPr>
            <w:r>
              <w:rPr>
                <w:rFonts w:ascii="Arial" w:cs="Arial" w:eastAsia="Arial" w:hAnsi="Arial"/>
                <w:sz w:val="18"/>
                <w:szCs w:val="18"/>
                <w:color w:val="auto"/>
              </w:rPr>
              <w:t>Accrued expenses and other current liabilities</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b w:val="1"/>
                <w:bCs w:val="1"/>
                <w:color w:val="auto"/>
              </w:rPr>
              <w:t>914,748</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750,875</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Deferred revenue</w:t>
            </w: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777,152</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903,125</w:t>
            </w:r>
          </w:p>
        </w:tc>
        <w:tc>
          <w:tcPr>
            <w:tcW w:w="0" w:type="dxa"/>
            <w:vAlign w:val="bottom"/>
          </w:tcPr>
          <w:p>
            <w:pPr>
              <w:spacing w:after="0"/>
              <w:rPr>
                <w:sz w:val="1"/>
                <w:szCs w:val="1"/>
                <w:color w:val="auto"/>
              </w:rPr>
            </w:pPr>
          </w:p>
        </w:tc>
      </w:tr>
      <w:tr>
        <w:trPr>
          <w:trHeight w:val="237"/>
        </w:trPr>
        <w:tc>
          <w:tcPr>
            <w:tcW w:w="824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Total current liabilities</w:t>
            </w: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1,726,929</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1,685,892</w:t>
            </w:r>
          </w:p>
        </w:tc>
        <w:tc>
          <w:tcPr>
            <w:tcW w:w="0" w:type="dxa"/>
            <w:vAlign w:val="bottom"/>
          </w:tcPr>
          <w:p>
            <w:pPr>
              <w:spacing w:after="0"/>
              <w:rPr>
                <w:sz w:val="1"/>
                <w:szCs w:val="1"/>
                <w:color w:val="auto"/>
              </w:rPr>
            </w:pPr>
          </w:p>
        </w:tc>
      </w:tr>
      <w:tr>
        <w:trPr>
          <w:trHeight w:val="27"/>
        </w:trPr>
        <w:tc>
          <w:tcPr>
            <w:tcW w:w="8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Long-term debt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8,068</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251,929</w:t>
            </w:r>
          </w:p>
        </w:tc>
        <w:tc>
          <w:tcPr>
            <w:tcW w:w="0" w:type="dxa"/>
            <w:vAlign w:val="bottom"/>
          </w:tcPr>
          <w:p>
            <w:pPr>
              <w:spacing w:after="0"/>
              <w:rPr>
                <w:sz w:val="1"/>
                <w:szCs w:val="1"/>
                <w:color w:val="auto"/>
              </w:rPr>
            </w:pPr>
          </w:p>
        </w:tc>
      </w:tr>
      <w:tr>
        <w:trPr>
          <w:trHeight w:val="243"/>
        </w:trPr>
        <w:tc>
          <w:tcPr>
            <w:tcW w:w="8360" w:type="dxa"/>
            <w:vAlign w:val="bottom"/>
            <w:gridSpan w:val="2"/>
          </w:tcPr>
          <w:p>
            <w:pPr>
              <w:ind w:left="180"/>
              <w:spacing w:after="0"/>
              <w:rPr>
                <w:sz w:val="20"/>
                <w:szCs w:val="20"/>
                <w:color w:val="auto"/>
              </w:rPr>
            </w:pPr>
            <w:r>
              <w:rPr>
                <w:rFonts w:ascii="Arial" w:cs="Arial" w:eastAsia="Arial" w:hAnsi="Arial"/>
                <w:sz w:val="18"/>
                <w:szCs w:val="18"/>
                <w:color w:val="auto"/>
              </w:rPr>
              <w:t>Non-current deferred revenue</w:t>
            </w: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b w:val="1"/>
                <w:bCs w:val="1"/>
                <w:color w:val="auto"/>
              </w:rPr>
              <w:t>355,589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10,406</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Other long-term liabilities</w:t>
            </w: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158,285</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197,199</w:t>
            </w:r>
          </w:p>
        </w:tc>
        <w:tc>
          <w:tcPr>
            <w:tcW w:w="0" w:type="dxa"/>
            <w:vAlign w:val="bottom"/>
          </w:tcPr>
          <w:p>
            <w:pPr>
              <w:spacing w:after="0"/>
              <w:rPr>
                <w:sz w:val="1"/>
                <w:szCs w:val="1"/>
                <w:color w:val="auto"/>
              </w:rPr>
            </w:pPr>
          </w:p>
        </w:tc>
      </w:tr>
      <w:tr>
        <w:trPr>
          <w:trHeight w:val="237"/>
        </w:trPr>
        <w:tc>
          <w:tcPr>
            <w:tcW w:w="824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Total liabilities</w:t>
            </w: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2,248,871</w:t>
            </w:r>
          </w:p>
        </w:tc>
        <w:tc>
          <w:tcPr>
            <w:tcW w:w="10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2,145,426</w:t>
            </w:r>
          </w:p>
        </w:tc>
        <w:tc>
          <w:tcPr>
            <w:tcW w:w="0" w:type="dxa"/>
            <w:vAlign w:val="bottom"/>
          </w:tcPr>
          <w:p>
            <w:pPr>
              <w:spacing w:after="0"/>
              <w:rPr>
                <w:sz w:val="1"/>
                <w:szCs w:val="1"/>
                <w:color w:val="auto"/>
              </w:rPr>
            </w:pPr>
          </w:p>
        </w:tc>
      </w:tr>
      <w:tr>
        <w:trPr>
          <w:trHeight w:val="27"/>
        </w:trPr>
        <w:tc>
          <w:tcPr>
            <w:tcW w:w="8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Commitments and contingencies</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60" w:type="dxa"/>
            <w:vAlign w:val="bottom"/>
            <w:gridSpan w:val="2"/>
          </w:tcPr>
          <w:p>
            <w:pPr>
              <w:ind w:left="40"/>
              <w:spacing w:after="0"/>
              <w:rPr>
                <w:sz w:val="20"/>
                <w:szCs w:val="20"/>
                <w:color w:val="auto"/>
              </w:rPr>
            </w:pPr>
            <w:r>
              <w:rPr>
                <w:rFonts w:ascii="Arial" w:cs="Arial" w:eastAsia="Arial" w:hAnsi="Arial"/>
                <w:sz w:val="18"/>
                <w:szCs w:val="18"/>
                <w:color w:val="auto"/>
              </w:rPr>
              <w:t>Stockholders' equity:</w:t>
            </w: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3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w w:val="92"/>
              </w:rPr>
              <w:t>Preferred stock, $.01 par value, 5,000 shares authorized: no shares issued and outstanding at March 31, 2018</w:t>
            </w:r>
          </w:p>
        </w:tc>
        <w:tc>
          <w:tcPr>
            <w:tcW w:w="360" w:type="dxa"/>
            <w:vAlign w:val="bottom"/>
            <w:shd w:val="clear" w:color="auto" w:fill="CCEEFF"/>
          </w:tcPr>
          <w:p>
            <w:pPr>
              <w:spacing w:after="0"/>
              <w:rPr>
                <w:sz w:val="19"/>
                <w:szCs w:val="19"/>
                <w:color w:val="auto"/>
              </w:rPr>
            </w:pPr>
          </w:p>
        </w:tc>
        <w:tc>
          <w:tcPr>
            <w:tcW w:w="12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44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and 2017</w:t>
            </w:r>
          </w:p>
        </w:tc>
        <w:tc>
          <w:tcPr>
            <w:tcW w:w="360" w:type="dxa"/>
            <w:vAlign w:val="bottom"/>
            <w:tcBorders>
              <w:bottom w:val="single" w:sz="8" w:color="CCEEFF"/>
            </w:tcBorders>
            <w:shd w:val="clear" w:color="auto" w:fill="CCEEFF"/>
          </w:tcPr>
          <w:p>
            <w:pPr>
              <w:spacing w:after="0"/>
              <w:rPr>
                <w:sz w:val="20"/>
                <w:szCs w:val="20"/>
                <w:color w:val="auto"/>
              </w:rPr>
            </w:pPr>
          </w:p>
        </w:tc>
        <w:tc>
          <w:tcPr>
            <w:tcW w:w="1220" w:type="dxa"/>
            <w:vAlign w:val="bottom"/>
            <w:tcBorders>
              <w:bottom w:val="single" w:sz="8" w:color="CCEEFF"/>
            </w:tcBorders>
            <w:gridSpan w:val="2"/>
            <w:vMerge w:val="continue"/>
            <w:shd w:val="clear" w:color="auto" w:fill="CCEEFF"/>
          </w:tcPr>
          <w:p>
            <w:pPr>
              <w:spacing w:after="0"/>
              <w:rPr>
                <w:sz w:val="20"/>
                <w:szCs w:val="20"/>
                <w:color w:val="auto"/>
              </w:rPr>
            </w:pPr>
          </w:p>
        </w:tc>
        <w:tc>
          <w:tcPr>
            <w:tcW w:w="44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8360" w:type="dxa"/>
            <w:vAlign w:val="bottom"/>
            <w:gridSpan w:val="2"/>
          </w:tcPr>
          <w:p>
            <w:pPr>
              <w:ind w:left="180"/>
              <w:spacing w:after="0"/>
              <w:rPr>
                <w:sz w:val="20"/>
                <w:szCs w:val="20"/>
                <w:color w:val="auto"/>
              </w:rPr>
            </w:pPr>
            <w:r>
              <w:rPr>
                <w:rFonts w:ascii="Arial" w:cs="Arial" w:eastAsia="Arial" w:hAnsi="Arial"/>
                <w:sz w:val="18"/>
                <w:szCs w:val="18"/>
                <w:color w:val="auto"/>
                <w:w w:val="90"/>
              </w:rPr>
              <w:t>Common stock, $.01 par value, 200,000 shares authorized; 132,743 and 119,813 shares issued and 114,038 and</w:t>
            </w:r>
          </w:p>
        </w:tc>
        <w:tc>
          <w:tcPr>
            <w:tcW w:w="360" w:type="dxa"/>
            <w:vAlign w:val="bottom"/>
          </w:tcPr>
          <w:p>
            <w:pPr>
              <w:spacing w:after="0"/>
              <w:rPr>
                <w:sz w:val="19"/>
                <w:szCs w:val="19"/>
                <w:color w:val="auto"/>
              </w:rPr>
            </w:pPr>
          </w:p>
        </w:tc>
        <w:tc>
          <w:tcPr>
            <w:tcW w:w="1120" w:type="dxa"/>
            <w:vAlign w:val="bottom"/>
            <w:vMerge w:val="restart"/>
          </w:tcPr>
          <w:p>
            <w:pPr>
              <w:jc w:val="right"/>
              <w:ind w:right="11"/>
              <w:spacing w:after="0"/>
              <w:rPr>
                <w:sz w:val="20"/>
                <w:szCs w:val="20"/>
                <w:color w:val="auto"/>
              </w:rPr>
            </w:pPr>
            <w:r>
              <w:rPr>
                <w:rFonts w:ascii="Arial" w:cs="Arial" w:eastAsia="Arial" w:hAnsi="Arial"/>
                <w:sz w:val="18"/>
                <w:szCs w:val="18"/>
                <w:b w:val="1"/>
                <w:bCs w:val="1"/>
                <w:color w:val="auto"/>
              </w:rPr>
              <w:t>1,327</w:t>
            </w:r>
          </w:p>
        </w:tc>
        <w:tc>
          <w:tcPr>
            <w:tcW w:w="1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360" w:type="dxa"/>
            <w:vAlign w:val="bottom"/>
            <w:gridSpan w:val="2"/>
          </w:tcPr>
          <w:p>
            <w:pPr>
              <w:ind w:left="180"/>
              <w:spacing w:after="0"/>
              <w:rPr>
                <w:sz w:val="20"/>
                <w:szCs w:val="20"/>
                <w:color w:val="auto"/>
              </w:rPr>
            </w:pPr>
            <w:r>
              <w:rPr>
                <w:rFonts w:ascii="Arial" w:cs="Arial" w:eastAsia="Arial" w:hAnsi="Arial"/>
                <w:sz w:val="18"/>
                <w:szCs w:val="18"/>
                <w:color w:val="auto"/>
              </w:rPr>
              <w:t>102,621 outstanding at March 31, 2018 and 2017, respectively</w:t>
            </w:r>
          </w:p>
        </w:tc>
        <w:tc>
          <w:tcPr>
            <w:tcW w:w="360" w:type="dxa"/>
            <w:vAlign w:val="bottom"/>
          </w:tcPr>
          <w:p>
            <w:pPr>
              <w:spacing w:after="0"/>
              <w:rPr>
                <w:sz w:val="20"/>
                <w:szCs w:val="20"/>
                <w:color w:val="auto"/>
              </w:rPr>
            </w:pPr>
          </w:p>
        </w:tc>
        <w:tc>
          <w:tcPr>
            <w:tcW w:w="112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tcPr>
          <w:p>
            <w:pPr>
              <w:jc w:val="right"/>
              <w:ind w:right="11"/>
              <w:spacing w:after="0"/>
              <w:rPr>
                <w:sz w:val="20"/>
                <w:szCs w:val="20"/>
                <w:color w:val="auto"/>
              </w:rPr>
            </w:pPr>
            <w:r>
              <w:rPr>
                <w:rFonts w:ascii="Arial" w:cs="Arial" w:eastAsia="Arial" w:hAnsi="Arial"/>
                <w:sz w:val="18"/>
                <w:szCs w:val="18"/>
                <w:color w:val="auto"/>
              </w:rPr>
              <w:t>1,198</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Additional paid-in capital</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1,888,039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1,452,754</w:t>
            </w:r>
          </w:p>
        </w:tc>
        <w:tc>
          <w:tcPr>
            <w:tcW w:w="0" w:type="dxa"/>
            <w:vAlign w:val="bottom"/>
          </w:tcPr>
          <w:p>
            <w:pPr>
              <w:spacing w:after="0"/>
              <w:rPr>
                <w:sz w:val="1"/>
                <w:szCs w:val="1"/>
                <w:color w:val="auto"/>
              </w:rPr>
            </w:pPr>
          </w:p>
        </w:tc>
      </w:tr>
      <w:tr>
        <w:trPr>
          <w:trHeight w:val="243"/>
        </w:trPr>
        <w:tc>
          <w:tcPr>
            <w:tcW w:w="8360" w:type="dxa"/>
            <w:vAlign w:val="bottom"/>
            <w:gridSpan w:val="2"/>
          </w:tcPr>
          <w:p>
            <w:pPr>
              <w:ind w:left="180"/>
              <w:spacing w:after="0"/>
              <w:rPr>
                <w:sz w:val="20"/>
                <w:szCs w:val="20"/>
                <w:color w:val="auto"/>
              </w:rPr>
            </w:pPr>
            <w:r>
              <w:rPr>
                <w:rFonts w:ascii="Arial" w:cs="Arial" w:eastAsia="Arial" w:hAnsi="Arial"/>
                <w:sz w:val="18"/>
                <w:szCs w:val="18"/>
                <w:color w:val="auto"/>
              </w:rPr>
              <w:t>Treasury stock, at cost; 18,705 and 17,192 common shares at March 31, 2018 and 2017, respectively</w:t>
            </w: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(458,180)</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(303,388)</w:t>
            </w:r>
          </w:p>
        </w:tc>
        <w:tc>
          <w:tcPr>
            <w:tcW w:w="0" w:type="dxa"/>
            <w:vAlign w:val="bottom"/>
          </w:tcPr>
          <w:p>
            <w:pPr>
              <w:spacing w:after="0"/>
              <w:rPr>
                <w:sz w:val="1"/>
                <w:szCs w:val="1"/>
                <w:color w:val="auto"/>
              </w:rPr>
            </w:pP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Retained earnings (accumulated deficit)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73,516</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(99,694)</w:t>
            </w:r>
          </w:p>
        </w:tc>
        <w:tc>
          <w:tcPr>
            <w:tcW w:w="0" w:type="dxa"/>
            <w:vAlign w:val="bottom"/>
          </w:tcPr>
          <w:p>
            <w:pPr>
              <w:spacing w:after="0"/>
              <w:rPr>
                <w:sz w:val="1"/>
                <w:szCs w:val="1"/>
                <w:color w:val="auto"/>
              </w:rPr>
            </w:pPr>
          </w:p>
        </w:tc>
      </w:tr>
      <w:tr>
        <w:trPr>
          <w:trHeight w:val="243"/>
        </w:trPr>
        <w:tc>
          <w:tcPr>
            <w:tcW w:w="8360" w:type="dxa"/>
            <w:vAlign w:val="bottom"/>
            <w:gridSpan w:val="2"/>
          </w:tcPr>
          <w:p>
            <w:pPr>
              <w:ind w:left="180"/>
              <w:spacing w:after="0"/>
              <w:rPr>
                <w:sz w:val="20"/>
                <w:szCs w:val="20"/>
                <w:color w:val="auto"/>
              </w:rPr>
            </w:pPr>
            <w:r>
              <w:rPr>
                <w:rFonts w:ascii="Arial" w:cs="Arial" w:eastAsia="Arial" w:hAnsi="Arial"/>
                <w:sz w:val="18"/>
                <w:szCs w:val="18"/>
                <w:color w:val="auto"/>
              </w:rPr>
              <w:t>Accumulated other comprehensive loss</w:t>
            </w: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b w:val="1"/>
                <w:bCs w:val="1"/>
                <w:color w:val="auto"/>
              </w:rPr>
              <w:t>(15,732)</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(47,142)</w:t>
            </w:r>
          </w:p>
        </w:tc>
        <w:tc>
          <w:tcPr>
            <w:tcW w:w="0" w:type="dxa"/>
            <w:vAlign w:val="bottom"/>
          </w:tcPr>
          <w:p>
            <w:pPr>
              <w:spacing w:after="0"/>
              <w:rPr>
                <w:sz w:val="1"/>
                <w:szCs w:val="1"/>
                <w:color w:val="auto"/>
              </w:rPr>
            </w:pPr>
          </w:p>
        </w:tc>
      </w:tr>
      <w:tr>
        <w:trPr>
          <w:trHeight w:val="27"/>
        </w:trPr>
        <w:tc>
          <w:tcPr>
            <w:tcW w:w="82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836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Total stockholders' equity</w:t>
            </w: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1,488,970</w:t>
            </w:r>
          </w:p>
        </w:tc>
        <w:tc>
          <w:tcPr>
            <w:tcW w:w="10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1,003,728</w:t>
            </w:r>
          </w:p>
        </w:tc>
        <w:tc>
          <w:tcPr>
            <w:tcW w:w="0" w:type="dxa"/>
            <w:vAlign w:val="bottom"/>
          </w:tcPr>
          <w:p>
            <w:pPr>
              <w:spacing w:after="0"/>
              <w:rPr>
                <w:sz w:val="1"/>
                <w:szCs w:val="1"/>
                <w:color w:val="auto"/>
              </w:rPr>
            </w:pPr>
          </w:p>
        </w:tc>
      </w:tr>
      <w:tr>
        <w:trPr>
          <w:trHeight w:val="237"/>
        </w:trPr>
        <w:tc>
          <w:tcPr>
            <w:tcW w:w="824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Total liabilities and stockholders' equity</w:t>
            </w:r>
          </w:p>
        </w:tc>
        <w:tc>
          <w:tcPr>
            <w:tcW w:w="12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3,737,841</w:t>
            </w:r>
          </w:p>
        </w:tc>
        <w:tc>
          <w:tcPr>
            <w:tcW w:w="100" w:type="dxa"/>
            <w:vAlign w:val="bottom"/>
          </w:tcPr>
          <w:p>
            <w:pPr>
              <w:spacing w:after="0"/>
              <w:rPr>
                <w:sz w:val="20"/>
                <w:szCs w:val="20"/>
                <w:color w:val="auto"/>
              </w:rPr>
            </w:pPr>
          </w:p>
        </w:tc>
        <w:tc>
          <w:tcPr>
            <w:tcW w:w="44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3,149,154</w:t>
            </w:r>
          </w:p>
        </w:tc>
        <w:tc>
          <w:tcPr>
            <w:tcW w:w="0" w:type="dxa"/>
            <w:vAlign w:val="bottom"/>
          </w:tcPr>
          <w:p>
            <w:pPr>
              <w:spacing w:after="0"/>
              <w:rPr>
                <w:sz w:val="1"/>
                <w:szCs w:val="1"/>
                <w:color w:val="auto"/>
              </w:rPr>
            </w:pPr>
          </w:p>
        </w:tc>
      </w:tr>
      <w:tr>
        <w:trPr>
          <w:trHeight w:val="27"/>
        </w:trPr>
        <w:tc>
          <w:tcPr>
            <w:tcW w:w="82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8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ectPr>
          <w:pgSz w:w="11900" w:h="16838" w:orient="portrait"/>
          <w:cols w:equalWidth="0" w:num="1">
            <w:col w:w="11420"/>
          </w:cols>
          <w:pgMar w:left="240" w:top="341"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54</w:t>
      </w:r>
    </w:p>
    <w:p>
      <w:pPr>
        <w:sectPr>
          <w:pgSz w:w="11900" w:h="16838" w:orient="portrait"/>
          <w:cols w:equalWidth="0" w:num="1">
            <w:col w:w="11420"/>
          </w:cols>
          <w:pgMar w:left="240" w:top="341" w:right="239" w:bottom="1440" w:gutter="0" w:footer="0" w:header="0"/>
          <w:type w:val="continuous"/>
        </w:sectPr>
      </w:pPr>
    </w:p>
    <w:bookmarkStart w:id="56" w:name="page57"/>
    <w:bookmarkEnd w:id="5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TAKE-TWO INTERACTIVE SOFTWARE,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amounts)</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2080" w:type="dxa"/>
            <w:vAlign w:val="bottom"/>
            <w:tcBorders>
              <w:bottom w:val="single" w:sz="8" w:color="auto"/>
            </w:tcBorders>
            <w:gridSpan w:val="6"/>
          </w:tcPr>
          <w:p>
            <w:pPr>
              <w:jc w:val="right"/>
              <w:ind w:right="210"/>
              <w:spacing w:after="0"/>
              <w:rPr>
                <w:sz w:val="20"/>
                <w:szCs w:val="20"/>
                <w:color w:val="auto"/>
              </w:rPr>
            </w:pPr>
            <w:r>
              <w:rPr>
                <w:rFonts w:ascii="Arial" w:cs="Arial" w:eastAsia="Arial" w:hAnsi="Arial"/>
                <w:sz w:val="14"/>
                <w:szCs w:val="14"/>
                <w:b w:val="1"/>
                <w:bCs w:val="1"/>
                <w:color w:val="auto"/>
                <w:w w:val="93"/>
              </w:rPr>
              <w:t>Fiscal Year Ended March 31,</w:t>
            </w:r>
          </w:p>
        </w:tc>
        <w:tc>
          <w:tcPr>
            <w:tcW w:w="1120" w:type="dxa"/>
            <w:vAlign w:val="bottom"/>
            <w:tcBorders>
              <w:bottom w:val="single" w:sz="8" w:color="auto"/>
            </w:tcBorders>
          </w:tcPr>
          <w:p>
            <w:pPr>
              <w:spacing w:after="0"/>
              <w:rPr>
                <w:sz w:val="16"/>
                <w:szCs w:val="16"/>
                <w:color w:val="auto"/>
              </w:rPr>
            </w:pPr>
          </w:p>
        </w:tc>
      </w:tr>
      <w:tr>
        <w:trPr>
          <w:trHeight w:val="264"/>
        </w:trPr>
        <w:tc>
          <w:tcPr>
            <w:tcW w:w="664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71"/>
              <w:spacing w:after="0"/>
              <w:rPr>
                <w:sz w:val="20"/>
                <w:szCs w:val="20"/>
                <w:color w:val="auto"/>
              </w:rPr>
            </w:pPr>
            <w:r>
              <w:rPr>
                <w:rFonts w:ascii="Arial" w:cs="Arial" w:eastAsia="Arial" w:hAnsi="Arial"/>
                <w:sz w:val="14"/>
                <w:szCs w:val="14"/>
                <w:b w:val="1"/>
                <w:bCs w:val="1"/>
                <w:color w:val="auto"/>
              </w:rPr>
              <w:t>2018</w:t>
            </w:r>
          </w:p>
        </w:tc>
        <w:tc>
          <w:tcPr>
            <w:tcW w:w="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r>
      <w:tr>
        <w:trPr>
          <w:trHeight w:val="25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revenue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1,792,892</w:t>
            </w:r>
          </w:p>
        </w:tc>
        <w:tc>
          <w:tcPr>
            <w:tcW w:w="50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1,779,748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1,413,698</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Cost of goods sold</w:t>
            </w: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898,311</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1,022,959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813,873</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Gross profit</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894,581</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756,789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599,825</w:t>
            </w:r>
          </w:p>
        </w:tc>
      </w:tr>
      <w:tr>
        <w:trPr>
          <w:trHeight w:val="243"/>
        </w:trPr>
        <w:tc>
          <w:tcPr>
            <w:tcW w:w="6760" w:type="dxa"/>
            <w:vAlign w:val="bottom"/>
            <w:gridSpan w:val="2"/>
          </w:tcPr>
          <w:p>
            <w:pPr>
              <w:ind w:left="180"/>
              <w:spacing w:after="0"/>
              <w:rPr>
                <w:sz w:val="20"/>
                <w:szCs w:val="20"/>
                <w:color w:val="auto"/>
              </w:rPr>
            </w:pPr>
            <w:r>
              <w:rPr>
                <w:rFonts w:ascii="Arial" w:cs="Arial" w:eastAsia="Arial" w:hAnsi="Arial"/>
                <w:sz w:val="18"/>
                <w:szCs w:val="18"/>
                <w:color w:val="auto"/>
              </w:rPr>
              <w:t>Selling and marketing</w:t>
            </w: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256,092</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285,453</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198,309</w:t>
            </w: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General and administrative</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247,828</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211,409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192,452</w:t>
            </w:r>
          </w:p>
        </w:tc>
      </w:tr>
      <w:tr>
        <w:trPr>
          <w:trHeight w:val="243"/>
        </w:trPr>
        <w:tc>
          <w:tcPr>
            <w:tcW w:w="6760" w:type="dxa"/>
            <w:vAlign w:val="bottom"/>
            <w:gridSpan w:val="2"/>
          </w:tcPr>
          <w:p>
            <w:pPr>
              <w:ind w:left="180"/>
              <w:spacing w:after="0"/>
              <w:rPr>
                <w:sz w:val="20"/>
                <w:szCs w:val="20"/>
                <w:color w:val="auto"/>
              </w:rPr>
            </w:pPr>
            <w:r>
              <w:rPr>
                <w:rFonts w:ascii="Arial" w:cs="Arial" w:eastAsia="Arial" w:hAnsi="Arial"/>
                <w:sz w:val="18"/>
                <w:szCs w:val="18"/>
                <w:color w:val="auto"/>
              </w:rPr>
              <w:t>Research and development</w:t>
            </w: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196,373</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137,915</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119,807</w:t>
            </w: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Business reorganization</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14,742</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71,285</w:t>
            </w:r>
          </w:p>
        </w:tc>
      </w:tr>
      <w:tr>
        <w:trPr>
          <w:trHeight w:val="243"/>
        </w:trPr>
        <w:tc>
          <w:tcPr>
            <w:tcW w:w="6760" w:type="dxa"/>
            <w:vAlign w:val="bottom"/>
            <w:gridSpan w:val="2"/>
          </w:tcPr>
          <w:p>
            <w:pPr>
              <w:ind w:left="180"/>
              <w:spacing w:after="0"/>
              <w:rPr>
                <w:sz w:val="20"/>
                <w:szCs w:val="20"/>
                <w:color w:val="auto"/>
              </w:rPr>
            </w:pPr>
            <w:r>
              <w:rPr>
                <w:rFonts w:ascii="Arial" w:cs="Arial" w:eastAsia="Arial" w:hAnsi="Arial"/>
                <w:sz w:val="18"/>
                <w:szCs w:val="18"/>
                <w:color w:val="auto"/>
              </w:rPr>
              <w:t>Depreciation and amortization</w:t>
            </w: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43,969</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30,707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28,800</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operating expenses</w:t>
            </w:r>
          </w:p>
        </w:tc>
        <w:tc>
          <w:tcPr>
            <w:tcW w:w="3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759,004</w:t>
            </w:r>
          </w:p>
        </w:tc>
        <w:tc>
          <w:tcPr>
            <w:tcW w:w="4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665,484</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610,653</w:t>
            </w:r>
          </w:p>
        </w:tc>
      </w:tr>
      <w:tr>
        <w:trPr>
          <w:trHeight w:val="237"/>
        </w:trPr>
        <w:tc>
          <w:tcPr>
            <w:tcW w:w="66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Income (loss) from operations</w:t>
            </w: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135,577</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91,305</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(10,828)</w:t>
            </w: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Interest and other, net</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1,048</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(15,690)</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(30,205)</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Gain on long-term investments, net</w:t>
            </w: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1,350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2,683</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136,625</w:t>
            </w:r>
          </w:p>
        </w:tc>
        <w:tc>
          <w:tcPr>
            <w:tcW w:w="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76,965</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(38,350)</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(Benefit from) provision for income taxes</w:t>
            </w: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(36,908)</w:t>
            </w:r>
          </w:p>
        </w:tc>
        <w:tc>
          <w:tcPr>
            <w:tcW w:w="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9,662</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(30,048)</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173,533</w:t>
            </w:r>
          </w:p>
        </w:tc>
        <w:tc>
          <w:tcPr>
            <w:tcW w:w="50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67,303</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(8,302)</w:t>
            </w:r>
          </w:p>
        </w:tc>
      </w:tr>
      <w:tr>
        <w:trPr>
          <w:trHeight w:val="20"/>
        </w:trPr>
        <w:tc>
          <w:tcPr>
            <w:tcW w:w="6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r>
        <w:trPr>
          <w:trHeight w:val="224"/>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Earnings (loss) per share:</w:t>
            </w:r>
          </w:p>
        </w:tc>
        <w:tc>
          <w:tcPr>
            <w:tcW w:w="36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Basic earnings (loss) per share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1.57</w:t>
            </w:r>
          </w:p>
        </w:tc>
        <w:tc>
          <w:tcPr>
            <w:tcW w:w="50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0.73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(0.10)</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Diluted earnings (loss) per share</w:t>
            </w:r>
          </w:p>
        </w:tc>
        <w:tc>
          <w:tcPr>
            <w:tcW w:w="360" w:type="dxa"/>
            <w:vAlign w:val="bottom"/>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1.54</w:t>
            </w:r>
          </w:p>
        </w:tc>
        <w:tc>
          <w:tcPr>
            <w:tcW w:w="50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0.72</w:t>
            </w:r>
          </w:p>
        </w:tc>
        <w:tc>
          <w:tcPr>
            <w:tcW w:w="100" w:type="dxa"/>
            <w:vAlign w:val="bottom"/>
          </w:tcPr>
          <w:p>
            <w:pPr>
              <w:spacing w:after="0"/>
              <w:rPr>
                <w:sz w:val="21"/>
                <w:szCs w:val="21"/>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spacing w:after="0"/>
              <w:rPr>
                <w:sz w:val="20"/>
                <w:szCs w:val="20"/>
                <w:color w:val="auto"/>
              </w:rPr>
            </w:pPr>
            <w:r>
              <w:rPr>
                <w:rFonts w:ascii="Arial" w:cs="Arial" w:eastAsia="Arial" w:hAnsi="Arial"/>
                <w:sz w:val="18"/>
                <w:szCs w:val="18"/>
                <w:color w:val="auto"/>
              </w:rPr>
              <w:t>(0.10)</w:t>
            </w:r>
          </w:p>
        </w:tc>
      </w:tr>
    </w:tbl>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20"/>
          </w:cols>
          <w:pgMar w:left="240" w:top="341" w:right="239" w:bottom="1440" w:gutter="0" w:footer="0" w:header="0"/>
        </w:sectPr>
      </w:pPr>
    </w:p>
    <w:bookmarkStart w:id="57" w:name="page58"/>
    <w:bookmarkEnd w:id="5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left="260" w:right="2660"/>
        <w:spacing w:after="0" w:line="275" w:lineRule="auto"/>
        <w:rPr>
          <w:sz w:val="20"/>
          <w:szCs w:val="20"/>
          <w:color w:val="auto"/>
        </w:rPr>
      </w:pPr>
      <w:r>
        <w:rPr>
          <w:rFonts w:ascii="Arial" w:cs="Arial" w:eastAsia="Arial" w:hAnsi="Arial"/>
          <w:sz w:val="18"/>
          <w:szCs w:val="18"/>
          <w:b w:val="1"/>
          <w:bCs w:val="1"/>
          <w:color w:val="auto"/>
        </w:rPr>
        <w:t>TAKE-TWO INTERACTIVE SOFTWARE, INC. CONSOLIDATED STATEMENTS OF COMPREHENSIVE INCOME (LOSS) (in thousands)</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gridSpan w:val="2"/>
          </w:tcPr>
          <w:p>
            <w:pPr>
              <w:ind w:left="140"/>
              <w:spacing w:after="0"/>
              <w:rPr>
                <w:sz w:val="20"/>
                <w:szCs w:val="20"/>
                <w:color w:val="auto"/>
              </w:rPr>
            </w:pPr>
            <w:r>
              <w:rPr>
                <w:rFonts w:ascii="Arial" w:cs="Arial" w:eastAsia="Arial" w:hAnsi="Arial"/>
                <w:sz w:val="14"/>
                <w:szCs w:val="14"/>
                <w:b w:val="1"/>
                <w:bCs w:val="1"/>
                <w:color w:val="auto"/>
              </w:rPr>
              <w:t>March 31,</w:t>
            </w: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r>
      <w:tr>
        <w:trPr>
          <w:trHeight w:val="264"/>
        </w:trPr>
        <w:tc>
          <w:tcPr>
            <w:tcW w:w="664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2016</w:t>
            </w:r>
          </w:p>
        </w:tc>
      </w:tr>
      <w:tr>
        <w:trPr>
          <w:trHeight w:val="25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173,533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67,303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(8,302)</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Other comprehensive income (loss):</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Foreign currency translation adjustment</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43,379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(9,086)</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(7,364)</w:t>
            </w:r>
          </w:p>
        </w:tc>
      </w:tr>
      <w:tr>
        <w:trPr>
          <w:trHeight w:val="243"/>
        </w:trPr>
        <w:tc>
          <w:tcPr>
            <w:tcW w:w="6760" w:type="dxa"/>
            <w:vAlign w:val="bottom"/>
            <w:gridSpan w:val="2"/>
          </w:tcPr>
          <w:p>
            <w:pPr>
              <w:ind w:left="180"/>
              <w:spacing w:after="0"/>
              <w:rPr>
                <w:sz w:val="20"/>
                <w:szCs w:val="20"/>
                <w:color w:val="auto"/>
              </w:rPr>
            </w:pPr>
            <w:r>
              <w:rPr>
                <w:rFonts w:ascii="Arial" w:cs="Arial" w:eastAsia="Arial" w:hAnsi="Arial"/>
                <w:sz w:val="18"/>
                <w:szCs w:val="18"/>
                <w:color w:val="auto"/>
              </w:rPr>
              <w:t>Cash flow hedges:</w:t>
            </w:r>
          </w:p>
        </w:tc>
        <w:tc>
          <w:tcPr>
            <w:tcW w:w="36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6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Change in unrealized gains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(8,153)</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43"/>
        </w:trPr>
        <w:tc>
          <w:tcPr>
            <w:tcW w:w="6760" w:type="dxa"/>
            <w:vAlign w:val="bottom"/>
            <w:gridSpan w:val="2"/>
          </w:tcPr>
          <w:p>
            <w:pPr>
              <w:ind w:left="380"/>
              <w:spacing w:after="0"/>
              <w:rPr>
                <w:sz w:val="20"/>
                <w:szCs w:val="20"/>
                <w:color w:val="auto"/>
              </w:rPr>
            </w:pPr>
            <w:r>
              <w:rPr>
                <w:rFonts w:ascii="Arial" w:cs="Arial" w:eastAsia="Arial" w:hAnsi="Arial"/>
                <w:sz w:val="18"/>
                <w:szCs w:val="18"/>
                <w:color w:val="auto"/>
              </w:rPr>
              <w:t>Reclassification to earnings</w:t>
            </w:r>
          </w:p>
        </w:tc>
        <w:tc>
          <w:tcPr>
            <w:tcW w:w="360" w:type="dxa"/>
            <w:vAlign w:val="bottom"/>
          </w:tcPr>
          <w:p>
            <w:pPr>
              <w:spacing w:after="0"/>
              <w:rPr>
                <w:sz w:val="21"/>
                <w:szCs w:val="21"/>
                <w:color w:val="auto"/>
              </w:rPr>
            </w:pPr>
          </w:p>
        </w:tc>
        <w:tc>
          <w:tcPr>
            <w:tcW w:w="124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21"/>
                <w:szCs w:val="21"/>
                <w:color w:val="auto"/>
              </w:rPr>
            </w:pPr>
          </w:p>
        </w:tc>
        <w:tc>
          <w:tcPr>
            <w:tcW w:w="13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(17)</w:t>
            </w: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6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Tax effect on effective cash flow hedges</w:t>
            </w:r>
          </w:p>
        </w:tc>
        <w:tc>
          <w:tcPr>
            <w:tcW w:w="36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(2,038)</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664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rPr>
              <w:t>Change in fair value of cash flow hedges</w:t>
            </w: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(10,191)</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(17)</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44"/>
        </w:trPr>
        <w:tc>
          <w:tcPr>
            <w:tcW w:w="67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Available-for-sale securities: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r>
      <w:tr>
        <w:trPr>
          <w:trHeight w:val="243"/>
        </w:trPr>
        <w:tc>
          <w:tcPr>
            <w:tcW w:w="6760" w:type="dxa"/>
            <w:vAlign w:val="bottom"/>
            <w:gridSpan w:val="2"/>
          </w:tcPr>
          <w:p>
            <w:pPr>
              <w:ind w:left="380"/>
              <w:spacing w:after="0"/>
              <w:rPr>
                <w:sz w:val="20"/>
                <w:szCs w:val="20"/>
                <w:color w:val="auto"/>
              </w:rPr>
            </w:pPr>
            <w:r>
              <w:rPr>
                <w:rFonts w:ascii="Arial" w:cs="Arial" w:eastAsia="Arial" w:hAnsi="Arial"/>
                <w:sz w:val="18"/>
                <w:szCs w:val="18"/>
                <w:color w:val="auto"/>
              </w:rPr>
              <w:t>Net unrealized gain (loss), net of taxes</w:t>
            </w:r>
          </w:p>
        </w:tc>
        <w:tc>
          <w:tcPr>
            <w:tcW w:w="3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b w:val="1"/>
                <w:bCs w:val="1"/>
                <w:color w:val="auto"/>
              </w:rPr>
              <w:t>(1,778)</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(169)</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1"/>
              <w:spacing w:after="0"/>
              <w:rPr>
                <w:sz w:val="20"/>
                <w:szCs w:val="20"/>
                <w:color w:val="auto"/>
              </w:rPr>
            </w:pPr>
            <w:r>
              <w:rPr>
                <w:rFonts w:ascii="Arial" w:cs="Arial" w:eastAsia="Arial" w:hAnsi="Arial"/>
                <w:sz w:val="18"/>
                <w:szCs w:val="18"/>
                <w:color w:val="auto"/>
              </w:rPr>
              <w:t>73</w:t>
            </w: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676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Reclassification to earnings for realized net loss, net of taxes</w:t>
            </w:r>
          </w:p>
        </w:tc>
        <w:tc>
          <w:tcPr>
            <w:tcW w:w="360" w:type="dxa"/>
            <w:vAlign w:val="bottom"/>
            <w:tcBorders>
              <w:bottom w:val="single" w:sz="8" w:color="CCEEFF"/>
            </w:tcBorders>
            <w:shd w:val="clear" w:color="auto" w:fill="CCEEFF"/>
          </w:tcPr>
          <w:p>
            <w:pPr>
              <w:spacing w:after="0"/>
              <w:rPr>
                <w:sz w:val="23"/>
                <w:szCs w:val="23"/>
                <w:color w:val="auto"/>
              </w:rPr>
            </w:pPr>
          </w:p>
        </w:tc>
        <w:tc>
          <w:tcPr>
            <w:tcW w:w="12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b w:val="1"/>
                <w:bCs w:val="1"/>
                <w:color w:val="auto"/>
              </w:rPr>
              <w:t>—</w:t>
            </w: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9</w:t>
            </w: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36</w:t>
            </w:r>
          </w:p>
        </w:tc>
      </w:tr>
      <w:tr>
        <w:trPr>
          <w:trHeight w:val="237"/>
        </w:trPr>
        <w:tc>
          <w:tcPr>
            <w:tcW w:w="6640" w:type="dxa"/>
            <w:vAlign w:val="bottom"/>
            <w:tcBorders>
              <w:top w:val="single" w:sz="8" w:color="auto"/>
            </w:tcBorders>
          </w:tcPr>
          <w:p>
            <w:pPr>
              <w:ind w:left="180"/>
              <w:spacing w:after="0"/>
              <w:rPr>
                <w:sz w:val="20"/>
                <w:szCs w:val="20"/>
                <w:color w:val="auto"/>
              </w:rPr>
            </w:pPr>
            <w:r>
              <w:rPr>
                <w:rFonts w:ascii="Arial" w:cs="Arial" w:eastAsia="Arial" w:hAnsi="Arial"/>
                <w:sz w:val="18"/>
                <w:szCs w:val="18"/>
                <w:color w:val="auto"/>
              </w:rPr>
              <w:t>Change in fair value of available-for-sale securities</w:t>
            </w: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(1,778)</w:t>
            </w:r>
          </w:p>
        </w:tc>
        <w:tc>
          <w:tcPr>
            <w:tcW w:w="10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(160)</w:t>
            </w: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109</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4"/>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Other comprehensive income (loss)</w:t>
            </w:r>
          </w:p>
        </w:tc>
        <w:tc>
          <w:tcPr>
            <w:tcW w:w="36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31,410</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(9,246)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(7,272)</w:t>
            </w:r>
          </w:p>
        </w:tc>
      </w:tr>
      <w:tr>
        <w:trPr>
          <w:trHeight w:val="237"/>
        </w:trPr>
        <w:tc>
          <w:tcPr>
            <w:tcW w:w="66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Comprehensive income (loss)</w:t>
            </w:r>
          </w:p>
        </w:tc>
        <w:tc>
          <w:tcPr>
            <w:tcW w:w="12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4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204,943</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58,057</w:t>
            </w: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(15,574)</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6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341" w:right="23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TAKE-TWO INTERACTIVE SOFTWARE,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2100" w:type="dxa"/>
            <w:vAlign w:val="bottom"/>
            <w:tcBorders>
              <w:bottom w:val="single" w:sz="8" w:color="auto"/>
            </w:tcBorders>
            <w:gridSpan w:val="6"/>
          </w:tcPr>
          <w:p>
            <w:pPr>
              <w:jc w:val="right"/>
              <w:ind w:right="228"/>
              <w:spacing w:after="0"/>
              <w:rPr>
                <w:sz w:val="20"/>
                <w:szCs w:val="20"/>
                <w:color w:val="auto"/>
              </w:rPr>
            </w:pPr>
            <w:r>
              <w:rPr>
                <w:rFonts w:ascii="Arial" w:cs="Arial" w:eastAsia="Arial" w:hAnsi="Arial"/>
                <w:sz w:val="14"/>
                <w:szCs w:val="14"/>
                <w:b w:val="1"/>
                <w:bCs w:val="1"/>
                <w:color w:val="auto"/>
                <w:w w:val="94"/>
              </w:rPr>
              <w:t>Fiscal Year Ended March 31,</w:t>
            </w:r>
          </w:p>
        </w:tc>
        <w:tc>
          <w:tcPr>
            <w:tcW w:w="1120" w:type="dxa"/>
            <w:vAlign w:val="bottom"/>
            <w:tcBorders>
              <w:bottom w:val="single" w:sz="8" w:color="auto"/>
            </w:tcBorders>
          </w:tcPr>
          <w:p>
            <w:pPr>
              <w:spacing w:after="0"/>
              <w:rPr>
                <w:sz w:val="16"/>
                <w:szCs w:val="16"/>
                <w:color w:val="auto"/>
              </w:rPr>
            </w:pPr>
          </w:p>
        </w:tc>
      </w:tr>
      <w:tr>
        <w:trPr>
          <w:trHeight w:val="264"/>
        </w:trPr>
        <w:tc>
          <w:tcPr>
            <w:tcW w:w="6640" w:type="dxa"/>
            <w:vAlign w:val="bottom"/>
            <w:tcBorders>
              <w:bottom w:val="single" w:sz="8" w:color="CCEEFF"/>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2018</w:t>
            </w:r>
          </w:p>
        </w:tc>
        <w:tc>
          <w:tcPr>
            <w:tcW w:w="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08"/>
              <w:spacing w:after="0"/>
              <w:rPr>
                <w:sz w:val="20"/>
                <w:szCs w:val="20"/>
                <w:color w:val="auto"/>
              </w:rPr>
            </w:pPr>
            <w:r>
              <w:rPr>
                <w:rFonts w:ascii="Arial" w:cs="Arial" w:eastAsia="Arial" w:hAnsi="Arial"/>
                <w:sz w:val="14"/>
                <w:szCs w:val="14"/>
                <w:b w:val="1"/>
                <w:bCs w:val="1"/>
                <w:color w:val="auto"/>
              </w:rPr>
              <w:t>2016</w:t>
            </w:r>
          </w:p>
        </w:tc>
      </w:tr>
      <w:tr>
        <w:trPr>
          <w:trHeight w:val="256"/>
        </w:trPr>
        <w:tc>
          <w:tcPr>
            <w:tcW w:w="676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Operating activities:</w:t>
            </w:r>
          </w:p>
        </w:tc>
        <w:tc>
          <w:tcPr>
            <w:tcW w:w="360" w:type="dxa"/>
            <w:vAlign w:val="bottom"/>
            <w:shd w:val="clear" w:color="auto" w:fill="CCEEFF"/>
          </w:tcPr>
          <w:p>
            <w:pPr>
              <w:spacing w:after="0"/>
              <w:rPr>
                <w:sz w:val="22"/>
                <w:szCs w:val="22"/>
                <w:color w:val="auto"/>
              </w:rPr>
            </w:pPr>
          </w:p>
        </w:tc>
        <w:tc>
          <w:tcPr>
            <w:tcW w:w="1080" w:type="dxa"/>
            <w:vAlign w:val="bottom"/>
            <w:shd w:val="clear" w:color="auto" w:fill="CCEEFF"/>
          </w:tcPr>
          <w:p>
            <w:pPr>
              <w:spacing w:after="0"/>
              <w:rPr>
                <w:sz w:val="22"/>
                <w:szCs w:val="22"/>
                <w:color w:val="auto"/>
              </w:rPr>
            </w:pPr>
          </w:p>
        </w:tc>
        <w:tc>
          <w:tcPr>
            <w:tcW w:w="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r>
      <w:tr>
        <w:trPr>
          <w:trHeight w:val="264"/>
        </w:trPr>
        <w:tc>
          <w:tcPr>
            <w:tcW w:w="6760" w:type="dxa"/>
            <w:vAlign w:val="bottom"/>
            <w:gridSpan w:val="2"/>
          </w:tcPr>
          <w:p>
            <w:pPr>
              <w:ind w:left="180"/>
              <w:spacing w:after="0"/>
              <w:rPr>
                <w:sz w:val="20"/>
                <w:szCs w:val="20"/>
                <w:color w:val="auto"/>
              </w:rPr>
            </w:pPr>
            <w:r>
              <w:rPr>
                <w:rFonts w:ascii="Arial" w:cs="Arial" w:eastAsia="Arial" w:hAnsi="Arial"/>
                <w:sz w:val="14"/>
                <w:szCs w:val="14"/>
                <w:color w:val="auto"/>
              </w:rPr>
              <w:t>Net income (loss)</w:t>
            </w:r>
          </w:p>
        </w:tc>
        <w:tc>
          <w:tcPr>
            <w:tcW w:w="360" w:type="dxa"/>
            <w:vAlign w:val="bottom"/>
          </w:tcPr>
          <w:p>
            <w:pPr>
              <w:jc w:val="right"/>
              <w:ind w:right="188"/>
              <w:spacing w:after="0"/>
              <w:rPr>
                <w:sz w:val="20"/>
                <w:szCs w:val="20"/>
                <w:color w:val="auto"/>
              </w:rPr>
            </w:pPr>
            <w:r>
              <w:rPr>
                <w:rFonts w:ascii="Arial" w:cs="Arial" w:eastAsia="Arial" w:hAnsi="Arial"/>
                <w:sz w:val="14"/>
                <w:szCs w:val="14"/>
                <w:b w:val="1"/>
                <w:bCs w:val="1"/>
                <w:color w:val="auto"/>
              </w:rPr>
              <w:t>$</w:t>
            </w: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173,533</w:t>
            </w:r>
          </w:p>
        </w:tc>
        <w:tc>
          <w:tcPr>
            <w:tcW w:w="52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67,303</w:t>
            </w:r>
          </w:p>
        </w:tc>
        <w:tc>
          <w:tcPr>
            <w:tcW w:w="10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(8,302)</w:t>
            </w:r>
          </w:p>
        </w:tc>
      </w:tr>
      <w:tr>
        <w:trPr>
          <w:trHeight w:val="276"/>
        </w:trPr>
        <w:tc>
          <w:tcPr>
            <w:tcW w:w="67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Adjustments to reconcile net income (loss) to net cash provided by operating activities:</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64"/>
        </w:trPr>
        <w:tc>
          <w:tcPr>
            <w:tcW w:w="6760" w:type="dxa"/>
            <w:vAlign w:val="bottom"/>
            <w:gridSpan w:val="2"/>
          </w:tcPr>
          <w:p>
            <w:pPr>
              <w:ind w:left="280"/>
              <w:spacing w:after="0"/>
              <w:rPr>
                <w:sz w:val="20"/>
                <w:szCs w:val="20"/>
                <w:color w:val="auto"/>
              </w:rPr>
            </w:pPr>
            <w:r>
              <w:rPr>
                <w:rFonts w:ascii="Arial" w:cs="Arial" w:eastAsia="Arial" w:hAnsi="Arial"/>
                <w:sz w:val="14"/>
                <w:szCs w:val="14"/>
                <w:color w:val="auto"/>
              </w:rPr>
              <w:t>Amortization and impairment of software development costs and licenses</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77,887</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221,911</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134,472</w:t>
            </w:r>
          </w:p>
        </w:tc>
      </w:tr>
      <w:tr>
        <w:trPr>
          <w:trHeight w:val="276"/>
        </w:trPr>
        <w:tc>
          <w:tcPr>
            <w:tcW w:w="67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Stock-based compensation</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116,349</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81,879</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69,996</w:t>
            </w:r>
          </w:p>
        </w:tc>
      </w:tr>
      <w:tr>
        <w:trPr>
          <w:trHeight w:val="264"/>
        </w:trPr>
        <w:tc>
          <w:tcPr>
            <w:tcW w:w="6760" w:type="dxa"/>
            <w:vAlign w:val="bottom"/>
            <w:gridSpan w:val="2"/>
          </w:tcPr>
          <w:p>
            <w:pPr>
              <w:ind w:left="280"/>
              <w:spacing w:after="0"/>
              <w:rPr>
                <w:sz w:val="20"/>
                <w:szCs w:val="20"/>
                <w:color w:val="auto"/>
              </w:rPr>
            </w:pPr>
            <w:r>
              <w:rPr>
                <w:rFonts w:ascii="Arial" w:cs="Arial" w:eastAsia="Arial" w:hAnsi="Arial"/>
                <w:sz w:val="14"/>
                <w:szCs w:val="14"/>
                <w:color w:val="auto"/>
              </w:rPr>
              <w:t>Amortization of intellectual property</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34,830</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6,738</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160</w:t>
            </w:r>
          </w:p>
        </w:tc>
      </w:tr>
      <w:tr>
        <w:trPr>
          <w:trHeight w:val="276"/>
        </w:trPr>
        <w:tc>
          <w:tcPr>
            <w:tcW w:w="67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Depreciation</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32,202</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30,707</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28,800</w:t>
            </w:r>
          </w:p>
        </w:tc>
      </w:tr>
      <w:tr>
        <w:trPr>
          <w:trHeight w:val="264"/>
        </w:trPr>
        <w:tc>
          <w:tcPr>
            <w:tcW w:w="6760" w:type="dxa"/>
            <w:vAlign w:val="bottom"/>
            <w:gridSpan w:val="2"/>
          </w:tcPr>
          <w:p>
            <w:pPr>
              <w:ind w:left="280"/>
              <w:spacing w:after="0"/>
              <w:rPr>
                <w:sz w:val="20"/>
                <w:szCs w:val="20"/>
                <w:color w:val="auto"/>
              </w:rPr>
            </w:pPr>
            <w:r>
              <w:rPr>
                <w:rFonts w:ascii="Arial" w:cs="Arial" w:eastAsia="Arial" w:hAnsi="Arial"/>
                <w:sz w:val="14"/>
                <w:szCs w:val="14"/>
                <w:color w:val="auto"/>
              </w:rPr>
              <w:t>Amortization of discount on Convertible Notes</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15,662</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21,222</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23,457</w:t>
            </w:r>
          </w:p>
        </w:tc>
      </w:tr>
      <w:tr>
        <w:trPr>
          <w:trHeight w:val="276"/>
        </w:trPr>
        <w:tc>
          <w:tcPr>
            <w:tcW w:w="67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Impairment of in-process research and development</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11,257</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6760" w:type="dxa"/>
            <w:vAlign w:val="bottom"/>
            <w:gridSpan w:val="2"/>
          </w:tcPr>
          <w:p>
            <w:pPr>
              <w:ind w:left="280"/>
              <w:spacing w:after="0"/>
              <w:rPr>
                <w:sz w:val="20"/>
                <w:szCs w:val="20"/>
                <w:color w:val="auto"/>
              </w:rPr>
            </w:pPr>
            <w:r>
              <w:rPr>
                <w:rFonts w:ascii="Arial" w:cs="Arial" w:eastAsia="Arial" w:hAnsi="Arial"/>
                <w:sz w:val="14"/>
                <w:szCs w:val="14"/>
                <w:color w:val="auto"/>
              </w:rPr>
              <w:t>Amortization of debt issuance costs</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578</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1,227</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1,567</w:t>
            </w:r>
          </w:p>
        </w:tc>
      </w:tr>
      <w:tr>
        <w:trPr>
          <w:trHeight w:val="276"/>
        </w:trPr>
        <w:tc>
          <w:tcPr>
            <w:tcW w:w="67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Deferred income taxes</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(32,523)</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3,020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(270)</w:t>
            </w:r>
          </w:p>
        </w:tc>
      </w:tr>
      <w:tr>
        <w:trPr>
          <w:trHeight w:val="264"/>
        </w:trPr>
        <w:tc>
          <w:tcPr>
            <w:tcW w:w="6760" w:type="dxa"/>
            <w:vAlign w:val="bottom"/>
            <w:gridSpan w:val="2"/>
          </w:tcPr>
          <w:p>
            <w:pPr>
              <w:ind w:left="280"/>
              <w:spacing w:after="0"/>
              <w:rPr>
                <w:sz w:val="20"/>
                <w:szCs w:val="20"/>
                <w:color w:val="auto"/>
              </w:rPr>
            </w:pPr>
            <w:r>
              <w:rPr>
                <w:rFonts w:ascii="Arial" w:cs="Arial" w:eastAsia="Arial" w:hAnsi="Arial"/>
                <w:sz w:val="14"/>
                <w:szCs w:val="14"/>
                <w:color w:val="auto"/>
              </w:rPr>
              <w:t>Gain on long-term investments, net</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(1,350)</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(2,683)</w:t>
            </w:r>
          </w:p>
        </w:tc>
      </w:tr>
      <w:tr>
        <w:trPr>
          <w:trHeight w:val="276"/>
        </w:trPr>
        <w:tc>
          <w:tcPr>
            <w:tcW w:w="67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Gain on redemption of Convertible Notes</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(4,900)</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6760" w:type="dxa"/>
            <w:vAlign w:val="bottom"/>
            <w:gridSpan w:val="2"/>
          </w:tcPr>
          <w:p>
            <w:pPr>
              <w:ind w:left="280"/>
              <w:spacing w:after="0"/>
              <w:rPr>
                <w:sz w:val="20"/>
                <w:szCs w:val="20"/>
                <w:color w:val="auto"/>
              </w:rPr>
            </w:pPr>
            <w:r>
              <w:rPr>
                <w:rFonts w:ascii="Arial" w:cs="Arial" w:eastAsia="Arial" w:hAnsi="Arial"/>
                <w:sz w:val="14"/>
                <w:szCs w:val="14"/>
                <w:color w:val="auto"/>
              </w:rPr>
              <w:t>Other, net</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6,375</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(3,410)</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2,588</w:t>
            </w:r>
          </w:p>
        </w:tc>
      </w:tr>
      <w:tr>
        <w:trPr>
          <w:trHeight w:val="276"/>
        </w:trPr>
        <w:tc>
          <w:tcPr>
            <w:tcW w:w="67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Changes in assets and liabilities:</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r>
      <w:tr>
        <w:trPr>
          <w:trHeight w:val="264"/>
        </w:trPr>
        <w:tc>
          <w:tcPr>
            <w:tcW w:w="6760" w:type="dxa"/>
            <w:vAlign w:val="bottom"/>
            <w:gridSpan w:val="2"/>
          </w:tcPr>
          <w:p>
            <w:pPr>
              <w:ind w:left="280"/>
              <w:spacing w:after="0"/>
              <w:rPr>
                <w:sz w:val="20"/>
                <w:szCs w:val="20"/>
                <w:color w:val="auto"/>
              </w:rPr>
            </w:pPr>
            <w:r>
              <w:rPr>
                <w:rFonts w:ascii="Arial" w:cs="Arial" w:eastAsia="Arial" w:hAnsi="Arial"/>
                <w:sz w:val="14"/>
                <w:szCs w:val="14"/>
                <w:color w:val="auto"/>
              </w:rPr>
              <w:t>Restricted cash</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(99,580)</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(76,474)</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(91,491)</w:t>
            </w:r>
          </w:p>
        </w:tc>
      </w:tr>
      <w:tr>
        <w:trPr>
          <w:trHeight w:val="276"/>
        </w:trPr>
        <w:tc>
          <w:tcPr>
            <w:tcW w:w="67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Accounts receivable</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(26,998)</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(41,956)</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49,348</w:t>
            </w:r>
          </w:p>
        </w:tc>
      </w:tr>
      <w:tr>
        <w:trPr>
          <w:trHeight w:val="264"/>
        </w:trPr>
        <w:tc>
          <w:tcPr>
            <w:tcW w:w="6760" w:type="dxa"/>
            <w:vAlign w:val="bottom"/>
            <w:gridSpan w:val="2"/>
          </w:tcPr>
          <w:p>
            <w:pPr>
              <w:ind w:left="280"/>
              <w:spacing w:after="0"/>
              <w:rPr>
                <w:sz w:val="20"/>
                <w:szCs w:val="20"/>
                <w:color w:val="auto"/>
              </w:rPr>
            </w:pPr>
            <w:r>
              <w:rPr>
                <w:rFonts w:ascii="Arial" w:cs="Arial" w:eastAsia="Arial" w:hAnsi="Arial"/>
                <w:sz w:val="14"/>
                <w:szCs w:val="14"/>
                <w:color w:val="auto"/>
              </w:rPr>
              <w:t>Inventory</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3,917</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(4,942)</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3,809</w:t>
            </w:r>
          </w:p>
        </w:tc>
      </w:tr>
      <w:tr>
        <w:trPr>
          <w:trHeight w:val="276"/>
        </w:trPr>
        <w:tc>
          <w:tcPr>
            <w:tcW w:w="67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Software development costs and licenses</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(225,269)</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(252,951)</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(219,217)</w:t>
            </w:r>
          </w:p>
        </w:tc>
      </w:tr>
      <w:tr>
        <w:trPr>
          <w:trHeight w:val="264"/>
        </w:trPr>
        <w:tc>
          <w:tcPr>
            <w:tcW w:w="6760" w:type="dxa"/>
            <w:vAlign w:val="bottom"/>
            <w:gridSpan w:val="2"/>
          </w:tcPr>
          <w:p>
            <w:pPr>
              <w:ind w:left="280"/>
              <w:spacing w:after="0"/>
              <w:rPr>
                <w:sz w:val="20"/>
                <w:szCs w:val="20"/>
                <w:color w:val="auto"/>
              </w:rPr>
            </w:pPr>
            <w:r>
              <w:rPr>
                <w:rFonts w:ascii="Arial" w:cs="Arial" w:eastAsia="Arial" w:hAnsi="Arial"/>
                <w:sz w:val="14"/>
                <w:szCs w:val="14"/>
                <w:color w:val="auto"/>
              </w:rPr>
              <w:t>Prepaid expenses, other current and other non-current assets</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(74,544)</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(22,155)</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(12,272)</w:t>
            </w:r>
          </w:p>
        </w:tc>
      </w:tr>
      <w:tr>
        <w:trPr>
          <w:trHeight w:val="276"/>
        </w:trPr>
        <w:tc>
          <w:tcPr>
            <w:tcW w:w="6760" w:type="dxa"/>
            <w:vAlign w:val="bottom"/>
            <w:gridSpan w:val="2"/>
            <w:shd w:val="clear" w:color="auto" w:fill="CCEEFF"/>
          </w:tcPr>
          <w:p>
            <w:pPr>
              <w:ind w:left="280"/>
              <w:spacing w:after="0"/>
              <w:rPr>
                <w:sz w:val="20"/>
                <w:szCs w:val="20"/>
                <w:color w:val="auto"/>
              </w:rPr>
            </w:pPr>
            <w:r>
              <w:rPr>
                <w:rFonts w:ascii="Arial" w:cs="Arial" w:eastAsia="Arial" w:hAnsi="Arial"/>
                <w:sz w:val="14"/>
                <w:szCs w:val="14"/>
                <w:color w:val="auto"/>
              </w:rPr>
              <w:t>Deferred revenue</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198,397</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126,285</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152,325</w:t>
            </w:r>
          </w:p>
        </w:tc>
      </w:tr>
      <w:tr>
        <w:trPr>
          <w:trHeight w:val="264"/>
        </w:trPr>
        <w:tc>
          <w:tcPr>
            <w:tcW w:w="6760" w:type="dxa"/>
            <w:vAlign w:val="bottom"/>
            <w:gridSpan w:val="2"/>
          </w:tcPr>
          <w:p>
            <w:pPr>
              <w:ind w:left="280"/>
              <w:spacing w:after="0"/>
              <w:rPr>
                <w:sz w:val="20"/>
                <w:szCs w:val="20"/>
                <w:color w:val="auto"/>
              </w:rPr>
            </w:pPr>
            <w:r>
              <w:rPr>
                <w:rFonts w:ascii="Arial" w:cs="Arial" w:eastAsia="Arial" w:hAnsi="Arial"/>
                <w:sz w:val="14"/>
                <w:szCs w:val="14"/>
                <w:color w:val="auto"/>
              </w:rPr>
              <w:t>Deferred cost of goods sold</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(11,959)</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(14,969)</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(41,144)</w:t>
            </w:r>
          </w:p>
        </w:tc>
      </w:tr>
      <w:tr>
        <w:trPr>
          <w:trHeight w:val="270"/>
        </w:trPr>
        <w:tc>
          <w:tcPr>
            <w:tcW w:w="664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Accounts payable, accrued expenses and other liabilities</w:t>
            </w:r>
          </w:p>
        </w:tc>
        <w:tc>
          <w:tcPr>
            <w:tcW w:w="120" w:type="dxa"/>
            <w:vAlign w:val="bottom"/>
            <w:shd w:val="clear" w:color="auto" w:fill="CCEEFF"/>
          </w:tcPr>
          <w:p>
            <w:pPr>
              <w:spacing w:after="0"/>
              <w:rPr>
                <w:sz w:val="23"/>
                <w:szCs w:val="23"/>
                <w:color w:val="auto"/>
              </w:rPr>
            </w:pPr>
          </w:p>
        </w:tc>
        <w:tc>
          <w:tcPr>
            <w:tcW w:w="36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b w:val="1"/>
                <w:bCs w:val="1"/>
                <w:color w:val="auto"/>
              </w:rPr>
              <w:t>198,733</w:t>
            </w:r>
          </w:p>
        </w:tc>
        <w:tc>
          <w:tcPr>
            <w:tcW w:w="60" w:type="dxa"/>
            <w:vAlign w:val="bottom"/>
            <w:tcBorders>
              <w:bottom w:val="single" w:sz="8" w:color="auto"/>
            </w:tcBorders>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189,344</w:t>
            </w:r>
          </w:p>
        </w:tc>
        <w:tc>
          <w:tcPr>
            <w:tcW w:w="100" w:type="dxa"/>
            <w:vAlign w:val="bottom"/>
            <w:shd w:val="clear" w:color="auto" w:fill="CCEEFF"/>
          </w:tcPr>
          <w:p>
            <w:pPr>
              <w:spacing w:after="0"/>
              <w:rPr>
                <w:sz w:val="23"/>
                <w:szCs w:val="23"/>
                <w:color w:val="auto"/>
              </w:rPr>
            </w:pPr>
          </w:p>
        </w:tc>
        <w:tc>
          <w:tcPr>
            <w:tcW w:w="3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170,162</w:t>
            </w:r>
          </w:p>
        </w:tc>
      </w:tr>
      <w:tr>
        <w:trPr>
          <w:trHeight w:val="250"/>
        </w:trPr>
        <w:tc>
          <w:tcPr>
            <w:tcW w:w="664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Net cash provided by operating activities</w:t>
            </w:r>
          </w:p>
        </w:tc>
        <w:tc>
          <w:tcPr>
            <w:tcW w:w="120" w:type="dxa"/>
            <w:vAlign w:val="bottom"/>
            <w:tcBorders>
              <w:bottom w:val="single" w:sz="8" w:color="CCEEFF"/>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393,947</w:t>
            </w:r>
          </w:p>
        </w:tc>
        <w:tc>
          <w:tcPr>
            <w:tcW w:w="6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331,429</w:t>
            </w:r>
          </w:p>
        </w:tc>
        <w:tc>
          <w:tcPr>
            <w:tcW w:w="10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261,305</w:t>
            </w:r>
          </w:p>
        </w:tc>
      </w:tr>
      <w:tr>
        <w:trPr>
          <w:trHeight w:val="256"/>
        </w:trPr>
        <w:tc>
          <w:tcPr>
            <w:tcW w:w="6760" w:type="dxa"/>
            <w:vAlign w:val="bottom"/>
            <w:gridSpan w:val="2"/>
            <w:shd w:val="clear" w:color="auto" w:fill="CCEEFF"/>
          </w:tcPr>
          <w:p>
            <w:pPr>
              <w:ind w:left="40"/>
              <w:spacing w:after="0"/>
              <w:rPr>
                <w:sz w:val="20"/>
                <w:szCs w:val="20"/>
                <w:color w:val="auto"/>
              </w:rPr>
            </w:pPr>
            <w:r>
              <w:rPr>
                <w:rFonts w:ascii="Arial" w:cs="Arial" w:eastAsia="Arial" w:hAnsi="Arial"/>
                <w:sz w:val="14"/>
                <w:szCs w:val="14"/>
                <w:b w:val="1"/>
                <w:bCs w:val="1"/>
                <w:color w:val="auto"/>
              </w:rPr>
              <w:t>Investing activities:</w:t>
            </w:r>
          </w:p>
        </w:tc>
        <w:tc>
          <w:tcPr>
            <w:tcW w:w="360" w:type="dxa"/>
            <w:vAlign w:val="bottom"/>
            <w:shd w:val="clear" w:color="auto" w:fill="CCEEFF"/>
          </w:tcPr>
          <w:p>
            <w:pPr>
              <w:spacing w:after="0"/>
              <w:rPr>
                <w:sz w:val="22"/>
                <w:szCs w:val="22"/>
                <w:color w:val="auto"/>
              </w:rPr>
            </w:pPr>
          </w:p>
        </w:tc>
        <w:tc>
          <w:tcPr>
            <w:tcW w:w="1080" w:type="dxa"/>
            <w:vAlign w:val="bottom"/>
            <w:shd w:val="clear" w:color="auto" w:fill="CCEEFF"/>
          </w:tcPr>
          <w:p>
            <w:pPr>
              <w:spacing w:after="0"/>
              <w:rPr>
                <w:sz w:val="22"/>
                <w:szCs w:val="22"/>
                <w:color w:val="auto"/>
              </w:rPr>
            </w:pPr>
          </w:p>
        </w:tc>
        <w:tc>
          <w:tcPr>
            <w:tcW w:w="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140" w:type="dxa"/>
            <w:vAlign w:val="bottom"/>
            <w:shd w:val="clear" w:color="auto" w:fill="CCEEFF"/>
          </w:tcPr>
          <w:p>
            <w:pPr>
              <w:spacing w:after="0"/>
              <w:rPr>
                <w:sz w:val="22"/>
                <w:szCs w:val="22"/>
                <w:color w:val="auto"/>
              </w:rPr>
            </w:pP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120" w:type="dxa"/>
            <w:vAlign w:val="bottom"/>
            <w:shd w:val="clear" w:color="auto" w:fill="CCEEFF"/>
          </w:tcPr>
          <w:p>
            <w:pPr>
              <w:spacing w:after="0"/>
              <w:rPr>
                <w:sz w:val="22"/>
                <w:szCs w:val="22"/>
                <w:color w:val="auto"/>
              </w:rPr>
            </w:pPr>
          </w:p>
        </w:tc>
      </w:tr>
      <w:tr>
        <w:trPr>
          <w:trHeight w:val="264"/>
        </w:trPr>
        <w:tc>
          <w:tcPr>
            <w:tcW w:w="6760" w:type="dxa"/>
            <w:vAlign w:val="bottom"/>
            <w:gridSpan w:val="2"/>
          </w:tcPr>
          <w:p>
            <w:pPr>
              <w:ind w:left="180"/>
              <w:spacing w:after="0"/>
              <w:rPr>
                <w:sz w:val="20"/>
                <w:szCs w:val="20"/>
                <w:color w:val="auto"/>
              </w:rPr>
            </w:pPr>
            <w:r>
              <w:rPr>
                <w:rFonts w:ascii="Arial" w:cs="Arial" w:eastAsia="Arial" w:hAnsi="Arial"/>
                <w:sz w:val="14"/>
                <w:szCs w:val="14"/>
                <w:color w:val="auto"/>
              </w:rPr>
              <w:t>Change in bank time deposits</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(40,918)</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89,076</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(182,383)</w:t>
            </w:r>
          </w:p>
        </w:tc>
      </w:tr>
      <w:tr>
        <w:trPr>
          <w:trHeight w:val="276"/>
        </w:trPr>
        <w:tc>
          <w:tcPr>
            <w:tcW w:w="67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Proceeds from available-for-sale securities</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241,012</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155,936</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43,314</w:t>
            </w:r>
          </w:p>
        </w:tc>
      </w:tr>
      <w:tr>
        <w:trPr>
          <w:trHeight w:val="264"/>
        </w:trPr>
        <w:tc>
          <w:tcPr>
            <w:tcW w:w="6760" w:type="dxa"/>
            <w:vAlign w:val="bottom"/>
            <w:gridSpan w:val="2"/>
          </w:tcPr>
          <w:p>
            <w:pPr>
              <w:ind w:left="180"/>
              <w:spacing w:after="0"/>
              <w:rPr>
                <w:sz w:val="20"/>
                <w:szCs w:val="20"/>
                <w:color w:val="auto"/>
              </w:rPr>
            </w:pPr>
            <w:r>
              <w:rPr>
                <w:rFonts w:ascii="Arial" w:cs="Arial" w:eastAsia="Arial" w:hAnsi="Arial"/>
                <w:sz w:val="14"/>
                <w:szCs w:val="14"/>
                <w:color w:val="auto"/>
              </w:rPr>
              <w:t>Purchases of available-for-sale securities</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(369,998)</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(221,671)</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(150,501)</w:t>
            </w:r>
          </w:p>
        </w:tc>
      </w:tr>
      <w:tr>
        <w:trPr>
          <w:trHeight w:val="276"/>
        </w:trPr>
        <w:tc>
          <w:tcPr>
            <w:tcW w:w="67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Purchases of fixed assets</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(61,557)</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(21,167)</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(37,280)</w:t>
            </w:r>
          </w:p>
        </w:tc>
      </w:tr>
      <w:tr>
        <w:trPr>
          <w:trHeight w:val="264"/>
        </w:trPr>
        <w:tc>
          <w:tcPr>
            <w:tcW w:w="6760" w:type="dxa"/>
            <w:vAlign w:val="bottom"/>
            <w:gridSpan w:val="2"/>
          </w:tcPr>
          <w:p>
            <w:pPr>
              <w:ind w:left="180"/>
              <w:spacing w:after="0"/>
              <w:rPr>
                <w:sz w:val="20"/>
                <w:szCs w:val="20"/>
                <w:color w:val="auto"/>
              </w:rPr>
            </w:pPr>
            <w:r>
              <w:rPr>
                <w:rFonts w:ascii="Arial" w:cs="Arial" w:eastAsia="Arial" w:hAnsi="Arial"/>
                <w:sz w:val="14"/>
                <w:szCs w:val="14"/>
                <w:color w:val="auto"/>
              </w:rPr>
              <w:t>Proceeds from sale of long-term investment</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1,350</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2,683</w:t>
            </w:r>
          </w:p>
        </w:tc>
      </w:tr>
      <w:tr>
        <w:trPr>
          <w:trHeight w:val="276"/>
        </w:trPr>
        <w:tc>
          <w:tcPr>
            <w:tcW w:w="67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Purchase of long-term investments</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(5,000)</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(1,885)</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6760" w:type="dxa"/>
            <w:vAlign w:val="bottom"/>
            <w:gridSpan w:val="2"/>
          </w:tcPr>
          <w:p>
            <w:pPr>
              <w:ind w:left="180"/>
              <w:spacing w:after="0"/>
              <w:rPr>
                <w:sz w:val="20"/>
                <w:szCs w:val="20"/>
                <w:color w:val="auto"/>
              </w:rPr>
            </w:pPr>
            <w:r>
              <w:rPr>
                <w:rFonts w:ascii="Arial" w:cs="Arial" w:eastAsia="Arial" w:hAnsi="Arial"/>
                <w:sz w:val="14"/>
                <w:szCs w:val="14"/>
                <w:color w:val="auto"/>
              </w:rPr>
              <w:t>Business acquisitions, net of cash acquired</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(9,401)</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40" w:type="dxa"/>
            <w:vAlign w:val="bottom"/>
          </w:tcPr>
          <w:p>
            <w:pPr>
              <w:jc w:val="right"/>
              <w:spacing w:after="0"/>
              <w:rPr>
                <w:sz w:val="20"/>
                <w:szCs w:val="20"/>
                <w:color w:val="auto"/>
              </w:rPr>
            </w:pPr>
            <w:r>
              <w:rPr>
                <w:rFonts w:ascii="Arial" w:cs="Arial" w:eastAsia="Arial" w:hAnsi="Arial"/>
                <w:sz w:val="14"/>
                <w:szCs w:val="14"/>
                <w:color w:val="auto"/>
              </w:rPr>
              <w:t>(130,669)</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120" w:type="dxa"/>
            <w:vAlign w:val="bottom"/>
          </w:tcPr>
          <w:p>
            <w:pPr>
              <w:jc w:val="right"/>
              <w:ind w:right="28"/>
              <w:spacing w:after="0"/>
              <w:rPr>
                <w:sz w:val="20"/>
                <w:szCs w:val="20"/>
                <w:color w:val="auto"/>
              </w:rPr>
            </w:pPr>
            <w:r>
              <w:rPr>
                <w:rFonts w:ascii="Arial" w:cs="Arial" w:eastAsia="Arial" w:hAnsi="Arial"/>
                <w:sz w:val="14"/>
                <w:szCs w:val="14"/>
                <w:color w:val="auto"/>
              </w:rPr>
              <w:t>—</w:t>
            </w:r>
          </w:p>
        </w:tc>
      </w:tr>
      <w:tr>
        <w:trPr>
          <w:trHeight w:val="276"/>
        </w:trPr>
        <w:tc>
          <w:tcPr>
            <w:tcW w:w="67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Asset acquisition</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(25,965)</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r>
      <w:tr>
        <w:trPr>
          <w:trHeight w:val="264"/>
        </w:trPr>
        <w:tc>
          <w:tcPr>
            <w:tcW w:w="664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Other</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(349)</w:t>
            </w:r>
          </w:p>
        </w:tc>
      </w:tr>
      <w:tr>
        <w:trPr>
          <w:trHeight w:val="250"/>
        </w:trPr>
        <w:tc>
          <w:tcPr>
            <w:tcW w:w="66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Net cash used in investing activities</w:t>
            </w:r>
          </w:p>
        </w:tc>
        <w:tc>
          <w:tcPr>
            <w:tcW w:w="120" w:type="dxa"/>
            <w:vAlign w:val="bottom"/>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b w:val="1"/>
                <w:bCs w:val="1"/>
                <w:color w:val="auto"/>
              </w:rPr>
              <w:t>(271,827)</w:t>
            </w:r>
          </w:p>
        </w:tc>
        <w:tc>
          <w:tcPr>
            <w:tcW w:w="60" w:type="dxa"/>
            <w:vAlign w:val="bottom"/>
            <w:tcBorders>
              <w:bottom w:val="single" w:sz="8" w:color="auto"/>
            </w:tcBorders>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(129,030)</w:t>
            </w:r>
          </w:p>
        </w:tc>
        <w:tc>
          <w:tcPr>
            <w:tcW w:w="10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(324,516)</w:t>
            </w:r>
          </w:p>
        </w:tc>
      </w:tr>
      <w:tr>
        <w:trPr>
          <w:trHeight w:val="250"/>
        </w:trPr>
        <w:tc>
          <w:tcPr>
            <w:tcW w:w="6760" w:type="dxa"/>
            <w:vAlign w:val="bottom"/>
            <w:gridSpan w:val="2"/>
          </w:tcPr>
          <w:p>
            <w:pPr>
              <w:ind w:left="40"/>
              <w:spacing w:after="0"/>
              <w:rPr>
                <w:sz w:val="20"/>
                <w:szCs w:val="20"/>
                <w:color w:val="auto"/>
              </w:rPr>
            </w:pPr>
            <w:r>
              <w:rPr>
                <w:rFonts w:ascii="Arial" w:cs="Arial" w:eastAsia="Arial" w:hAnsi="Arial"/>
                <w:sz w:val="14"/>
                <w:szCs w:val="14"/>
                <w:b w:val="1"/>
                <w:bCs w:val="1"/>
                <w:color w:val="auto"/>
              </w:rPr>
              <w:t>Financing activities:</w:t>
            </w:r>
          </w:p>
        </w:tc>
        <w:tc>
          <w:tcPr>
            <w:tcW w:w="3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20" w:type="dxa"/>
            <w:vAlign w:val="bottom"/>
          </w:tcPr>
          <w:p>
            <w:pPr>
              <w:spacing w:after="0"/>
              <w:rPr>
                <w:sz w:val="21"/>
                <w:szCs w:val="21"/>
                <w:color w:val="auto"/>
              </w:rPr>
            </w:pPr>
          </w:p>
        </w:tc>
      </w:tr>
      <w:tr>
        <w:trPr>
          <w:trHeight w:val="276"/>
        </w:trPr>
        <w:tc>
          <w:tcPr>
            <w:tcW w:w="67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Tax payment related to net share settlements on restricted stock awards</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(112,884)</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(51,762)</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(22,916)</w:t>
            </w:r>
          </w:p>
        </w:tc>
      </w:tr>
      <w:tr>
        <w:trPr>
          <w:trHeight w:val="264"/>
        </w:trPr>
        <w:tc>
          <w:tcPr>
            <w:tcW w:w="6760" w:type="dxa"/>
            <w:vAlign w:val="bottom"/>
            <w:gridSpan w:val="2"/>
          </w:tcPr>
          <w:p>
            <w:pPr>
              <w:ind w:left="180"/>
              <w:spacing w:after="0"/>
              <w:rPr>
                <w:sz w:val="20"/>
                <w:szCs w:val="20"/>
                <w:color w:val="auto"/>
              </w:rPr>
            </w:pPr>
            <w:r>
              <w:rPr>
                <w:rFonts w:ascii="Arial" w:cs="Arial" w:eastAsia="Arial" w:hAnsi="Arial"/>
                <w:sz w:val="14"/>
                <w:szCs w:val="14"/>
                <w:color w:val="auto"/>
              </w:rPr>
              <w:t>Repurchase of common stock</w:t>
            </w:r>
          </w:p>
        </w:tc>
        <w:tc>
          <w:tcPr>
            <w:tcW w:w="3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(154,792)</w:t>
            </w: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340" w:type="dxa"/>
            <w:vAlign w:val="bottom"/>
          </w:tcPr>
          <w:p>
            <w:pPr>
              <w:spacing w:after="0"/>
              <w:rPr>
                <w:sz w:val="22"/>
                <w:szCs w:val="22"/>
                <w:color w:val="auto"/>
              </w:rPr>
            </w:pPr>
          </w:p>
        </w:tc>
        <w:tc>
          <w:tcPr>
            <w:tcW w:w="1120" w:type="dxa"/>
            <w:vAlign w:val="bottom"/>
          </w:tcPr>
          <w:p>
            <w:pPr>
              <w:jc w:val="right"/>
              <w:spacing w:after="0"/>
              <w:rPr>
                <w:sz w:val="20"/>
                <w:szCs w:val="20"/>
                <w:color w:val="auto"/>
              </w:rPr>
            </w:pPr>
            <w:r>
              <w:rPr>
                <w:rFonts w:ascii="Arial" w:cs="Arial" w:eastAsia="Arial" w:hAnsi="Arial"/>
                <w:sz w:val="14"/>
                <w:szCs w:val="14"/>
                <w:color w:val="auto"/>
              </w:rPr>
              <w:t>(26,552)</w:t>
            </w:r>
          </w:p>
        </w:tc>
      </w:tr>
      <w:tr>
        <w:trPr>
          <w:trHeight w:val="276"/>
        </w:trPr>
        <w:tc>
          <w:tcPr>
            <w:tcW w:w="67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Excess tax benefit from stock-based compensation</w:t>
            </w:r>
          </w:p>
        </w:tc>
        <w:tc>
          <w:tcPr>
            <w:tcW w:w="360" w:type="dxa"/>
            <w:vAlign w:val="bottom"/>
            <w:shd w:val="clear" w:color="auto" w:fill="CCEEFF"/>
          </w:tcPr>
          <w:p>
            <w:pPr>
              <w:spacing w:after="0"/>
              <w:rPr>
                <w:sz w:val="24"/>
                <w:szCs w:val="24"/>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6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1,990</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spacing w:after="0"/>
              <w:rPr>
                <w:sz w:val="24"/>
                <w:szCs w:val="24"/>
                <w:color w:val="auto"/>
              </w:rPr>
            </w:pP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1,421</w:t>
            </w:r>
          </w:p>
        </w:tc>
      </w:tr>
      <w:tr>
        <w:trPr>
          <w:trHeight w:val="264"/>
        </w:trPr>
        <w:tc>
          <w:tcPr>
            <w:tcW w:w="664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Other</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(13,791)</w:t>
            </w:r>
          </w:p>
        </w:tc>
        <w:tc>
          <w:tcPr>
            <w:tcW w:w="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r>
      <w:tr>
        <w:trPr>
          <w:trHeight w:val="250"/>
        </w:trPr>
        <w:tc>
          <w:tcPr>
            <w:tcW w:w="6640" w:type="dxa"/>
            <w:vAlign w:val="bottom"/>
            <w:tcBorders>
              <w:bottom w:val="single" w:sz="8" w:color="auto"/>
            </w:tcBorders>
            <w:shd w:val="clear" w:color="auto" w:fill="CCEEFF"/>
          </w:tcPr>
          <w:p>
            <w:pPr>
              <w:ind w:left="180"/>
              <w:spacing w:after="0"/>
              <w:rPr>
                <w:sz w:val="20"/>
                <w:szCs w:val="20"/>
                <w:color w:val="auto"/>
              </w:rPr>
            </w:pPr>
            <w:r>
              <w:rPr>
                <w:rFonts w:ascii="Arial" w:cs="Arial" w:eastAsia="Arial" w:hAnsi="Arial"/>
                <w:sz w:val="14"/>
                <w:szCs w:val="14"/>
                <w:color w:val="auto"/>
              </w:rPr>
              <w:t>Net cash used in financing activities</w:t>
            </w:r>
          </w:p>
        </w:tc>
        <w:tc>
          <w:tcPr>
            <w:tcW w:w="120" w:type="dxa"/>
            <w:vAlign w:val="bottom"/>
            <w:shd w:val="clear" w:color="auto" w:fill="CCEEFF"/>
          </w:tcPr>
          <w:p>
            <w:pPr>
              <w:spacing w:after="0"/>
              <w:rPr>
                <w:sz w:val="21"/>
                <w:szCs w:val="21"/>
                <w:color w:val="auto"/>
              </w:rPr>
            </w:pPr>
          </w:p>
        </w:tc>
        <w:tc>
          <w:tcPr>
            <w:tcW w:w="360" w:type="dxa"/>
            <w:vAlign w:val="bottom"/>
            <w:tcBorders>
              <w:bottom w:val="single" w:sz="8" w:color="auto"/>
            </w:tcBorders>
            <w:shd w:val="clear" w:color="auto" w:fill="CCEEFF"/>
          </w:tcPr>
          <w:p>
            <w:pPr>
              <w:spacing w:after="0"/>
              <w:rPr>
                <w:sz w:val="21"/>
                <w:szCs w:val="21"/>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b w:val="1"/>
                <w:bCs w:val="1"/>
                <w:color w:val="auto"/>
              </w:rPr>
              <w:t>(281,467)</w:t>
            </w:r>
          </w:p>
        </w:tc>
        <w:tc>
          <w:tcPr>
            <w:tcW w:w="60" w:type="dxa"/>
            <w:vAlign w:val="bottom"/>
            <w:tcBorders>
              <w:bottom w:val="single" w:sz="8" w:color="auto"/>
            </w:tcBorders>
            <w:shd w:val="clear" w:color="auto" w:fill="CCEEFF"/>
          </w:tcPr>
          <w:p>
            <w:pPr>
              <w:spacing w:after="0"/>
              <w:rPr>
                <w:sz w:val="21"/>
                <w:szCs w:val="21"/>
                <w:color w:val="auto"/>
              </w:rPr>
            </w:pPr>
          </w:p>
        </w:tc>
        <w:tc>
          <w:tcPr>
            <w:tcW w:w="12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(49,772)</w:t>
            </w:r>
          </w:p>
        </w:tc>
        <w:tc>
          <w:tcPr>
            <w:tcW w:w="100" w:type="dxa"/>
            <w:vAlign w:val="bottom"/>
            <w:shd w:val="clear" w:color="auto" w:fill="CCEEFF"/>
          </w:tcPr>
          <w:p>
            <w:pPr>
              <w:spacing w:after="0"/>
              <w:rPr>
                <w:sz w:val="21"/>
                <w:szCs w:val="21"/>
                <w:color w:val="auto"/>
              </w:rPr>
            </w:pPr>
          </w:p>
        </w:tc>
        <w:tc>
          <w:tcPr>
            <w:tcW w:w="3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(48,047)</w:t>
            </w:r>
          </w:p>
        </w:tc>
      </w:tr>
      <w:tr>
        <w:trPr>
          <w:trHeight w:val="250"/>
        </w:trPr>
        <w:tc>
          <w:tcPr>
            <w:tcW w:w="664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Effects of foreign currency exchange rates on cash and cash equivalents</w:t>
            </w:r>
          </w:p>
        </w:tc>
        <w:tc>
          <w:tcPr>
            <w:tcW w:w="120" w:type="dxa"/>
            <w:vAlign w:val="bottom"/>
            <w:tcBorders>
              <w:bottom w:val="single" w:sz="8" w:color="CCEEFF"/>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24,924</w:t>
            </w:r>
          </w:p>
        </w:tc>
        <w:tc>
          <w:tcPr>
            <w:tcW w:w="6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(7,973)</w:t>
            </w:r>
          </w:p>
        </w:tc>
        <w:tc>
          <w:tcPr>
            <w:tcW w:w="100" w:type="dxa"/>
            <w:vAlign w:val="bottom"/>
            <w:tcBorders>
              <w:bottom w:val="single" w:sz="8" w:color="CCEEFF"/>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(1,120)</w:t>
            </w:r>
          </w:p>
        </w:tc>
      </w:tr>
      <w:tr>
        <w:trPr>
          <w:trHeight w:val="256"/>
        </w:trPr>
        <w:tc>
          <w:tcPr>
            <w:tcW w:w="67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Net change in cash and cash equivalents</w:t>
            </w:r>
          </w:p>
        </w:tc>
        <w:tc>
          <w:tcPr>
            <w:tcW w:w="360" w:type="dxa"/>
            <w:vAlign w:val="bottom"/>
            <w:shd w:val="clear" w:color="auto" w:fill="CCEEFF"/>
          </w:tcPr>
          <w:p>
            <w:pPr>
              <w:spacing w:after="0"/>
              <w:rPr>
                <w:sz w:val="22"/>
                <w:szCs w:val="22"/>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(134,423)</w:t>
            </w:r>
          </w:p>
        </w:tc>
        <w:tc>
          <w:tcPr>
            <w:tcW w:w="60" w:type="dxa"/>
            <w:vAlign w:val="bottom"/>
            <w:shd w:val="clear" w:color="auto" w:fill="CCEEFF"/>
          </w:tcPr>
          <w:p>
            <w:pPr>
              <w:spacing w:after="0"/>
              <w:rPr>
                <w:sz w:val="22"/>
                <w:szCs w:val="22"/>
                <w:color w:val="auto"/>
              </w:rPr>
            </w:pPr>
          </w:p>
        </w:tc>
        <w:tc>
          <w:tcPr>
            <w:tcW w:w="12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144,654</w:t>
            </w:r>
          </w:p>
        </w:tc>
        <w:tc>
          <w:tcPr>
            <w:tcW w:w="100" w:type="dxa"/>
            <w:vAlign w:val="bottom"/>
            <w:shd w:val="clear" w:color="auto" w:fill="CCEEFF"/>
          </w:tcPr>
          <w:p>
            <w:pPr>
              <w:spacing w:after="0"/>
              <w:rPr>
                <w:sz w:val="22"/>
                <w:szCs w:val="22"/>
                <w:color w:val="auto"/>
              </w:rPr>
            </w:pPr>
          </w:p>
        </w:tc>
        <w:tc>
          <w:tcPr>
            <w:tcW w:w="340" w:type="dxa"/>
            <w:vAlign w:val="bottom"/>
            <w:shd w:val="clear" w:color="auto" w:fill="CCEEFF"/>
          </w:tcPr>
          <w:p>
            <w:pPr>
              <w:spacing w:after="0"/>
              <w:rPr>
                <w:sz w:val="22"/>
                <w:szCs w:val="22"/>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(112,378)</w:t>
            </w:r>
          </w:p>
        </w:tc>
      </w:tr>
      <w:tr>
        <w:trPr>
          <w:trHeight w:val="264"/>
        </w:trPr>
        <w:tc>
          <w:tcPr>
            <w:tcW w:w="6640" w:type="dxa"/>
            <w:vAlign w:val="bottom"/>
            <w:tcBorders>
              <w:bottom w:val="single" w:sz="8" w:color="auto"/>
            </w:tcBorders>
          </w:tcPr>
          <w:p>
            <w:pPr>
              <w:ind w:left="180"/>
              <w:spacing w:after="0"/>
              <w:rPr>
                <w:sz w:val="20"/>
                <w:szCs w:val="20"/>
                <w:color w:val="auto"/>
              </w:rPr>
            </w:pPr>
            <w:r>
              <w:rPr>
                <w:rFonts w:ascii="Arial" w:cs="Arial" w:eastAsia="Arial" w:hAnsi="Arial"/>
                <w:sz w:val="14"/>
                <w:szCs w:val="14"/>
                <w:color w:val="auto"/>
              </w:rPr>
              <w:t>Cash and cash equivalents, beginning of year</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943,396</w:t>
            </w:r>
          </w:p>
        </w:tc>
        <w:tc>
          <w:tcPr>
            <w:tcW w:w="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48"/>
              <w:spacing w:after="0"/>
              <w:rPr>
                <w:sz w:val="20"/>
                <w:szCs w:val="20"/>
                <w:color w:val="auto"/>
              </w:rPr>
            </w:pPr>
            <w:r>
              <w:rPr>
                <w:rFonts w:ascii="Arial" w:cs="Arial" w:eastAsia="Arial" w:hAnsi="Arial"/>
                <w:sz w:val="14"/>
                <w:szCs w:val="14"/>
                <w:color w:val="auto"/>
              </w:rPr>
              <w:t>798,742</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911,120</w:t>
            </w:r>
          </w:p>
        </w:tc>
      </w:tr>
      <w:tr>
        <w:trPr>
          <w:trHeight w:val="237"/>
        </w:trPr>
        <w:tc>
          <w:tcPr>
            <w:tcW w:w="67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Cash and cash equivalents, end of year</w:t>
            </w:r>
          </w:p>
        </w:tc>
        <w:tc>
          <w:tcPr>
            <w:tcW w:w="360" w:type="dxa"/>
            <w:vAlign w:val="bottom"/>
            <w:shd w:val="clear" w:color="auto" w:fill="CCEEFF"/>
          </w:tcPr>
          <w:p>
            <w:pPr>
              <w:jc w:val="right"/>
              <w:ind w:right="188"/>
              <w:spacing w:after="0"/>
              <w:rPr>
                <w:sz w:val="20"/>
                <w:szCs w:val="20"/>
                <w:color w:val="auto"/>
              </w:rPr>
            </w:pPr>
            <w:r>
              <w:rPr>
                <w:rFonts w:ascii="Arial" w:cs="Arial" w:eastAsia="Arial" w:hAnsi="Arial"/>
                <w:sz w:val="14"/>
                <w:szCs w:val="14"/>
                <w:b w:val="1"/>
                <w:bCs w:val="1"/>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808,973</w:t>
            </w:r>
          </w:p>
        </w:tc>
        <w:tc>
          <w:tcPr>
            <w:tcW w:w="52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943,396</w:t>
            </w:r>
          </w:p>
        </w:tc>
        <w:tc>
          <w:tcPr>
            <w:tcW w:w="100" w:type="dxa"/>
            <w:vAlign w:val="bottom"/>
            <w:shd w:val="clear" w:color="auto" w:fill="CCEEFF"/>
          </w:tcPr>
          <w:p>
            <w:pPr>
              <w:spacing w:after="0"/>
              <w:rPr>
                <w:sz w:val="20"/>
                <w:szCs w:val="20"/>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798,742</w:t>
            </w:r>
          </w:p>
        </w:tc>
      </w:tr>
      <w:tr>
        <w:trPr>
          <w:trHeight w:val="20"/>
        </w:trPr>
        <w:tc>
          <w:tcPr>
            <w:tcW w:w="6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r>
        <w:trPr>
          <w:trHeight w:val="224"/>
        </w:trPr>
        <w:tc>
          <w:tcPr>
            <w:tcW w:w="6760" w:type="dxa"/>
            <w:vAlign w:val="bottom"/>
            <w:gridSpan w:val="2"/>
          </w:tcPr>
          <w:p>
            <w:pPr>
              <w:ind w:left="180"/>
              <w:spacing w:after="0"/>
              <w:rPr>
                <w:sz w:val="20"/>
                <w:szCs w:val="20"/>
                <w:color w:val="auto"/>
              </w:rPr>
            </w:pPr>
            <w:r>
              <w:rPr>
                <w:rFonts w:ascii="Arial" w:cs="Arial" w:eastAsia="Arial" w:hAnsi="Arial"/>
                <w:sz w:val="14"/>
                <w:szCs w:val="14"/>
                <w:b w:val="1"/>
                <w:bCs w:val="1"/>
                <w:color w:val="auto"/>
              </w:rPr>
              <w:t>Supplemental data:</w:t>
            </w:r>
          </w:p>
        </w:tc>
        <w:tc>
          <w:tcPr>
            <w:tcW w:w="36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20" w:type="dxa"/>
            <w:vAlign w:val="bottom"/>
          </w:tcPr>
          <w:p>
            <w:pPr>
              <w:spacing w:after="0"/>
              <w:rPr>
                <w:sz w:val="19"/>
                <w:szCs w:val="19"/>
                <w:color w:val="auto"/>
              </w:rPr>
            </w:pPr>
          </w:p>
        </w:tc>
      </w:tr>
      <w:tr>
        <w:trPr>
          <w:trHeight w:val="276"/>
        </w:trPr>
        <w:tc>
          <w:tcPr>
            <w:tcW w:w="6760" w:type="dxa"/>
            <w:vAlign w:val="bottom"/>
            <w:gridSpan w:val="2"/>
            <w:shd w:val="clear" w:color="auto" w:fill="CCEEFF"/>
          </w:tcPr>
          <w:p>
            <w:pPr>
              <w:ind w:left="180"/>
              <w:spacing w:after="0"/>
              <w:rPr>
                <w:sz w:val="20"/>
                <w:szCs w:val="20"/>
                <w:color w:val="auto"/>
              </w:rPr>
            </w:pPr>
            <w:r>
              <w:rPr>
                <w:rFonts w:ascii="Arial" w:cs="Arial" w:eastAsia="Arial" w:hAnsi="Arial"/>
                <w:sz w:val="14"/>
                <w:szCs w:val="14"/>
                <w:color w:val="auto"/>
              </w:rPr>
              <w:t>Interest paid</w:t>
            </w:r>
          </w:p>
        </w:tc>
        <w:tc>
          <w:tcPr>
            <w:tcW w:w="360" w:type="dxa"/>
            <w:vAlign w:val="bottom"/>
            <w:shd w:val="clear" w:color="auto" w:fill="CCEEFF"/>
          </w:tcPr>
          <w:p>
            <w:pPr>
              <w:jc w:val="right"/>
              <w:ind w:right="188"/>
              <w:spacing w:after="0"/>
              <w:rPr>
                <w:sz w:val="20"/>
                <w:szCs w:val="20"/>
                <w:color w:val="auto"/>
              </w:rPr>
            </w:pPr>
            <w:r>
              <w:rPr>
                <w:rFonts w:ascii="Arial" w:cs="Arial" w:eastAsia="Arial" w:hAnsi="Arial"/>
                <w:sz w:val="14"/>
                <w:szCs w:val="14"/>
                <w:b w:val="1"/>
                <w:bCs w:val="1"/>
                <w:color w:val="auto"/>
              </w:rPr>
              <w:t>$</w:t>
            </w:r>
          </w:p>
        </w:tc>
        <w:tc>
          <w:tcPr>
            <w:tcW w:w="10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4,121</w:t>
            </w:r>
          </w:p>
        </w:tc>
        <w:tc>
          <w:tcPr>
            <w:tcW w:w="520" w:type="dxa"/>
            <w:vAlign w:val="bottom"/>
            <w:gridSpan w:val="3"/>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1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7,628</w:t>
            </w:r>
          </w:p>
        </w:tc>
        <w:tc>
          <w:tcPr>
            <w:tcW w:w="100" w:type="dxa"/>
            <w:vAlign w:val="bottom"/>
            <w:shd w:val="clear" w:color="auto" w:fill="CCEEFF"/>
          </w:tcPr>
          <w:p>
            <w:pPr>
              <w:spacing w:after="0"/>
              <w:rPr>
                <w:sz w:val="24"/>
                <w:szCs w:val="24"/>
                <w:color w:val="auto"/>
              </w:rPr>
            </w:pPr>
          </w:p>
        </w:tc>
        <w:tc>
          <w:tcPr>
            <w:tcW w:w="34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7,626</w:t>
            </w:r>
          </w:p>
        </w:tc>
      </w:tr>
      <w:tr>
        <w:trPr>
          <w:trHeight w:val="258"/>
        </w:trPr>
        <w:tc>
          <w:tcPr>
            <w:tcW w:w="6760" w:type="dxa"/>
            <w:vAlign w:val="bottom"/>
            <w:gridSpan w:val="2"/>
          </w:tcPr>
          <w:p>
            <w:pPr>
              <w:ind w:left="180"/>
              <w:spacing w:after="0"/>
              <w:rPr>
                <w:sz w:val="20"/>
                <w:szCs w:val="20"/>
                <w:color w:val="auto"/>
              </w:rPr>
            </w:pPr>
            <w:r>
              <w:rPr>
                <w:rFonts w:ascii="Arial" w:cs="Arial" w:eastAsia="Arial" w:hAnsi="Arial"/>
                <w:sz w:val="14"/>
                <w:szCs w:val="14"/>
                <w:color w:val="auto"/>
              </w:rPr>
              <w:t>Income taxes paid (refunded)</w:t>
            </w:r>
          </w:p>
        </w:tc>
        <w:tc>
          <w:tcPr>
            <w:tcW w:w="360" w:type="dxa"/>
            <w:vAlign w:val="bottom"/>
          </w:tcPr>
          <w:p>
            <w:pPr>
              <w:jc w:val="right"/>
              <w:ind w:right="188"/>
              <w:spacing w:after="0"/>
              <w:rPr>
                <w:sz w:val="20"/>
                <w:szCs w:val="20"/>
                <w:color w:val="auto"/>
              </w:rPr>
            </w:pPr>
            <w:r>
              <w:rPr>
                <w:rFonts w:ascii="Arial" w:cs="Arial" w:eastAsia="Arial" w:hAnsi="Arial"/>
                <w:sz w:val="14"/>
                <w:szCs w:val="14"/>
                <w:b w:val="1"/>
                <w:bCs w:val="1"/>
                <w:color w:val="auto"/>
              </w:rPr>
              <w:t>$</w:t>
            </w:r>
          </w:p>
        </w:tc>
        <w:tc>
          <w:tcPr>
            <w:tcW w:w="1080" w:type="dxa"/>
            <w:vAlign w:val="bottom"/>
          </w:tcPr>
          <w:p>
            <w:pPr>
              <w:jc w:val="right"/>
              <w:spacing w:after="0"/>
              <w:rPr>
                <w:sz w:val="20"/>
                <w:szCs w:val="20"/>
                <w:color w:val="auto"/>
              </w:rPr>
            </w:pPr>
            <w:r>
              <w:rPr>
                <w:rFonts w:ascii="Arial" w:cs="Arial" w:eastAsia="Arial" w:hAnsi="Arial"/>
                <w:sz w:val="14"/>
                <w:szCs w:val="14"/>
                <w:b w:val="1"/>
                <w:bCs w:val="1"/>
                <w:color w:val="auto"/>
              </w:rPr>
              <w:t>8,790</w:t>
            </w:r>
          </w:p>
        </w:tc>
        <w:tc>
          <w:tcPr>
            <w:tcW w:w="520" w:type="dxa"/>
            <w:vAlign w:val="bottom"/>
            <w:gridSpan w:val="3"/>
          </w:tcPr>
          <w:p>
            <w:pPr>
              <w:jc w:val="right"/>
              <w:ind w:right="240"/>
              <w:spacing w:after="0"/>
              <w:rPr>
                <w:sz w:val="20"/>
                <w:szCs w:val="20"/>
                <w:color w:val="auto"/>
              </w:rPr>
            </w:pPr>
            <w:r>
              <w:rPr>
                <w:rFonts w:ascii="Arial" w:cs="Arial" w:eastAsia="Arial" w:hAnsi="Arial"/>
                <w:sz w:val="14"/>
                <w:szCs w:val="14"/>
                <w:color w:val="auto"/>
              </w:rPr>
              <w:t>$</w:t>
            </w:r>
          </w:p>
        </w:tc>
        <w:tc>
          <w:tcPr>
            <w:tcW w:w="1140" w:type="dxa"/>
            <w:vAlign w:val="bottom"/>
          </w:tcPr>
          <w:p>
            <w:pPr>
              <w:jc w:val="right"/>
              <w:ind w:right="48"/>
              <w:spacing w:after="0"/>
              <w:rPr>
                <w:sz w:val="20"/>
                <w:szCs w:val="20"/>
                <w:color w:val="auto"/>
              </w:rPr>
            </w:pPr>
            <w:r>
              <w:rPr>
                <w:rFonts w:ascii="Arial" w:cs="Arial" w:eastAsia="Arial" w:hAnsi="Arial"/>
                <w:sz w:val="14"/>
                <w:szCs w:val="14"/>
                <w:color w:val="auto"/>
              </w:rPr>
              <w:t>6,648</w:t>
            </w:r>
          </w:p>
        </w:tc>
        <w:tc>
          <w:tcPr>
            <w:tcW w:w="100" w:type="dxa"/>
            <w:vAlign w:val="bottom"/>
          </w:tcPr>
          <w:p>
            <w:pPr>
              <w:spacing w:after="0"/>
              <w:rPr>
                <w:sz w:val="22"/>
                <w:szCs w:val="22"/>
                <w:color w:val="auto"/>
              </w:rPr>
            </w:pPr>
          </w:p>
        </w:tc>
        <w:tc>
          <w:tcPr>
            <w:tcW w:w="340" w:type="dxa"/>
            <w:vAlign w:val="bottom"/>
          </w:tcPr>
          <w:p>
            <w:pPr>
              <w:jc w:val="right"/>
              <w:ind w:right="168"/>
              <w:spacing w:after="0"/>
              <w:rPr>
                <w:sz w:val="20"/>
                <w:szCs w:val="20"/>
                <w:color w:val="auto"/>
              </w:rPr>
            </w:pPr>
            <w:r>
              <w:rPr>
                <w:rFonts w:ascii="Arial" w:cs="Arial" w:eastAsia="Arial" w:hAnsi="Arial"/>
                <w:sz w:val="14"/>
                <w:szCs w:val="14"/>
                <w:color w:val="auto"/>
              </w:rPr>
              <w:t>$</w:t>
            </w:r>
          </w:p>
        </w:tc>
        <w:tc>
          <w:tcPr>
            <w:tcW w:w="1120" w:type="dxa"/>
            <w:vAlign w:val="bottom"/>
          </w:tcPr>
          <w:p>
            <w:pPr>
              <w:jc w:val="right"/>
              <w:spacing w:after="0"/>
              <w:rPr>
                <w:sz w:val="20"/>
                <w:szCs w:val="20"/>
                <w:color w:val="auto"/>
              </w:rPr>
            </w:pPr>
            <w:r>
              <w:rPr>
                <w:rFonts w:ascii="Arial" w:cs="Arial" w:eastAsia="Arial" w:hAnsi="Arial"/>
                <w:sz w:val="14"/>
                <w:szCs w:val="14"/>
                <w:color w:val="auto"/>
              </w:rPr>
              <w:t>(26,223)</w:t>
            </w:r>
          </w:p>
        </w:tc>
      </w:tr>
    </w:tbl>
    <w:p>
      <w:pPr>
        <w:spacing w:after="0"/>
        <w:rPr>
          <w:sz w:val="20"/>
          <w:szCs w:val="20"/>
          <w:color w:val="auto"/>
        </w:rPr>
      </w:pPr>
      <w:r>
        <w:rPr>
          <w:rFonts w:ascii="Arial" w:cs="Arial" w:eastAsia="Arial" w:hAnsi="Arial"/>
          <w:sz w:val="18"/>
          <w:szCs w:val="18"/>
          <w:i w:val="1"/>
          <w:iCs w:val="1"/>
          <w:color w:val="auto"/>
        </w:rPr>
        <w:t>See accompanying Notes.</w:t>
      </w:r>
    </w:p>
    <w:p>
      <w:pPr>
        <w:sectPr>
          <w:pgSz w:w="11900" w:h="16838" w:orient="portrait"/>
          <w:cols w:equalWidth="0" w:num="1">
            <w:col w:w="11420"/>
          </w:cols>
          <w:pgMar w:left="240" w:top="341" w:right="239" w:bottom="528" w:gutter="0" w:footer="0" w:header="0"/>
        </w:sect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57</w:t>
      </w:r>
    </w:p>
    <w:p>
      <w:pPr>
        <w:sectPr>
          <w:pgSz w:w="11900" w:h="16838" w:orient="portrait"/>
          <w:cols w:equalWidth="0" w:num="1">
            <w:col w:w="11420"/>
          </w:cols>
          <w:pgMar w:left="240" w:top="341" w:right="239" w:bottom="528" w:gutter="0" w:footer="0" w:header="0"/>
          <w:type w:val="continuous"/>
        </w:sectPr>
      </w:pPr>
    </w:p>
    <w:bookmarkStart w:id="59" w:name="page60"/>
    <w:bookmarkEnd w:id="59"/>
    <w:p>
      <w:pPr>
        <w:jc w:val="center"/>
        <w:spacing w:after="0"/>
        <w:rPr>
          <w:sz w:val="20"/>
          <w:szCs w:val="20"/>
          <w:color w:val="auto"/>
        </w:rPr>
      </w:pPr>
      <w:r>
        <w:rPr>
          <w:rFonts w:ascii="Arial" w:cs="Arial" w:eastAsia="Arial" w:hAnsi="Arial"/>
          <w:sz w:val="18"/>
          <w:szCs w:val="18"/>
          <w:b w:val="1"/>
          <w:bCs w:val="1"/>
          <w:color w:val="auto"/>
        </w:rPr>
        <w:t>TAKE-TWO INTERACTIVE SOFTWARE,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80" w:type="dxa"/>
            <w:vAlign w:val="bottom"/>
            <w:gridSpan w:val="5"/>
          </w:tcPr>
          <w:p>
            <w:pPr>
              <w:ind w:left="400"/>
              <w:spacing w:after="0"/>
              <w:rPr>
                <w:sz w:val="20"/>
                <w:szCs w:val="20"/>
                <w:color w:val="auto"/>
              </w:rPr>
            </w:pPr>
            <w:r>
              <w:rPr>
                <w:rFonts w:ascii="Arial" w:cs="Arial" w:eastAsia="Arial" w:hAnsi="Arial"/>
                <w:sz w:val="14"/>
                <w:szCs w:val="14"/>
                <w:b w:val="1"/>
                <w:bCs w:val="1"/>
                <w:color w:val="auto"/>
              </w:rPr>
              <w:t>Common Stock</w:t>
            </w:r>
          </w:p>
        </w:tc>
        <w:tc>
          <w:tcPr>
            <w:tcW w:w="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80" w:type="dxa"/>
            <w:vAlign w:val="bottom"/>
            <w:gridSpan w:val="5"/>
          </w:tcPr>
          <w:p>
            <w:pPr>
              <w:ind w:left="400"/>
              <w:spacing w:after="0"/>
              <w:rPr>
                <w:sz w:val="20"/>
                <w:szCs w:val="20"/>
                <w:color w:val="auto"/>
              </w:rPr>
            </w:pPr>
            <w:r>
              <w:rPr>
                <w:rFonts w:ascii="Arial" w:cs="Arial" w:eastAsia="Arial" w:hAnsi="Arial"/>
                <w:sz w:val="14"/>
                <w:szCs w:val="14"/>
                <w:b w:val="1"/>
                <w:bCs w:val="1"/>
                <w:color w:val="auto"/>
              </w:rPr>
              <w:t>Treasury Stock</w:t>
            </w:r>
          </w:p>
        </w:tc>
        <w:tc>
          <w:tcPr>
            <w:tcW w:w="26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8"/>
              </w:rPr>
              <w:t>Accumulated</w:t>
            </w:r>
          </w:p>
        </w:tc>
        <w:tc>
          <w:tcPr>
            <w:tcW w:w="1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6"/>
        </w:trPr>
        <w:tc>
          <w:tcPr>
            <w:tcW w:w="2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gridSpan w:val="2"/>
            <w:vMerge w:val="restart"/>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Additional</w:t>
            </w: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40" w:type="dxa"/>
            <w:vAlign w:val="bottom"/>
            <w:gridSpan w:val="2"/>
            <w:vMerge w:val="restart"/>
          </w:tcPr>
          <w:p>
            <w:pPr>
              <w:jc w:val="center"/>
              <w:ind w:right="360"/>
              <w:spacing w:after="0" w:line="149" w:lineRule="exact"/>
              <w:rPr>
                <w:sz w:val="20"/>
                <w:szCs w:val="20"/>
                <w:color w:val="auto"/>
              </w:rPr>
            </w:pPr>
            <w:r>
              <w:rPr>
                <w:rFonts w:ascii="Arial" w:cs="Arial" w:eastAsia="Arial" w:hAnsi="Arial"/>
                <w:sz w:val="14"/>
                <w:szCs w:val="14"/>
                <w:b w:val="1"/>
                <w:bCs w:val="1"/>
                <w:color w:val="auto"/>
                <w:w w:val="87"/>
              </w:rPr>
              <w:t>Retained</w:t>
            </w:r>
          </w:p>
        </w:tc>
        <w:tc>
          <w:tcPr>
            <w:tcW w:w="140" w:type="dxa"/>
            <w:vAlign w:val="bottom"/>
          </w:tcPr>
          <w:p>
            <w:pPr>
              <w:spacing w:after="0"/>
              <w:rPr>
                <w:sz w:val="2"/>
                <w:szCs w:val="2"/>
                <w:color w:val="auto"/>
              </w:rPr>
            </w:pPr>
          </w:p>
        </w:tc>
        <w:tc>
          <w:tcPr>
            <w:tcW w:w="1220" w:type="dxa"/>
            <w:vAlign w:val="bottom"/>
            <w:gridSpan w:val="2"/>
            <w:vMerge w:val="restart"/>
          </w:tcPr>
          <w:p>
            <w:pPr>
              <w:jc w:val="center"/>
              <w:ind w:right="240"/>
              <w:spacing w:after="0" w:line="149" w:lineRule="exact"/>
              <w:rPr>
                <w:sz w:val="20"/>
                <w:szCs w:val="20"/>
                <w:color w:val="auto"/>
              </w:rPr>
            </w:pPr>
            <w:r>
              <w:rPr>
                <w:rFonts w:ascii="Arial" w:cs="Arial" w:eastAsia="Arial" w:hAnsi="Arial"/>
                <w:sz w:val="14"/>
                <w:szCs w:val="14"/>
                <w:b w:val="1"/>
                <w:bCs w:val="1"/>
                <w:color w:val="auto"/>
                <w:w w:val="90"/>
              </w:rPr>
              <w:t>Other</w:t>
            </w:r>
          </w:p>
        </w:tc>
        <w:tc>
          <w:tcPr>
            <w:tcW w:w="120" w:type="dxa"/>
            <w:vAlign w:val="bottom"/>
          </w:tcPr>
          <w:p>
            <w:pPr>
              <w:spacing w:after="0"/>
              <w:rPr>
                <w:sz w:val="2"/>
                <w:szCs w:val="2"/>
                <w:color w:val="auto"/>
              </w:rPr>
            </w:pPr>
          </w:p>
        </w:tc>
        <w:tc>
          <w:tcPr>
            <w:tcW w:w="1000" w:type="dxa"/>
            <w:vAlign w:val="bottom"/>
            <w:vMerge w:val="restart"/>
          </w:tcPr>
          <w:p>
            <w:pPr>
              <w:jc w:val="center"/>
              <w:ind w:right="52"/>
              <w:spacing w:after="0" w:line="149" w:lineRule="exact"/>
              <w:rPr>
                <w:sz w:val="20"/>
                <w:szCs w:val="20"/>
                <w:color w:val="auto"/>
              </w:rPr>
            </w:pPr>
            <w:r>
              <w:rPr>
                <w:rFonts w:ascii="Arial" w:cs="Arial" w:eastAsia="Arial" w:hAnsi="Arial"/>
                <w:sz w:val="14"/>
                <w:szCs w:val="14"/>
                <w:b w:val="1"/>
                <w:bCs w:val="1"/>
                <w:color w:val="auto"/>
                <w:w w:val="83"/>
              </w:rPr>
              <w:t>Total</w:t>
            </w:r>
          </w:p>
        </w:tc>
        <w:tc>
          <w:tcPr>
            <w:tcW w:w="0" w:type="dxa"/>
            <w:vAlign w:val="bottom"/>
          </w:tcPr>
          <w:p>
            <w:pPr>
              <w:spacing w:after="0"/>
              <w:rPr>
                <w:sz w:val="1"/>
                <w:szCs w:val="1"/>
                <w:color w:val="auto"/>
              </w:rPr>
            </w:pPr>
          </w:p>
        </w:tc>
      </w:tr>
      <w:tr>
        <w:trPr>
          <w:trHeight w:val="102"/>
        </w:trPr>
        <w:tc>
          <w:tcPr>
            <w:tcW w:w="276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880" w:type="dxa"/>
            <w:vAlign w:val="bottom"/>
            <w:gridSpan w:val="2"/>
            <w:vMerge w:val="continue"/>
          </w:tcPr>
          <w:p>
            <w:pPr>
              <w:spacing w:after="0"/>
              <w:rPr>
                <w:sz w:val="8"/>
                <w:szCs w:val="8"/>
                <w:color w:val="auto"/>
              </w:rPr>
            </w:pPr>
          </w:p>
        </w:tc>
        <w:tc>
          <w:tcPr>
            <w:tcW w:w="78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1240" w:type="dxa"/>
            <w:vAlign w:val="bottom"/>
            <w:gridSpan w:val="2"/>
            <w:vMerge w:val="continue"/>
          </w:tcPr>
          <w:p>
            <w:pPr>
              <w:spacing w:after="0"/>
              <w:rPr>
                <w:sz w:val="8"/>
                <w:szCs w:val="8"/>
                <w:color w:val="auto"/>
              </w:rPr>
            </w:pPr>
          </w:p>
        </w:tc>
        <w:tc>
          <w:tcPr>
            <w:tcW w:w="140" w:type="dxa"/>
            <w:vAlign w:val="bottom"/>
          </w:tcPr>
          <w:p>
            <w:pPr>
              <w:spacing w:after="0"/>
              <w:rPr>
                <w:sz w:val="8"/>
                <w:szCs w:val="8"/>
                <w:color w:val="auto"/>
              </w:rPr>
            </w:pPr>
          </w:p>
        </w:tc>
        <w:tc>
          <w:tcPr>
            <w:tcW w:w="122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100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49"/>
        </w:trPr>
        <w:tc>
          <w:tcPr>
            <w:tcW w:w="2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89"/>
              </w:rPr>
              <w:t>Paid-in</w:t>
            </w: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5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3"/>
              </w:rPr>
              <w:t>Earnings/(Accumulated</w:t>
            </w:r>
          </w:p>
        </w:tc>
        <w:tc>
          <w:tcPr>
            <w:tcW w:w="140" w:type="dxa"/>
            <w:vAlign w:val="bottom"/>
          </w:tcPr>
          <w:p>
            <w:pPr>
              <w:spacing w:after="0"/>
              <w:rPr>
                <w:sz w:val="12"/>
                <w:szCs w:val="12"/>
                <w:color w:val="auto"/>
              </w:rPr>
            </w:pPr>
          </w:p>
        </w:tc>
        <w:tc>
          <w:tcPr>
            <w:tcW w:w="12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5"/>
              </w:rPr>
              <w:t>Comprehensive</w:t>
            </w:r>
          </w:p>
        </w:tc>
        <w:tc>
          <w:tcPr>
            <w:tcW w:w="120" w:type="dxa"/>
            <w:vAlign w:val="bottom"/>
          </w:tcPr>
          <w:p>
            <w:pPr>
              <w:spacing w:after="0"/>
              <w:rPr>
                <w:sz w:val="12"/>
                <w:szCs w:val="12"/>
                <w:color w:val="auto"/>
              </w:rPr>
            </w:pPr>
          </w:p>
        </w:tc>
        <w:tc>
          <w:tcPr>
            <w:tcW w:w="100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86"/>
              </w:rPr>
              <w:t>Stockholders'</w:t>
            </w:r>
          </w:p>
        </w:tc>
        <w:tc>
          <w:tcPr>
            <w:tcW w:w="0" w:type="dxa"/>
            <w:vAlign w:val="bottom"/>
          </w:tcPr>
          <w:p>
            <w:pPr>
              <w:spacing w:after="0"/>
              <w:rPr>
                <w:sz w:val="1"/>
                <w:szCs w:val="1"/>
                <w:color w:val="auto"/>
              </w:rPr>
            </w:pPr>
          </w:p>
        </w:tc>
      </w:tr>
      <w:tr>
        <w:trPr>
          <w:trHeight w:val="182"/>
        </w:trPr>
        <w:tc>
          <w:tcPr>
            <w:tcW w:w="27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80" w:type="dxa"/>
            <w:vAlign w:val="bottom"/>
            <w:gridSpan w:val="2"/>
          </w:tcPr>
          <w:p>
            <w:pPr>
              <w:ind w:left="180"/>
              <w:spacing w:after="0"/>
              <w:rPr>
                <w:sz w:val="20"/>
                <w:szCs w:val="20"/>
                <w:color w:val="auto"/>
              </w:rPr>
            </w:pPr>
            <w:r>
              <w:rPr>
                <w:rFonts w:ascii="Arial" w:cs="Arial" w:eastAsia="Arial" w:hAnsi="Arial"/>
                <w:sz w:val="14"/>
                <w:szCs w:val="14"/>
                <w:b w:val="1"/>
                <w:bCs w:val="1"/>
                <w:color w:val="auto"/>
              </w:rPr>
              <w:t>Shares</w:t>
            </w:r>
          </w:p>
        </w:tc>
        <w:tc>
          <w:tcPr>
            <w:tcW w:w="120" w:type="dxa"/>
            <w:vAlign w:val="bottom"/>
          </w:tcPr>
          <w:p>
            <w:pPr>
              <w:spacing w:after="0"/>
              <w:rPr>
                <w:sz w:val="15"/>
                <w:szCs w:val="15"/>
                <w:color w:val="auto"/>
              </w:rPr>
            </w:pPr>
          </w:p>
        </w:tc>
        <w:tc>
          <w:tcPr>
            <w:tcW w:w="780" w:type="dxa"/>
            <w:vAlign w:val="bottom"/>
            <w:gridSpan w:val="2"/>
          </w:tcPr>
          <w:p>
            <w:pPr>
              <w:ind w:left="40"/>
              <w:spacing w:after="0"/>
              <w:rPr>
                <w:sz w:val="20"/>
                <w:szCs w:val="20"/>
                <w:color w:val="auto"/>
              </w:rPr>
            </w:pPr>
            <w:r>
              <w:rPr>
                <w:rFonts w:ascii="Arial" w:cs="Arial" w:eastAsia="Arial" w:hAnsi="Arial"/>
                <w:sz w:val="14"/>
                <w:szCs w:val="14"/>
                <w:b w:val="1"/>
                <w:bCs w:val="1"/>
                <w:color w:val="auto"/>
              </w:rPr>
              <w:t>Amount</w:t>
            </w:r>
          </w:p>
        </w:tc>
        <w:tc>
          <w:tcPr>
            <w:tcW w:w="120" w:type="dxa"/>
            <w:vAlign w:val="bottom"/>
          </w:tcPr>
          <w:p>
            <w:pPr>
              <w:spacing w:after="0"/>
              <w:rPr>
                <w:sz w:val="15"/>
                <w:szCs w:val="15"/>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4"/>
              </w:rPr>
              <w:t>Capital</w:t>
            </w:r>
          </w:p>
        </w:tc>
        <w:tc>
          <w:tcPr>
            <w:tcW w:w="880" w:type="dxa"/>
            <w:vAlign w:val="bottom"/>
            <w:gridSpan w:val="2"/>
          </w:tcPr>
          <w:p>
            <w:pPr>
              <w:ind w:left="200"/>
              <w:spacing w:after="0"/>
              <w:rPr>
                <w:sz w:val="20"/>
                <w:szCs w:val="20"/>
                <w:color w:val="auto"/>
              </w:rPr>
            </w:pPr>
            <w:r>
              <w:rPr>
                <w:rFonts w:ascii="Arial" w:cs="Arial" w:eastAsia="Arial" w:hAnsi="Arial"/>
                <w:sz w:val="14"/>
                <w:szCs w:val="14"/>
                <w:b w:val="1"/>
                <w:bCs w:val="1"/>
                <w:color w:val="auto"/>
              </w:rPr>
              <w:t>Shares</w:t>
            </w:r>
          </w:p>
        </w:tc>
        <w:tc>
          <w:tcPr>
            <w:tcW w:w="120" w:type="dxa"/>
            <w:vAlign w:val="bottom"/>
          </w:tcPr>
          <w:p>
            <w:pPr>
              <w:spacing w:after="0"/>
              <w:rPr>
                <w:sz w:val="15"/>
                <w:szCs w:val="15"/>
                <w:color w:val="auto"/>
              </w:rPr>
            </w:pPr>
          </w:p>
        </w:tc>
        <w:tc>
          <w:tcPr>
            <w:tcW w:w="780" w:type="dxa"/>
            <w:vAlign w:val="bottom"/>
            <w:gridSpan w:val="2"/>
          </w:tcPr>
          <w:p>
            <w:pPr>
              <w:ind w:left="40"/>
              <w:spacing w:after="0"/>
              <w:rPr>
                <w:sz w:val="20"/>
                <w:szCs w:val="20"/>
                <w:color w:val="auto"/>
              </w:rPr>
            </w:pPr>
            <w:r>
              <w:rPr>
                <w:rFonts w:ascii="Arial" w:cs="Arial" w:eastAsia="Arial" w:hAnsi="Arial"/>
                <w:sz w:val="14"/>
                <w:szCs w:val="14"/>
                <w:b w:val="1"/>
                <w:bCs w:val="1"/>
                <w:color w:val="auto"/>
              </w:rPr>
              <w:t>Amount</w:t>
            </w:r>
          </w:p>
        </w:tc>
        <w:tc>
          <w:tcPr>
            <w:tcW w:w="260" w:type="dxa"/>
            <w:vAlign w:val="bottom"/>
          </w:tcPr>
          <w:p>
            <w:pPr>
              <w:spacing w:after="0"/>
              <w:rPr>
                <w:sz w:val="15"/>
                <w:szCs w:val="15"/>
                <w:color w:val="auto"/>
              </w:rPr>
            </w:pPr>
          </w:p>
        </w:tc>
        <w:tc>
          <w:tcPr>
            <w:tcW w:w="1240" w:type="dxa"/>
            <w:vAlign w:val="bottom"/>
            <w:gridSpan w:val="2"/>
          </w:tcPr>
          <w:p>
            <w:pPr>
              <w:jc w:val="center"/>
              <w:ind w:right="360"/>
              <w:spacing w:after="0"/>
              <w:rPr>
                <w:sz w:val="20"/>
                <w:szCs w:val="20"/>
                <w:color w:val="auto"/>
              </w:rPr>
            </w:pPr>
            <w:r>
              <w:rPr>
                <w:rFonts w:ascii="Arial" w:cs="Arial" w:eastAsia="Arial" w:hAnsi="Arial"/>
                <w:sz w:val="14"/>
                <w:szCs w:val="14"/>
                <w:b w:val="1"/>
                <w:bCs w:val="1"/>
                <w:color w:val="auto"/>
                <w:w w:val="92"/>
              </w:rPr>
              <w:t>Deficit)</w:t>
            </w:r>
          </w:p>
        </w:tc>
        <w:tc>
          <w:tcPr>
            <w:tcW w:w="140" w:type="dxa"/>
            <w:vAlign w:val="bottom"/>
          </w:tcPr>
          <w:p>
            <w:pPr>
              <w:spacing w:after="0"/>
              <w:rPr>
                <w:sz w:val="15"/>
                <w:szCs w:val="15"/>
                <w:color w:val="auto"/>
              </w:rPr>
            </w:pPr>
          </w:p>
        </w:tc>
        <w:tc>
          <w:tcPr>
            <w:tcW w:w="122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6"/>
              </w:rPr>
              <w:t>Income (Loss)</w:t>
            </w:r>
          </w:p>
        </w:tc>
        <w:tc>
          <w:tcPr>
            <w:tcW w:w="120" w:type="dxa"/>
            <w:vAlign w:val="bottom"/>
          </w:tcPr>
          <w:p>
            <w:pPr>
              <w:spacing w:after="0"/>
              <w:rPr>
                <w:sz w:val="15"/>
                <w:szCs w:val="15"/>
                <w:color w:val="auto"/>
              </w:rPr>
            </w:pPr>
          </w:p>
        </w:tc>
        <w:tc>
          <w:tcPr>
            <w:tcW w:w="1000" w:type="dxa"/>
            <w:vAlign w:val="bottom"/>
          </w:tcPr>
          <w:p>
            <w:pPr>
              <w:jc w:val="center"/>
              <w:ind w:right="52"/>
              <w:spacing w:after="0"/>
              <w:rPr>
                <w:sz w:val="20"/>
                <w:szCs w:val="20"/>
                <w:color w:val="auto"/>
              </w:rPr>
            </w:pPr>
            <w:r>
              <w:rPr>
                <w:rFonts w:ascii="Arial" w:cs="Arial" w:eastAsia="Arial" w:hAnsi="Arial"/>
                <w:sz w:val="14"/>
                <w:szCs w:val="14"/>
                <w:b w:val="1"/>
                <w:bCs w:val="1"/>
                <w:color w:val="auto"/>
                <w:w w:val="93"/>
              </w:rPr>
              <w:t>Equity</w:t>
            </w:r>
          </w:p>
        </w:tc>
        <w:tc>
          <w:tcPr>
            <w:tcW w:w="0" w:type="dxa"/>
            <w:vAlign w:val="bottom"/>
          </w:tcPr>
          <w:p>
            <w:pPr>
              <w:spacing w:after="0"/>
              <w:rPr>
                <w:sz w:val="1"/>
                <w:szCs w:val="1"/>
                <w:color w:val="auto"/>
              </w:rPr>
            </w:pPr>
          </w:p>
        </w:tc>
      </w:tr>
      <w:tr>
        <w:trPr>
          <w:trHeight w:val="257"/>
        </w:trPr>
        <w:tc>
          <w:tcPr>
            <w:tcW w:w="2760" w:type="dxa"/>
            <w:vAlign w:val="bottom"/>
            <w:tcBorders>
              <w:top w:val="single" w:sz="8" w:color="CCEEFF"/>
              <w:bottom w:val="single" w:sz="8" w:color="auto"/>
            </w:tcBorders>
            <w:shd w:val="clear" w:color="auto" w:fill="CCEEFF"/>
          </w:tcPr>
          <w:p>
            <w:pPr>
              <w:ind w:left="40"/>
              <w:spacing w:after="0"/>
              <w:rPr>
                <w:sz w:val="20"/>
                <w:szCs w:val="20"/>
                <w:color w:val="auto"/>
              </w:rPr>
            </w:pPr>
            <w:r>
              <w:rPr>
                <w:rFonts w:ascii="Arial" w:cs="Arial" w:eastAsia="Arial" w:hAnsi="Arial"/>
                <w:sz w:val="13"/>
                <w:szCs w:val="13"/>
                <w:color w:val="auto"/>
              </w:rPr>
              <w:t>Balance, March 31, 2015</w:t>
            </w:r>
          </w:p>
        </w:tc>
        <w:tc>
          <w:tcPr>
            <w:tcW w:w="120" w:type="dxa"/>
            <w:vAlign w:val="bottom"/>
            <w:tcBorders>
              <w:top w:val="single" w:sz="8" w:color="CCEEFF"/>
            </w:tcBorders>
            <w:shd w:val="clear" w:color="auto" w:fill="CCEEFF"/>
          </w:tcPr>
          <w:p>
            <w:pPr>
              <w:spacing w:after="0"/>
              <w:rPr>
                <w:sz w:val="22"/>
                <w:szCs w:val="22"/>
                <w:color w:val="auto"/>
              </w:rPr>
            </w:pPr>
          </w:p>
        </w:tc>
        <w:tc>
          <w:tcPr>
            <w:tcW w:w="780" w:type="dxa"/>
            <w:vAlign w:val="bottom"/>
            <w:tcBorders>
              <w:top w:val="single" w:sz="8" w:color="auto"/>
            </w:tcBorders>
            <w:shd w:val="clear" w:color="auto" w:fill="CCEEFF"/>
          </w:tcPr>
          <w:p>
            <w:pPr>
              <w:jc w:val="right"/>
              <w:ind w:right="52"/>
              <w:spacing w:after="0"/>
              <w:rPr>
                <w:sz w:val="20"/>
                <w:szCs w:val="20"/>
                <w:color w:val="auto"/>
              </w:rPr>
            </w:pPr>
            <w:r>
              <w:rPr>
                <w:rFonts w:ascii="Arial" w:cs="Arial" w:eastAsia="Arial" w:hAnsi="Arial"/>
                <w:sz w:val="14"/>
                <w:szCs w:val="14"/>
                <w:color w:val="auto"/>
              </w:rPr>
              <w:t>104,594</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top w:val="single" w:sz="8" w:color="auto"/>
            </w:tcBorders>
            <w:shd w:val="clear" w:color="auto" w:fill="CCEEFF"/>
          </w:tcPr>
          <w:p>
            <w:pPr>
              <w:jc w:val="right"/>
              <w:ind w:right="32"/>
              <w:spacing w:after="0"/>
              <w:rPr>
                <w:sz w:val="20"/>
                <w:szCs w:val="20"/>
                <w:color w:val="auto"/>
              </w:rPr>
            </w:pPr>
            <w:r>
              <w:rPr>
                <w:rFonts w:ascii="Arial" w:cs="Arial" w:eastAsia="Arial" w:hAnsi="Arial"/>
                <w:sz w:val="14"/>
                <w:szCs w:val="14"/>
                <w:color w:val="auto"/>
              </w:rPr>
              <w:t>1,046</w:t>
            </w:r>
          </w:p>
        </w:tc>
        <w:tc>
          <w:tcPr>
            <w:tcW w:w="12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760" w:type="dxa"/>
            <w:vAlign w:val="bottom"/>
            <w:tcBorders>
              <w:top w:val="single" w:sz="8" w:color="auto"/>
            </w:tcBorders>
            <w:shd w:val="clear" w:color="auto" w:fill="CCEEFF"/>
          </w:tcPr>
          <w:p>
            <w:pPr>
              <w:jc w:val="right"/>
              <w:ind w:right="32"/>
              <w:spacing w:after="0"/>
              <w:rPr>
                <w:sz w:val="20"/>
                <w:szCs w:val="20"/>
                <w:color w:val="auto"/>
              </w:rPr>
            </w:pPr>
            <w:r>
              <w:rPr>
                <w:rFonts w:ascii="Arial" w:cs="Arial" w:eastAsia="Arial" w:hAnsi="Arial"/>
                <w:sz w:val="14"/>
                <w:szCs w:val="14"/>
                <w:color w:val="auto"/>
              </w:rPr>
              <w:t>1,028,197</w:t>
            </w:r>
          </w:p>
        </w:tc>
        <w:tc>
          <w:tcPr>
            <w:tcW w:w="120" w:type="dxa"/>
            <w:vAlign w:val="bottom"/>
            <w:tcBorders>
              <w:top w:val="single" w:sz="8" w:color="CCEEFF"/>
            </w:tcBorders>
            <w:shd w:val="clear" w:color="auto" w:fill="CCEEFF"/>
          </w:tcPr>
          <w:p>
            <w:pPr>
              <w:spacing w:after="0"/>
              <w:rPr>
                <w:sz w:val="22"/>
                <w:szCs w:val="22"/>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(16,238)</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6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(276,836)</w:t>
            </w:r>
          </w:p>
        </w:tc>
        <w:tc>
          <w:tcPr>
            <w:tcW w:w="120" w:type="dxa"/>
            <w:vAlign w:val="bottom"/>
            <w:tcBorders>
              <w:top w:val="single" w:sz="8" w:color="CCEEFF"/>
            </w:tcBorders>
            <w:shd w:val="clear" w:color="auto" w:fill="CCEEFF"/>
          </w:tcPr>
          <w:p>
            <w:pPr>
              <w:spacing w:after="0"/>
              <w:rPr>
                <w:sz w:val="22"/>
                <w:szCs w:val="22"/>
                <w:color w:val="auto"/>
              </w:rPr>
            </w:pPr>
          </w:p>
        </w:tc>
        <w:tc>
          <w:tcPr>
            <w:tcW w:w="2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w:t>
            </w:r>
          </w:p>
        </w:tc>
        <w:tc>
          <w:tcPr>
            <w:tcW w:w="1140" w:type="dxa"/>
            <w:vAlign w:val="bottom"/>
            <w:tcBorders>
              <w:top w:val="single" w:sz="8" w:color="auto"/>
            </w:tcBorders>
            <w:shd w:val="clear" w:color="auto" w:fill="CCEEFF"/>
          </w:tcPr>
          <w:p>
            <w:pPr>
              <w:jc w:val="right"/>
              <w:ind w:right="12"/>
              <w:spacing w:after="0"/>
              <w:rPr>
                <w:sz w:val="20"/>
                <w:szCs w:val="20"/>
                <w:color w:val="auto"/>
              </w:rPr>
            </w:pPr>
            <w:r>
              <w:rPr>
                <w:rFonts w:ascii="Arial" w:cs="Arial" w:eastAsia="Arial" w:hAnsi="Arial"/>
                <w:sz w:val="14"/>
                <w:szCs w:val="14"/>
                <w:color w:val="auto"/>
              </w:rPr>
              <w:t>(158,695)</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120" w:type="dxa"/>
            <w:vAlign w:val="bottom"/>
            <w:tcBorders>
              <w:top w:val="single" w:sz="8" w:color="auto"/>
            </w:tcBorders>
            <w:shd w:val="clear" w:color="auto" w:fill="CCEEFF"/>
          </w:tcPr>
          <w:p>
            <w:pPr>
              <w:jc w:val="right"/>
              <w:ind w:right="12"/>
              <w:spacing w:after="0"/>
              <w:rPr>
                <w:sz w:val="20"/>
                <w:szCs w:val="20"/>
                <w:color w:val="auto"/>
              </w:rPr>
            </w:pPr>
            <w:r>
              <w:rPr>
                <w:rFonts w:ascii="Arial" w:cs="Arial" w:eastAsia="Arial" w:hAnsi="Arial"/>
                <w:sz w:val="14"/>
                <w:szCs w:val="14"/>
                <w:color w:val="auto"/>
              </w:rPr>
              <w:t>(30,624)</w:t>
            </w:r>
          </w:p>
        </w:tc>
        <w:tc>
          <w:tcPr>
            <w:tcW w:w="100" w:type="dxa"/>
            <w:vAlign w:val="bottom"/>
            <w:tcBorders>
              <w:top w:val="single" w:sz="8" w:color="CCEEFF"/>
            </w:tcBorders>
            <w:shd w:val="clear" w:color="auto" w:fill="CCEEFF"/>
          </w:tcPr>
          <w:p>
            <w:pPr>
              <w:spacing w:after="0"/>
              <w:rPr>
                <w:sz w:val="22"/>
                <w:szCs w:val="22"/>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00" w:type="dxa"/>
            <w:vAlign w:val="bottom"/>
            <w:tcBorders>
              <w:top w:val="single" w:sz="8" w:color="auto"/>
            </w:tcBorders>
            <w:shd w:val="clear" w:color="auto" w:fill="CCEEFF"/>
          </w:tcPr>
          <w:p>
            <w:pPr>
              <w:jc w:val="right"/>
              <w:ind w:right="32"/>
              <w:spacing w:after="0"/>
              <w:rPr>
                <w:sz w:val="20"/>
                <w:szCs w:val="20"/>
                <w:color w:val="auto"/>
              </w:rPr>
            </w:pPr>
            <w:r>
              <w:rPr>
                <w:rFonts w:ascii="Arial" w:cs="Arial" w:eastAsia="Arial" w:hAnsi="Arial"/>
                <w:sz w:val="14"/>
                <w:szCs w:val="14"/>
                <w:color w:val="auto"/>
              </w:rPr>
              <w:t>563,088</w:t>
            </w:r>
          </w:p>
        </w:tc>
        <w:tc>
          <w:tcPr>
            <w:tcW w:w="0" w:type="dxa"/>
            <w:vAlign w:val="bottom"/>
          </w:tcPr>
          <w:p>
            <w:pPr>
              <w:spacing w:after="0"/>
              <w:rPr>
                <w:sz w:val="1"/>
                <w:szCs w:val="1"/>
                <w:color w:val="auto"/>
              </w:rPr>
            </w:pPr>
          </w:p>
        </w:tc>
      </w:tr>
      <w:tr>
        <w:trPr>
          <w:trHeight w:val="243"/>
        </w:trPr>
        <w:tc>
          <w:tcPr>
            <w:tcW w:w="2880" w:type="dxa"/>
            <w:vAlign w:val="bottom"/>
            <w:gridSpan w:val="2"/>
          </w:tcPr>
          <w:p>
            <w:pPr>
              <w:ind w:left="40"/>
              <w:spacing w:after="0"/>
              <w:rPr>
                <w:sz w:val="20"/>
                <w:szCs w:val="20"/>
                <w:color w:val="auto"/>
              </w:rPr>
            </w:pPr>
            <w:r>
              <w:rPr>
                <w:rFonts w:ascii="Arial" w:cs="Arial" w:eastAsia="Arial" w:hAnsi="Arial"/>
                <w:sz w:val="13"/>
                <w:szCs w:val="13"/>
                <w:color w:val="auto"/>
              </w:rPr>
              <w:t>Net loss</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1"/>
                <w:szCs w:val="21"/>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1"/>
                <w:szCs w:val="21"/>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1"/>
                <w:szCs w:val="21"/>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1"/>
                <w:szCs w:val="21"/>
                <w:color w:val="auto"/>
              </w:rPr>
            </w:pPr>
          </w:p>
        </w:tc>
        <w:tc>
          <w:tcPr>
            <w:tcW w:w="1140" w:type="dxa"/>
            <w:vAlign w:val="bottom"/>
          </w:tcPr>
          <w:p>
            <w:pPr>
              <w:jc w:val="right"/>
              <w:ind w:right="12"/>
              <w:spacing w:after="0"/>
              <w:rPr>
                <w:sz w:val="20"/>
                <w:szCs w:val="20"/>
                <w:color w:val="auto"/>
              </w:rPr>
            </w:pPr>
            <w:r>
              <w:rPr>
                <w:rFonts w:ascii="Arial" w:cs="Arial" w:eastAsia="Arial" w:hAnsi="Arial"/>
                <w:sz w:val="14"/>
                <w:szCs w:val="14"/>
                <w:color w:val="auto"/>
              </w:rPr>
              <w:t>(8,302)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(8,302)</w:t>
            </w:r>
          </w:p>
        </w:tc>
        <w:tc>
          <w:tcPr>
            <w:tcW w:w="0" w:type="dxa"/>
            <w:vAlign w:val="bottom"/>
          </w:tcPr>
          <w:p>
            <w:pPr>
              <w:spacing w:after="0"/>
              <w:rPr>
                <w:sz w:val="1"/>
                <w:szCs w:val="1"/>
                <w:color w:val="auto"/>
              </w:rPr>
            </w:pPr>
          </w:p>
        </w:tc>
      </w:tr>
      <w:tr>
        <w:trPr>
          <w:trHeight w:val="155"/>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w w:val="98"/>
              </w:rPr>
              <w:t>Change in cumulative foreign currency translation</w:t>
            </w: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3"/>
                <w:szCs w:val="13"/>
                <w:color w:val="auto"/>
              </w:rPr>
            </w:pPr>
          </w:p>
        </w:tc>
        <w:tc>
          <w:tcPr>
            <w:tcW w:w="124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1120" w:type="dxa"/>
            <w:vAlign w:val="bottom"/>
            <w:vMerge w:val="restart"/>
            <w:shd w:val="clear" w:color="auto" w:fill="CCEEFF"/>
          </w:tcPr>
          <w:p>
            <w:pPr>
              <w:jc w:val="right"/>
              <w:ind w:right="12"/>
              <w:spacing w:after="0"/>
              <w:rPr>
                <w:sz w:val="20"/>
                <w:szCs w:val="20"/>
                <w:color w:val="auto"/>
              </w:rPr>
            </w:pPr>
            <w:r>
              <w:rPr>
                <w:rFonts w:ascii="Arial" w:cs="Arial" w:eastAsia="Arial" w:hAnsi="Arial"/>
                <w:sz w:val="14"/>
                <w:szCs w:val="14"/>
                <w:color w:val="auto"/>
              </w:rPr>
              <w:t>(7,364)</w:t>
            </w: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(7,364)</w:t>
            </w:r>
          </w:p>
        </w:tc>
        <w:tc>
          <w:tcPr>
            <w:tcW w:w="0" w:type="dxa"/>
            <w:vAlign w:val="bottom"/>
          </w:tcPr>
          <w:p>
            <w:pPr>
              <w:spacing w:after="0"/>
              <w:rPr>
                <w:sz w:val="1"/>
                <w:szCs w:val="1"/>
                <w:color w:val="auto"/>
              </w:rPr>
            </w:pPr>
          </w:p>
        </w:tc>
      </w:tr>
      <w:tr>
        <w:trPr>
          <w:trHeight w:val="1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adjustment</w:t>
            </w:r>
          </w:p>
        </w:tc>
        <w:tc>
          <w:tcPr>
            <w:tcW w:w="8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80" w:type="dxa"/>
            <w:vAlign w:val="bottom"/>
            <w:gridSpan w:val="2"/>
            <w:vMerge w:val="continue"/>
            <w:shd w:val="clear" w:color="auto" w:fill="CCEEFF"/>
          </w:tcPr>
          <w:p>
            <w:pPr>
              <w:spacing w:after="0"/>
              <w:rPr>
                <w:sz w:val="15"/>
                <w:szCs w:val="15"/>
                <w:color w:val="auto"/>
              </w:rPr>
            </w:pPr>
          </w:p>
        </w:tc>
        <w:tc>
          <w:tcPr>
            <w:tcW w:w="8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80" w:type="dxa"/>
            <w:vAlign w:val="bottom"/>
            <w:gridSpan w:val="2"/>
            <w:vMerge w:val="continue"/>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24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12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48"/>
        </w:trPr>
        <w:tc>
          <w:tcPr>
            <w:tcW w:w="2880" w:type="dxa"/>
            <w:vAlign w:val="bottom"/>
            <w:gridSpan w:val="2"/>
          </w:tcPr>
          <w:p>
            <w:pPr>
              <w:ind w:left="40"/>
              <w:spacing w:after="0" w:line="148" w:lineRule="exact"/>
              <w:rPr>
                <w:sz w:val="20"/>
                <w:szCs w:val="20"/>
                <w:color w:val="auto"/>
              </w:rPr>
            </w:pPr>
            <w:r>
              <w:rPr>
                <w:rFonts w:ascii="Arial" w:cs="Arial" w:eastAsia="Arial" w:hAnsi="Arial"/>
                <w:sz w:val="13"/>
                <w:szCs w:val="13"/>
                <w:color w:val="auto"/>
              </w:rPr>
              <w:t>Change in unrealized gains on derivative</w:t>
            </w: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124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120" w:type="dxa"/>
            <w:vAlign w:val="bottom"/>
            <w:vMerge w:val="restart"/>
          </w:tcPr>
          <w:p>
            <w:pPr>
              <w:jc w:val="right"/>
              <w:ind w:right="12"/>
              <w:spacing w:after="0"/>
              <w:rPr>
                <w:sz w:val="20"/>
                <w:szCs w:val="20"/>
                <w:color w:val="auto"/>
              </w:rPr>
            </w:pPr>
            <w:r>
              <w:rPr>
                <w:rFonts w:ascii="Arial" w:cs="Arial" w:eastAsia="Arial" w:hAnsi="Arial"/>
                <w:sz w:val="14"/>
                <w:szCs w:val="14"/>
                <w:color w:val="auto"/>
              </w:rPr>
              <w:t>(17)</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(17)</w:t>
            </w:r>
          </w:p>
        </w:tc>
        <w:tc>
          <w:tcPr>
            <w:tcW w:w="0" w:type="dxa"/>
            <w:vAlign w:val="bottom"/>
          </w:tcPr>
          <w:p>
            <w:pPr>
              <w:spacing w:after="0"/>
              <w:rPr>
                <w:sz w:val="1"/>
                <w:szCs w:val="1"/>
                <w:color w:val="auto"/>
              </w:rPr>
            </w:pPr>
          </w:p>
        </w:tc>
      </w:tr>
      <w:tr>
        <w:trPr>
          <w:trHeight w:val="169"/>
        </w:trPr>
        <w:tc>
          <w:tcPr>
            <w:tcW w:w="2880" w:type="dxa"/>
            <w:vAlign w:val="bottom"/>
            <w:gridSpan w:val="2"/>
          </w:tcPr>
          <w:p>
            <w:pPr>
              <w:ind w:left="40"/>
              <w:spacing w:after="0"/>
              <w:rPr>
                <w:sz w:val="20"/>
                <w:szCs w:val="20"/>
                <w:color w:val="auto"/>
              </w:rPr>
            </w:pPr>
            <w:r>
              <w:rPr>
                <w:rFonts w:ascii="Arial" w:cs="Arial" w:eastAsia="Arial" w:hAnsi="Arial"/>
                <w:sz w:val="13"/>
                <w:szCs w:val="13"/>
                <w:color w:val="auto"/>
              </w:rPr>
              <w:t>instruments, net</w:t>
            </w:r>
          </w:p>
        </w:tc>
        <w:tc>
          <w:tcPr>
            <w:tcW w:w="8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w w:val="95"/>
              </w:rPr>
              <w:t>Net unrealized gain on available-for-sale securities,</w:t>
            </w: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3"/>
                <w:szCs w:val="13"/>
                <w:color w:val="auto"/>
              </w:rPr>
            </w:pPr>
          </w:p>
        </w:tc>
        <w:tc>
          <w:tcPr>
            <w:tcW w:w="124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1120" w:type="dxa"/>
            <w:vAlign w:val="bottom"/>
            <w:vMerge w:val="restart"/>
            <w:shd w:val="clear" w:color="auto" w:fill="CCEEFF"/>
          </w:tcPr>
          <w:p>
            <w:pPr>
              <w:jc w:val="right"/>
              <w:ind w:right="52"/>
              <w:spacing w:after="0"/>
              <w:rPr>
                <w:sz w:val="20"/>
                <w:szCs w:val="20"/>
                <w:color w:val="auto"/>
              </w:rPr>
            </w:pPr>
            <w:r>
              <w:rPr>
                <w:rFonts w:ascii="Arial" w:cs="Arial" w:eastAsia="Arial" w:hAnsi="Arial"/>
                <w:sz w:val="14"/>
                <w:szCs w:val="14"/>
                <w:color w:val="auto"/>
              </w:rPr>
              <w:t>109</w:t>
            </w: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0" w:type="dxa"/>
            <w:vAlign w:val="bottom"/>
            <w:vMerge w:val="restart"/>
            <w:shd w:val="clear" w:color="auto" w:fill="CCEEFF"/>
          </w:tcPr>
          <w:p>
            <w:pPr>
              <w:jc w:val="right"/>
              <w:ind w:right="32"/>
              <w:spacing w:after="0"/>
              <w:rPr>
                <w:sz w:val="20"/>
                <w:szCs w:val="20"/>
                <w:color w:val="auto"/>
              </w:rPr>
            </w:pPr>
            <w:r>
              <w:rPr>
                <w:rFonts w:ascii="Arial" w:cs="Arial" w:eastAsia="Arial" w:hAnsi="Arial"/>
                <w:sz w:val="14"/>
                <w:szCs w:val="14"/>
                <w:color w:val="auto"/>
              </w:rPr>
              <w:t>109</w:t>
            </w:r>
          </w:p>
        </w:tc>
        <w:tc>
          <w:tcPr>
            <w:tcW w:w="0" w:type="dxa"/>
            <w:vAlign w:val="bottom"/>
          </w:tcPr>
          <w:p>
            <w:pPr>
              <w:spacing w:after="0"/>
              <w:rPr>
                <w:sz w:val="1"/>
                <w:szCs w:val="1"/>
                <w:color w:val="auto"/>
              </w:rPr>
            </w:pPr>
          </w:p>
        </w:tc>
      </w:tr>
      <w:tr>
        <w:trPr>
          <w:trHeight w:val="1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net of taxes</w:t>
            </w:r>
          </w:p>
        </w:tc>
        <w:tc>
          <w:tcPr>
            <w:tcW w:w="8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80" w:type="dxa"/>
            <w:vAlign w:val="bottom"/>
            <w:gridSpan w:val="2"/>
            <w:vMerge w:val="continue"/>
            <w:shd w:val="clear" w:color="auto" w:fill="CCEEFF"/>
          </w:tcPr>
          <w:p>
            <w:pPr>
              <w:spacing w:after="0"/>
              <w:rPr>
                <w:sz w:val="15"/>
                <w:szCs w:val="15"/>
                <w:color w:val="auto"/>
              </w:rPr>
            </w:pPr>
          </w:p>
        </w:tc>
        <w:tc>
          <w:tcPr>
            <w:tcW w:w="8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80" w:type="dxa"/>
            <w:vAlign w:val="bottom"/>
            <w:gridSpan w:val="2"/>
            <w:vMerge w:val="continue"/>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24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12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2880" w:type="dxa"/>
            <w:vAlign w:val="bottom"/>
            <w:gridSpan w:val="2"/>
          </w:tcPr>
          <w:p>
            <w:pPr>
              <w:ind w:left="40"/>
              <w:spacing w:after="0"/>
              <w:rPr>
                <w:sz w:val="20"/>
                <w:szCs w:val="20"/>
                <w:color w:val="auto"/>
              </w:rPr>
            </w:pPr>
            <w:r>
              <w:rPr>
                <w:rFonts w:ascii="Arial" w:cs="Arial" w:eastAsia="Arial" w:hAnsi="Arial"/>
                <w:sz w:val="13"/>
                <w:szCs w:val="13"/>
                <w:color w:val="auto"/>
              </w:rPr>
              <w:t>Stock-based compensation</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60" w:type="dxa"/>
            <w:vAlign w:val="bottom"/>
          </w:tcPr>
          <w:p>
            <w:pPr>
              <w:jc w:val="right"/>
              <w:ind w:right="32"/>
              <w:spacing w:after="0"/>
              <w:rPr>
                <w:sz w:val="20"/>
                <w:szCs w:val="20"/>
                <w:color w:val="auto"/>
              </w:rPr>
            </w:pPr>
            <w:r>
              <w:rPr>
                <w:rFonts w:ascii="Arial" w:cs="Arial" w:eastAsia="Arial" w:hAnsi="Arial"/>
                <w:sz w:val="14"/>
                <w:szCs w:val="14"/>
                <w:color w:val="auto"/>
              </w:rPr>
              <w:t>83,137</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00" w:type="dxa"/>
            <w:vAlign w:val="bottom"/>
          </w:tcPr>
          <w:p>
            <w:pPr>
              <w:jc w:val="right"/>
              <w:ind w:right="32"/>
              <w:spacing w:after="0"/>
              <w:rPr>
                <w:sz w:val="20"/>
                <w:szCs w:val="20"/>
                <w:color w:val="auto"/>
              </w:rPr>
            </w:pPr>
            <w:r>
              <w:rPr>
                <w:rFonts w:ascii="Arial" w:cs="Arial" w:eastAsia="Arial" w:hAnsi="Arial"/>
                <w:sz w:val="14"/>
                <w:szCs w:val="14"/>
                <w:color w:val="auto"/>
              </w:rPr>
              <w:t>83,137</w:t>
            </w:r>
          </w:p>
        </w:tc>
        <w:tc>
          <w:tcPr>
            <w:tcW w:w="0" w:type="dxa"/>
            <w:vAlign w:val="bottom"/>
          </w:tcPr>
          <w:p>
            <w:pPr>
              <w:spacing w:after="0"/>
              <w:rPr>
                <w:sz w:val="1"/>
                <w:szCs w:val="1"/>
                <w:color w:val="auto"/>
              </w:rPr>
            </w:pPr>
          </w:p>
        </w:tc>
      </w:tr>
      <w:tr>
        <w:trPr>
          <w:trHeight w:val="27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Tax benefit associated with stock awards</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1,421</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1,421</w:t>
            </w:r>
          </w:p>
        </w:tc>
        <w:tc>
          <w:tcPr>
            <w:tcW w:w="0" w:type="dxa"/>
            <w:vAlign w:val="bottom"/>
          </w:tcPr>
          <w:p>
            <w:pPr>
              <w:spacing w:after="0"/>
              <w:rPr>
                <w:sz w:val="1"/>
                <w:szCs w:val="1"/>
                <w:color w:val="auto"/>
              </w:rPr>
            </w:pPr>
          </w:p>
        </w:tc>
      </w:tr>
      <w:tr>
        <w:trPr>
          <w:trHeight w:val="148"/>
        </w:trPr>
        <w:tc>
          <w:tcPr>
            <w:tcW w:w="2880" w:type="dxa"/>
            <w:vAlign w:val="bottom"/>
            <w:gridSpan w:val="2"/>
          </w:tcPr>
          <w:p>
            <w:pPr>
              <w:ind w:left="40"/>
              <w:spacing w:after="0" w:line="148" w:lineRule="exact"/>
              <w:rPr>
                <w:sz w:val="20"/>
                <w:szCs w:val="20"/>
                <w:color w:val="auto"/>
              </w:rPr>
            </w:pPr>
            <w:r>
              <w:rPr>
                <w:rFonts w:ascii="Arial" w:cs="Arial" w:eastAsia="Arial" w:hAnsi="Arial"/>
                <w:sz w:val="13"/>
                <w:szCs w:val="13"/>
                <w:color w:val="auto"/>
                <w:w w:val="99"/>
              </w:rPr>
              <w:t>Issuance of restricted stock, net of forfeitures and</w:t>
            </w:r>
          </w:p>
        </w:tc>
        <w:tc>
          <w:tcPr>
            <w:tcW w:w="780" w:type="dxa"/>
            <w:vAlign w:val="bottom"/>
            <w:vMerge w:val="restart"/>
          </w:tcPr>
          <w:p>
            <w:pPr>
              <w:jc w:val="right"/>
              <w:spacing w:after="0"/>
              <w:rPr>
                <w:sz w:val="20"/>
                <w:szCs w:val="20"/>
                <w:color w:val="auto"/>
              </w:rPr>
            </w:pPr>
            <w:r>
              <w:rPr>
                <w:rFonts w:ascii="Arial" w:cs="Arial" w:eastAsia="Arial" w:hAnsi="Arial"/>
                <w:sz w:val="14"/>
                <w:szCs w:val="14"/>
                <w:color w:val="auto"/>
              </w:rPr>
              <w:t>(84)</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vMerge w:val="restart"/>
          </w:tcPr>
          <w:p>
            <w:pPr>
              <w:jc w:val="right"/>
              <w:ind w:right="32"/>
              <w:spacing w:after="0"/>
              <w:rPr>
                <w:sz w:val="20"/>
                <w:szCs w:val="20"/>
                <w:color w:val="auto"/>
              </w:rPr>
            </w:pPr>
            <w:r>
              <w:rPr>
                <w:rFonts w:ascii="Arial" w:cs="Arial" w:eastAsia="Arial" w:hAnsi="Arial"/>
                <w:sz w:val="14"/>
                <w:szCs w:val="14"/>
                <w:color w:val="auto"/>
              </w:rPr>
              <w:t>1</w:t>
            </w:r>
          </w:p>
        </w:tc>
        <w:tc>
          <w:tcPr>
            <w:tcW w:w="120" w:type="dxa"/>
            <w:vAlign w:val="bottom"/>
          </w:tcPr>
          <w:p>
            <w:pPr>
              <w:spacing w:after="0"/>
              <w:rPr>
                <w:sz w:val="12"/>
                <w:szCs w:val="12"/>
                <w:color w:val="auto"/>
              </w:rPr>
            </w:pP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124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22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000" w:type="dxa"/>
            <w:vAlign w:val="bottom"/>
            <w:vMerge w:val="restart"/>
          </w:tcPr>
          <w:p>
            <w:pPr>
              <w:jc w:val="right"/>
              <w:ind w:right="32"/>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9"/>
        </w:trPr>
        <w:tc>
          <w:tcPr>
            <w:tcW w:w="2880" w:type="dxa"/>
            <w:vAlign w:val="bottom"/>
            <w:gridSpan w:val="2"/>
          </w:tcPr>
          <w:p>
            <w:pPr>
              <w:ind w:left="40"/>
              <w:spacing w:after="0"/>
              <w:rPr>
                <w:sz w:val="20"/>
                <w:szCs w:val="20"/>
                <w:color w:val="auto"/>
              </w:rPr>
            </w:pPr>
            <w:r>
              <w:rPr>
                <w:rFonts w:ascii="Arial" w:cs="Arial" w:eastAsia="Arial" w:hAnsi="Arial"/>
                <w:sz w:val="13"/>
                <w:szCs w:val="13"/>
                <w:color w:val="auto"/>
              </w:rPr>
              <w:t>cancellations</w:t>
            </w:r>
          </w:p>
        </w:tc>
        <w:tc>
          <w:tcPr>
            <w:tcW w:w="78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Repurchased common stock</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(954)</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(26,552)</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(26,552)</w:t>
            </w:r>
          </w:p>
        </w:tc>
        <w:tc>
          <w:tcPr>
            <w:tcW w:w="0" w:type="dxa"/>
            <w:vAlign w:val="bottom"/>
          </w:tcPr>
          <w:p>
            <w:pPr>
              <w:spacing w:after="0"/>
              <w:rPr>
                <w:sz w:val="1"/>
                <w:szCs w:val="1"/>
                <w:color w:val="auto"/>
              </w:rPr>
            </w:pPr>
          </w:p>
        </w:tc>
      </w:tr>
      <w:tr>
        <w:trPr>
          <w:trHeight w:val="264"/>
        </w:trPr>
        <w:tc>
          <w:tcPr>
            <w:tcW w:w="2760" w:type="dxa"/>
            <w:vAlign w:val="bottom"/>
            <w:tcBorders>
              <w:bottom w:val="single" w:sz="8" w:color="auto"/>
            </w:tcBorders>
          </w:tcPr>
          <w:p>
            <w:pPr>
              <w:ind w:left="40"/>
              <w:spacing w:after="0"/>
              <w:rPr>
                <w:sz w:val="20"/>
                <w:szCs w:val="20"/>
                <w:color w:val="auto"/>
              </w:rPr>
            </w:pPr>
            <w:r>
              <w:rPr>
                <w:rFonts w:ascii="Arial" w:cs="Arial" w:eastAsia="Arial" w:hAnsi="Arial"/>
                <w:sz w:val="13"/>
                <w:szCs w:val="13"/>
                <w:color w:val="auto"/>
                <w:w w:val="99"/>
              </w:rPr>
              <w:t>Net share settlement of restricted stock awards</w:t>
            </w:r>
          </w:p>
        </w:tc>
        <w:tc>
          <w:tcPr>
            <w:tcW w:w="120" w:type="dxa"/>
            <w:vAlign w:val="bottom"/>
            <w:tcBorders>
              <w:bottom w:val="single" w:sz="8" w:color="CCEEFF"/>
            </w:tcBorders>
          </w:tcPr>
          <w:p>
            <w:pPr>
              <w:spacing w:after="0"/>
              <w:rPr>
                <w:sz w:val="22"/>
                <w:szCs w:val="22"/>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(745)</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(7)</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(24,128)</w:t>
            </w:r>
          </w:p>
        </w:tc>
        <w:tc>
          <w:tcPr>
            <w:tcW w:w="120" w:type="dxa"/>
            <w:vAlign w:val="bottom"/>
            <w:tcBorders>
              <w:bottom w:val="single" w:sz="8" w:color="CCEEFF"/>
            </w:tcBorders>
          </w:tcPr>
          <w:p>
            <w:pPr>
              <w:spacing w:after="0"/>
              <w:rPr>
                <w:sz w:val="22"/>
                <w:szCs w:val="22"/>
                <w:color w:val="auto"/>
              </w:rPr>
            </w:pPr>
          </w:p>
        </w:tc>
        <w:tc>
          <w:tcPr>
            <w:tcW w:w="78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72"/>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color w:val="auto"/>
              </w:rPr>
              <w:t>—</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(24,135)</w:t>
            </w:r>
          </w:p>
        </w:tc>
        <w:tc>
          <w:tcPr>
            <w:tcW w:w="0" w:type="dxa"/>
            <w:vAlign w:val="bottom"/>
          </w:tcPr>
          <w:p>
            <w:pPr>
              <w:spacing w:after="0"/>
              <w:rPr>
                <w:sz w:val="1"/>
                <w:szCs w:val="1"/>
                <w:color w:val="auto"/>
              </w:rPr>
            </w:pPr>
          </w:p>
        </w:tc>
      </w:tr>
      <w:tr>
        <w:trPr>
          <w:trHeight w:val="250"/>
        </w:trPr>
        <w:tc>
          <w:tcPr>
            <w:tcW w:w="27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3"/>
                <w:szCs w:val="13"/>
                <w:color w:val="auto"/>
              </w:rPr>
              <w:t>Balance, March 31, 2016</w:t>
            </w:r>
          </w:p>
        </w:tc>
        <w:tc>
          <w:tcPr>
            <w:tcW w:w="120" w:type="dxa"/>
            <w:vAlign w:val="bottom"/>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14"/>
                <w:szCs w:val="14"/>
                <w:color w:val="auto"/>
              </w:rPr>
              <w:t>103,765</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4"/>
                <w:szCs w:val="14"/>
                <w:color w:val="auto"/>
              </w:rPr>
              <w:t>1,038</w:t>
            </w:r>
          </w:p>
        </w:tc>
        <w:tc>
          <w:tcPr>
            <w:tcW w:w="12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76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4"/>
                <w:szCs w:val="14"/>
                <w:color w:val="auto"/>
              </w:rPr>
              <w:t>1,088,628</w:t>
            </w:r>
          </w:p>
        </w:tc>
        <w:tc>
          <w:tcPr>
            <w:tcW w:w="120" w:type="dxa"/>
            <w:vAlign w:val="bottom"/>
            <w:shd w:val="clear" w:color="auto" w:fill="CCEEFF"/>
          </w:tcPr>
          <w:p>
            <w:pPr>
              <w:spacing w:after="0"/>
              <w:rPr>
                <w:sz w:val="21"/>
                <w:szCs w:val="21"/>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(17,192)</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96"/>
              </w:rPr>
              <w:t>(303,388)</w:t>
            </w:r>
          </w:p>
        </w:tc>
        <w:tc>
          <w:tcPr>
            <w:tcW w:w="120" w:type="dxa"/>
            <w:vAlign w:val="bottom"/>
            <w:shd w:val="clear" w:color="auto" w:fill="CCEEFF"/>
          </w:tcPr>
          <w:p>
            <w:pPr>
              <w:spacing w:after="0"/>
              <w:rPr>
                <w:sz w:val="21"/>
                <w:szCs w:val="21"/>
                <w:color w:val="auto"/>
              </w:rPr>
            </w:pPr>
          </w:p>
        </w:tc>
        <w:tc>
          <w:tcPr>
            <w:tcW w:w="260" w:type="dxa"/>
            <w:vAlign w:val="bottom"/>
            <w:tcBorders>
              <w:bottom w:val="single" w:sz="8" w:color="auto"/>
            </w:tcBorders>
            <w:shd w:val="clear" w:color="auto" w:fill="CCEEFF"/>
          </w:tcPr>
          <w:p>
            <w:pPr>
              <w:spacing w:after="0"/>
              <w:rPr>
                <w:sz w:val="21"/>
                <w:szCs w:val="21"/>
                <w:color w:val="auto"/>
              </w:rPr>
            </w:pPr>
          </w:p>
        </w:tc>
        <w:tc>
          <w:tcPr>
            <w:tcW w:w="114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4"/>
                <w:szCs w:val="14"/>
                <w:color w:val="auto"/>
              </w:rPr>
              <w:t>(166,997)</w:t>
            </w:r>
          </w:p>
        </w:tc>
        <w:tc>
          <w:tcPr>
            <w:tcW w:w="100" w:type="dxa"/>
            <w:vAlign w:val="bottom"/>
            <w:shd w:val="clear" w:color="auto" w:fill="CCEEFF"/>
          </w:tcPr>
          <w:p>
            <w:pPr>
              <w:spacing w:after="0"/>
              <w:rPr>
                <w:sz w:val="21"/>
                <w:szCs w:val="21"/>
                <w:color w:val="auto"/>
              </w:rPr>
            </w:pPr>
          </w:p>
        </w:tc>
        <w:tc>
          <w:tcPr>
            <w:tcW w:w="140" w:type="dxa"/>
            <w:vAlign w:val="bottom"/>
            <w:tcBorders>
              <w:bottom w:val="single" w:sz="8" w:color="auto"/>
            </w:tcBorders>
            <w:shd w:val="clear" w:color="auto" w:fill="CCEEFF"/>
          </w:tcPr>
          <w:p>
            <w:pPr>
              <w:spacing w:after="0"/>
              <w:rPr>
                <w:sz w:val="21"/>
                <w:szCs w:val="21"/>
                <w:color w:val="auto"/>
              </w:rPr>
            </w:pP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4"/>
                <w:szCs w:val="14"/>
                <w:color w:val="auto"/>
              </w:rPr>
              <w:t>(37,896)</w:t>
            </w:r>
          </w:p>
        </w:tc>
        <w:tc>
          <w:tcPr>
            <w:tcW w:w="100" w:type="dxa"/>
            <w:vAlign w:val="bottom"/>
            <w:shd w:val="clear" w:color="auto" w:fill="CCEEFF"/>
          </w:tcPr>
          <w:p>
            <w:pPr>
              <w:spacing w:after="0"/>
              <w:rPr>
                <w:sz w:val="21"/>
                <w:szCs w:val="21"/>
                <w:color w:val="auto"/>
              </w:rPr>
            </w:pPr>
          </w:p>
        </w:tc>
        <w:tc>
          <w:tcPr>
            <w:tcW w:w="120" w:type="dxa"/>
            <w:vAlign w:val="bottom"/>
            <w:tcBorders>
              <w:bottom w:val="single" w:sz="8" w:color="auto"/>
            </w:tcBorders>
            <w:shd w:val="clear" w:color="auto" w:fill="CCEEFF"/>
          </w:tcPr>
          <w:p>
            <w:pPr>
              <w:spacing w:after="0"/>
              <w:rPr>
                <w:sz w:val="21"/>
                <w:szCs w:val="21"/>
                <w:color w:val="auto"/>
              </w:rPr>
            </w:pPr>
          </w:p>
        </w:tc>
        <w:tc>
          <w:tcPr>
            <w:tcW w:w="100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4"/>
                <w:szCs w:val="14"/>
                <w:color w:val="auto"/>
              </w:rPr>
              <w:t>581,385</w:t>
            </w:r>
          </w:p>
        </w:tc>
        <w:tc>
          <w:tcPr>
            <w:tcW w:w="0" w:type="dxa"/>
            <w:vAlign w:val="bottom"/>
          </w:tcPr>
          <w:p>
            <w:pPr>
              <w:spacing w:after="0"/>
              <w:rPr>
                <w:sz w:val="1"/>
                <w:szCs w:val="1"/>
                <w:color w:val="auto"/>
              </w:rPr>
            </w:pPr>
          </w:p>
        </w:tc>
      </w:tr>
      <w:tr>
        <w:trPr>
          <w:trHeight w:val="250"/>
        </w:trPr>
        <w:tc>
          <w:tcPr>
            <w:tcW w:w="2880" w:type="dxa"/>
            <w:vAlign w:val="bottom"/>
            <w:gridSpan w:val="2"/>
          </w:tcPr>
          <w:p>
            <w:pPr>
              <w:ind w:left="40"/>
              <w:spacing w:after="0"/>
              <w:rPr>
                <w:sz w:val="20"/>
                <w:szCs w:val="20"/>
                <w:color w:val="auto"/>
              </w:rPr>
            </w:pPr>
            <w:r>
              <w:rPr>
                <w:rFonts w:ascii="Arial" w:cs="Arial" w:eastAsia="Arial" w:hAnsi="Arial"/>
                <w:sz w:val="13"/>
                <w:szCs w:val="13"/>
                <w:color w:val="auto"/>
              </w:rPr>
              <w:t>Net income</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1"/>
                <w:szCs w:val="21"/>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1"/>
                <w:szCs w:val="21"/>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1"/>
                <w:szCs w:val="21"/>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1"/>
                <w:szCs w:val="21"/>
                <w:color w:val="auto"/>
              </w:rPr>
            </w:pPr>
          </w:p>
        </w:tc>
        <w:tc>
          <w:tcPr>
            <w:tcW w:w="1140" w:type="dxa"/>
            <w:vAlign w:val="bottom"/>
          </w:tcPr>
          <w:p>
            <w:pPr>
              <w:jc w:val="right"/>
              <w:ind w:right="72"/>
              <w:spacing w:after="0"/>
              <w:rPr>
                <w:sz w:val="20"/>
                <w:szCs w:val="20"/>
                <w:color w:val="auto"/>
              </w:rPr>
            </w:pPr>
            <w:r>
              <w:rPr>
                <w:rFonts w:ascii="Arial" w:cs="Arial" w:eastAsia="Arial" w:hAnsi="Arial"/>
                <w:sz w:val="14"/>
                <w:szCs w:val="14"/>
                <w:color w:val="auto"/>
              </w:rPr>
              <w:t>67,303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1"/>
                <w:szCs w:val="21"/>
                <w:color w:val="auto"/>
              </w:rPr>
            </w:pPr>
          </w:p>
        </w:tc>
        <w:tc>
          <w:tcPr>
            <w:tcW w:w="1000" w:type="dxa"/>
            <w:vAlign w:val="bottom"/>
          </w:tcPr>
          <w:p>
            <w:pPr>
              <w:jc w:val="right"/>
              <w:ind w:right="32"/>
              <w:spacing w:after="0"/>
              <w:rPr>
                <w:sz w:val="20"/>
                <w:szCs w:val="20"/>
                <w:color w:val="auto"/>
              </w:rPr>
            </w:pPr>
            <w:r>
              <w:rPr>
                <w:rFonts w:ascii="Arial" w:cs="Arial" w:eastAsia="Arial" w:hAnsi="Arial"/>
                <w:sz w:val="14"/>
                <w:szCs w:val="14"/>
                <w:color w:val="auto"/>
              </w:rPr>
              <w:t>67,303</w:t>
            </w:r>
          </w:p>
        </w:tc>
        <w:tc>
          <w:tcPr>
            <w:tcW w:w="0" w:type="dxa"/>
            <w:vAlign w:val="bottom"/>
          </w:tcPr>
          <w:p>
            <w:pPr>
              <w:spacing w:after="0"/>
              <w:rPr>
                <w:sz w:val="1"/>
                <w:szCs w:val="1"/>
                <w:color w:val="auto"/>
              </w:rPr>
            </w:pPr>
          </w:p>
        </w:tc>
      </w:tr>
      <w:tr>
        <w:trPr>
          <w:trHeight w:val="155"/>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w w:val="98"/>
              </w:rPr>
              <w:t>Change in cumulative foreign currency translation</w:t>
            </w: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3"/>
                <w:szCs w:val="13"/>
                <w:color w:val="auto"/>
              </w:rPr>
            </w:pPr>
          </w:p>
        </w:tc>
        <w:tc>
          <w:tcPr>
            <w:tcW w:w="124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1120" w:type="dxa"/>
            <w:vAlign w:val="bottom"/>
            <w:vMerge w:val="restart"/>
            <w:shd w:val="clear" w:color="auto" w:fill="CCEEFF"/>
          </w:tcPr>
          <w:p>
            <w:pPr>
              <w:jc w:val="right"/>
              <w:ind w:right="12"/>
              <w:spacing w:after="0"/>
              <w:rPr>
                <w:sz w:val="20"/>
                <w:szCs w:val="20"/>
                <w:color w:val="auto"/>
              </w:rPr>
            </w:pPr>
            <w:r>
              <w:rPr>
                <w:rFonts w:ascii="Arial" w:cs="Arial" w:eastAsia="Arial" w:hAnsi="Arial"/>
                <w:sz w:val="14"/>
                <w:szCs w:val="14"/>
                <w:color w:val="auto"/>
              </w:rPr>
              <w:t>(9,086)</w:t>
            </w: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(9,086)</w:t>
            </w:r>
          </w:p>
        </w:tc>
        <w:tc>
          <w:tcPr>
            <w:tcW w:w="0" w:type="dxa"/>
            <w:vAlign w:val="bottom"/>
          </w:tcPr>
          <w:p>
            <w:pPr>
              <w:spacing w:after="0"/>
              <w:rPr>
                <w:sz w:val="1"/>
                <w:szCs w:val="1"/>
                <w:color w:val="auto"/>
              </w:rPr>
            </w:pPr>
          </w:p>
        </w:tc>
      </w:tr>
      <w:tr>
        <w:trPr>
          <w:trHeight w:val="1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adjustment</w:t>
            </w:r>
          </w:p>
        </w:tc>
        <w:tc>
          <w:tcPr>
            <w:tcW w:w="8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80" w:type="dxa"/>
            <w:vAlign w:val="bottom"/>
            <w:gridSpan w:val="2"/>
            <w:vMerge w:val="continue"/>
            <w:shd w:val="clear" w:color="auto" w:fill="CCEEFF"/>
          </w:tcPr>
          <w:p>
            <w:pPr>
              <w:spacing w:after="0"/>
              <w:rPr>
                <w:sz w:val="15"/>
                <w:szCs w:val="15"/>
                <w:color w:val="auto"/>
              </w:rPr>
            </w:pPr>
          </w:p>
        </w:tc>
        <w:tc>
          <w:tcPr>
            <w:tcW w:w="8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80" w:type="dxa"/>
            <w:vAlign w:val="bottom"/>
            <w:gridSpan w:val="2"/>
            <w:vMerge w:val="continue"/>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24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12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48"/>
        </w:trPr>
        <w:tc>
          <w:tcPr>
            <w:tcW w:w="2880" w:type="dxa"/>
            <w:vAlign w:val="bottom"/>
            <w:gridSpan w:val="2"/>
          </w:tcPr>
          <w:p>
            <w:pPr>
              <w:ind w:left="40"/>
              <w:spacing w:after="0" w:line="148" w:lineRule="exact"/>
              <w:rPr>
                <w:sz w:val="20"/>
                <w:szCs w:val="20"/>
                <w:color w:val="auto"/>
              </w:rPr>
            </w:pPr>
            <w:r>
              <w:rPr>
                <w:rFonts w:ascii="Arial" w:cs="Arial" w:eastAsia="Arial" w:hAnsi="Arial"/>
                <w:sz w:val="13"/>
                <w:szCs w:val="13"/>
                <w:color w:val="auto"/>
                <w:w w:val="95"/>
              </w:rPr>
              <w:t>Net unrealized gain on available-for-sale securities,</w:t>
            </w: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124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120" w:type="dxa"/>
            <w:vAlign w:val="bottom"/>
            <w:vMerge w:val="restart"/>
          </w:tcPr>
          <w:p>
            <w:pPr>
              <w:jc w:val="right"/>
              <w:ind w:right="12"/>
              <w:spacing w:after="0"/>
              <w:rPr>
                <w:sz w:val="20"/>
                <w:szCs w:val="20"/>
                <w:color w:val="auto"/>
              </w:rPr>
            </w:pPr>
            <w:r>
              <w:rPr>
                <w:rFonts w:ascii="Arial" w:cs="Arial" w:eastAsia="Arial" w:hAnsi="Arial"/>
                <w:sz w:val="14"/>
                <w:szCs w:val="14"/>
                <w:color w:val="auto"/>
              </w:rPr>
              <w:t>(160)</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vMerge w:val="restart"/>
          </w:tcPr>
          <w:p>
            <w:pPr>
              <w:jc w:val="right"/>
              <w:spacing w:after="0"/>
              <w:rPr>
                <w:sz w:val="20"/>
                <w:szCs w:val="20"/>
                <w:color w:val="auto"/>
              </w:rPr>
            </w:pPr>
            <w:r>
              <w:rPr>
                <w:rFonts w:ascii="Arial" w:cs="Arial" w:eastAsia="Arial" w:hAnsi="Arial"/>
                <w:sz w:val="14"/>
                <w:szCs w:val="14"/>
                <w:color w:val="auto"/>
              </w:rPr>
              <w:t>(160)</w:t>
            </w:r>
          </w:p>
        </w:tc>
        <w:tc>
          <w:tcPr>
            <w:tcW w:w="0" w:type="dxa"/>
            <w:vAlign w:val="bottom"/>
          </w:tcPr>
          <w:p>
            <w:pPr>
              <w:spacing w:after="0"/>
              <w:rPr>
                <w:sz w:val="1"/>
                <w:szCs w:val="1"/>
                <w:color w:val="auto"/>
              </w:rPr>
            </w:pPr>
          </w:p>
        </w:tc>
      </w:tr>
      <w:tr>
        <w:trPr>
          <w:trHeight w:val="169"/>
        </w:trPr>
        <w:tc>
          <w:tcPr>
            <w:tcW w:w="2880" w:type="dxa"/>
            <w:vAlign w:val="bottom"/>
            <w:gridSpan w:val="2"/>
          </w:tcPr>
          <w:p>
            <w:pPr>
              <w:ind w:left="40"/>
              <w:spacing w:after="0"/>
              <w:rPr>
                <w:sz w:val="20"/>
                <w:szCs w:val="20"/>
                <w:color w:val="auto"/>
              </w:rPr>
            </w:pPr>
            <w:r>
              <w:rPr>
                <w:rFonts w:ascii="Arial" w:cs="Arial" w:eastAsia="Arial" w:hAnsi="Arial"/>
                <w:sz w:val="13"/>
                <w:szCs w:val="13"/>
                <w:color w:val="auto"/>
              </w:rPr>
              <w:t>net of taxes</w:t>
            </w:r>
          </w:p>
        </w:tc>
        <w:tc>
          <w:tcPr>
            <w:tcW w:w="8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Stock-based compensation</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88,378</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88,378</w:t>
            </w:r>
          </w:p>
        </w:tc>
        <w:tc>
          <w:tcPr>
            <w:tcW w:w="0" w:type="dxa"/>
            <w:vAlign w:val="bottom"/>
          </w:tcPr>
          <w:p>
            <w:pPr>
              <w:spacing w:after="0"/>
              <w:rPr>
                <w:sz w:val="1"/>
                <w:szCs w:val="1"/>
                <w:color w:val="auto"/>
              </w:rPr>
            </w:pPr>
          </w:p>
        </w:tc>
      </w:tr>
      <w:tr>
        <w:trPr>
          <w:trHeight w:val="263"/>
        </w:trPr>
        <w:tc>
          <w:tcPr>
            <w:tcW w:w="2880" w:type="dxa"/>
            <w:vAlign w:val="bottom"/>
            <w:gridSpan w:val="2"/>
          </w:tcPr>
          <w:p>
            <w:pPr>
              <w:ind w:left="40"/>
              <w:spacing w:after="0"/>
              <w:rPr>
                <w:sz w:val="20"/>
                <w:szCs w:val="20"/>
                <w:color w:val="auto"/>
              </w:rPr>
            </w:pPr>
            <w:r>
              <w:rPr>
                <w:rFonts w:ascii="Arial" w:cs="Arial" w:eastAsia="Arial" w:hAnsi="Arial"/>
                <w:sz w:val="13"/>
                <w:szCs w:val="13"/>
                <w:color w:val="auto"/>
              </w:rPr>
              <w:t>Tax benefit associated with stock awards</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60" w:type="dxa"/>
            <w:vAlign w:val="bottom"/>
          </w:tcPr>
          <w:p>
            <w:pPr>
              <w:jc w:val="right"/>
              <w:ind w:right="32"/>
              <w:spacing w:after="0"/>
              <w:rPr>
                <w:sz w:val="20"/>
                <w:szCs w:val="20"/>
                <w:color w:val="auto"/>
              </w:rPr>
            </w:pPr>
            <w:r>
              <w:rPr>
                <w:rFonts w:ascii="Arial" w:cs="Arial" w:eastAsia="Arial" w:hAnsi="Arial"/>
                <w:sz w:val="14"/>
                <w:szCs w:val="14"/>
                <w:color w:val="auto"/>
              </w:rPr>
              <w:t>1,990</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00" w:type="dxa"/>
            <w:vAlign w:val="bottom"/>
          </w:tcPr>
          <w:p>
            <w:pPr>
              <w:jc w:val="right"/>
              <w:ind w:right="32"/>
              <w:spacing w:after="0"/>
              <w:rPr>
                <w:sz w:val="20"/>
                <w:szCs w:val="20"/>
                <w:color w:val="auto"/>
              </w:rPr>
            </w:pPr>
            <w:r>
              <w:rPr>
                <w:rFonts w:ascii="Arial" w:cs="Arial" w:eastAsia="Arial" w:hAnsi="Arial"/>
                <w:sz w:val="14"/>
                <w:szCs w:val="14"/>
                <w:color w:val="auto"/>
              </w:rPr>
              <w:t>1,990</w:t>
            </w:r>
          </w:p>
        </w:tc>
        <w:tc>
          <w:tcPr>
            <w:tcW w:w="0" w:type="dxa"/>
            <w:vAlign w:val="bottom"/>
          </w:tcPr>
          <w:p>
            <w:pPr>
              <w:spacing w:after="0"/>
              <w:rPr>
                <w:sz w:val="1"/>
                <w:szCs w:val="1"/>
                <w:color w:val="auto"/>
              </w:rPr>
            </w:pPr>
          </w:p>
        </w:tc>
      </w:tr>
      <w:tr>
        <w:trPr>
          <w:trHeight w:val="155"/>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w w:val="99"/>
              </w:rPr>
              <w:t>Issuance of restricted stock, net of forfeitures and</w:t>
            </w:r>
          </w:p>
        </w:tc>
        <w:tc>
          <w:tcPr>
            <w:tcW w:w="780" w:type="dxa"/>
            <w:vAlign w:val="bottom"/>
            <w:vMerge w:val="restart"/>
            <w:shd w:val="clear" w:color="auto" w:fill="CCEEFF"/>
          </w:tcPr>
          <w:p>
            <w:pPr>
              <w:jc w:val="right"/>
              <w:ind w:right="52"/>
              <w:spacing w:after="0"/>
              <w:rPr>
                <w:sz w:val="20"/>
                <w:szCs w:val="20"/>
                <w:color w:val="auto"/>
              </w:rPr>
            </w:pPr>
            <w:r>
              <w:rPr>
                <w:rFonts w:ascii="Arial" w:cs="Arial" w:eastAsia="Arial" w:hAnsi="Arial"/>
                <w:sz w:val="14"/>
                <w:szCs w:val="14"/>
                <w:color w:val="auto"/>
              </w:rPr>
              <w:t>1,738</w:t>
            </w: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660" w:type="dxa"/>
            <w:vAlign w:val="bottom"/>
            <w:vMerge w:val="restart"/>
            <w:shd w:val="clear" w:color="auto" w:fill="CCEEFF"/>
          </w:tcPr>
          <w:p>
            <w:pPr>
              <w:jc w:val="right"/>
              <w:ind w:right="32"/>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7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(17)</w:t>
            </w:r>
          </w:p>
        </w:tc>
        <w:tc>
          <w:tcPr>
            <w:tcW w:w="120" w:type="dxa"/>
            <w:vAlign w:val="bottom"/>
            <w:shd w:val="clear" w:color="auto" w:fill="CCEEFF"/>
          </w:tcPr>
          <w:p>
            <w:pPr>
              <w:spacing w:after="0"/>
              <w:rPr>
                <w:sz w:val="13"/>
                <w:szCs w:val="13"/>
                <w:color w:val="auto"/>
              </w:rPr>
            </w:pP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3"/>
                <w:szCs w:val="13"/>
                <w:color w:val="auto"/>
              </w:rPr>
            </w:pPr>
          </w:p>
        </w:tc>
        <w:tc>
          <w:tcPr>
            <w:tcW w:w="124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122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1000" w:type="dxa"/>
            <w:vAlign w:val="bottom"/>
            <w:vMerge w:val="restart"/>
            <w:shd w:val="clear" w:color="auto" w:fill="CCEEFF"/>
          </w:tcPr>
          <w:p>
            <w:pPr>
              <w:jc w:val="right"/>
              <w:ind w:right="32"/>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cancellations</w:t>
            </w:r>
          </w:p>
        </w:tc>
        <w:tc>
          <w:tcPr>
            <w:tcW w:w="78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66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80" w:type="dxa"/>
            <w:vAlign w:val="bottom"/>
            <w:gridSpan w:val="2"/>
            <w:vMerge w:val="continue"/>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24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22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2880" w:type="dxa"/>
            <w:vAlign w:val="bottom"/>
            <w:gridSpan w:val="2"/>
          </w:tcPr>
          <w:p>
            <w:pPr>
              <w:ind w:left="40"/>
              <w:spacing w:after="0"/>
              <w:rPr>
                <w:sz w:val="20"/>
                <w:szCs w:val="20"/>
                <w:color w:val="auto"/>
              </w:rPr>
            </w:pPr>
            <w:r>
              <w:rPr>
                <w:rFonts w:ascii="Arial" w:cs="Arial" w:eastAsia="Arial" w:hAnsi="Arial"/>
                <w:sz w:val="13"/>
                <w:szCs w:val="13"/>
                <w:color w:val="auto"/>
                <w:w w:val="99"/>
              </w:rPr>
              <w:t>Settlement of 1.75% Convertible Notes Due 2016</w:t>
            </w:r>
          </w:p>
        </w:tc>
        <w:tc>
          <w:tcPr>
            <w:tcW w:w="780" w:type="dxa"/>
            <w:vAlign w:val="bottom"/>
          </w:tcPr>
          <w:p>
            <w:pPr>
              <w:jc w:val="right"/>
              <w:ind w:right="52"/>
              <w:spacing w:after="0"/>
              <w:rPr>
                <w:sz w:val="20"/>
                <w:szCs w:val="20"/>
                <w:color w:val="auto"/>
              </w:rPr>
            </w:pPr>
            <w:r>
              <w:rPr>
                <w:rFonts w:ascii="Arial" w:cs="Arial" w:eastAsia="Arial" w:hAnsi="Arial"/>
                <w:sz w:val="14"/>
                <w:szCs w:val="14"/>
                <w:color w:val="auto"/>
              </w:rPr>
              <w:t>13,094</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jc w:val="right"/>
              <w:ind w:right="32"/>
              <w:spacing w:after="0"/>
              <w:rPr>
                <w:sz w:val="20"/>
                <w:szCs w:val="20"/>
                <w:color w:val="auto"/>
              </w:rPr>
            </w:pPr>
            <w:r>
              <w:rPr>
                <w:rFonts w:ascii="Arial" w:cs="Arial" w:eastAsia="Arial" w:hAnsi="Arial"/>
                <w:sz w:val="14"/>
                <w:szCs w:val="14"/>
                <w:color w:val="auto"/>
              </w:rPr>
              <w:t>131</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60" w:type="dxa"/>
            <w:vAlign w:val="bottom"/>
          </w:tcPr>
          <w:p>
            <w:pPr>
              <w:jc w:val="right"/>
              <w:ind w:right="32"/>
              <w:spacing w:after="0"/>
              <w:rPr>
                <w:sz w:val="20"/>
                <w:szCs w:val="20"/>
                <w:color w:val="auto"/>
              </w:rPr>
            </w:pPr>
            <w:r>
              <w:rPr>
                <w:rFonts w:ascii="Arial" w:cs="Arial" w:eastAsia="Arial" w:hAnsi="Arial"/>
                <w:sz w:val="14"/>
                <w:szCs w:val="14"/>
                <w:color w:val="auto"/>
              </w:rPr>
              <w:t>249,866</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00" w:type="dxa"/>
            <w:vAlign w:val="bottom"/>
          </w:tcPr>
          <w:p>
            <w:pPr>
              <w:jc w:val="right"/>
              <w:ind w:right="32"/>
              <w:spacing w:after="0"/>
              <w:rPr>
                <w:sz w:val="20"/>
                <w:szCs w:val="20"/>
                <w:color w:val="auto"/>
              </w:rPr>
            </w:pPr>
            <w:r>
              <w:rPr>
                <w:rFonts w:ascii="Arial" w:cs="Arial" w:eastAsia="Arial" w:hAnsi="Arial"/>
                <w:sz w:val="14"/>
                <w:szCs w:val="14"/>
                <w:color w:val="auto"/>
              </w:rPr>
              <w:t>249,997</w:t>
            </w:r>
          </w:p>
        </w:tc>
        <w:tc>
          <w:tcPr>
            <w:tcW w:w="0" w:type="dxa"/>
            <w:vAlign w:val="bottom"/>
          </w:tcPr>
          <w:p>
            <w:pPr>
              <w:spacing w:after="0"/>
              <w:rPr>
                <w:sz w:val="1"/>
                <w:szCs w:val="1"/>
                <w:color w:val="auto"/>
              </w:rPr>
            </w:pPr>
          </w:p>
        </w:tc>
      </w:tr>
      <w:tr>
        <w:trPr>
          <w:trHeight w:val="27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w w:val="98"/>
              </w:rPr>
              <w:t>Conversion of 1.00% Convertible Notes Due 2018</w:t>
            </w:r>
          </w:p>
        </w:tc>
        <w:tc>
          <w:tcPr>
            <w:tcW w:w="780" w:type="dxa"/>
            <w:vAlign w:val="bottom"/>
            <w:shd w:val="clear" w:color="auto" w:fill="CCEEFF"/>
          </w:tcPr>
          <w:p>
            <w:pPr>
              <w:jc w:val="right"/>
              <w:ind w:right="52"/>
              <w:spacing w:after="0"/>
              <w:rPr>
                <w:sz w:val="20"/>
                <w:szCs w:val="20"/>
                <w:color w:val="auto"/>
              </w:rPr>
            </w:pPr>
            <w:r>
              <w:rPr>
                <w:rFonts w:ascii="Arial" w:cs="Arial" w:eastAsia="Arial" w:hAnsi="Arial"/>
                <w:sz w:val="14"/>
                <w:szCs w:val="14"/>
                <w:color w:val="auto"/>
              </w:rPr>
              <w:t>899</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9</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18,332</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18,341</w:t>
            </w:r>
          </w:p>
        </w:tc>
        <w:tc>
          <w:tcPr>
            <w:tcW w:w="0" w:type="dxa"/>
            <w:vAlign w:val="bottom"/>
          </w:tcPr>
          <w:p>
            <w:pPr>
              <w:spacing w:after="0"/>
              <w:rPr>
                <w:sz w:val="1"/>
                <w:szCs w:val="1"/>
                <w:color w:val="auto"/>
              </w:rPr>
            </w:pPr>
          </w:p>
        </w:tc>
      </w:tr>
      <w:tr>
        <w:trPr>
          <w:trHeight w:val="263"/>
        </w:trPr>
        <w:tc>
          <w:tcPr>
            <w:tcW w:w="2880" w:type="dxa"/>
            <w:vAlign w:val="bottom"/>
            <w:gridSpan w:val="2"/>
          </w:tcPr>
          <w:p>
            <w:pPr>
              <w:ind w:left="40"/>
              <w:spacing w:after="0"/>
              <w:rPr>
                <w:sz w:val="20"/>
                <w:szCs w:val="20"/>
                <w:color w:val="auto"/>
              </w:rPr>
            </w:pPr>
            <w:r>
              <w:rPr>
                <w:rFonts w:ascii="Arial" w:cs="Arial" w:eastAsia="Arial" w:hAnsi="Arial"/>
                <w:sz w:val="13"/>
                <w:szCs w:val="13"/>
                <w:color w:val="auto"/>
                <w:w w:val="92"/>
              </w:rPr>
              <w:t>Issuance of shares related to Social Point acquisition</w:t>
            </w:r>
          </w:p>
        </w:tc>
        <w:tc>
          <w:tcPr>
            <w:tcW w:w="780" w:type="dxa"/>
            <w:vAlign w:val="bottom"/>
          </w:tcPr>
          <w:p>
            <w:pPr>
              <w:jc w:val="right"/>
              <w:ind w:right="52"/>
              <w:spacing w:after="0"/>
              <w:rPr>
                <w:sz w:val="20"/>
                <w:szCs w:val="20"/>
                <w:color w:val="auto"/>
              </w:rPr>
            </w:pPr>
            <w:r>
              <w:rPr>
                <w:rFonts w:ascii="Arial" w:cs="Arial" w:eastAsia="Arial" w:hAnsi="Arial"/>
                <w:sz w:val="14"/>
                <w:szCs w:val="14"/>
                <w:color w:val="auto"/>
              </w:rPr>
              <w:t>1,480</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jc w:val="right"/>
              <w:ind w:right="32"/>
              <w:spacing w:after="0"/>
              <w:rPr>
                <w:sz w:val="20"/>
                <w:szCs w:val="20"/>
                <w:color w:val="auto"/>
              </w:rPr>
            </w:pPr>
            <w:r>
              <w:rPr>
                <w:rFonts w:ascii="Arial" w:cs="Arial" w:eastAsia="Arial" w:hAnsi="Arial"/>
                <w:sz w:val="14"/>
                <w:szCs w:val="14"/>
                <w:color w:val="auto"/>
              </w:rPr>
              <w:t>15</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60" w:type="dxa"/>
            <w:vAlign w:val="bottom"/>
          </w:tcPr>
          <w:p>
            <w:pPr>
              <w:jc w:val="right"/>
              <w:ind w:right="32"/>
              <w:spacing w:after="0"/>
              <w:rPr>
                <w:sz w:val="20"/>
                <w:szCs w:val="20"/>
                <w:color w:val="auto"/>
              </w:rPr>
            </w:pPr>
            <w:r>
              <w:rPr>
                <w:rFonts w:ascii="Arial" w:cs="Arial" w:eastAsia="Arial" w:hAnsi="Arial"/>
                <w:sz w:val="14"/>
                <w:szCs w:val="14"/>
                <w:color w:val="auto"/>
              </w:rPr>
              <w:t>57,327</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00" w:type="dxa"/>
            <w:vAlign w:val="bottom"/>
          </w:tcPr>
          <w:p>
            <w:pPr>
              <w:jc w:val="right"/>
              <w:ind w:right="32"/>
              <w:spacing w:after="0"/>
              <w:rPr>
                <w:sz w:val="20"/>
                <w:szCs w:val="20"/>
                <w:color w:val="auto"/>
              </w:rPr>
            </w:pPr>
            <w:r>
              <w:rPr>
                <w:rFonts w:ascii="Arial" w:cs="Arial" w:eastAsia="Arial" w:hAnsi="Arial"/>
                <w:sz w:val="14"/>
                <w:szCs w:val="14"/>
                <w:color w:val="auto"/>
              </w:rPr>
              <w:t>57,342</w:t>
            </w:r>
          </w:p>
        </w:tc>
        <w:tc>
          <w:tcPr>
            <w:tcW w:w="0" w:type="dxa"/>
            <w:vAlign w:val="bottom"/>
          </w:tcPr>
          <w:p>
            <w:pPr>
              <w:spacing w:after="0"/>
              <w:rPr>
                <w:sz w:val="1"/>
                <w:szCs w:val="1"/>
                <w:color w:val="auto"/>
              </w:rPr>
            </w:pPr>
          </w:p>
        </w:tc>
      </w:tr>
      <w:tr>
        <w:trPr>
          <w:trHeight w:val="271"/>
        </w:trPr>
        <w:tc>
          <w:tcPr>
            <w:tcW w:w="27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3"/>
                <w:szCs w:val="13"/>
                <w:color w:val="auto"/>
                <w:w w:val="99"/>
              </w:rPr>
              <w:t>Net share settlement of restricted stock awards</w:t>
            </w:r>
          </w:p>
        </w:tc>
        <w:tc>
          <w:tcPr>
            <w:tcW w:w="120" w:type="dxa"/>
            <w:vAlign w:val="bottom"/>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(1,163)</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(51,750)</w:t>
            </w:r>
          </w:p>
        </w:tc>
        <w:tc>
          <w:tcPr>
            <w:tcW w:w="120" w:type="dxa"/>
            <w:vAlign w:val="bottom"/>
            <w:shd w:val="clear" w:color="auto" w:fill="CCEEFF"/>
          </w:tcPr>
          <w:p>
            <w:pPr>
              <w:spacing w:after="0"/>
              <w:rPr>
                <w:sz w:val="23"/>
                <w:szCs w:val="23"/>
                <w:color w:val="auto"/>
              </w:rPr>
            </w:pPr>
          </w:p>
        </w:tc>
        <w:tc>
          <w:tcPr>
            <w:tcW w:w="78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jc w:val="right"/>
              <w:ind w:right="32"/>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spacing w:after="0"/>
              <w:rPr>
                <w:sz w:val="23"/>
                <w:szCs w:val="23"/>
                <w:color w:val="auto"/>
              </w:rPr>
            </w:pPr>
          </w:p>
        </w:tc>
        <w:tc>
          <w:tcPr>
            <w:tcW w:w="1140" w:type="dxa"/>
            <w:vAlign w:val="bottom"/>
            <w:tcBorders>
              <w:bottom w:val="single" w:sz="8" w:color="auto"/>
            </w:tcBorders>
            <w:shd w:val="clear" w:color="auto" w:fill="CCEEFF"/>
          </w:tcPr>
          <w:p>
            <w:pPr>
              <w:jc w:val="right"/>
              <w:ind w:right="72"/>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52"/>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20" w:type="dxa"/>
            <w:vAlign w:val="bottom"/>
            <w:tcBorders>
              <w:bottom w:val="single" w:sz="8" w:color="auto"/>
            </w:tcBorders>
            <w:shd w:val="clear" w:color="auto" w:fill="CCEEFF"/>
          </w:tcPr>
          <w:p>
            <w:pPr>
              <w:spacing w:after="0"/>
              <w:rPr>
                <w:sz w:val="23"/>
                <w:szCs w:val="23"/>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(51,762)</w:t>
            </w:r>
          </w:p>
        </w:tc>
        <w:tc>
          <w:tcPr>
            <w:tcW w:w="0" w:type="dxa"/>
            <w:vAlign w:val="bottom"/>
          </w:tcPr>
          <w:p>
            <w:pPr>
              <w:spacing w:after="0"/>
              <w:rPr>
                <w:sz w:val="1"/>
                <w:szCs w:val="1"/>
                <w:color w:val="auto"/>
              </w:rPr>
            </w:pPr>
          </w:p>
        </w:tc>
      </w:tr>
      <w:tr>
        <w:trPr>
          <w:trHeight w:val="250"/>
        </w:trPr>
        <w:tc>
          <w:tcPr>
            <w:tcW w:w="2760" w:type="dxa"/>
            <w:vAlign w:val="bottom"/>
            <w:tcBorders>
              <w:bottom w:val="single" w:sz="8" w:color="auto"/>
            </w:tcBorders>
          </w:tcPr>
          <w:p>
            <w:pPr>
              <w:ind w:left="40"/>
              <w:spacing w:after="0"/>
              <w:rPr>
                <w:sz w:val="20"/>
                <w:szCs w:val="20"/>
                <w:color w:val="auto"/>
              </w:rPr>
            </w:pPr>
            <w:r>
              <w:rPr>
                <w:rFonts w:ascii="Arial" w:cs="Arial" w:eastAsia="Arial" w:hAnsi="Arial"/>
                <w:sz w:val="13"/>
                <w:szCs w:val="13"/>
                <w:color w:val="auto"/>
              </w:rPr>
              <w:t>Balance, March 31, 2017</w:t>
            </w:r>
          </w:p>
        </w:tc>
        <w:tc>
          <w:tcPr>
            <w:tcW w:w="120" w:type="dxa"/>
            <w:vAlign w:val="bottom"/>
            <w:tcBorders>
              <w:bottom w:val="single" w:sz="8" w:color="CCEEFF"/>
            </w:tcBorders>
          </w:tcPr>
          <w:p>
            <w:pPr>
              <w:spacing w:after="0"/>
              <w:rPr>
                <w:sz w:val="21"/>
                <w:szCs w:val="21"/>
                <w:color w:val="auto"/>
              </w:rPr>
            </w:pPr>
          </w:p>
        </w:tc>
        <w:tc>
          <w:tcPr>
            <w:tcW w:w="78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color w:val="auto"/>
              </w:rPr>
              <w:t>119,813</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color w:val="auto"/>
              </w:rPr>
              <w:t>1,198</w:t>
            </w:r>
          </w:p>
        </w:tc>
        <w:tc>
          <w:tcPr>
            <w:tcW w:w="12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76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color w:val="auto"/>
              </w:rPr>
              <w:t>1,452,754</w:t>
            </w:r>
          </w:p>
        </w:tc>
        <w:tc>
          <w:tcPr>
            <w:tcW w:w="120" w:type="dxa"/>
            <w:vAlign w:val="bottom"/>
            <w:tcBorders>
              <w:bottom w:val="single" w:sz="8" w:color="CCEEFF"/>
            </w:tcBorders>
          </w:tcPr>
          <w:p>
            <w:pPr>
              <w:spacing w:after="0"/>
              <w:rPr>
                <w:sz w:val="21"/>
                <w:szCs w:val="21"/>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(17,192)</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66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96"/>
              </w:rPr>
              <w:t>(303,388)</w:t>
            </w:r>
          </w:p>
        </w:tc>
        <w:tc>
          <w:tcPr>
            <w:tcW w:w="120" w:type="dxa"/>
            <w:vAlign w:val="bottom"/>
            <w:tcBorders>
              <w:bottom w:val="single" w:sz="8" w:color="CCEEFF"/>
            </w:tcBorders>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color w:val="auto"/>
              </w:rPr>
              <w:t>(99,694)</w:t>
            </w:r>
          </w:p>
        </w:tc>
        <w:tc>
          <w:tcPr>
            <w:tcW w:w="100" w:type="dxa"/>
            <w:vAlign w:val="bottom"/>
            <w:tcBorders>
              <w:bottom w:val="single" w:sz="8" w:color="CCEEFF"/>
            </w:tcBorders>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color w:val="auto"/>
              </w:rPr>
              <w:t>(47,142)</w:t>
            </w:r>
          </w:p>
        </w:tc>
        <w:tc>
          <w:tcPr>
            <w:tcW w:w="100" w:type="dxa"/>
            <w:vAlign w:val="bottom"/>
            <w:tcBorders>
              <w:bottom w:val="single" w:sz="8" w:color="CCEEFF"/>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color w:val="auto"/>
              </w:rPr>
              <w:t>1,003,728</w:t>
            </w:r>
          </w:p>
        </w:tc>
        <w:tc>
          <w:tcPr>
            <w:tcW w:w="0" w:type="dxa"/>
            <w:vAlign w:val="bottom"/>
          </w:tcPr>
          <w:p>
            <w:pPr>
              <w:spacing w:after="0"/>
              <w:rPr>
                <w:sz w:val="1"/>
                <w:szCs w:val="1"/>
                <w:color w:val="auto"/>
              </w:rPr>
            </w:pPr>
          </w:p>
        </w:tc>
      </w:tr>
      <w:tr>
        <w:trPr>
          <w:trHeight w:val="25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Net income</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2"/>
                <w:szCs w:val="22"/>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2"/>
                <w:szCs w:val="22"/>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2"/>
                <w:szCs w:val="22"/>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2"/>
                <w:szCs w:val="22"/>
                <w:color w:val="auto"/>
              </w:rPr>
            </w:pPr>
          </w:p>
        </w:tc>
        <w:tc>
          <w:tcPr>
            <w:tcW w:w="1140" w:type="dxa"/>
            <w:vAlign w:val="bottom"/>
            <w:shd w:val="clear" w:color="auto" w:fill="CCEEFF"/>
          </w:tcPr>
          <w:p>
            <w:pPr>
              <w:jc w:val="right"/>
              <w:ind w:right="72"/>
              <w:spacing w:after="0"/>
              <w:rPr>
                <w:sz w:val="20"/>
                <w:szCs w:val="20"/>
                <w:color w:val="auto"/>
              </w:rPr>
            </w:pPr>
            <w:r>
              <w:rPr>
                <w:rFonts w:ascii="Arial" w:cs="Arial" w:eastAsia="Arial" w:hAnsi="Arial"/>
                <w:sz w:val="14"/>
                <w:szCs w:val="14"/>
                <w:color w:val="auto"/>
              </w:rPr>
              <w:t>173,533</w:t>
            </w:r>
          </w:p>
        </w:tc>
        <w:tc>
          <w:tcPr>
            <w:tcW w:w="10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2"/>
                <w:szCs w:val="22"/>
                <w:color w:val="auto"/>
              </w:rPr>
            </w:pPr>
          </w:p>
        </w:tc>
        <w:tc>
          <w:tcPr>
            <w:tcW w:w="100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173,533</w:t>
            </w:r>
          </w:p>
        </w:tc>
        <w:tc>
          <w:tcPr>
            <w:tcW w:w="0" w:type="dxa"/>
            <w:vAlign w:val="bottom"/>
          </w:tcPr>
          <w:p>
            <w:pPr>
              <w:spacing w:after="0"/>
              <w:rPr>
                <w:sz w:val="1"/>
                <w:szCs w:val="1"/>
                <w:color w:val="auto"/>
              </w:rPr>
            </w:pPr>
          </w:p>
        </w:tc>
      </w:tr>
      <w:tr>
        <w:trPr>
          <w:trHeight w:val="148"/>
        </w:trPr>
        <w:tc>
          <w:tcPr>
            <w:tcW w:w="2880" w:type="dxa"/>
            <w:vAlign w:val="bottom"/>
            <w:gridSpan w:val="2"/>
          </w:tcPr>
          <w:p>
            <w:pPr>
              <w:ind w:left="40"/>
              <w:spacing w:after="0" w:line="148" w:lineRule="exact"/>
              <w:rPr>
                <w:sz w:val="20"/>
                <w:szCs w:val="20"/>
                <w:color w:val="auto"/>
              </w:rPr>
            </w:pPr>
            <w:r>
              <w:rPr>
                <w:rFonts w:ascii="Arial" w:cs="Arial" w:eastAsia="Arial" w:hAnsi="Arial"/>
                <w:sz w:val="13"/>
                <w:szCs w:val="13"/>
                <w:color w:val="auto"/>
                <w:w w:val="98"/>
              </w:rPr>
              <w:t>Change in cumulative foreign currency translation</w:t>
            </w: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124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120" w:type="dxa"/>
            <w:vAlign w:val="bottom"/>
            <w:vMerge w:val="restart"/>
          </w:tcPr>
          <w:p>
            <w:pPr>
              <w:jc w:val="right"/>
              <w:ind w:right="52"/>
              <w:spacing w:after="0"/>
              <w:rPr>
                <w:sz w:val="20"/>
                <w:szCs w:val="20"/>
                <w:color w:val="auto"/>
              </w:rPr>
            </w:pPr>
            <w:r>
              <w:rPr>
                <w:rFonts w:ascii="Arial" w:cs="Arial" w:eastAsia="Arial" w:hAnsi="Arial"/>
                <w:sz w:val="14"/>
                <w:szCs w:val="14"/>
                <w:color w:val="auto"/>
              </w:rPr>
              <w:t>43,379</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vMerge w:val="restart"/>
          </w:tcPr>
          <w:p>
            <w:pPr>
              <w:jc w:val="right"/>
              <w:ind w:right="32"/>
              <w:spacing w:after="0"/>
              <w:rPr>
                <w:sz w:val="20"/>
                <w:szCs w:val="20"/>
                <w:color w:val="auto"/>
              </w:rPr>
            </w:pPr>
            <w:r>
              <w:rPr>
                <w:rFonts w:ascii="Arial" w:cs="Arial" w:eastAsia="Arial" w:hAnsi="Arial"/>
                <w:sz w:val="14"/>
                <w:szCs w:val="14"/>
                <w:color w:val="auto"/>
              </w:rPr>
              <w:t>43,379</w:t>
            </w:r>
          </w:p>
        </w:tc>
        <w:tc>
          <w:tcPr>
            <w:tcW w:w="0" w:type="dxa"/>
            <w:vAlign w:val="bottom"/>
          </w:tcPr>
          <w:p>
            <w:pPr>
              <w:spacing w:after="0"/>
              <w:rPr>
                <w:sz w:val="1"/>
                <w:szCs w:val="1"/>
                <w:color w:val="auto"/>
              </w:rPr>
            </w:pPr>
          </w:p>
        </w:tc>
      </w:tr>
      <w:tr>
        <w:trPr>
          <w:trHeight w:val="169"/>
        </w:trPr>
        <w:tc>
          <w:tcPr>
            <w:tcW w:w="2880" w:type="dxa"/>
            <w:vAlign w:val="bottom"/>
            <w:gridSpan w:val="2"/>
          </w:tcPr>
          <w:p>
            <w:pPr>
              <w:ind w:left="40"/>
              <w:spacing w:after="0"/>
              <w:rPr>
                <w:sz w:val="20"/>
                <w:szCs w:val="20"/>
                <w:color w:val="auto"/>
              </w:rPr>
            </w:pPr>
            <w:r>
              <w:rPr>
                <w:rFonts w:ascii="Arial" w:cs="Arial" w:eastAsia="Arial" w:hAnsi="Arial"/>
                <w:sz w:val="13"/>
                <w:szCs w:val="13"/>
                <w:color w:val="auto"/>
              </w:rPr>
              <w:t>adjustment</w:t>
            </w:r>
          </w:p>
        </w:tc>
        <w:tc>
          <w:tcPr>
            <w:tcW w:w="8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1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5"/>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w w:val="95"/>
              </w:rPr>
              <w:t>Net unrealized gain on available-for-sale securities,</w:t>
            </w: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8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3"/>
                <w:szCs w:val="13"/>
                <w:color w:val="auto"/>
              </w:rPr>
            </w:pPr>
          </w:p>
        </w:tc>
        <w:tc>
          <w:tcPr>
            <w:tcW w:w="78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13"/>
                <w:szCs w:val="13"/>
                <w:color w:val="auto"/>
              </w:rPr>
            </w:pPr>
          </w:p>
        </w:tc>
        <w:tc>
          <w:tcPr>
            <w:tcW w:w="124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3"/>
                <w:szCs w:val="13"/>
                <w:color w:val="auto"/>
              </w:rPr>
            </w:pPr>
          </w:p>
        </w:tc>
        <w:tc>
          <w:tcPr>
            <w:tcW w:w="1120" w:type="dxa"/>
            <w:vAlign w:val="bottom"/>
            <w:vMerge w:val="restart"/>
            <w:shd w:val="clear" w:color="auto" w:fill="CCEEFF"/>
          </w:tcPr>
          <w:p>
            <w:pPr>
              <w:jc w:val="right"/>
              <w:ind w:right="12"/>
              <w:spacing w:after="0"/>
              <w:rPr>
                <w:sz w:val="20"/>
                <w:szCs w:val="20"/>
                <w:color w:val="auto"/>
              </w:rPr>
            </w:pPr>
            <w:r>
              <w:rPr>
                <w:rFonts w:ascii="Arial" w:cs="Arial" w:eastAsia="Arial" w:hAnsi="Arial"/>
                <w:sz w:val="14"/>
                <w:szCs w:val="14"/>
                <w:color w:val="auto"/>
              </w:rPr>
              <w:t>(1,778)</w:t>
            </w:r>
          </w:p>
        </w:tc>
        <w:tc>
          <w:tcPr>
            <w:tcW w:w="100" w:type="dxa"/>
            <w:vAlign w:val="bottom"/>
            <w:shd w:val="clear" w:color="auto" w:fill="CCEEFF"/>
          </w:tcPr>
          <w:p>
            <w:pPr>
              <w:spacing w:after="0"/>
              <w:rPr>
                <w:sz w:val="13"/>
                <w:szCs w:val="13"/>
                <w:color w:val="auto"/>
              </w:rPr>
            </w:pPr>
          </w:p>
        </w:tc>
        <w:tc>
          <w:tcPr>
            <w:tcW w:w="120" w:type="dxa"/>
            <w:vAlign w:val="bottom"/>
            <w:shd w:val="clear" w:color="auto" w:fill="CCEEFF"/>
          </w:tcPr>
          <w:p>
            <w:pPr>
              <w:spacing w:after="0"/>
              <w:rPr>
                <w:sz w:val="13"/>
                <w:szCs w:val="13"/>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(1,778)</w:t>
            </w:r>
          </w:p>
        </w:tc>
        <w:tc>
          <w:tcPr>
            <w:tcW w:w="0" w:type="dxa"/>
            <w:vAlign w:val="bottom"/>
          </w:tcPr>
          <w:p>
            <w:pPr>
              <w:spacing w:after="0"/>
              <w:rPr>
                <w:sz w:val="1"/>
                <w:szCs w:val="1"/>
                <w:color w:val="auto"/>
              </w:rPr>
            </w:pPr>
          </w:p>
        </w:tc>
      </w:tr>
      <w:tr>
        <w:trPr>
          <w:trHeight w:val="176"/>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net of taxes</w:t>
            </w:r>
          </w:p>
        </w:tc>
        <w:tc>
          <w:tcPr>
            <w:tcW w:w="8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80" w:type="dxa"/>
            <w:vAlign w:val="bottom"/>
            <w:gridSpan w:val="2"/>
            <w:vMerge w:val="continue"/>
            <w:shd w:val="clear" w:color="auto" w:fill="CCEEFF"/>
          </w:tcPr>
          <w:p>
            <w:pPr>
              <w:spacing w:after="0"/>
              <w:rPr>
                <w:sz w:val="15"/>
                <w:szCs w:val="15"/>
                <w:color w:val="auto"/>
              </w:rPr>
            </w:pPr>
          </w:p>
        </w:tc>
        <w:tc>
          <w:tcPr>
            <w:tcW w:w="880" w:type="dxa"/>
            <w:vAlign w:val="bottom"/>
            <w:gridSpan w:val="2"/>
            <w:vMerge w:val="continue"/>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80" w:type="dxa"/>
            <w:vAlign w:val="bottom"/>
            <w:gridSpan w:val="2"/>
            <w:vMerge w:val="continue"/>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1240" w:type="dxa"/>
            <w:vAlign w:val="bottom"/>
            <w:gridSpan w:val="2"/>
            <w:vMerge w:val="continue"/>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120" w:type="dxa"/>
            <w:vAlign w:val="bottom"/>
            <w:vMerge w:val="continue"/>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0" w:type="dxa"/>
            <w:vAlign w:val="bottom"/>
            <w:vMerge w:val="continue"/>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2880" w:type="dxa"/>
            <w:vAlign w:val="bottom"/>
            <w:gridSpan w:val="2"/>
          </w:tcPr>
          <w:p>
            <w:pPr>
              <w:ind w:left="40"/>
              <w:spacing w:after="0"/>
              <w:rPr>
                <w:sz w:val="20"/>
                <w:szCs w:val="20"/>
                <w:color w:val="auto"/>
              </w:rPr>
            </w:pPr>
            <w:r>
              <w:rPr>
                <w:rFonts w:ascii="Arial" w:cs="Arial" w:eastAsia="Arial" w:hAnsi="Arial"/>
                <w:sz w:val="13"/>
                <w:szCs w:val="13"/>
                <w:color w:val="auto"/>
                <w:w w:val="94"/>
              </w:rPr>
              <w:t>Change in unrealized gains on cash flow hedge, net</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20" w:type="dxa"/>
            <w:vAlign w:val="bottom"/>
          </w:tcPr>
          <w:p>
            <w:pPr>
              <w:jc w:val="right"/>
              <w:ind w:right="12"/>
              <w:spacing w:after="0"/>
              <w:rPr>
                <w:sz w:val="20"/>
                <w:szCs w:val="20"/>
                <w:color w:val="auto"/>
              </w:rPr>
            </w:pPr>
            <w:r>
              <w:rPr>
                <w:rFonts w:ascii="Arial" w:cs="Arial" w:eastAsia="Arial" w:hAnsi="Arial"/>
                <w:sz w:val="14"/>
                <w:szCs w:val="14"/>
                <w:color w:val="auto"/>
              </w:rPr>
              <w:t>(10,191)</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0" w:type="dxa"/>
            <w:vAlign w:val="bottom"/>
          </w:tcPr>
          <w:p>
            <w:pPr>
              <w:jc w:val="right"/>
              <w:spacing w:after="0"/>
              <w:rPr>
                <w:sz w:val="20"/>
                <w:szCs w:val="20"/>
                <w:color w:val="auto"/>
              </w:rPr>
            </w:pPr>
            <w:r>
              <w:rPr>
                <w:rFonts w:ascii="Arial" w:cs="Arial" w:eastAsia="Arial" w:hAnsi="Arial"/>
                <w:sz w:val="14"/>
                <w:szCs w:val="14"/>
                <w:color w:val="auto"/>
              </w:rPr>
              <w:t>(10,191)</w:t>
            </w:r>
          </w:p>
        </w:tc>
        <w:tc>
          <w:tcPr>
            <w:tcW w:w="0" w:type="dxa"/>
            <w:vAlign w:val="bottom"/>
          </w:tcPr>
          <w:p>
            <w:pPr>
              <w:spacing w:after="0"/>
              <w:rPr>
                <w:sz w:val="1"/>
                <w:szCs w:val="1"/>
                <w:color w:val="auto"/>
              </w:rPr>
            </w:pPr>
          </w:p>
        </w:tc>
      </w:tr>
      <w:tr>
        <w:trPr>
          <w:trHeight w:val="27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Stock-based compensation</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6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293,214</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ind w:right="32"/>
              <w:spacing w:after="0"/>
              <w:rPr>
                <w:sz w:val="20"/>
                <w:szCs w:val="20"/>
                <w:color w:val="auto"/>
              </w:rPr>
            </w:pPr>
            <w:r>
              <w:rPr>
                <w:rFonts w:ascii="Arial" w:cs="Arial" w:eastAsia="Arial" w:hAnsi="Arial"/>
                <w:sz w:val="14"/>
                <w:szCs w:val="14"/>
                <w:color w:val="auto"/>
              </w:rPr>
              <w:t>293,214</w:t>
            </w:r>
          </w:p>
        </w:tc>
        <w:tc>
          <w:tcPr>
            <w:tcW w:w="0" w:type="dxa"/>
            <w:vAlign w:val="bottom"/>
          </w:tcPr>
          <w:p>
            <w:pPr>
              <w:spacing w:after="0"/>
              <w:rPr>
                <w:sz w:val="1"/>
                <w:szCs w:val="1"/>
                <w:color w:val="auto"/>
              </w:rPr>
            </w:pPr>
          </w:p>
        </w:tc>
      </w:tr>
      <w:tr>
        <w:trPr>
          <w:trHeight w:val="148"/>
        </w:trPr>
        <w:tc>
          <w:tcPr>
            <w:tcW w:w="2880" w:type="dxa"/>
            <w:vAlign w:val="bottom"/>
            <w:gridSpan w:val="2"/>
          </w:tcPr>
          <w:p>
            <w:pPr>
              <w:ind w:left="40"/>
              <w:spacing w:after="0" w:line="148" w:lineRule="exact"/>
              <w:rPr>
                <w:sz w:val="20"/>
                <w:szCs w:val="20"/>
                <w:color w:val="auto"/>
              </w:rPr>
            </w:pPr>
            <w:r>
              <w:rPr>
                <w:rFonts w:ascii="Arial" w:cs="Arial" w:eastAsia="Arial" w:hAnsi="Arial"/>
                <w:sz w:val="13"/>
                <w:szCs w:val="13"/>
                <w:color w:val="auto"/>
                <w:w w:val="99"/>
              </w:rPr>
              <w:t>Issuance of restricted stock, net of forfeitures and</w:t>
            </w:r>
          </w:p>
        </w:tc>
        <w:tc>
          <w:tcPr>
            <w:tcW w:w="780" w:type="dxa"/>
            <w:vAlign w:val="bottom"/>
            <w:vMerge w:val="restart"/>
          </w:tcPr>
          <w:p>
            <w:pPr>
              <w:jc w:val="right"/>
              <w:ind w:right="52"/>
              <w:spacing w:after="0"/>
              <w:rPr>
                <w:sz w:val="20"/>
                <w:szCs w:val="20"/>
                <w:color w:val="auto"/>
              </w:rPr>
            </w:pPr>
            <w:r>
              <w:rPr>
                <w:rFonts w:ascii="Arial" w:cs="Arial" w:eastAsia="Arial" w:hAnsi="Arial"/>
                <w:sz w:val="14"/>
                <w:szCs w:val="14"/>
                <w:color w:val="auto"/>
              </w:rPr>
              <w:t>2,151</w:t>
            </w: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60" w:type="dxa"/>
            <w:vAlign w:val="bottom"/>
            <w:vMerge w:val="restart"/>
          </w:tcPr>
          <w:p>
            <w:pPr>
              <w:jc w:val="right"/>
              <w:ind w:right="32"/>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vMerge w:val="restart"/>
          </w:tcPr>
          <w:p>
            <w:pPr>
              <w:jc w:val="right"/>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12"/>
                <w:szCs w:val="12"/>
                <w:color w:val="auto"/>
              </w:rPr>
            </w:pPr>
          </w:p>
        </w:tc>
        <w:tc>
          <w:tcPr>
            <w:tcW w:w="8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12"/>
                <w:szCs w:val="12"/>
                <w:color w:val="auto"/>
              </w:rPr>
            </w:pPr>
          </w:p>
        </w:tc>
        <w:tc>
          <w:tcPr>
            <w:tcW w:w="124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2"/>
                <w:szCs w:val="12"/>
                <w:color w:val="auto"/>
              </w:rPr>
            </w:pPr>
          </w:p>
        </w:tc>
        <w:tc>
          <w:tcPr>
            <w:tcW w:w="122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1000" w:type="dxa"/>
            <w:vAlign w:val="bottom"/>
            <w:vMerge w:val="restart"/>
          </w:tcPr>
          <w:p>
            <w:pPr>
              <w:jc w:val="right"/>
              <w:ind w:right="32"/>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169"/>
        </w:trPr>
        <w:tc>
          <w:tcPr>
            <w:tcW w:w="2880" w:type="dxa"/>
            <w:vAlign w:val="bottom"/>
            <w:gridSpan w:val="2"/>
          </w:tcPr>
          <w:p>
            <w:pPr>
              <w:ind w:left="40"/>
              <w:spacing w:after="0"/>
              <w:rPr>
                <w:sz w:val="20"/>
                <w:szCs w:val="20"/>
                <w:color w:val="auto"/>
              </w:rPr>
            </w:pPr>
            <w:r>
              <w:rPr>
                <w:rFonts w:ascii="Arial" w:cs="Arial" w:eastAsia="Arial" w:hAnsi="Arial"/>
                <w:sz w:val="13"/>
                <w:szCs w:val="13"/>
                <w:color w:val="auto"/>
              </w:rPr>
              <w:t>cancellations</w:t>
            </w:r>
          </w:p>
        </w:tc>
        <w:tc>
          <w:tcPr>
            <w:tcW w:w="78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260" w:type="dxa"/>
            <w:vAlign w:val="bottom"/>
          </w:tcPr>
          <w:p>
            <w:pPr>
              <w:spacing w:after="0"/>
              <w:rPr>
                <w:sz w:val="14"/>
                <w:szCs w:val="14"/>
                <w:color w:val="auto"/>
              </w:rPr>
            </w:pPr>
          </w:p>
        </w:tc>
        <w:tc>
          <w:tcPr>
            <w:tcW w:w="12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12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Repurchased common stock</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(1,513)</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w w:val="96"/>
              </w:rPr>
              <w:t>(154,792)</w:t>
            </w:r>
          </w:p>
        </w:tc>
        <w:tc>
          <w:tcPr>
            <w:tcW w:w="1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(154,792)</w:t>
            </w:r>
          </w:p>
        </w:tc>
        <w:tc>
          <w:tcPr>
            <w:tcW w:w="0" w:type="dxa"/>
            <w:vAlign w:val="bottom"/>
          </w:tcPr>
          <w:p>
            <w:pPr>
              <w:spacing w:after="0"/>
              <w:rPr>
                <w:sz w:val="1"/>
                <w:szCs w:val="1"/>
                <w:color w:val="auto"/>
              </w:rPr>
            </w:pPr>
          </w:p>
        </w:tc>
      </w:tr>
      <w:tr>
        <w:trPr>
          <w:trHeight w:val="263"/>
        </w:trPr>
        <w:tc>
          <w:tcPr>
            <w:tcW w:w="2880" w:type="dxa"/>
            <w:vAlign w:val="bottom"/>
            <w:gridSpan w:val="2"/>
          </w:tcPr>
          <w:p>
            <w:pPr>
              <w:ind w:left="40"/>
              <w:spacing w:after="0"/>
              <w:rPr>
                <w:sz w:val="20"/>
                <w:szCs w:val="20"/>
                <w:color w:val="auto"/>
              </w:rPr>
            </w:pPr>
            <w:r>
              <w:rPr>
                <w:rFonts w:ascii="Arial" w:cs="Arial" w:eastAsia="Arial" w:hAnsi="Arial"/>
                <w:sz w:val="13"/>
                <w:szCs w:val="13"/>
                <w:color w:val="auto"/>
                <w:w w:val="98"/>
              </w:rPr>
              <w:t>Conversion of 1.00% Convertible Notes Due 2018</w:t>
            </w:r>
          </w:p>
        </w:tc>
        <w:tc>
          <w:tcPr>
            <w:tcW w:w="780" w:type="dxa"/>
            <w:vAlign w:val="bottom"/>
          </w:tcPr>
          <w:p>
            <w:pPr>
              <w:jc w:val="right"/>
              <w:ind w:right="52"/>
              <w:spacing w:after="0"/>
              <w:rPr>
                <w:sz w:val="20"/>
                <w:szCs w:val="20"/>
                <w:color w:val="auto"/>
              </w:rPr>
            </w:pPr>
            <w:r>
              <w:rPr>
                <w:rFonts w:ascii="Arial" w:cs="Arial" w:eastAsia="Arial" w:hAnsi="Arial"/>
                <w:sz w:val="14"/>
                <w:szCs w:val="14"/>
                <w:color w:val="auto"/>
              </w:rPr>
              <w:t>12,082</w:t>
            </w:r>
          </w:p>
        </w:tc>
        <w:tc>
          <w:tcPr>
            <w:tcW w:w="1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60" w:type="dxa"/>
            <w:vAlign w:val="bottom"/>
          </w:tcPr>
          <w:p>
            <w:pPr>
              <w:jc w:val="right"/>
              <w:ind w:right="32"/>
              <w:spacing w:after="0"/>
              <w:rPr>
                <w:sz w:val="20"/>
                <w:szCs w:val="20"/>
                <w:color w:val="auto"/>
              </w:rPr>
            </w:pPr>
            <w:r>
              <w:rPr>
                <w:rFonts w:ascii="Arial" w:cs="Arial" w:eastAsia="Arial" w:hAnsi="Arial"/>
                <w:sz w:val="14"/>
                <w:szCs w:val="14"/>
                <w:color w:val="auto"/>
              </w:rPr>
              <w:t>121</w:t>
            </w:r>
          </w:p>
        </w:tc>
        <w:tc>
          <w:tcPr>
            <w:tcW w:w="1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760" w:type="dxa"/>
            <w:vAlign w:val="bottom"/>
          </w:tcPr>
          <w:p>
            <w:pPr>
              <w:jc w:val="right"/>
              <w:ind w:right="32"/>
              <w:spacing w:after="0"/>
              <w:rPr>
                <w:sz w:val="20"/>
                <w:szCs w:val="20"/>
                <w:color w:val="auto"/>
              </w:rPr>
            </w:pPr>
            <w:r>
              <w:rPr>
                <w:rFonts w:ascii="Arial" w:cs="Arial" w:eastAsia="Arial" w:hAnsi="Arial"/>
                <w:sz w:val="14"/>
                <w:szCs w:val="14"/>
                <w:color w:val="auto"/>
              </w:rPr>
              <w:t>254,963</w:t>
            </w:r>
          </w:p>
        </w:tc>
        <w:tc>
          <w:tcPr>
            <w:tcW w:w="120" w:type="dxa"/>
            <w:vAlign w:val="bottom"/>
          </w:tcPr>
          <w:p>
            <w:pPr>
              <w:spacing w:after="0"/>
              <w:rPr>
                <w:sz w:val="22"/>
                <w:szCs w:val="22"/>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7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tcPr>
          <w:p>
            <w:pPr>
              <w:spacing w:after="0"/>
              <w:rPr>
                <w:sz w:val="22"/>
                <w:szCs w:val="22"/>
                <w:color w:val="auto"/>
              </w:rPr>
            </w:pPr>
          </w:p>
        </w:tc>
        <w:tc>
          <w:tcPr>
            <w:tcW w:w="124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1000" w:type="dxa"/>
            <w:vAlign w:val="bottom"/>
          </w:tcPr>
          <w:p>
            <w:pPr>
              <w:jc w:val="right"/>
              <w:ind w:right="32"/>
              <w:spacing w:after="0"/>
              <w:rPr>
                <w:sz w:val="20"/>
                <w:szCs w:val="20"/>
                <w:color w:val="auto"/>
              </w:rPr>
            </w:pPr>
            <w:r>
              <w:rPr>
                <w:rFonts w:ascii="Arial" w:cs="Arial" w:eastAsia="Arial" w:hAnsi="Arial"/>
                <w:sz w:val="14"/>
                <w:szCs w:val="14"/>
                <w:color w:val="auto"/>
              </w:rPr>
              <w:t>255,084</w:t>
            </w:r>
          </w:p>
        </w:tc>
        <w:tc>
          <w:tcPr>
            <w:tcW w:w="0" w:type="dxa"/>
            <w:vAlign w:val="bottom"/>
          </w:tcPr>
          <w:p>
            <w:pPr>
              <w:spacing w:after="0"/>
              <w:rPr>
                <w:sz w:val="1"/>
                <w:szCs w:val="1"/>
                <w:color w:val="auto"/>
              </w:rPr>
            </w:pPr>
          </w:p>
        </w:tc>
      </w:tr>
      <w:tr>
        <w:trPr>
          <w:trHeight w:val="27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color w:val="auto"/>
              </w:rPr>
              <w:t>Net share settlement of restricted stock awards</w:t>
            </w: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(1,303)</w:t>
            </w:r>
          </w:p>
        </w:tc>
        <w:tc>
          <w:tcPr>
            <w:tcW w:w="10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(13)</w:t>
            </w:r>
          </w:p>
        </w:tc>
        <w:tc>
          <w:tcPr>
            <w:tcW w:w="120" w:type="dxa"/>
            <w:vAlign w:val="bottom"/>
            <w:shd w:val="clear" w:color="auto" w:fill="CCEEFF"/>
          </w:tcPr>
          <w:p>
            <w:pPr>
              <w:spacing w:after="0"/>
              <w:rPr>
                <w:sz w:val="24"/>
                <w:szCs w:val="24"/>
                <w:color w:val="auto"/>
              </w:rPr>
            </w:pPr>
          </w:p>
        </w:tc>
        <w:tc>
          <w:tcPr>
            <w:tcW w:w="120" w:type="dxa"/>
            <w:vAlign w:val="bottom"/>
            <w:shd w:val="clear" w:color="auto" w:fill="CCEEFF"/>
          </w:tcPr>
          <w:p>
            <w:pPr>
              <w:spacing w:after="0"/>
              <w:rPr>
                <w:sz w:val="24"/>
                <w:szCs w:val="24"/>
                <w:color w:val="auto"/>
              </w:rPr>
            </w:pPr>
          </w:p>
        </w:tc>
        <w:tc>
          <w:tcPr>
            <w:tcW w:w="7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(112,871)</w:t>
            </w:r>
          </w:p>
        </w:tc>
        <w:tc>
          <w:tcPr>
            <w:tcW w:w="120" w:type="dxa"/>
            <w:vAlign w:val="bottom"/>
            <w:shd w:val="clear" w:color="auto" w:fill="CCEEFF"/>
          </w:tcPr>
          <w:p>
            <w:pPr>
              <w:spacing w:after="0"/>
              <w:rPr>
                <w:sz w:val="24"/>
                <w:szCs w:val="24"/>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78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260" w:type="dxa"/>
            <w:vAlign w:val="bottom"/>
            <w:shd w:val="clear" w:color="auto" w:fill="CCEEFF"/>
          </w:tcPr>
          <w:p>
            <w:pPr>
              <w:spacing w:after="0"/>
              <w:rPr>
                <w:sz w:val="24"/>
                <w:szCs w:val="24"/>
                <w:color w:val="auto"/>
              </w:rPr>
            </w:pPr>
          </w:p>
        </w:tc>
        <w:tc>
          <w:tcPr>
            <w:tcW w:w="124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2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(112,884)</w:t>
            </w:r>
          </w:p>
        </w:tc>
        <w:tc>
          <w:tcPr>
            <w:tcW w:w="0" w:type="dxa"/>
            <w:vAlign w:val="bottom"/>
          </w:tcPr>
          <w:p>
            <w:pPr>
              <w:spacing w:after="0"/>
              <w:rPr>
                <w:sz w:val="1"/>
                <w:szCs w:val="1"/>
                <w:color w:val="auto"/>
              </w:rPr>
            </w:pPr>
          </w:p>
        </w:tc>
      </w:tr>
      <w:tr>
        <w:trPr>
          <w:trHeight w:val="264"/>
        </w:trPr>
        <w:tc>
          <w:tcPr>
            <w:tcW w:w="2760" w:type="dxa"/>
            <w:vAlign w:val="bottom"/>
            <w:tcBorders>
              <w:bottom w:val="single" w:sz="8" w:color="auto"/>
            </w:tcBorders>
          </w:tcPr>
          <w:p>
            <w:pPr>
              <w:ind w:left="40"/>
              <w:spacing w:after="0"/>
              <w:rPr>
                <w:sz w:val="20"/>
                <w:szCs w:val="20"/>
                <w:color w:val="auto"/>
              </w:rPr>
            </w:pPr>
            <w:r>
              <w:rPr>
                <w:rFonts w:ascii="Arial" w:cs="Arial" w:eastAsia="Arial" w:hAnsi="Arial"/>
                <w:sz w:val="13"/>
                <w:szCs w:val="13"/>
                <w:color w:val="auto"/>
              </w:rPr>
              <w:t>Adoption of ASU 2016-09</w:t>
            </w:r>
          </w:p>
        </w:tc>
        <w:tc>
          <w:tcPr>
            <w:tcW w:w="120" w:type="dxa"/>
            <w:vAlign w:val="bottom"/>
            <w:tcBorders>
              <w:bottom w:val="single" w:sz="8" w:color="CCEEFF"/>
            </w:tcBorders>
          </w:tcPr>
          <w:p>
            <w:pPr>
              <w:spacing w:after="0"/>
              <w:rPr>
                <w:sz w:val="22"/>
                <w:szCs w:val="22"/>
                <w:color w:val="auto"/>
              </w:rPr>
            </w:pPr>
          </w:p>
        </w:tc>
        <w:tc>
          <w:tcPr>
            <w:tcW w:w="78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color w:val="auto"/>
              </w:rPr>
              <w:t>—</w:t>
            </w:r>
          </w:p>
        </w:tc>
        <w:tc>
          <w:tcPr>
            <w:tcW w:w="120" w:type="dxa"/>
            <w:vAlign w:val="bottom"/>
            <w:tcBorders>
              <w:bottom w:val="single" w:sz="8" w:color="CCEEFF"/>
            </w:tcBorders>
          </w:tcPr>
          <w:p>
            <w:pPr>
              <w:spacing w:after="0"/>
              <w:rPr>
                <w:sz w:val="22"/>
                <w:szCs w:val="22"/>
                <w:color w:val="auto"/>
              </w:rPr>
            </w:pPr>
          </w:p>
        </w:tc>
        <w:tc>
          <w:tcPr>
            <w:tcW w:w="78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rPr>
              <w:t>—</w:t>
            </w:r>
          </w:p>
        </w:tc>
        <w:tc>
          <w:tcPr>
            <w:tcW w:w="12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color w:val="auto"/>
              </w:rPr>
              <w:t>(323)</w:t>
            </w:r>
          </w:p>
        </w:tc>
        <w:tc>
          <w:tcPr>
            <w:tcW w:w="100" w:type="dxa"/>
            <w:vAlign w:val="bottom"/>
            <w:tcBorders>
              <w:bottom w:val="single" w:sz="8" w:color="CCEEFF"/>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2"/>
              <w:spacing w:after="0"/>
              <w:rPr>
                <w:sz w:val="20"/>
                <w:szCs w:val="20"/>
                <w:color w:val="auto"/>
              </w:rPr>
            </w:pPr>
            <w:r>
              <w:rPr>
                <w:rFonts w:ascii="Arial" w:cs="Arial" w:eastAsia="Arial" w:hAnsi="Arial"/>
                <w:sz w:val="14"/>
                <w:szCs w:val="14"/>
                <w:b w:val="1"/>
                <w:bCs w:val="1"/>
                <w:color w:val="auto"/>
              </w:rPr>
              <w:t>—</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(323)</w:t>
            </w:r>
          </w:p>
        </w:tc>
        <w:tc>
          <w:tcPr>
            <w:tcW w:w="0" w:type="dxa"/>
            <w:vAlign w:val="bottom"/>
          </w:tcPr>
          <w:p>
            <w:pPr>
              <w:spacing w:after="0"/>
              <w:rPr>
                <w:sz w:val="1"/>
                <w:szCs w:val="1"/>
                <w:color w:val="auto"/>
              </w:rPr>
            </w:pPr>
          </w:p>
        </w:tc>
      </w:tr>
      <w:tr>
        <w:trPr>
          <w:trHeight w:val="237"/>
        </w:trPr>
        <w:tc>
          <w:tcPr>
            <w:tcW w:w="2880" w:type="dxa"/>
            <w:vAlign w:val="bottom"/>
            <w:gridSpan w:val="2"/>
            <w:shd w:val="clear" w:color="auto" w:fill="CCEEFF"/>
          </w:tcPr>
          <w:p>
            <w:pPr>
              <w:ind w:left="40"/>
              <w:spacing w:after="0"/>
              <w:rPr>
                <w:sz w:val="20"/>
                <w:szCs w:val="20"/>
                <w:color w:val="auto"/>
              </w:rPr>
            </w:pPr>
            <w:r>
              <w:rPr>
                <w:rFonts w:ascii="Arial" w:cs="Arial" w:eastAsia="Arial" w:hAnsi="Arial"/>
                <w:sz w:val="13"/>
                <w:szCs w:val="13"/>
                <w:b w:val="1"/>
                <w:bCs w:val="1"/>
                <w:color w:val="auto"/>
              </w:rPr>
              <w:t>Balance, March 31, 2018</w:t>
            </w:r>
          </w:p>
        </w:tc>
        <w:tc>
          <w:tcPr>
            <w:tcW w:w="780" w:type="dxa"/>
            <w:vAlign w:val="bottom"/>
            <w:shd w:val="clear" w:color="auto" w:fill="CCEEFF"/>
          </w:tcPr>
          <w:p>
            <w:pPr>
              <w:jc w:val="right"/>
              <w:ind w:right="52"/>
              <w:spacing w:after="0"/>
              <w:rPr>
                <w:sz w:val="20"/>
                <w:szCs w:val="20"/>
                <w:color w:val="auto"/>
              </w:rPr>
            </w:pPr>
            <w:r>
              <w:rPr>
                <w:rFonts w:ascii="Arial" w:cs="Arial" w:eastAsia="Arial" w:hAnsi="Arial"/>
                <w:sz w:val="14"/>
                <w:szCs w:val="14"/>
                <w:b w:val="1"/>
                <w:bCs w:val="1"/>
                <w:color w:val="auto"/>
              </w:rPr>
              <w:t>132,743</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ind w:right="32"/>
              <w:spacing w:after="0"/>
              <w:rPr>
                <w:sz w:val="20"/>
                <w:szCs w:val="20"/>
                <w:color w:val="auto"/>
              </w:rPr>
            </w:pPr>
            <w:r>
              <w:rPr>
                <w:rFonts w:ascii="Arial" w:cs="Arial" w:eastAsia="Arial" w:hAnsi="Arial"/>
                <w:sz w:val="14"/>
                <w:szCs w:val="14"/>
                <w:b w:val="1"/>
                <w:bCs w:val="1"/>
                <w:color w:val="auto"/>
              </w:rPr>
              <w:t>1,327</w:t>
            </w:r>
          </w:p>
        </w:tc>
        <w:tc>
          <w:tcPr>
            <w:tcW w:w="120" w:type="dxa"/>
            <w:vAlign w:val="bottom"/>
            <w:shd w:val="clear" w:color="auto" w:fill="CCEEFF"/>
          </w:tcPr>
          <w:p>
            <w:pPr>
              <w:spacing w:after="0"/>
              <w:rPr>
                <w:sz w:val="20"/>
                <w:szCs w:val="20"/>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w w:val="76"/>
              </w:rPr>
              <w:t>$</w:t>
            </w:r>
          </w:p>
        </w:tc>
        <w:tc>
          <w:tcPr>
            <w:tcW w:w="760" w:type="dxa"/>
            <w:vAlign w:val="bottom"/>
            <w:shd w:val="clear" w:color="auto" w:fill="CCEEFF"/>
          </w:tcPr>
          <w:p>
            <w:pPr>
              <w:jc w:val="right"/>
              <w:ind w:right="32"/>
              <w:spacing w:after="0"/>
              <w:rPr>
                <w:sz w:val="20"/>
                <w:szCs w:val="20"/>
                <w:color w:val="auto"/>
              </w:rPr>
            </w:pPr>
            <w:r>
              <w:rPr>
                <w:rFonts w:ascii="Arial" w:cs="Arial" w:eastAsia="Arial" w:hAnsi="Arial"/>
                <w:sz w:val="14"/>
                <w:szCs w:val="14"/>
                <w:b w:val="1"/>
                <w:bCs w:val="1"/>
                <w:color w:val="auto"/>
              </w:rPr>
              <w:t>1,888,039</w:t>
            </w:r>
          </w:p>
        </w:tc>
        <w:tc>
          <w:tcPr>
            <w:tcW w:w="120" w:type="dxa"/>
            <w:vAlign w:val="bottom"/>
            <w:shd w:val="clear" w:color="auto" w:fill="CCEEFF"/>
          </w:tcPr>
          <w:p>
            <w:pPr>
              <w:spacing w:after="0"/>
              <w:rPr>
                <w:sz w:val="20"/>
                <w:szCs w:val="20"/>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(18,705)</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w w:val="96"/>
              </w:rPr>
              <w:t>(458,180)</w:t>
            </w:r>
          </w:p>
        </w:tc>
        <w:tc>
          <w:tcPr>
            <w:tcW w:w="120" w:type="dxa"/>
            <w:vAlign w:val="bottom"/>
            <w:shd w:val="clear" w:color="auto" w:fill="CCEEFF"/>
          </w:tcPr>
          <w:p>
            <w:pPr>
              <w:spacing w:after="0"/>
              <w:rPr>
                <w:sz w:val="20"/>
                <w:szCs w:val="20"/>
                <w:color w:val="auto"/>
              </w:rPr>
            </w:pPr>
          </w:p>
        </w:tc>
        <w:tc>
          <w:tcPr>
            <w:tcW w:w="260" w:type="dxa"/>
            <w:vAlign w:val="bottom"/>
            <w:shd w:val="clear" w:color="auto" w:fill="CCEEFF"/>
          </w:tcPr>
          <w:p>
            <w:pPr>
              <w:ind w:left="20"/>
              <w:spacing w:after="0"/>
              <w:rPr>
                <w:sz w:val="20"/>
                <w:szCs w:val="20"/>
                <w:color w:val="auto"/>
              </w:rPr>
            </w:pPr>
            <w:r>
              <w:rPr>
                <w:rFonts w:ascii="Arial" w:cs="Arial" w:eastAsia="Arial" w:hAnsi="Arial"/>
                <w:sz w:val="14"/>
                <w:szCs w:val="14"/>
                <w:b w:val="1"/>
                <w:bCs w:val="1"/>
                <w:color w:val="auto"/>
              </w:rPr>
              <w:t>$</w:t>
            </w:r>
          </w:p>
        </w:tc>
        <w:tc>
          <w:tcPr>
            <w:tcW w:w="1140" w:type="dxa"/>
            <w:vAlign w:val="bottom"/>
            <w:shd w:val="clear" w:color="auto" w:fill="CCEEFF"/>
          </w:tcPr>
          <w:p>
            <w:pPr>
              <w:jc w:val="right"/>
              <w:ind w:right="72"/>
              <w:spacing w:after="0"/>
              <w:rPr>
                <w:sz w:val="20"/>
                <w:szCs w:val="20"/>
                <w:color w:val="auto"/>
              </w:rPr>
            </w:pPr>
            <w:r>
              <w:rPr>
                <w:rFonts w:ascii="Arial" w:cs="Arial" w:eastAsia="Arial" w:hAnsi="Arial"/>
                <w:sz w:val="14"/>
                <w:szCs w:val="14"/>
                <w:b w:val="1"/>
                <w:bCs w:val="1"/>
                <w:color w:val="auto"/>
              </w:rPr>
              <w:t>73,516</w:t>
            </w: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120" w:type="dxa"/>
            <w:vAlign w:val="bottom"/>
            <w:shd w:val="clear" w:color="auto" w:fill="CCEEFF"/>
          </w:tcPr>
          <w:p>
            <w:pPr>
              <w:jc w:val="right"/>
              <w:ind w:right="12"/>
              <w:spacing w:after="0"/>
              <w:rPr>
                <w:sz w:val="20"/>
                <w:szCs w:val="20"/>
                <w:color w:val="auto"/>
              </w:rPr>
            </w:pPr>
            <w:r>
              <w:rPr>
                <w:rFonts w:ascii="Arial" w:cs="Arial" w:eastAsia="Arial" w:hAnsi="Arial"/>
                <w:sz w:val="14"/>
                <w:szCs w:val="14"/>
                <w:b w:val="1"/>
                <w:bCs w:val="1"/>
                <w:color w:val="auto"/>
              </w:rPr>
              <w:t>(15,732)</w:t>
            </w: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b w:val="1"/>
                <w:bCs w:val="1"/>
                <w:color w:val="auto"/>
              </w:rPr>
              <w:t>$</w:t>
            </w:r>
          </w:p>
        </w:tc>
        <w:tc>
          <w:tcPr>
            <w:tcW w:w="1000" w:type="dxa"/>
            <w:vAlign w:val="bottom"/>
            <w:shd w:val="clear" w:color="auto" w:fill="CCEEFF"/>
          </w:tcPr>
          <w:p>
            <w:pPr>
              <w:jc w:val="right"/>
              <w:ind w:right="32"/>
              <w:spacing w:after="0"/>
              <w:rPr>
                <w:sz w:val="20"/>
                <w:szCs w:val="20"/>
                <w:color w:val="auto"/>
              </w:rPr>
            </w:pPr>
            <w:r>
              <w:rPr>
                <w:rFonts w:ascii="Arial" w:cs="Arial" w:eastAsia="Arial" w:hAnsi="Arial"/>
                <w:sz w:val="14"/>
                <w:szCs w:val="14"/>
                <w:b w:val="1"/>
                <w:bCs w:val="1"/>
                <w:color w:val="auto"/>
              </w:rPr>
              <w:t>1,488,970</w:t>
            </w:r>
          </w:p>
        </w:tc>
        <w:tc>
          <w:tcPr>
            <w:tcW w:w="0" w:type="dxa"/>
            <w:vAlign w:val="bottom"/>
          </w:tcPr>
          <w:p>
            <w:pPr>
              <w:spacing w:after="0"/>
              <w:rPr>
                <w:sz w:val="1"/>
                <w:szCs w:val="1"/>
                <w:color w:val="auto"/>
              </w:rPr>
            </w:pPr>
          </w:p>
        </w:tc>
      </w:tr>
      <w:tr>
        <w:trPr>
          <w:trHeight w:val="20"/>
        </w:trPr>
        <w:tc>
          <w:tcPr>
            <w:tcW w:w="2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See accompanying Notes.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20"/>
          </w:cols>
          <w:pgMar w:left="240" w:top="580" w:right="23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TAKE-TWO INTERACTIVE SOFTWARE,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amounts)</w:t>
      </w:r>
    </w:p>
    <w:p>
      <w:pPr>
        <w:spacing w:after="0" w:line="342" w:lineRule="exact"/>
        <w:rPr>
          <w:sz w:val="20"/>
          <w:szCs w:val="20"/>
          <w:color w:val="auto"/>
        </w:rPr>
      </w:pPr>
    </w:p>
    <w:p>
      <w:pPr>
        <w:ind w:left="360" w:hanging="352"/>
        <w:spacing w:after="0"/>
        <w:tabs>
          <w:tab w:leader="none" w:pos="360" w:val="left"/>
        </w:tabs>
        <w:numPr>
          <w:ilvl w:val="0"/>
          <w:numId w:val="19"/>
        </w:numPr>
        <w:rPr>
          <w:rFonts w:ascii="Arial" w:cs="Arial" w:eastAsia="Arial" w:hAnsi="Arial"/>
          <w:sz w:val="18"/>
          <w:szCs w:val="18"/>
          <w:b w:val="1"/>
          <w:bCs w:val="1"/>
          <w:color w:val="auto"/>
        </w:rPr>
      </w:pPr>
      <w:r>
        <w:rPr>
          <w:rFonts w:ascii="Arial" w:cs="Arial" w:eastAsia="Arial" w:hAnsi="Arial"/>
          <w:sz w:val="18"/>
          <w:szCs w:val="18"/>
          <w:b w:val="1"/>
          <w:bCs w:val="1"/>
          <w:color w:val="auto"/>
        </w:rPr>
        <w:t>BASIS OF PRESENTATION AND SIGNIFICANT ACCOUNTING POLICIES</w:t>
      </w:r>
    </w:p>
    <w:p>
      <w:pPr>
        <w:spacing w:after="0" w:line="28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Take-Two Interactive Software, Inc. (the "Company," "we," "us," or similar pronouns) was incorporated in the state of Delaware in 1993. We are a leading developer, publisher, and marketer of interactive entertainment for consumers around the globe. We develop and publish products principally through our two wholly-owned labels Rockstar Games and 2K, as well as our new Private Division label and Social Point, a leading developer of mobile games. Our products are designed for console systems and personal computers, including smart phones and tablets, and are delivered through physical retail, digital download, online platforms and cloud streaming services.</w:t>
      </w:r>
    </w:p>
    <w:p>
      <w:pPr>
        <w:spacing w:after="0" w:line="23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Principles of Consolidation</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Consolidated Financial Statements include the financial statements of the Company and its wholly-owned subsidiaries. All inter-company balances and transactions have been eliminated in consolidation.</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Reclassifications</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Certain immaterial amounts in the financial statements of the prior years have been reclassified to conform to the current year presentation for comparative purposes.</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283"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The preparation of financial statements in conformity with U.S. generally accepted accounting principles ("U.S. GAAP") requires management to make estimates and assumptions that affect the reported amounts of assets and liabilities and the disclosure of contingent assets and liabilities at the dates of the financial statements and the reported amounts of net revenue and expenses during the reporting periods. Our most significant estimates and assumptions relate to the recoverability of software development costs and prepaid royalties, licenses and intangibles, valuation of inventories, realization of deferred income taxes, the adequacy of price protection, allowances for sales returns and doubtful accounts, accrued liabilities, the service period for deferred net revenue and related cost of goods sold, fair value estimates, the valuation of stock-based compensation, and assumptions used in our goodwill impairment tests. These estimates generally involve complex issues and require us to make judgments, involve analysis of historical and the prediction of future trends, and are subject to change from period to period. Actual amounts could differ significantly from these estimates. The Company considers transactions or events that occur after the balance sheet date, but before the financial statements are issued, to provide additional evidence relative to certain estimates or to identify matters that require additional disclosures.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Concentration of Credit Risk and Accounts Receivable</w:t>
      </w:r>
    </w:p>
    <w:p>
      <w:pPr>
        <w:spacing w:after="0" w:line="28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We maintain cash balances at several major financial institutions. While we attempt to limit credit exposure with any single institution, balances often exceed insurable amounts.</w:t>
      </w:r>
    </w:p>
    <w:p>
      <w:pPr>
        <w:spacing w:after="0" w:line="224"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If the financial condition and operations of our customers deteriorate, our risk of collection could increase substantially. A majority of our trade receivables are derived from sales to major retailers and distributors. Our five largest customers accounted for 70.7% 65.5% and 58.9% of net revenue during the fiscal years ended March 31, 2018, 2017 and 2016, respectively. One customer accounted for 30.2%, 26.3% and 20.7% of net revenues during the fiscal years ended March 31, 2018, 2017, and 2016, respectively. A second customer accounted for 17.6%, 14.2%, and 15.5% of net revenue during the fiscal years ended March 31, 2018, 2017, and 2016 respectively. A third customer accounted for 10.9% of net revenue during the fiscal year ended March 31, 2017. As of March 31, 2018 and 2017, five customers accounted for 65.4% and 69.9% of our gross accounts receivable, respectively. Customers that individually accounted for more than 10% of our gross accounts receivable balance comprised 53.2% and 57.6% of such balances at March 31, 2018 and 2017, respectively. We had two customers who accounted for 37.7% and 15.5% of our gross accounts receivable as of March 31, 2018 and two customers who accounted for 40.2% and 17.4% of our gross accounts receivable as of March 31, 2017. We did not have any additional customers that exceeded 10% of our gross accounts receivable as of March 31, 2018 and 2017. Based upon performing ongoing credit evaluations, maintaining trade credit insurance on a majority of our customers and our past collection experience, we believe that the receivable balances from these largest customers do not represent a significant credit risk.</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and Cash Equivalents</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consider all highly liquid instruments purchased with original maturities of three months or less to be cash equivalents. Our restricted cash balance is primarily related to a dedicated account limited to the payment of certain internal royalty obligations.</w:t>
      </w:r>
    </w:p>
    <w:p>
      <w:pPr>
        <w:sectPr>
          <w:pgSz w:w="11900" w:h="16838" w:orient="portrait"/>
          <w:cols w:equalWidth="0" w:num="1">
            <w:col w:w="11420"/>
          </w:cols>
          <w:pgMar w:left="240" w:top="341" w:right="239" w:bottom="1440" w:gutter="0" w:footer="0" w:header="0"/>
        </w:sect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59</w:t>
      </w:r>
    </w:p>
    <w:p>
      <w:pPr>
        <w:sectPr>
          <w:pgSz w:w="11900" w:h="16838" w:orient="portrait"/>
          <w:cols w:equalWidth="0" w:num="1">
            <w:col w:w="11420"/>
          </w:cols>
          <w:pgMar w:left="240" w:top="341" w:right="239" w:bottom="1440" w:gutter="0" w:footer="0" w:header="0"/>
          <w:type w:val="continuous"/>
        </w:sectPr>
      </w:pPr>
    </w:p>
    <w:bookmarkStart w:id="61" w:name="page62"/>
    <w:bookmarkEnd w:id="61"/>
    <w:p>
      <w:pPr>
        <w:spacing w:after="0"/>
        <w:rPr>
          <w:sz w:val="20"/>
          <w:szCs w:val="20"/>
          <w:color w:val="auto"/>
        </w:rPr>
      </w:pPr>
      <w:r>
        <w:rPr>
          <w:rFonts w:ascii="Arial" w:cs="Arial" w:eastAsia="Arial" w:hAnsi="Arial"/>
          <w:sz w:val="18"/>
          <w:szCs w:val="18"/>
          <w:b w:val="1"/>
          <w:bCs w:val="1"/>
          <w:color w:val="auto"/>
        </w:rPr>
        <w:t>Short-term Investments</w:t>
      </w:r>
    </w:p>
    <w:p>
      <w:pPr>
        <w:spacing w:after="0" w:line="28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Short-term investments designated as available-for-sale securities are carried at fair value, which is based on quoted market prices for such securities, if available, or is estimated on the basis of quoted market prices of financial instruments with similar characteristics. Investments with original maturities greater than 90 days and remaining maturities of less than one year are normally classified within short-term investments. In addition, investments with maturities beyond one year at the time of purchase that are highly liquid in nature and represent the investment of cash that is available for current operations are classified as short-term investments.</w:t>
      </w:r>
    </w:p>
    <w:p>
      <w:pPr>
        <w:spacing w:after="0" w:line="242"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Unrealized gains and losses of available-for-sale securities are excluded from earnings and are reported as a component of other comprehensive (loss) income, net of tax, until the security is sold, the security has matured, or we determine that the fair value of the security has declined below its adjusted cost basis and the decline is other-than-temporary. Realized gains and losses on short-term investments are calculated based on the specific identification method and would be reclassified from accumulated other comprehensive loss to interest and other, net.</w:t>
      </w:r>
    </w:p>
    <w:p>
      <w:pPr>
        <w:spacing w:after="0" w:line="22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Short-term investments are evaluated for impairment quarterly. We consider various factors in determining whether we should recognize an impairment charge, including the credit quality of the issuer, the duration that the fair value has been less than the adjusted cost basis, the severity of the impairment, the reason for the decline in value, and our intent to sell and ability to hold the investment for a period of time sufficient to allow for any anticipated recovery in market value. If we conclude that an investment is other-than-temporarily impaired, it recognizes an impairment charge at that time in the Consolidated Statements of Operations. In determining whether the decline in fair value is other-than-temporary requires management judgment based on the specific facts and circumstances of each security. The ultimate value realized on these securities is subject to market price volatility until they are sold.</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Inventory</w:t>
      </w:r>
    </w:p>
    <w:p>
      <w:pPr>
        <w:spacing w:after="0" w:line="28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Inventory consists of materials, including manufacturing royalties paid to console manufacturers, and is stated at the lower of weighted average cost or net realizable value. Estimated product returns are included in the inventory balance at their cost. We regularly review inventory quantities on-hand and in the retail channels and record an inventory provision for excess or obsolete inventory based on the future expected demand for our products. Significant changes in demand for our products would affect management's estimates in establishing our inventory provision. We write down inventory based on excess or obsolete inventories determined primarily by future anticipated demand for our products. Inventory write-downs are measured as the difference between the cost of the inventory and market value, based upon assumptions about future demand that are inherently difficult to assess.</w:t>
      </w:r>
    </w:p>
    <w:p>
      <w:pPr>
        <w:spacing w:after="0" w:line="22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Software Development Costs and Licenses</w:t>
      </w:r>
    </w:p>
    <w:p>
      <w:pPr>
        <w:spacing w:after="0" w:line="28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Capitalized software development costs include direct costs incurred for internally developed titles and payments made to third-party software developers under development agreements.</w:t>
      </w:r>
    </w:p>
    <w:p>
      <w:pPr>
        <w:spacing w:after="0" w:line="224"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We capitalize internal software development costs (including specifically identifiable employee stock-based compensation, payroll expense, and incentive compensation costs related to the completion and release of titles, as well as third-party production and other content costs), subsequent to establishing technological feasibility of a software title. Technological feasibility of a product includes the completion of both technical design documentation and game design documentation. Significant management judgments are made in the assessment of when technological feasibility is established. For products where proven technology exists, this may occur early in the development cycle. Technological feasibility is evaluated on a product-by-product basis.</w:t>
      </w:r>
    </w:p>
    <w:p>
      <w:pPr>
        <w:spacing w:after="0" w:line="212"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We enter into agreements with third-party developers that require us to make payments for game development and production services. In exchange for our payments, we receive the exclusive publishing and distribution rights to the finished game title as well as, in some cases, the underlying intellectual property rights. Such agreements typically allow us to fully recover these payments to the developers at an agreed upon royalty rate earned on the subsequent sales of such software, net of any agreed upon costs. Prior to establishing technological feasibility of a product, we record any costs incurred by third-party developers as research and development expenses. Subsequent to establishing technological feasibility of a product, we capitalize all development and production service payments to third-party developers as software development costs and licenses. We typically enter into agreements with third-party developers after completing the technical design documentation for our products and therefore record the design costs leading up to a signed development contract as research and development expense. When we contract with third-party developers, we generally select those that have proven technology and experience in the genre of the software being developed, which often allows for the establishment of technological feasibility early in the development cycle. In instances where the documentation of the design and technology are not in place prior to an executed contract, we monitor the software development process and require our third-party developers to adhere to the same technological feasibility standards that apply to our internally developed products.</w:t>
      </w: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20"/>
          </w:cols>
          <w:pgMar w:left="240" w:top="715" w:right="239" w:bottom="1440" w:gutter="0" w:footer="0" w:header="0"/>
        </w:sectPr>
      </w:pPr>
    </w:p>
    <w:bookmarkStart w:id="62" w:name="page63"/>
    <w:bookmarkEnd w:id="62"/>
    <w:p>
      <w:pPr>
        <w:jc w:val="both"/>
        <w:spacing w:after="0" w:line="257" w:lineRule="auto"/>
        <w:rPr>
          <w:sz w:val="20"/>
          <w:szCs w:val="20"/>
          <w:color w:val="auto"/>
        </w:rPr>
      </w:pPr>
      <w:r>
        <w:rPr>
          <w:rFonts w:ascii="Arial" w:cs="Arial" w:eastAsia="Arial" w:hAnsi="Arial"/>
          <w:sz w:val="18"/>
          <w:szCs w:val="18"/>
          <w:color w:val="auto"/>
        </w:rPr>
        <w:t>Licenses consist of payments and guarantees made to holders of intellectual property rights for use of their trademarks, copyrights or other intellectual property rights in the development of our products. Agreements with license holders generally provide for guaranteed minimum payments for use of their intellectual property. Certain licenses, especially those related to our sports products, extend over multi-year periods and encompass multiple game titles. In addition to guaranteed minimum payments, these licenses frequently contain provisions that could require us to pay royalties to the license holder based on pre-agreed unit sales thresholds.</w:t>
      </w:r>
    </w:p>
    <w:p>
      <w:pPr>
        <w:spacing w:after="0" w:line="24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Amortization of capitalized software development costs and licenses commences when a product is available for general release and is recorded on a title-by-title basis in cost of goods sold. For capitalized software development costs, amortization is calculated using (1) the proportion of current year revenues to the total revenues expected to be recorded over the life of the title or (2) the straight-line method over the remaining estimated life of the title, whichever is greater. For capitalized licenses, amortization is calculated as a ratio of (1) current period revenues to the total revenues expected to be recorded over the remaining estimated life of the title or (2) the contractual royalty rate based on actual net product sales as defined in the licensing agreement, whichever is greater.</w:t>
      </w:r>
    </w:p>
    <w:p>
      <w:pPr>
        <w:spacing w:after="0" w:line="24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evaluate the future recoverability of capitalized software development costs and licenses on a quarterly basis. Recoverability is primarily assessed based on the actual title's performance. For products that are scheduled to be released in the future, recoverability is evaluated based on the expected performance of the specific products to which the cost or license relates. We utilize a number of criteria in evaluating expected product performance, including historical performance of comparable products developed with comparable technology; market performance of comparable titles; orders for the product prior to its release; general market conditions; and, past performance of the franchise. When we determine that capitalized cost of the title is unlikely to be recovered by product sales, an impairment of software development and license capitalized costs is charged to cost of goods sold in the period in which such determination is made.</w:t>
      </w:r>
    </w:p>
    <w:p>
      <w:pPr>
        <w:spacing w:after="0" w:line="24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have profit and unit sales based internal royalty programs that allow selected employees to each participate in the success of software titles that they assist in developing. Royalties earned under this program are recorded as a component of cost of goods sold in the period earned.</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Fixed Assets, net</w:t>
      </w:r>
    </w:p>
    <w:p>
      <w:pPr>
        <w:spacing w:after="0" w:line="283"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Office equipment, furniture and fixtures are depreciated using the straight-line method over their estimated useful life of five years. Computer equipment and software are generally depreciated using the straight-line method over three to five years. Leasehold improvements are amortized over the lesser of the term of the related lease or the useful life of the underlying asset, typically seven years. The cost of additions and betterments are capitalized, and repairs and maintenance costs are charged to operations, in the periods incurred. When depreciable assets are retired or sold, the cost and related allowances for depreciation are removed from the accounts and the gain or loss, if any, is recognized. The carrying amounts of these assets are recorded at historical cost.</w:t>
      </w:r>
    </w:p>
    <w:p>
      <w:pPr>
        <w:spacing w:after="0" w:line="20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 and Intangible Assets</w:t>
      </w:r>
    </w:p>
    <w:p>
      <w:pPr>
        <w:spacing w:after="0" w:line="28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Goodwill is the excess of purchase price paid over identified intangible and tangible net assets of acquired companies. Intangible assets consist of intellectual property, developed game technology, analytics technology, user base, trade names, and in-process research and development. Certain intangible assets acquired in a business combination are recognized as assets apart from goodwill.</w:t>
      </w:r>
    </w:p>
    <w:p>
      <w:pPr>
        <w:spacing w:after="0" w:line="235"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We use either the income, cost or market approach to aid in our conclusions of such fair values and asset lives. The income approach presumes that the value of an asset can be estimated by the net economic benefit to be received over the life of the asset, discounted to present value. The cost approach presumes that an investor would pay no more for an asset than its replacement or reproduction cost. The market approach estimates value based on what other participants in the market have paid for reasonably similar assets. Although each valuation approach is considered in valuing the assets acquired, the approach ultimately selected is based on the characteristics of the asset and the availability of information.</w:t>
      </w:r>
    </w:p>
    <w:p>
      <w:pPr>
        <w:spacing w:after="0" w:line="22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test our goodwill for impairment annually, at the beginning of August, or more frequently if events and circumstances indicate the fair value of a reporting unit may be below its carrying amount. A reporting unit is defined as an operating segment or one level below an operating segment. We have determined that we operate in two reporting units, which are components of our operating segment. In the evaluation of goodwill for impairment, we have the option to first perform a qualitative assessment to determine if the fair value of a reporting unit is more likely than not (i.e., a likelihood of more than 50%) less than the carrying value before performing the two-step impairment test.</w:t>
      </w:r>
    </w:p>
    <w:p>
      <w:pPr>
        <w:spacing w:after="0" w:line="10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When a qualitative assessment is not used, or if the qualitative assessment is not conclusive, the impairment analysis for goodwill is performed at the reporting unit level using a two-step approach. The first step of the goodwill impairment test is used to identify potential impairment by comparing the fair value of a reporting unit with its carrying amount, including goodwill. If the fair value of the reporting unit exceeds its carrying value, step two does not need to be performed. If the carrying value exceeds the fair value, there is a potential impairment, and step two must be performed. In performing the quantitative assessment in step one, we</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20"/>
          </w:cols>
          <w:pgMar w:left="240" w:top="719" w:right="239" w:bottom="1440" w:gutter="0" w:footer="0" w:header="0"/>
        </w:sectPr>
      </w:pPr>
    </w:p>
    <w:bookmarkStart w:id="63" w:name="page64"/>
    <w:bookmarkEnd w:id="63"/>
    <w:p>
      <w:pPr>
        <w:jc w:val="both"/>
        <w:spacing w:after="0" w:line="277" w:lineRule="auto"/>
        <w:rPr>
          <w:sz w:val="20"/>
          <w:szCs w:val="20"/>
          <w:color w:val="auto"/>
        </w:rPr>
      </w:pPr>
      <w:r>
        <w:rPr>
          <w:rFonts w:ascii="Arial" w:cs="Arial" w:eastAsia="Arial" w:hAnsi="Arial"/>
          <w:sz w:val="18"/>
          <w:szCs w:val="18"/>
          <w:color w:val="auto"/>
        </w:rPr>
        <w:t>measure the fair value of the reporting unit using a combination of the income approach, which uses discounted cash flows, and the market approach, which uses market capitalization and data for comparable companies.</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Each step requires us to make judgments and involves the use of significant estimates and assumptions. These estimates and assumptions include long-term growth rates and operating margins used to calculate projected future cash flows, risk-adjusted discount rates based on our weighted average cost of capital, future economic and market conditions and the determination of appropriate market comparables. Our estimates for market growth are based on historical data, various internal estimates and observable external sources when available, and are based on assumptions that are consistent with the plans and estimates we use to manage the underlying business.</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Step two compares the carrying value of the reporting unit's goodwill to its implied fair value (i.e., fair value of reporting unit less the fair value of the unit's assets and liabilities, including identifiable intangible assets). If the implied fair value of goodwill is less than the carrying amount of goodwill, an impairment is recognized. Based on our annual impairment assessment process for goodwill, no impairments were recorded during the fiscal years ended March 31, 2018, 2017 or 2016.</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Long-lived Assets</w:t>
      </w:r>
    </w:p>
    <w:p>
      <w:pPr>
        <w:spacing w:after="0" w:line="283"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We review all long-lived assets for impairment whenever events or changes in circumstances indicate that the related carrying amount of an asset or asset group may not be recoverable. We compare the carrying amount of the asset to the estimated undiscounted future cash flows expected to result from the use of the asset. If the carrying amount of the asset exceeds estimated expected undiscounted future cash flows, we record an impairment charge for the difference between the carrying amount of the asset and its fair value. The estimated fair value is generally measured by discounting expected future cash flows using our incremental borrowing rate or fair value, if available. As of March 31, 2018, no indicators of impairment existed.</w:t>
      </w:r>
    </w:p>
    <w:p>
      <w:pPr>
        <w:spacing w:after="0" w:line="2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Derivatives and Hedging</w:t>
      </w:r>
    </w:p>
    <w:p>
      <w:pPr>
        <w:spacing w:after="0" w:line="283"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We transact business in various foreign currencies and have significant sales and purchase transactions denominated in foreign currencies, subjecting us to foreign currency exchange rate risk. From time to time, we carry out transactions involving foreign currency exchange derivative financial instruments. The transactions are designed to hedge our exposure in currency exchange rate movements. We recognize derivative instruments as either assets or liabilities on our Consolidated Balance Sheets and we measure those instruments at fair value. The changes in fair value of derivatives that are not designated as hedges are recognized currently in earnings as interest and other, net in our Consolidated Statements of Operations. If a derivative meets the definition of a cash flow hedge and is so designated, the effective portion of changes in the fair value of the derivative are recognized, as a component of other comprehensive income (loss) while the ineffective portion of the changes in fair value is recorded currently in earnings as interest and other, net in our Consolidated Statements of Operations. Amounts included in Accumulated other comprehensive income (loss) for cash flow hedges are reclassified into earnings in the same period that the hedged item is recognized in Cost of goods sold, Research and development expenses, or Interest and other, net, as appropriate.</w:t>
      </w: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Income Taxes</w:t>
      </w:r>
    </w:p>
    <w:p>
      <w:pPr>
        <w:spacing w:after="0" w:line="28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record a tax provision for the anticipated tax consequences of the reported results of operations. Our provision for income taxes is computed using the asset and liability method, under which deferred income taxes are recognized for differences between the financial statement and tax bases of assets and liabilities at currently enacted statutory tax rates for the years in which the differences are expected to reverse. The effect on deferred taxes of a change in tax rates is recognized in income in the period that includes the enactment.</w:t>
      </w:r>
    </w:p>
    <w:p>
      <w:pPr>
        <w:spacing w:after="0" w:line="24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Valuation allowances are established when we determine that it is more likely than not that such deferred tax assets will not be realized. We do not record income tax expense related to foreign withholding taxes or United States income taxes that may become payable upon the repatriation of undistributed earnings of foreign subsidiaries, as such earnings are expected to be reinvested indefinitely outside of the United States.</w:t>
      </w:r>
    </w:p>
    <w:p>
      <w:pPr>
        <w:spacing w:after="0" w:line="22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use estimates and assumptions to compute the provision for income taxes including allocations of certain transactions to different tax jurisdictions, amounts of permanent and temporary differences, the likelihood of deferred tax assets being recovered and the outcome of contingent tax risks. These estimates and assumptions are revised as new events occur, more experience is acquired and additional information is obtained. The effect of these revisions is recorded in income tax expense or benefit in the period in which they become known.</w:t>
      </w:r>
    </w:p>
    <w:p>
      <w:pPr>
        <w:spacing w:after="0" w:line="10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On December 22, 2017, the U.S. enacted comprehensive tax legislation commonly referred to as the Tax Cuts and Jobs Act (herein referred to as the "Act”). The Act also subjects a U.S. shareholder to tax on global intangible low-taxed income (GILTI) earned by certain foreign subsidiaries. The FASB Staff Q&amp;A, Topic 740, No. 5, </w:t>
      </w:r>
      <w:r>
        <w:rPr>
          <w:rFonts w:ascii="Arial" w:cs="Arial" w:eastAsia="Arial" w:hAnsi="Arial"/>
          <w:sz w:val="18"/>
          <w:szCs w:val="18"/>
          <w:i w:val="1"/>
          <w:iCs w:val="1"/>
          <w:color w:val="auto"/>
        </w:rPr>
        <w:t>Accounting for Global Intangible Low-Taxed Income</w:t>
      </w:r>
      <w:r>
        <w:rPr>
          <w:rFonts w:ascii="Arial" w:cs="Arial" w:eastAsia="Arial" w:hAnsi="Arial"/>
          <w:sz w:val="18"/>
          <w:szCs w:val="18"/>
          <w:color w:val="auto"/>
        </w:rPr>
        <w:t>, states that an entity can make an accounting policy election to either recognize deferred taxes for temporary basis differences expected to reverse as GILTI in future years or provide for the tax expense related to GILTI in the year the tax is incurred. Given</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420"/>
          </w:cols>
          <w:pgMar w:left="240" w:top="584" w:right="239" w:bottom="1440" w:gutter="0" w:footer="0" w:header="0"/>
        </w:sectPr>
      </w:pPr>
    </w:p>
    <w:bookmarkStart w:id="64" w:name="page65"/>
    <w:bookmarkEnd w:id="64"/>
    <w:p>
      <w:pPr>
        <w:jc w:val="both"/>
        <w:spacing w:after="0" w:line="286" w:lineRule="auto"/>
        <w:rPr>
          <w:sz w:val="20"/>
          <w:szCs w:val="20"/>
          <w:color w:val="auto"/>
        </w:rPr>
      </w:pPr>
      <w:r>
        <w:rPr>
          <w:rFonts w:ascii="Arial" w:cs="Arial" w:eastAsia="Arial" w:hAnsi="Arial"/>
          <w:sz w:val="17"/>
          <w:szCs w:val="17"/>
          <w:color w:val="auto"/>
        </w:rPr>
        <w:t>the complexity of the GILTI provisions, the Company is still evaluating the effects of the GILTI provisions and has not yet determined its accounting policy. At March 31, 2018, because the Company is still evaluating the GILTI provisions and analysis of future taxable income that is subject to GILTI, it is unable to make a reasonable estimate and has not reflected any adjustments related to GILTI in its Consolidated Financial Statements.</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Recognition</w:t>
      </w:r>
    </w:p>
    <w:p>
      <w:pPr>
        <w:spacing w:after="0" w:line="28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recognize revenue on the sales of software products upon the transfer of title and risk of loss to our customers. Accordingly, we recognize revenue for software titles when there is (1) persuasive evidence that an arrangement with the customer exists, (2) the product is delivered, (3) the selling price is fixed or determinable and (4) collection of the customer receivable is deemed probable. Certain products are sold to customers with a street date (</w:t>
      </w:r>
      <w:r>
        <w:rPr>
          <w:rFonts w:ascii="Arial" w:cs="Arial" w:eastAsia="Arial" w:hAnsi="Arial"/>
          <w:sz w:val="18"/>
          <w:szCs w:val="18"/>
          <w:i w:val="1"/>
          <w:iCs w:val="1"/>
          <w:color w:val="auto"/>
        </w:rPr>
        <w:t>i.e.,</w:t>
      </w:r>
      <w:r>
        <w:rPr>
          <w:rFonts w:ascii="Arial" w:cs="Arial" w:eastAsia="Arial" w:hAnsi="Arial"/>
          <w:sz w:val="18"/>
          <w:szCs w:val="18"/>
          <w:color w:val="auto"/>
        </w:rPr>
        <w:t xml:space="preserve"> the earliest date these products may be sold by retailers). For these products, we recognize revenue on the later of the street date or the sale date. In addition, some of our software products are sold as full game digital downloads and digital add-on content for which the consumer takes possession of the digital content for a fee. Revenue from product downloads is generally recognized when the download is made available to the end user (assuming all other recognition criteria are met).</w:t>
      </w:r>
    </w:p>
    <w:p>
      <w:pPr>
        <w:spacing w:after="0" w:line="24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providing credit terms to our customers, our payment arrangements typically provide net 30 and 60 day terms. Advances received for licensing and exclusivity arrangements are reported on our Consolidated Balance Sheets as deferred revenue until we meet our performance obligations, at which point we recognize the revenue.</w:t>
      </w:r>
    </w:p>
    <w:p>
      <w:pPr>
        <w:spacing w:after="0" w:line="23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For some of our software products, we enter into multiple element revenue arrangements in which we may provide a combination of full game software, online multi-player functionality, and related post-contract customer support ("PCS") which generally includes additional free unspecified add-on content updates, maintenance, and online support services. For these arrangements, we evaluate the significance of the PCS at the time each game is released based on the guidance in Accounting Standards Codification 985-605, "Software—Revenue Recognition" ("ASC 985-605") to determine if the PCS rises to the level of a separate deliverable. We monitor our initial assessments on an ongoing basis and consider any changes that may arise. In conjunction with our evaluation, we consider such factors as the significance of the development effort, the nature of online features, the extent of anticipated marketing focus on online features, the significance of the online features to the consumers' anticipated overall gameplay experience, and the significance and length of time of our post sale obligations to consumers. Determining whether PCS is significant for a particular game is subjective and requires management's judgment.</w:t>
      </w:r>
    </w:p>
    <w:p>
      <w:pPr>
        <w:spacing w:after="0" w:line="220"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When a software arrangement includes multiple elements, the arrangement consideration is allocated to each revenue element based on the relative fair value of vendor specific objective evidence ("VSOE") for each element. When VSOE of fair value does not exist for all of the elements in the arrangement, ASC 985-605 requires either the use of the residual method or the deferral of revenue until the earlier point at which VSOE of fair value exists for any undelivered element or until only one undelivered element remains. For arrangements that require the deferral of revenue, the related cost of goods sold is deferred and recognized as the related net revenue is recognized. Deferred cost of goods sold includes product costs and licenses. We do not have VSOE for our PCS obligations and in those arrangements where PCS obligations have been determined to be significant we recognize revenue from the sale of software products and the related cost of goods sold ratably over the period we expect to offer the PCS to the consumer ("estimated service period"), assuming all other recognition criteria are met. We also do not have VSOE for our online multi-player functionality; however, it is generally delivered at the same time with the full game software. Determining the estimated service period is subjective and requires management's judgment, therefore, the estimated service period may change in the future. The estimated service periods of our current games with online functionality and related PCS are generally 12 months, with the exception of GTA, which is 62 months (see below).</w:t>
      </w:r>
    </w:p>
    <w:p>
      <w:pPr>
        <w:spacing w:after="0" w:line="23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When our software products provide insignificant PCS at no additional cost to the consumer, we recognize revenue when the four primary revenue recognition criteria described above have been met for all other deliverables in the arrangement and, in those situations, we estimate and accrue the future costs of providing those services.</w:t>
      </w:r>
    </w:p>
    <w:p>
      <w:pPr>
        <w:spacing w:after="0" w:line="23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Certain of our games provide consumers with the option to purchase virtual currency to use in the game to acquire virtual goods. We currently recognize revenue from the sale of virtual currency, using the game-based model, ratably over the estimated remaining life of the game. Because the service period for our online-enabled games with significant PCS is not an explicitly defined period, we must make an estimate of the service offering period for purposes of recognizing revenue. The estimated service period for current deferred title offerings is based on our estimate of the economic game life of the respective title. Determining the estimated service period (or economic game life) is inherently subjective and is subject to regular revision based on numerous factors and considerations. The factors that we primarily consider as part of our process of initially determining and subsequently reassessing estimated service periods for our titles include:</w:t>
      </w:r>
    </w:p>
    <w:p>
      <w:pPr>
        <w:spacing w:after="0" w:line="108" w:lineRule="exact"/>
        <w:rPr>
          <w:sz w:val="20"/>
          <w:szCs w:val="20"/>
          <w:color w:val="auto"/>
        </w:rPr>
      </w:pPr>
    </w:p>
    <w:p>
      <w:pPr>
        <w:ind w:left="980" w:right="80" w:hanging="324"/>
        <w:spacing w:after="0" w:line="277" w:lineRule="auto"/>
        <w:tabs>
          <w:tab w:leader="none" w:pos="9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period of time over which the substantial majority of a respective title’s estimated lifetime game sales and in-game virtual currency sales are expected to occur;</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20"/>
          </w:cols>
          <w:pgMar w:left="240" w:top="584" w:right="239" w:bottom="1440" w:gutter="0" w:footer="0" w:header="0"/>
        </w:sectPr>
      </w:pPr>
    </w:p>
    <w:bookmarkStart w:id="65" w:name="page66"/>
    <w:bookmarkEnd w:id="65"/>
    <w:p>
      <w:pPr>
        <w:ind w:left="980" w:right="480" w:hanging="324"/>
        <w:spacing w:after="0" w:line="277" w:lineRule="auto"/>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period of time over which we plan to provide free unspecified add-on content updates, maintenance or other remaining material online support services associated with our online-enabled games;</w:t>
      </w:r>
    </w:p>
    <w:p>
      <w:pPr>
        <w:spacing w:after="0" w:line="170" w:lineRule="exact"/>
        <w:rPr>
          <w:rFonts w:ascii="Arial" w:cs="Arial" w:eastAsia="Arial" w:hAnsi="Arial"/>
          <w:sz w:val="18"/>
          <w:szCs w:val="18"/>
          <w:color w:val="auto"/>
        </w:rPr>
      </w:pPr>
    </w:p>
    <w:p>
      <w:pPr>
        <w:ind w:left="980" w:hanging="32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time over which we plan to dedicate internal resources to support the online functionality of a title;</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known and expected online gameplay trends;</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results from prior analyses;</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nature of the game (e.g., annual title, genre, period of time between franchise title releases, etc.); and</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disclosed service periods for competitors’ games.</w:t>
      </w:r>
    </w:p>
    <w:p>
      <w:pPr>
        <w:spacing w:after="0" w:line="225" w:lineRule="exact"/>
        <w:rPr>
          <w:sz w:val="20"/>
          <w:szCs w:val="20"/>
          <w:color w:val="auto"/>
        </w:rPr>
      </w:pPr>
    </w:p>
    <w:p>
      <w:pPr>
        <w:ind w:right="420"/>
        <w:spacing w:after="0" w:line="277" w:lineRule="auto"/>
        <w:rPr>
          <w:sz w:val="20"/>
          <w:szCs w:val="20"/>
          <w:color w:val="auto"/>
        </w:rPr>
      </w:pPr>
      <w:r>
        <w:rPr>
          <w:rFonts w:ascii="Arial" w:cs="Arial" w:eastAsia="Arial" w:hAnsi="Arial"/>
          <w:sz w:val="18"/>
          <w:szCs w:val="18"/>
          <w:color w:val="auto"/>
        </w:rPr>
        <w:t>To the extent we have recorded significant amounts of revenue deferred for specific titles, changes in the estimated service periods could have a material impact on the revenue recognized in a particular period.</w:t>
      </w:r>
    </w:p>
    <w:p>
      <w:pPr>
        <w:spacing w:after="0" w:line="22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As part of our on-going assessment of estimated service periods during the fiscal year ended March 31, 2018, based on the factors described above and new information obtained during the period, we changed </w:t>
      </w:r>
      <w:r>
        <w:rPr>
          <w:rFonts w:ascii="Arial" w:cs="Arial" w:eastAsia="Arial" w:hAnsi="Arial"/>
          <w:sz w:val="18"/>
          <w:szCs w:val="18"/>
          <w:i w:val="1"/>
          <w:iCs w:val="1"/>
          <w:color w:val="auto"/>
        </w:rPr>
        <w:t>Grand Theft Auto V's</w:t>
      </w:r>
      <w:r>
        <w:rPr>
          <w:rFonts w:ascii="Arial" w:cs="Arial" w:eastAsia="Arial" w:hAnsi="Arial"/>
          <w:sz w:val="18"/>
          <w:szCs w:val="18"/>
          <w:color w:val="auto"/>
        </w:rPr>
        <w:t xml:space="preserve"> estimated service period to extend the estimated game life through December 2019. The impact of the change is shown in the table below.</w:t>
      </w:r>
    </w:p>
    <w:p>
      <w:pPr>
        <w:spacing w:after="0" w:line="200" w:lineRule="exact"/>
        <w:rPr>
          <w:sz w:val="20"/>
          <w:szCs w:val="20"/>
          <w:color w:val="auto"/>
        </w:rPr>
      </w:pPr>
    </w:p>
    <w:p>
      <w:pPr>
        <w:spacing w:after="0" w:line="257" w:lineRule="exact"/>
        <w:rPr>
          <w:sz w:val="20"/>
          <w:szCs w:val="20"/>
          <w:color w:val="auto"/>
        </w:rPr>
      </w:pPr>
    </w:p>
    <w:tbl>
      <w:tblPr>
        <w:tblLayout w:type="fixed"/>
        <w:tblInd w:w="1880" w:type="dxa"/>
        <w:tblCellMar>
          <w:top w:w="0" w:type="dxa"/>
          <w:left w:w="0" w:type="dxa"/>
          <w:bottom w:w="0" w:type="dxa"/>
          <w:right w:w="0" w:type="dxa"/>
        </w:tblCellMar>
      </w:tblPr>
      <w:tr>
        <w:trPr>
          <w:trHeight w:val="186"/>
        </w:trPr>
        <w:tc>
          <w:tcPr>
            <w:tcW w:w="57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640" w:type="dxa"/>
            <w:vAlign w:val="bottom"/>
          </w:tcPr>
          <w:p>
            <w:pPr>
              <w:jc w:val="right"/>
              <w:ind w:right="295"/>
              <w:spacing w:after="0"/>
              <w:rPr>
                <w:sz w:val="20"/>
                <w:szCs w:val="20"/>
                <w:color w:val="auto"/>
              </w:rPr>
            </w:pPr>
            <w:r>
              <w:rPr>
                <w:rFonts w:ascii="Arial" w:cs="Arial" w:eastAsia="Arial" w:hAnsi="Arial"/>
                <w:sz w:val="14"/>
                <w:szCs w:val="14"/>
                <w:b w:val="1"/>
                <w:bCs w:val="1"/>
                <w:color w:val="auto"/>
              </w:rPr>
              <w:t>Fiscal Year Ended</w:t>
            </w:r>
          </w:p>
        </w:tc>
      </w:tr>
      <w:tr>
        <w:trPr>
          <w:trHeight w:val="276"/>
        </w:trPr>
        <w:tc>
          <w:tcPr>
            <w:tcW w:w="578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tcPr>
          <w:p>
            <w:pPr>
              <w:jc w:val="right"/>
              <w:ind w:right="375"/>
              <w:spacing w:after="0"/>
              <w:rPr>
                <w:sz w:val="20"/>
                <w:szCs w:val="20"/>
                <w:color w:val="auto"/>
              </w:rPr>
            </w:pPr>
            <w:r>
              <w:rPr>
                <w:rFonts w:ascii="Arial" w:cs="Arial" w:eastAsia="Arial" w:hAnsi="Arial"/>
                <w:sz w:val="14"/>
                <w:szCs w:val="14"/>
                <w:b w:val="1"/>
                <w:bCs w:val="1"/>
                <w:color w:val="auto"/>
              </w:rPr>
              <w:t>March 31, 2018</w:t>
            </w:r>
          </w:p>
        </w:tc>
      </w:tr>
      <w:tr>
        <w:trPr>
          <w:trHeight w:val="250"/>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 in net revenue</w:t>
            </w: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(271,741)</w:t>
            </w:r>
          </w:p>
        </w:tc>
      </w:tr>
      <w:tr>
        <w:trPr>
          <w:trHeight w:val="243"/>
        </w:trPr>
        <w:tc>
          <w:tcPr>
            <w:tcW w:w="5780" w:type="dxa"/>
            <w:vAlign w:val="bottom"/>
          </w:tcPr>
          <w:p>
            <w:pPr>
              <w:ind w:left="40"/>
              <w:spacing w:after="0"/>
              <w:rPr>
                <w:sz w:val="20"/>
                <w:szCs w:val="20"/>
                <w:color w:val="auto"/>
              </w:rPr>
            </w:pPr>
            <w:r>
              <w:rPr>
                <w:rFonts w:ascii="Arial" w:cs="Arial" w:eastAsia="Arial" w:hAnsi="Arial"/>
                <w:sz w:val="18"/>
                <w:szCs w:val="18"/>
                <w:color w:val="auto"/>
              </w:rPr>
              <w:t>Change in income from operations</w:t>
            </w:r>
          </w:p>
        </w:tc>
        <w:tc>
          <w:tcPr>
            <w:tcW w:w="240" w:type="dxa"/>
            <w:vAlign w:val="bottom"/>
          </w:tcPr>
          <w:p>
            <w:pPr>
              <w:spacing w:after="0"/>
              <w:rPr>
                <w:sz w:val="21"/>
                <w:szCs w:val="21"/>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(250,589)</w:t>
            </w:r>
          </w:p>
        </w:tc>
      </w:tr>
      <w:tr>
        <w:trPr>
          <w:trHeight w:val="27"/>
        </w:trPr>
        <w:tc>
          <w:tcPr>
            <w:tcW w:w="57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50"/>
        </w:trPr>
        <w:tc>
          <w:tcPr>
            <w:tcW w:w="5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 in net income</w:t>
            </w:r>
          </w:p>
        </w:tc>
        <w:tc>
          <w:tcPr>
            <w:tcW w:w="24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(212,925)</w:t>
            </w:r>
          </w:p>
        </w:tc>
      </w:tr>
      <w:tr>
        <w:trPr>
          <w:trHeight w:val="243"/>
        </w:trPr>
        <w:tc>
          <w:tcPr>
            <w:tcW w:w="5780" w:type="dxa"/>
            <w:vAlign w:val="bottom"/>
          </w:tcPr>
          <w:p>
            <w:pPr>
              <w:ind w:left="40"/>
              <w:spacing w:after="0"/>
              <w:rPr>
                <w:sz w:val="20"/>
                <w:szCs w:val="20"/>
                <w:color w:val="auto"/>
              </w:rPr>
            </w:pPr>
            <w:r>
              <w:rPr>
                <w:rFonts w:ascii="Arial" w:cs="Arial" w:eastAsia="Arial" w:hAnsi="Arial"/>
                <w:sz w:val="18"/>
                <w:szCs w:val="18"/>
                <w:color w:val="auto"/>
              </w:rPr>
              <w:t>Change in earnings per share, basic</w:t>
            </w:r>
          </w:p>
        </w:tc>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640" w:type="dxa"/>
            <w:vAlign w:val="bottom"/>
          </w:tcPr>
          <w:p>
            <w:pPr>
              <w:jc w:val="right"/>
              <w:spacing w:after="0"/>
              <w:rPr>
                <w:sz w:val="20"/>
                <w:szCs w:val="20"/>
                <w:color w:val="auto"/>
              </w:rPr>
            </w:pPr>
            <w:r>
              <w:rPr>
                <w:rFonts w:ascii="Arial" w:cs="Arial" w:eastAsia="Arial" w:hAnsi="Arial"/>
                <w:sz w:val="18"/>
                <w:szCs w:val="18"/>
                <w:color w:val="auto"/>
              </w:rPr>
              <w:t>(1.93)</w:t>
            </w:r>
          </w:p>
        </w:tc>
      </w:tr>
      <w:tr>
        <w:trPr>
          <w:trHeight w:val="27"/>
        </w:trPr>
        <w:tc>
          <w:tcPr>
            <w:tcW w:w="5780" w:type="dxa"/>
            <w:vAlign w:val="bottom"/>
          </w:tcPr>
          <w:p>
            <w:pPr>
              <w:spacing w:after="0"/>
              <w:rPr>
                <w:sz w:val="2"/>
                <w:szCs w:val="2"/>
                <w:color w:val="auto"/>
              </w:rPr>
            </w:pPr>
          </w:p>
        </w:tc>
        <w:tc>
          <w:tcPr>
            <w:tcW w:w="24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43"/>
        </w:trPr>
        <w:tc>
          <w:tcPr>
            <w:tcW w:w="5780" w:type="dxa"/>
            <w:vAlign w:val="bottom"/>
            <w:shd w:val="clear" w:color="auto" w:fill="CCEEFF"/>
          </w:tcPr>
          <w:p>
            <w:pPr>
              <w:ind w:left="40"/>
              <w:spacing w:after="0"/>
              <w:rPr>
                <w:sz w:val="20"/>
                <w:szCs w:val="20"/>
                <w:color w:val="auto"/>
              </w:rPr>
            </w:pPr>
            <w:r>
              <w:rPr>
                <w:rFonts w:ascii="Arial" w:cs="Arial" w:eastAsia="Arial" w:hAnsi="Arial"/>
                <w:sz w:val="18"/>
                <w:szCs w:val="18"/>
                <w:color w:val="auto"/>
              </w:rPr>
              <w:t>Change in earnings per share, diluted</w:t>
            </w: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1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(1.81)</w:t>
            </w:r>
          </w:p>
        </w:tc>
      </w:tr>
      <w:tr>
        <w:trPr>
          <w:trHeight w:val="27"/>
        </w:trPr>
        <w:tc>
          <w:tcPr>
            <w:tcW w:w="5780" w:type="dxa"/>
            <w:vAlign w:val="bottom"/>
            <w:shd w:val="clear" w:color="auto" w:fill="CCEEFF"/>
          </w:tcPr>
          <w:p>
            <w:pPr>
              <w:spacing w:after="0"/>
              <w:rPr>
                <w:sz w:val="2"/>
                <w:szCs w:val="2"/>
                <w:color w:val="auto"/>
              </w:rPr>
            </w:pPr>
          </w:p>
        </w:tc>
        <w:tc>
          <w:tcPr>
            <w:tcW w:w="240" w:type="dxa"/>
            <w:vAlign w:val="bottom"/>
            <w:shd w:val="clear" w:color="auto" w:fill="CCEEFF"/>
          </w:tcPr>
          <w:p>
            <w:pPr>
              <w:spacing w:after="0"/>
              <w:rPr>
                <w:sz w:val="2"/>
                <w:szCs w:val="2"/>
                <w:color w:val="auto"/>
              </w:rPr>
            </w:pPr>
          </w:p>
        </w:tc>
        <w:tc>
          <w:tcPr>
            <w:tcW w:w="1640" w:type="dxa"/>
            <w:vAlign w:val="bottom"/>
            <w:shd w:val="clear" w:color="auto" w:fill="CCEEFF"/>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Revenue is recognized after deducting estimated price protection, reserves for returns and other allowances. In circumstances when we do not have a reliable basis to estimate price protection, returns and other allowances or are unable to determine that collection of a receivable is probable, we defer the revenue until we can reliably estimate any related returns and allowances and determine that collection of the receivable is probable.</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Price Protection and Allowances for Returns</w:t>
      </w:r>
    </w:p>
    <w:p>
      <w:pPr>
        <w:spacing w:after="0" w:line="28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grant price protection and accept returns in connection with our distribution arrangements with customers. Following reductions in the price of our products, we grant price protection to permit customers to take credits against amounts they owe us with respect to merchandise unsold by them. Our customers must satisfy certain conditions to entitle them to receive price protection or return products, including compliance with applicable payment terms and confirmation of field inventory levels.</w:t>
      </w:r>
    </w:p>
    <w:p>
      <w:pPr>
        <w:spacing w:after="0" w:line="24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Generally, our distribution arrangements with customers do not give them the right to return titles or to cancel firm orders. However, we occasionally accept returns from our customers for stock balancing and make accommodations to customers, which include credits and returns, when demand for specific titles falls below expectations.</w:t>
      </w:r>
    </w:p>
    <w:p>
      <w:pPr>
        <w:spacing w:after="0" w:line="23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make estimates of future price protection and product returns related to current period product revenue. We estimate the amount of future price protection and returns for published titles based upon, among other factors, historical experience and performance of the titles in similar genres, historical performance of the hardware platform, customer inventory levels, analysis of sell-through rates, sales force and retail customer feedback, industry pricing, market conditions and changes in demand and acceptance of our products by consumers.</w:t>
      </w:r>
    </w:p>
    <w:p>
      <w:pPr>
        <w:spacing w:after="0" w:line="241"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Significant management judgments and estimates must be made and used in connection with establishing price protection and the allowance for returns in any accounting period. We believe we can make reliable estimates of price protection and returns. However, actual results may differ from initial estimates as a result of changes in circumstances, market conditions and assumptions. Adjustments to estimates are recorded in the period in which they become known.</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Consideration Given to Customers and Received from Vendors</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have various marketing arrangements with retailers and distributors of our products that provide for cooperative advertising and market development funds, among others, which are generally based on single exchange transactions. Such amounts are</w:t>
      </w:r>
    </w:p>
    <w:p>
      <w:pPr>
        <w:sectPr>
          <w:pgSz w:w="11900" w:h="16838" w:orient="portrait"/>
          <w:cols w:equalWidth="0" w:num="1">
            <w:col w:w="11420"/>
          </w:cols>
          <w:pgMar w:left="240" w:top="584" w:right="239" w:bottom="1440" w:gutter="0" w:footer="0" w:header="0"/>
        </w:sect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64</w:t>
      </w:r>
    </w:p>
    <w:p>
      <w:pPr>
        <w:sectPr>
          <w:pgSz w:w="11900" w:h="16838" w:orient="portrait"/>
          <w:cols w:equalWidth="0" w:num="1">
            <w:col w:w="11420"/>
          </w:cols>
          <w:pgMar w:left="240" w:top="584" w:right="239" w:bottom="1440" w:gutter="0" w:footer="0" w:header="0"/>
          <w:type w:val="continuous"/>
        </w:sectPr>
      </w:pPr>
    </w:p>
    <w:bookmarkStart w:id="66" w:name="page67"/>
    <w:bookmarkEnd w:id="66"/>
    <w:p>
      <w:pPr>
        <w:jc w:val="both"/>
        <w:spacing w:after="0" w:line="264" w:lineRule="auto"/>
        <w:rPr>
          <w:sz w:val="20"/>
          <w:szCs w:val="20"/>
          <w:color w:val="auto"/>
        </w:rPr>
      </w:pPr>
      <w:r>
        <w:rPr>
          <w:rFonts w:ascii="Arial" w:cs="Arial" w:eastAsia="Arial" w:hAnsi="Arial"/>
          <w:sz w:val="18"/>
          <w:szCs w:val="18"/>
          <w:color w:val="auto"/>
        </w:rPr>
        <w:t>accrued as a reduction to revenue at the later of: (1) the date at which the related revenue is recognized by us, or (2) the date at which the sales incentive is offered, except for cooperative advertising which is included in selling and marketing expense if there is a separate identifiable benefit and the benefit's fair value can be established.</w:t>
      </w:r>
    </w:p>
    <w:p>
      <w:pPr>
        <w:spacing w:after="0" w:line="23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We receive various incentives from our manufacturers, including up-front cash payments as well as rebates based on a cumulative level of purchases. Such amounts are generally accounted for as a reduction in the price of the manufacturer's product and included as a reduction of inventory or cost of goods sold, based on an agreed upon per unit rebate.</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Advertising</w:t>
      </w:r>
    </w:p>
    <w:p>
      <w:pPr>
        <w:spacing w:after="0" w:line="283"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We expense advertising costs as incurred. Advertising expense for the fiscal years ended March 31, 2018, 2017 and 2016 amounted to $140,618, $173,947 and $94,743, respectively, and are included in "Selling and marketing expense" in our Consolidated Statements of Operations.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w:t>
      </w:r>
    </w:p>
    <w:p>
      <w:pPr>
        <w:spacing w:after="0" w:line="28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have stock-based compensation plans that are broad-based long-term retention programs intended to attract and retain talented employees and align stockholder and employee interests, which allows for awards of restricted stock, restricted stock units and other stock-based awards of our common stock to employees and non-employees. Our plans include time-based, market-based, and performance-based awards of our common stock to employees and non-employees.</w:t>
      </w:r>
    </w:p>
    <w:p>
      <w:pPr>
        <w:spacing w:after="0" w:line="24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account for stock-based awards under the fair value method of accounting. The fair value of all stock-based compensation is either capitalized and amortized in accordance with our software development cost accounting policy or recognized as expense on a straight-line basis over the full vesting period of the awards for time-based stock awards and on an accelerated attribution method for market-based and performance-based stock awards.</w:t>
      </w:r>
    </w:p>
    <w:p>
      <w:pPr>
        <w:spacing w:after="0" w:line="220"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We estimate the fair value of time-based awards to employees using our closing stock price on the date of grant. We estimate the fair value of market-based awards using a Monte Carlo Simulation method, which takes into account assumptions such as the expected volatility of our common stock, the risk-free interest rate based on the contractual term of the award, expected dividend yield, vesting schedule and the probability that the market conditions of the awards will be achieved. For employee performance-based shares, we do not record expense until the performance criteria are considered probable.</w:t>
      </w:r>
    </w:p>
    <w:p>
      <w:pPr>
        <w:spacing w:after="0" w:line="20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apply variable accounting to our non-employee stock-based awards, whereby we remeasure such awards at each balance sheet date and adjust the value of the awards based on its fair value at the end of the reporting period. For non-employee time-based awards fair value is determined by the closing price of our common stock at the end of the reporting period. For non-employee market-based awards fair value is determined using a Monte Carlo Simulation method, which also takes into account the probability that the market conditions of the awards will be achieved. For non-employee performance-based awards we do not record an expense until performance targets have been achieved and once achieved fair value is determined by the closing price of our common stock at the end of the reporting period.</w:t>
      </w:r>
    </w:p>
    <w:p>
      <w:pPr>
        <w:spacing w:after="0" w:line="247" w:lineRule="exact"/>
        <w:rPr>
          <w:sz w:val="20"/>
          <w:szCs w:val="20"/>
          <w:color w:val="auto"/>
        </w:rPr>
      </w:pPr>
    </w:p>
    <w:p>
      <w:pPr>
        <w:spacing w:after="0"/>
        <w:rPr>
          <w:sz w:val="20"/>
          <w:szCs w:val="20"/>
          <w:color w:val="auto"/>
        </w:rPr>
      </w:pPr>
      <w:r>
        <w:rPr>
          <w:rFonts w:ascii="Arial" w:cs="Arial" w:eastAsia="Arial" w:hAnsi="Arial"/>
          <w:sz w:val="18"/>
          <w:szCs w:val="18"/>
          <w:color w:val="auto"/>
        </w:rPr>
        <w:t>Stock-based compensation expense is recorded net of forfeitures as they occur.</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Earnings (loss) per Share ("EPS")</w:t>
      </w:r>
    </w:p>
    <w:p>
      <w:pPr>
        <w:spacing w:after="0" w:line="28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Basic EPS is computed by dividing the net income (loss) applicable to common stockholders for the period by the weighted average number of shares of common stock outstanding during the same period. Diluted EPS is computed by dividing the net income (loss) applicable to common stockholders for the period by the weighted average number of shares of common stock and common stock equivalents outstanding.</w:t>
      </w:r>
    </w:p>
    <w:p>
      <w:pPr>
        <w:spacing w:after="0" w:line="23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Certain of our unvested stock-based awards are considered participating securities since these securities have non-forfeitable rights to dividends or dividend equivalents during the contractual period of the award, and thus require the two-class method of computing EPS. The calculation of EPS for common stock under the two-class method excludes the income attributable to the participating securities from the numerator and excludes the dilutive effect of those awards from the denominator.</w:t>
      </w:r>
    </w:p>
    <w:p>
      <w:pPr>
        <w:spacing w:after="0" w:line="241"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define common stock equivalents as unvested stock-based awards and common stock underlying the Convertible Notes (see Note 11) outstanding during the period. Common stock equivalents are measured using the treasury stock method, and common stock equivalents underlying the Convertible Notes are assessed for their effect on diluted EPS using the more dilutive of the treasury stock method or the if-converted method. Under the provisions of the if-converted method, the Convertible Notes are assumed to be converted and included in the denominator of the EPS calculation and the interest expense, net of tax, recorded in connection with the Convertible Notes is added back to the numerator. However, potential common shares are not included in the denominator of the diluted earnings (loss) per share calculation when inclusion of such shares would be anti-dilutive, such as in a period in which a net loss is recorded.</w:t>
      </w:r>
    </w:p>
    <w:p>
      <w:pPr>
        <w:sectPr>
          <w:pgSz w:w="11900" w:h="16838" w:orient="portrait"/>
          <w:cols w:equalWidth="0" w:num="1">
            <w:col w:w="11420"/>
          </w:cols>
          <w:pgMar w:left="240" w:top="719" w:right="239" w:bottom="1440" w:gutter="0" w:footer="0" w:header="0"/>
        </w:sectPr>
      </w:pPr>
    </w:p>
    <w:p>
      <w:pPr>
        <w:spacing w:after="0" w:line="35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65</w:t>
      </w:r>
    </w:p>
    <w:p>
      <w:pPr>
        <w:sectPr>
          <w:pgSz w:w="11900" w:h="16838" w:orient="portrait"/>
          <w:cols w:equalWidth="0" w:num="1">
            <w:col w:w="11420"/>
          </w:cols>
          <w:pgMar w:left="240" w:top="719" w:right="239" w:bottom="1440" w:gutter="0" w:footer="0" w:header="0"/>
          <w:type w:val="continuous"/>
        </w:sectPr>
      </w:pPr>
    </w:p>
    <w:bookmarkStart w:id="67" w:name="page68"/>
    <w:bookmarkEnd w:id="67"/>
    <w:p>
      <w:pPr>
        <w:spacing w:after="0"/>
        <w:rPr>
          <w:sz w:val="20"/>
          <w:szCs w:val="20"/>
          <w:color w:val="auto"/>
        </w:rPr>
      </w:pPr>
      <w:r>
        <w:rPr>
          <w:rFonts w:ascii="Arial" w:cs="Arial" w:eastAsia="Arial" w:hAnsi="Arial"/>
          <w:sz w:val="18"/>
          <w:szCs w:val="18"/>
          <w:b w:val="1"/>
          <w:bCs w:val="1"/>
          <w:color w:val="auto"/>
        </w:rPr>
        <w:t>Foreign Currency</w:t>
      </w:r>
    </w:p>
    <w:p>
      <w:pPr>
        <w:spacing w:after="0" w:line="283"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functional currency for our foreign operations is primarily the applicable local currency. Accounts of foreign operations are translated into U.S. dollars using exchange rates for assets and liabilities at the balance sheet date and average prevailing exchange rates for the period for revenue and expense accounts. Adjustments resulting from translation are included in accumulated other comprehensive income (loss). Realized and unrealized transaction gains and losses are included in our Consolidated Statements of Operations in the period in which they occur.</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Comprehensive Income (Loss)</w:t>
      </w:r>
    </w:p>
    <w:p>
      <w:pPr>
        <w:spacing w:after="0" w:line="283"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Comprehensive income (loss) is defined to include all changes in equity except those resulting from investments by owners and distributions to owners. Accumulated other comprehensive income (loss) includes foreign currency translation adjustments, which relate to investments that are permanent in nature and therefore do not require tax adjustments, and the amounts for unrealized gains (losses), net on derivative instruments designated as cash flow hedges, as well as any associated tax impact, and available for sale securities.</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Adopted Accounting Pronouncements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Stock Compensation</w:t>
      </w:r>
    </w:p>
    <w:p>
      <w:pPr>
        <w:spacing w:after="0" w:line="14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In March 2016, the Financial Accounting Standards Board ("FASB") issued Accounting Standards Update ("ASU") 2016-09, </w:t>
      </w:r>
      <w:r>
        <w:rPr>
          <w:rFonts w:ascii="Arial" w:cs="Arial" w:eastAsia="Arial" w:hAnsi="Arial"/>
          <w:sz w:val="18"/>
          <w:szCs w:val="18"/>
          <w:i w:val="1"/>
          <w:iCs w:val="1"/>
          <w:color w:val="auto"/>
        </w:rPr>
        <w:t>Compensation—Stock</w:t>
      </w:r>
      <w:r>
        <w:rPr>
          <w:rFonts w:ascii="Arial" w:cs="Arial" w:eastAsia="Arial" w:hAnsi="Arial"/>
          <w:sz w:val="18"/>
          <w:szCs w:val="18"/>
          <w:color w:val="auto"/>
        </w:rPr>
        <w:t xml:space="preserve"> </w:t>
      </w:r>
      <w:r>
        <w:rPr>
          <w:rFonts w:ascii="Arial" w:cs="Arial" w:eastAsia="Arial" w:hAnsi="Arial"/>
          <w:sz w:val="18"/>
          <w:szCs w:val="18"/>
          <w:i w:val="1"/>
          <w:iCs w:val="1"/>
          <w:color w:val="auto"/>
        </w:rPr>
        <w:t>Compensation</w:t>
      </w:r>
      <w:r>
        <w:rPr>
          <w:rFonts w:ascii="Arial" w:cs="Arial" w:eastAsia="Arial" w:hAnsi="Arial"/>
          <w:sz w:val="18"/>
          <w:szCs w:val="18"/>
          <w:color w:val="auto"/>
        </w:rPr>
        <w:t>. This new guidance identifies areas for simplification involving several aspects of accounting for share-based payment transactions, including</w:t>
      </w:r>
      <w:r>
        <w:rPr>
          <w:rFonts w:ascii="Arial" w:cs="Arial" w:eastAsia="Arial" w:hAnsi="Arial"/>
          <w:sz w:val="18"/>
          <w:szCs w:val="18"/>
          <w:i w:val="1"/>
          <w:iCs w:val="1"/>
          <w:color w:val="auto"/>
        </w:rPr>
        <w:t xml:space="preserve"> </w:t>
      </w:r>
      <w:r>
        <w:rPr>
          <w:rFonts w:ascii="Arial" w:cs="Arial" w:eastAsia="Arial" w:hAnsi="Arial"/>
          <w:sz w:val="18"/>
          <w:szCs w:val="18"/>
          <w:color w:val="auto"/>
        </w:rPr>
        <w:t>income tax consequences, classification of awards as either equity or liabilities, an option to recognize gross stock compensation expense with actual forfeitures recognized as they occur, as well as certain classifications on the statement of cash flows.</w:t>
      </w:r>
    </w:p>
    <w:p>
      <w:pPr>
        <w:spacing w:after="0" w:line="187"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We adopted this update effective April 1, 2017. Upon adoption, using the modified retrospective transition method, we recognized previously unrecognized excess tax benefits as a deferred tax asset, which was fully offset by a valuation allowance, resulting in no net impact to retained earnings. Without the valuation allowance, our deferred tax asset would have increased by $24,594. We elected to apply the change in presentation of excess tax benefits as an operating activity in the Consolidated Statement of Cash Flows prospectively and thus no prior periods were adjusted. We also elected to account for forfeitures as they occur using the modified retrospective transition method, which resulted in a cumulative effect adjustment of $323 to retained earnings (an increase in the accumulated deficit). During the fiscal year ended March 31, 2018, we recognized $53,169 of excess tax benefits on stock-based compensation in our Consolidated Statement of Operations as a result of adopting this update. The other aspects of the new guidance did not have a material effect on our Consolidated Financial Statements.</w:t>
      </w:r>
    </w:p>
    <w:p>
      <w:pPr>
        <w:spacing w:after="0" w:line="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Acquisitions or Disposals</w:t>
      </w:r>
    </w:p>
    <w:p>
      <w:pPr>
        <w:spacing w:after="0" w:line="144"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 xml:space="preserve">In January 2017, the FASB issued ASU 2017-01, </w:t>
      </w:r>
      <w:r>
        <w:rPr>
          <w:rFonts w:ascii="Arial" w:cs="Arial" w:eastAsia="Arial" w:hAnsi="Arial"/>
          <w:sz w:val="17"/>
          <w:szCs w:val="17"/>
          <w:i w:val="1"/>
          <w:iCs w:val="1"/>
          <w:color w:val="auto"/>
        </w:rPr>
        <w:t>Clarifying the Definition of a Business</w:t>
      </w:r>
      <w:r>
        <w:rPr>
          <w:rFonts w:ascii="Arial" w:cs="Arial" w:eastAsia="Arial" w:hAnsi="Arial"/>
          <w:sz w:val="17"/>
          <w:szCs w:val="17"/>
          <w:color w:val="auto"/>
        </w:rPr>
        <w:t>, with the objective of providing additional guidance to assist entities with evaluating whether transactions should be accounted for as acquisitions (or disposals) of assets or businesses. The amendments in this update provide new guidance to determine when an integrated set of assets and activities (collectively referred to as a “set”) is not a business. The new guidance requires that when substantially all of the fair value of the gross assets acquired (or disposed of) is concentrated in a single identifiable asset or a group of similar identifiable assets, the set is not a business. The new guidance is expected to reduce the number of transactions that need to be further evaluated. The new standard, as amended, will be effective prospectively for interim and annual reporting periods beginning on January 1, 2018 (April 1, 2018 for the Company), with early adoption permitted. We adopted this update as of April 1, 2017.</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Goodwill</w:t>
      </w:r>
    </w:p>
    <w:p>
      <w:pPr>
        <w:spacing w:after="0" w:line="144"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 xml:space="preserve">In January 2017, the FASB issued ASU 2017-04, </w:t>
      </w:r>
      <w:r>
        <w:rPr>
          <w:rFonts w:ascii="Arial" w:cs="Arial" w:eastAsia="Arial" w:hAnsi="Arial"/>
          <w:sz w:val="16"/>
          <w:szCs w:val="16"/>
          <w:i w:val="1"/>
          <w:iCs w:val="1"/>
          <w:color w:val="auto"/>
        </w:rPr>
        <w:t>Intangibles - Goodwill and Other (Topic 350)</w:t>
      </w:r>
      <w:r>
        <w:rPr>
          <w:rFonts w:ascii="Arial" w:cs="Arial" w:eastAsia="Arial" w:hAnsi="Arial"/>
          <w:sz w:val="16"/>
          <w:szCs w:val="16"/>
          <w:color w:val="auto"/>
        </w:rPr>
        <w:t>. This ASU eliminates Step 2 from the goodwill impairment test. Under the new guidance, an entity should perform its annual or interim goodwill impairment test by comparing the fair value of a reporting unit with its carrying amount and recognize an impairment charge for the amount by which the carrying amount exceeds the reporting unit’s fair value. Additionally, this ASU eliminates the requirements for any reporting unit with a zero or negative carrying amount to perform a qualitative assessment and, if it fails that qualitative test, to perform Step 2 of the goodwill impairment test. The amendments in this ASU are effective for fiscal years beginning after December 15, 2019 (April 1, 2020 for the Company), including interim periods within those fiscal years, and is applied on a prospective basis. Early adoption is permitted for interim or annual goodwill impairment tests performed on testing dates after January 1, 2017. While we are currently evaluating the impact of the adoption of this ASU, we do not believe that the adoption of this guidance will have a material impact on our Consolidated Financial Statements.</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20"/>
          </w:cols>
          <w:pgMar w:left="240" w:top="715" w:right="239" w:bottom="1440" w:gutter="0" w:footer="0" w:header="0"/>
        </w:sectPr>
      </w:pPr>
    </w:p>
    <w:bookmarkStart w:id="68" w:name="page69"/>
    <w:bookmarkEnd w:id="68"/>
    <w:p>
      <w:pPr>
        <w:spacing w:after="0"/>
        <w:rPr>
          <w:sz w:val="20"/>
          <w:szCs w:val="20"/>
          <w:color w:val="auto"/>
        </w:rPr>
      </w:pPr>
      <w:r>
        <w:rPr>
          <w:rFonts w:ascii="Arial" w:cs="Arial" w:eastAsia="Arial" w:hAnsi="Arial"/>
          <w:sz w:val="18"/>
          <w:szCs w:val="18"/>
          <w:b w:val="1"/>
          <w:bCs w:val="1"/>
          <w:i w:val="1"/>
          <w:iCs w:val="1"/>
          <w:color w:val="auto"/>
        </w:rPr>
        <w:t>Accounting for Restricted Cash</w:t>
      </w:r>
    </w:p>
    <w:p>
      <w:pPr>
        <w:spacing w:after="0" w:line="144"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 xml:space="preserve">In November 2016, the FASB issued ASU 2016-18, </w:t>
      </w:r>
      <w:r>
        <w:rPr>
          <w:rFonts w:ascii="Arial" w:cs="Arial" w:eastAsia="Arial" w:hAnsi="Arial"/>
          <w:sz w:val="17"/>
          <w:szCs w:val="17"/>
          <w:i w:val="1"/>
          <w:iCs w:val="1"/>
          <w:color w:val="auto"/>
        </w:rPr>
        <w:t>Statement of Cash Flows (Topic 230): Restricted Cash</w:t>
      </w:r>
      <w:r>
        <w:rPr>
          <w:rFonts w:ascii="Arial" w:cs="Arial" w:eastAsia="Arial" w:hAnsi="Arial"/>
          <w:sz w:val="17"/>
          <w:szCs w:val="17"/>
          <w:color w:val="auto"/>
        </w:rPr>
        <w:t>. This ASU amends the presentation of restricted cash within the statement of cash flows. The new guidance requires that changes in restricted cash and cash equivalents be included with cash and cash equivalents when reconciling the beginning-of-period and end-of-period total amounts on the statement of cash flows. This standard will be effective for fiscal years beginning after December 15, 2017 (April 1, 2018 for the Company), including interim periods within those fiscal years. We are currently evaluating the impact of the adoption of this ASU, which will result in a change to our presentation of net cash provided by (used in) operating activities in our Consolidated Statements of Cash Flows for the impact of changes in restricted cash balances.</w:t>
      </w:r>
    </w:p>
    <w:p>
      <w:pPr>
        <w:spacing w:after="0" w:line="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Accounting for Leases</w:t>
      </w:r>
    </w:p>
    <w:p>
      <w:pPr>
        <w:spacing w:after="0" w:line="279"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 xml:space="preserve">In February 2016, the FASB issued ASU 2016-02, </w:t>
      </w:r>
      <w:r>
        <w:rPr>
          <w:rFonts w:ascii="Arial" w:cs="Arial" w:eastAsia="Arial" w:hAnsi="Arial"/>
          <w:sz w:val="17"/>
          <w:szCs w:val="17"/>
          <w:i w:val="1"/>
          <w:iCs w:val="1"/>
          <w:color w:val="auto"/>
        </w:rPr>
        <w:t>Leases</w:t>
      </w:r>
      <w:r>
        <w:rPr>
          <w:rFonts w:ascii="Arial" w:cs="Arial" w:eastAsia="Arial" w:hAnsi="Arial"/>
          <w:sz w:val="17"/>
          <w:szCs w:val="17"/>
          <w:color w:val="auto"/>
        </w:rPr>
        <w:t>. This new guidance requires lessees to recognize a right-of-use asset and a lease liability for virtually all leases (other than leases that meet the definition of a short-term lease). The liability will be equal to the present value of lease payments. The asset will be based on the liability, subject to adjustment, such as for initial direct costs. For income statement purposes, the FASB retained a dual model, requiring leases to be classified as either operating or finance. Operating leases will result in straight-line expense (similar to current operating leases) while finance leases will result in a front-loaded expense pattern (similar to current capital leases). Classification will be based on criteria that are largely similar to those applied in current lease accounting. This update is effective for annual periods, and interim periods within those years, beginning after December 15, 2018 (April 1, 2019 for the Company). This new guidance must be adopted using a modified retrospective approach whereby, lessees and lessors are required to recognize and measure leases at the beginning of the earliest period presented using a modified retrospective approach. Early adoption is permitted. We are currently evaluating the impact of adopting this update on our Consolidated Financial Statements, which will consist primarily of a balance sheet gross up of our operating leases, mostly for office space.</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from Contracts with Customers</w:t>
      </w:r>
    </w:p>
    <w:p>
      <w:pPr>
        <w:spacing w:after="0" w:line="14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In May 2014, the FASB issued ASU 2014-09, </w:t>
      </w:r>
      <w:r>
        <w:rPr>
          <w:rFonts w:ascii="Arial" w:cs="Arial" w:eastAsia="Arial" w:hAnsi="Arial"/>
          <w:sz w:val="18"/>
          <w:szCs w:val="18"/>
          <w:i w:val="1"/>
          <w:iCs w:val="1"/>
          <w:color w:val="auto"/>
        </w:rPr>
        <w:t>Revenue from Contracts with Customers (Topic 606)</w:t>
      </w:r>
      <w:r>
        <w:rPr>
          <w:rFonts w:ascii="Arial" w:cs="Arial" w:eastAsia="Arial" w:hAnsi="Arial"/>
          <w:sz w:val="18"/>
          <w:szCs w:val="18"/>
          <w:color w:val="auto"/>
        </w:rPr>
        <w:t>. Under the new standard, revenue is recognized when a customer obtains control of promised goods or services and is recognized in an amount that reflects the consideration, which the entity expects to receive in exchange for those goods or services. In addition, the standard requires disclosure of the nature, amount, timing, and uncertainty of revenue and cash flows arising from contracts with customers.</w:t>
      </w:r>
    </w:p>
    <w:p>
      <w:pPr>
        <w:spacing w:after="0" w:line="187"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new standard is effective for us beginning with the first quarter of fiscal 2019 (April 1, 2018). We are adopting the new standard using the modified retrospective method, which requires the recognition of the cumulative effect upon adoption as an adjustment to retained earnings at the adoption date. We will report our adoption in our Form 10-Q for the first quarter of fiscal 2019.</w:t>
      </w:r>
    </w:p>
    <w:p>
      <w:pPr>
        <w:spacing w:after="0" w:line="18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This standard will have a material impact on our Consolidated Financial Statements. We expect that the most significant impact relates to our accounting for online enabled games that benefit from meaningful online support services and post-release content updates for which we do not have VSOE. Under the current accounting standards, for such titles, we recognize the entire associated revenue ratably over the estimated service period based on the economic game life. Under the new standard, the VSOE requirement will be eliminated, and we will recognize as revenue a portion of the sales price allocated to the software upon delivery of the game. Additionally, we have determined that for purposes of recognizing revenue deferred for both our virtual currency sales and material post-release performance obligations for our online-enabled games, the estimated period during which an average user plays our games (“user life”) most faithfully depicts the timing of our performance. The user life will be calculated on a title-by-title basis and is estimated to be between 9 and 15 months depending on the game. All outstanding deferred revenues and costs as of the date of adoption, April 1, 2018, will be amortized ratably prospectively over the estimated user life for each title.</w:t>
      </w:r>
    </w:p>
    <w:p>
      <w:pPr>
        <w:spacing w:after="0" w:line="18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expect these differences to affect primarily revenues from our </w:t>
      </w:r>
      <w:r>
        <w:rPr>
          <w:rFonts w:ascii="Arial" w:cs="Arial" w:eastAsia="Arial" w:hAnsi="Arial"/>
          <w:sz w:val="18"/>
          <w:szCs w:val="18"/>
          <w:i w:val="1"/>
          <w:iCs w:val="1"/>
          <w:color w:val="auto"/>
        </w:rPr>
        <w:t>Grand Theft Auto</w:t>
      </w:r>
      <w:r>
        <w:rPr>
          <w:rFonts w:ascii="Arial" w:cs="Arial" w:eastAsia="Arial" w:hAnsi="Arial"/>
          <w:sz w:val="18"/>
          <w:szCs w:val="18"/>
          <w:color w:val="auto"/>
        </w:rPr>
        <w:t xml:space="preserve"> franchise and </w:t>
      </w:r>
      <w:r>
        <w:rPr>
          <w:rFonts w:ascii="Arial" w:cs="Arial" w:eastAsia="Arial" w:hAnsi="Arial"/>
          <w:sz w:val="18"/>
          <w:szCs w:val="18"/>
          <w:i w:val="1"/>
          <w:iCs w:val="1"/>
          <w:color w:val="auto"/>
        </w:rPr>
        <w:t>NBA 2K</w:t>
      </w:r>
      <w:r>
        <w:rPr>
          <w:rFonts w:ascii="Arial" w:cs="Arial" w:eastAsia="Arial" w:hAnsi="Arial"/>
          <w:sz w:val="18"/>
          <w:szCs w:val="18"/>
          <w:color w:val="auto"/>
        </w:rPr>
        <w:t xml:space="preserve"> franchise, where we expect that a majority of the sales price will be allocated to the software and recognized as product revenue upon delivery of the games to our customers, and the remaining amounts allocated to the post-release performance obligation for each title as well as related virtual currency sales will be recognized as service revenue over the user life.</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estimate that the cumulative effect of adopting the new revenue standard will result in an adjustment to retained earnings at the adoption date of approximately $360 million to $440 million, inclusive of the associated tax impacts. Additionally, the new disclosure requirements will require us to design and implement additional internal controls over financial reporting, as well as update certain of our existing processes and internal controls in adopting the new standard.</w:t>
      </w: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20"/>
          </w:cols>
          <w:pgMar w:left="240" w:top="719" w:right="239" w:bottom="1440" w:gutter="0" w:footer="0" w:header="0"/>
        </w:sectPr>
      </w:pPr>
    </w:p>
    <w:bookmarkStart w:id="69" w:name="page70"/>
    <w:bookmarkEnd w:id="69"/>
    <w:p>
      <w:pPr>
        <w:jc w:val="both"/>
        <w:spacing w:after="0" w:line="264" w:lineRule="auto"/>
        <w:rPr>
          <w:sz w:val="20"/>
          <w:szCs w:val="20"/>
          <w:color w:val="auto"/>
        </w:rPr>
      </w:pPr>
      <w:r>
        <w:rPr>
          <w:rFonts w:ascii="Arial" w:cs="Arial" w:eastAsia="Arial" w:hAnsi="Arial"/>
          <w:sz w:val="18"/>
          <w:szCs w:val="18"/>
          <w:color w:val="auto"/>
        </w:rPr>
        <w:t>Also, upon adoption of the new standard, a substantial majority of our allowances, including estimated price protection, reserves for returns and other allowances will be classified as refund liabilities, whereas currently, these allowances are classified as contra-assets within accounts receivable on our Consolidated Balance Sheets.</w:t>
      </w:r>
    </w:p>
    <w:p>
      <w:pPr>
        <w:spacing w:after="0" w:line="96" w:lineRule="exact"/>
        <w:rPr>
          <w:sz w:val="20"/>
          <w:szCs w:val="20"/>
          <w:color w:val="auto"/>
        </w:rPr>
      </w:pPr>
    </w:p>
    <w:p>
      <w:pPr>
        <w:ind w:left="360" w:hanging="352"/>
        <w:spacing w:after="0"/>
        <w:tabs>
          <w:tab w:leader="none" w:pos="360" w:val="left"/>
        </w:tabs>
        <w:numPr>
          <w:ilvl w:val="0"/>
          <w:numId w:val="22"/>
        </w:numPr>
        <w:rPr>
          <w:rFonts w:ascii="Arial" w:cs="Arial" w:eastAsia="Arial" w:hAnsi="Arial"/>
          <w:sz w:val="18"/>
          <w:szCs w:val="18"/>
          <w:b w:val="1"/>
          <w:bCs w:val="1"/>
          <w:color w:val="auto"/>
        </w:rPr>
      </w:pPr>
      <w:r>
        <w:rPr>
          <w:rFonts w:ascii="Arial" w:cs="Arial" w:eastAsia="Arial" w:hAnsi="Arial"/>
          <w:sz w:val="18"/>
          <w:szCs w:val="18"/>
          <w:b w:val="1"/>
          <w:bCs w:val="1"/>
          <w:color w:val="auto"/>
        </w:rPr>
        <w:t>MANAGEMENT AGREEMENT</w:t>
      </w:r>
    </w:p>
    <w:p>
      <w:pPr>
        <w:spacing w:after="0" w:line="283"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In March 2014, we entered into an amended management services agreement, (the "2014 Management Agreement") with ZelnickMedia Corporation ("ZelnickMedia") pursuant to which ZelnickMedia provided us with certain management, consulting and executive level services. In November 2017, we entered into a new management agreement, (the "2017 Management Agreement"), with ZelnickMedia pursuant to which ZelnickMedia continues to provide financial and management consulting services to the Company through March 31, 2024. The 2017 Management Agreement became effective January 1, 2018 and supersedes and replaces the 2014 Management Agreement, except as otherwise contemplated by the 2017 Management Agreement. As part of the 2017 Management Agreement, Strauss Zelnick, the President of ZelnickMedia, continues to serve as Executive Chairman and Chief Executive Officer and Karl Slatoff, a partner of ZelnickMedia, continues to serve as President of the Company. The 2014 Management Agreement provided for an annual management fee of $2,970 over the term of the agreement and a maximum annual bonus opportunity of $4,752 over the term of the agreement, based on the Company achieving certain performance thresholds. The 2017 Management Agreement provides for an annual management fee of $3,100 over the term of the agreement and a maximum annual bonus opportunity of $7,440 over the term of the agreement, based on the Company achieving certain performance thresholds.</w:t>
      </w:r>
    </w:p>
    <w:p>
      <w:pPr>
        <w:spacing w:after="0" w:line="23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consideration for ZelnickMedia's services, we recorded consulting expense (a component of general and administrative expenses) of $8,426, $7,722 and $7,722 for the fiscal years ended March 31, 2018, 2017 and 2016, respectively.</w:t>
      </w:r>
    </w:p>
    <w:p>
      <w:pPr>
        <w:spacing w:after="0" w:line="224"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Pursuant to the 2014 Management Agreement, we also issued stock-based awards to ZelnickMedia. During the fiscal years ended March 31, 2018, 2017 and 2016, we recorded $32,801, $29,573 and $26,652, respectively, of stock-based compensation expense for non-employee awards, which is included in general and administrative expenses. See Note 15 for a discussion of such awards.</w:t>
      </w:r>
    </w:p>
    <w:p>
      <w:pPr>
        <w:spacing w:after="0" w:line="231" w:lineRule="exact"/>
        <w:rPr>
          <w:sz w:val="20"/>
          <w:szCs w:val="20"/>
          <w:color w:val="auto"/>
        </w:rPr>
      </w:pPr>
    </w:p>
    <w:p>
      <w:pPr>
        <w:ind w:left="360" w:hanging="352"/>
        <w:spacing w:after="0"/>
        <w:tabs>
          <w:tab w:leader="none" w:pos="360" w:val="left"/>
        </w:tabs>
        <w:numPr>
          <w:ilvl w:val="0"/>
          <w:numId w:val="23"/>
        </w:numPr>
        <w:rPr>
          <w:rFonts w:ascii="Arial" w:cs="Arial" w:eastAsia="Arial" w:hAnsi="Arial"/>
          <w:sz w:val="18"/>
          <w:szCs w:val="18"/>
          <w:b w:val="1"/>
          <w:bCs w:val="1"/>
          <w:color w:val="auto"/>
        </w:rPr>
      </w:pPr>
      <w:r>
        <w:rPr>
          <w:rFonts w:ascii="Arial" w:cs="Arial" w:eastAsia="Arial" w:hAnsi="Arial"/>
          <w:sz w:val="18"/>
          <w:szCs w:val="18"/>
          <w:b w:val="1"/>
          <w:bCs w:val="1"/>
          <w:color w:val="auto"/>
        </w:rPr>
        <w:t>FAIR VALUE MEASUREMENTS</w:t>
      </w:r>
    </w:p>
    <w:p>
      <w:pPr>
        <w:spacing w:after="0" w:line="28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carrying amounts of our financial instruments, including cash and cash equivalents, restricted cash, accounts receivable, accounts payable and accrued liabilities, approximate fair value because of their short maturities.</w:t>
      </w:r>
    </w:p>
    <w:p>
      <w:pPr>
        <w:spacing w:after="0" w:line="224" w:lineRule="exact"/>
        <w:rPr>
          <w:sz w:val="20"/>
          <w:szCs w:val="20"/>
          <w:color w:val="auto"/>
        </w:rPr>
      </w:pPr>
    </w:p>
    <w:p>
      <w:pPr>
        <w:ind w:right="20"/>
        <w:spacing w:after="0" w:line="308" w:lineRule="auto"/>
        <w:rPr>
          <w:sz w:val="20"/>
          <w:szCs w:val="20"/>
          <w:color w:val="auto"/>
        </w:rPr>
      </w:pPr>
      <w:r>
        <w:rPr>
          <w:rFonts w:ascii="Arial" w:cs="Arial" w:eastAsia="Arial" w:hAnsi="Arial"/>
          <w:sz w:val="17"/>
          <w:szCs w:val="17"/>
          <w:color w:val="auto"/>
        </w:rPr>
        <w:t>We follow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pPr>
        <w:spacing w:after="0" w:line="66" w:lineRule="exact"/>
        <w:rPr>
          <w:sz w:val="20"/>
          <w:szCs w:val="20"/>
          <w:color w:val="auto"/>
        </w:rPr>
      </w:pPr>
    </w:p>
    <w:p>
      <w:pPr>
        <w:ind w:left="660" w:hanging="328"/>
        <w:spacing w:after="0"/>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Level 1—Quoted prices in active markets for identical assets or liabilities.</w:t>
      </w:r>
    </w:p>
    <w:p>
      <w:pPr>
        <w:spacing w:after="0" w:line="225"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Level 2—Observable inputs other than quoted prices included in Level 1, such as quoted prices for markets that are not active or other inputs that are observable or can be corroborated by observable market data.</w:t>
      </w:r>
    </w:p>
    <w:p>
      <w:pPr>
        <w:spacing w:after="0" w:line="170" w:lineRule="exact"/>
        <w:rPr>
          <w:rFonts w:ascii="Arial" w:cs="Arial" w:eastAsia="Arial" w:hAnsi="Arial"/>
          <w:sz w:val="18"/>
          <w:szCs w:val="18"/>
          <w:color w:val="auto"/>
        </w:rPr>
      </w:pPr>
    </w:p>
    <w:p>
      <w:pPr>
        <w:ind w:left="660" w:right="320" w:hanging="328"/>
        <w:spacing w:after="0" w:line="342" w:lineRule="auto"/>
        <w:tabs>
          <w:tab w:leader="none" w:pos="660" w:val="left"/>
        </w:tabs>
        <w:numPr>
          <w:ilvl w:val="0"/>
          <w:numId w:val="24"/>
        </w:numPr>
        <w:rPr>
          <w:rFonts w:ascii="Arial" w:cs="Arial" w:eastAsia="Arial" w:hAnsi="Arial"/>
          <w:sz w:val="16"/>
          <w:szCs w:val="16"/>
          <w:color w:val="auto"/>
        </w:rPr>
      </w:pPr>
      <w:r>
        <w:rPr>
          <w:rFonts w:ascii="Arial" w:cs="Arial" w:eastAsia="Arial" w:hAnsi="Arial"/>
          <w:sz w:val="16"/>
          <w:szCs w:val="16"/>
          <w:color w:val="auto"/>
        </w:rPr>
        <w:t>Level 3—Unobservable inputs that are supported by little or no market activity and that are significant to the fair value of the assets or liabilities. This includes certain pricing models, discounted cash flow methodologies and similar techniques that use significant unobservable inputs.</w:t>
      </w:r>
    </w:p>
    <w:p>
      <w:pPr>
        <w:spacing w:after="0" w:line="43"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table below segregates all assets that are measured at fair value on a recurring basis (which is measured at least annually) into the most appropriate level within the fair value hierarchy based on the inputs used to determine the fair value at the measurement date.</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20"/>
          </w:cols>
          <w:pgMar w:left="240" w:top="584" w:right="239" w:bottom="1440" w:gutter="0" w:footer="0" w:header="0"/>
        </w:sectPr>
      </w:pPr>
    </w:p>
    <w:bookmarkStart w:id="70" w:name="page71"/>
    <w:bookmarkEnd w:id="70"/>
    <w:tbl>
      <w:tblPr>
        <w:tblLayout w:type="fixed"/>
        <w:tblInd w:w="0" w:type="dxa"/>
        <w:tblCellMar>
          <w:top w:w="0" w:type="dxa"/>
          <w:left w:w="0" w:type="dxa"/>
          <w:bottom w:w="0" w:type="dxa"/>
          <w:right w:w="0" w:type="dxa"/>
        </w:tblCellMar>
      </w:tblPr>
      <w:tr>
        <w:trPr>
          <w:trHeight w:val="161"/>
        </w:trPr>
        <w:tc>
          <w:tcPr>
            <w:tcW w:w="2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Quoted prices</w:t>
            </w:r>
          </w:p>
        </w:tc>
        <w:tc>
          <w:tcPr>
            <w:tcW w:w="140" w:type="dxa"/>
            <w:vAlign w:val="bottom"/>
          </w:tcPr>
          <w:p>
            <w:pPr>
              <w:spacing w:after="0"/>
              <w:rPr>
                <w:sz w:val="14"/>
                <w:szCs w:val="14"/>
                <w:color w:val="auto"/>
              </w:rPr>
            </w:pPr>
          </w:p>
        </w:tc>
        <w:tc>
          <w:tcPr>
            <w:tcW w:w="14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Significant other</w:t>
            </w:r>
          </w:p>
        </w:tc>
        <w:tc>
          <w:tcPr>
            <w:tcW w:w="160" w:type="dxa"/>
            <w:vAlign w:val="bottom"/>
          </w:tcPr>
          <w:p>
            <w:pPr>
              <w:spacing w:after="0"/>
              <w:rPr>
                <w:sz w:val="14"/>
                <w:szCs w:val="14"/>
                <w:color w:val="auto"/>
              </w:rPr>
            </w:pPr>
          </w:p>
        </w:tc>
        <w:tc>
          <w:tcPr>
            <w:tcW w:w="1080" w:type="dxa"/>
            <w:vAlign w:val="bottom"/>
          </w:tcPr>
          <w:p>
            <w:pPr>
              <w:jc w:val="center"/>
              <w:ind w:right="68"/>
              <w:spacing w:after="0"/>
              <w:rPr>
                <w:sz w:val="20"/>
                <w:szCs w:val="20"/>
                <w:color w:val="auto"/>
              </w:rPr>
            </w:pPr>
            <w:r>
              <w:rPr>
                <w:rFonts w:ascii="Arial" w:cs="Arial" w:eastAsia="Arial" w:hAnsi="Arial"/>
                <w:sz w:val="14"/>
                <w:szCs w:val="14"/>
                <w:b w:val="1"/>
                <w:bCs w:val="1"/>
                <w:color w:val="auto"/>
                <w:w w:val="92"/>
              </w:rPr>
              <w:t>Significant</w:t>
            </w:r>
          </w:p>
        </w:tc>
        <w:tc>
          <w:tcPr>
            <w:tcW w:w="120" w:type="dxa"/>
            <w:vAlign w:val="bottom"/>
          </w:tcPr>
          <w:p>
            <w:pPr>
              <w:spacing w:after="0"/>
              <w:rPr>
                <w:sz w:val="14"/>
                <w:szCs w:val="14"/>
                <w:color w:val="auto"/>
              </w:rPr>
            </w:pPr>
          </w:p>
        </w:tc>
        <w:tc>
          <w:tcPr>
            <w:tcW w:w="2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March 31,</w:t>
            </w:r>
          </w:p>
        </w:tc>
        <w:tc>
          <w:tcPr>
            <w:tcW w:w="160" w:type="dxa"/>
            <w:vAlign w:val="bottom"/>
          </w:tcPr>
          <w:p>
            <w:pPr>
              <w:spacing w:after="0"/>
              <w:rPr>
                <w:sz w:val="12"/>
                <w:szCs w:val="12"/>
                <w:color w:val="auto"/>
              </w:rPr>
            </w:pPr>
          </w:p>
        </w:tc>
        <w:tc>
          <w:tcPr>
            <w:tcW w:w="14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in active markets</w:t>
            </w:r>
          </w:p>
        </w:tc>
        <w:tc>
          <w:tcPr>
            <w:tcW w:w="140" w:type="dxa"/>
            <w:vAlign w:val="bottom"/>
          </w:tcPr>
          <w:p>
            <w:pPr>
              <w:spacing w:after="0"/>
              <w:rPr>
                <w:sz w:val="12"/>
                <w:szCs w:val="12"/>
                <w:color w:val="auto"/>
              </w:rPr>
            </w:pPr>
          </w:p>
        </w:tc>
        <w:tc>
          <w:tcPr>
            <w:tcW w:w="142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120" w:type="dxa"/>
            <w:vAlign w:val="bottom"/>
          </w:tcPr>
          <w:p>
            <w:pPr>
              <w:spacing w:after="0"/>
              <w:rPr>
                <w:sz w:val="12"/>
                <w:szCs w:val="12"/>
                <w:color w:val="auto"/>
              </w:rPr>
            </w:pPr>
          </w:p>
        </w:tc>
        <w:tc>
          <w:tcPr>
            <w:tcW w:w="2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4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for identical</w:t>
            </w:r>
          </w:p>
        </w:tc>
        <w:tc>
          <w:tcPr>
            <w:tcW w:w="140" w:type="dxa"/>
            <w:vAlign w:val="bottom"/>
          </w:tcPr>
          <w:p>
            <w:pPr>
              <w:spacing w:after="0"/>
              <w:rPr>
                <w:sz w:val="12"/>
                <w:szCs w:val="12"/>
                <w:color w:val="auto"/>
              </w:rPr>
            </w:pPr>
          </w:p>
        </w:tc>
        <w:tc>
          <w:tcPr>
            <w:tcW w:w="14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observable inputs</w:t>
            </w:r>
          </w:p>
        </w:tc>
        <w:tc>
          <w:tcPr>
            <w:tcW w:w="160" w:type="dxa"/>
            <w:vAlign w:val="bottom"/>
          </w:tcPr>
          <w:p>
            <w:pPr>
              <w:spacing w:after="0"/>
              <w:rPr>
                <w:sz w:val="12"/>
                <w:szCs w:val="12"/>
                <w:color w:val="auto"/>
              </w:rPr>
            </w:pPr>
          </w:p>
        </w:tc>
        <w:tc>
          <w:tcPr>
            <w:tcW w:w="10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0"/>
              </w:rPr>
              <w:t>inputs</w:t>
            </w:r>
          </w:p>
        </w:tc>
        <w:tc>
          <w:tcPr>
            <w:tcW w:w="120" w:type="dxa"/>
            <w:vAlign w:val="bottom"/>
          </w:tcPr>
          <w:p>
            <w:pPr>
              <w:spacing w:after="0"/>
              <w:rPr>
                <w:sz w:val="12"/>
                <w:szCs w:val="12"/>
                <w:color w:val="auto"/>
              </w:rPr>
            </w:pPr>
          </w:p>
        </w:tc>
        <w:tc>
          <w:tcPr>
            <w:tcW w:w="2720" w:type="dxa"/>
            <w:vAlign w:val="bottom"/>
            <w:vMerge w:val="restart"/>
          </w:tcPr>
          <w:p>
            <w:pPr>
              <w:ind w:left="500"/>
              <w:spacing w:after="0"/>
              <w:rPr>
                <w:sz w:val="20"/>
                <w:szCs w:val="20"/>
                <w:color w:val="auto"/>
              </w:rPr>
            </w:pPr>
            <w:r>
              <w:rPr>
                <w:rFonts w:ascii="Arial" w:cs="Arial" w:eastAsia="Arial" w:hAnsi="Arial"/>
                <w:sz w:val="14"/>
                <w:szCs w:val="14"/>
                <w:b w:val="1"/>
                <w:bCs w:val="1"/>
                <w:color w:val="auto"/>
              </w:rPr>
              <w:t>Balance Sheet Classification</w:t>
            </w:r>
          </w:p>
        </w:tc>
        <w:tc>
          <w:tcPr>
            <w:tcW w:w="0" w:type="dxa"/>
            <w:vAlign w:val="bottom"/>
          </w:tcPr>
          <w:p>
            <w:pPr>
              <w:spacing w:after="0"/>
              <w:rPr>
                <w:sz w:val="1"/>
                <w:szCs w:val="1"/>
                <w:color w:val="auto"/>
              </w:rPr>
            </w:pPr>
          </w:p>
        </w:tc>
      </w:tr>
      <w:tr>
        <w:trPr>
          <w:trHeight w:val="192"/>
        </w:trPr>
        <w:tc>
          <w:tcPr>
            <w:tcW w:w="29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6"/>
              </w:rPr>
              <w:t>2018</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88"/>
              </w:rPr>
              <w:t>assets (level 1)</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1"/>
              </w:rPr>
              <w:t>(level 2)</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1"/>
              </w:rPr>
              <w:t>(level 3)</w:t>
            </w:r>
          </w:p>
        </w:tc>
        <w:tc>
          <w:tcPr>
            <w:tcW w:w="120" w:type="dxa"/>
            <w:vAlign w:val="bottom"/>
            <w:tcBorders>
              <w:bottom w:val="single" w:sz="8" w:color="CCEEFF"/>
            </w:tcBorders>
          </w:tcPr>
          <w:p>
            <w:pPr>
              <w:spacing w:after="0"/>
              <w:rPr>
                <w:sz w:val="16"/>
                <w:szCs w:val="16"/>
                <w:color w:val="auto"/>
              </w:rPr>
            </w:pPr>
          </w:p>
        </w:tc>
        <w:tc>
          <w:tcPr>
            <w:tcW w:w="27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Money market funds</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516,626</w:t>
            </w:r>
          </w:p>
        </w:tc>
        <w:tc>
          <w:tcPr>
            <w:tcW w:w="120" w:type="dxa"/>
            <w:vAlign w:val="bottom"/>
            <w:shd w:val="clear" w:color="auto" w:fill="CCEEFF"/>
          </w:tcPr>
          <w:p>
            <w:pPr>
              <w:spacing w:after="0"/>
              <w:rPr>
                <w:sz w:val="16"/>
                <w:szCs w:val="16"/>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516,626</w:t>
            </w:r>
          </w:p>
        </w:tc>
        <w:tc>
          <w:tcPr>
            <w:tcW w:w="120" w:type="dxa"/>
            <w:vAlign w:val="bottom"/>
            <w:shd w:val="clear" w:color="auto" w:fill="CCEEFF"/>
          </w:tcPr>
          <w:p>
            <w:pPr>
              <w:spacing w:after="0"/>
              <w:rPr>
                <w:sz w:val="16"/>
                <w:szCs w:val="16"/>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2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272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Cash and cash equivalents</w:t>
            </w:r>
          </w:p>
        </w:tc>
        <w:tc>
          <w:tcPr>
            <w:tcW w:w="0" w:type="dxa"/>
            <w:vAlign w:val="bottom"/>
          </w:tcPr>
          <w:p>
            <w:pPr>
              <w:spacing w:after="0"/>
              <w:rPr>
                <w:sz w:val="1"/>
                <w:szCs w:val="1"/>
                <w:color w:val="auto"/>
              </w:rPr>
            </w:pPr>
          </w:p>
        </w:tc>
      </w:tr>
      <w:tr>
        <w:trPr>
          <w:trHeight w:val="66"/>
        </w:trPr>
        <w:tc>
          <w:tcPr>
            <w:tcW w:w="298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20" w:type="dxa"/>
            <w:vAlign w:val="bottom"/>
            <w:vMerge w:val="continue"/>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60" w:type="dxa"/>
            <w:vAlign w:val="bottom"/>
            <w:vMerge w:val="continue"/>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40" w:type="dxa"/>
            <w:vAlign w:val="bottom"/>
            <w:vMerge w:val="continue"/>
            <w:shd w:val="clear" w:color="auto" w:fill="CCEEFF"/>
          </w:tcPr>
          <w:p>
            <w:pPr>
              <w:spacing w:after="0"/>
              <w:rPr>
                <w:sz w:val="5"/>
                <w:szCs w:val="5"/>
                <w:color w:val="auto"/>
              </w:rPr>
            </w:pPr>
          </w:p>
        </w:tc>
        <w:tc>
          <w:tcPr>
            <w:tcW w:w="1420" w:type="dxa"/>
            <w:vAlign w:val="bottom"/>
            <w:gridSpan w:val="2"/>
            <w:vMerge w:val="continue"/>
            <w:shd w:val="clear" w:color="auto" w:fill="CCEEFF"/>
          </w:tcPr>
          <w:p>
            <w:pPr>
              <w:spacing w:after="0"/>
              <w:rPr>
                <w:sz w:val="5"/>
                <w:szCs w:val="5"/>
                <w:color w:val="auto"/>
              </w:rPr>
            </w:pPr>
          </w:p>
        </w:tc>
        <w:tc>
          <w:tcPr>
            <w:tcW w:w="160" w:type="dxa"/>
            <w:vAlign w:val="bottom"/>
            <w:vMerge w:val="continue"/>
            <w:shd w:val="clear" w:color="auto" w:fill="CCEEFF"/>
          </w:tcPr>
          <w:p>
            <w:pPr>
              <w:spacing w:after="0"/>
              <w:rPr>
                <w:sz w:val="5"/>
                <w:szCs w:val="5"/>
                <w:color w:val="auto"/>
              </w:rPr>
            </w:pPr>
          </w:p>
        </w:tc>
        <w:tc>
          <w:tcPr>
            <w:tcW w:w="108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91"/>
        </w:trPr>
        <w:tc>
          <w:tcPr>
            <w:tcW w:w="3100" w:type="dxa"/>
            <w:vAlign w:val="bottom"/>
            <w:gridSpan w:val="2"/>
          </w:tcPr>
          <w:p>
            <w:pPr>
              <w:ind w:left="40"/>
              <w:spacing w:after="0"/>
              <w:rPr>
                <w:sz w:val="20"/>
                <w:szCs w:val="20"/>
                <w:color w:val="auto"/>
              </w:rPr>
            </w:pPr>
            <w:r>
              <w:rPr>
                <w:rFonts w:ascii="Arial" w:cs="Arial" w:eastAsia="Arial" w:hAnsi="Arial"/>
                <w:sz w:val="14"/>
                <w:szCs w:val="14"/>
                <w:color w:val="auto"/>
              </w:rPr>
              <w:t>Bank-time deposits</w:t>
            </w:r>
          </w:p>
        </w:tc>
        <w:tc>
          <w:tcPr>
            <w:tcW w:w="120" w:type="dxa"/>
            <w:vAlign w:val="bottom"/>
          </w:tcPr>
          <w:p>
            <w:pPr>
              <w:spacing w:after="0"/>
              <w:rPr>
                <w:sz w:val="16"/>
                <w:szCs w:val="16"/>
                <w:color w:val="auto"/>
              </w:rPr>
            </w:pPr>
          </w:p>
        </w:tc>
        <w:tc>
          <w:tcPr>
            <w:tcW w:w="820" w:type="dxa"/>
            <w:vAlign w:val="bottom"/>
            <w:vMerge w:val="restart"/>
          </w:tcPr>
          <w:p>
            <w:pPr>
              <w:jc w:val="right"/>
              <w:ind w:right="48"/>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40" w:type="dxa"/>
            <w:vAlign w:val="bottom"/>
            <w:vMerge w:val="restart"/>
          </w:tcPr>
          <w:p>
            <w:pPr>
              <w:jc w:val="right"/>
              <w:ind w:right="48"/>
              <w:spacing w:after="0"/>
              <w:rPr>
                <w:sz w:val="20"/>
                <w:szCs w:val="20"/>
                <w:color w:val="auto"/>
              </w:rPr>
            </w:pPr>
            <w:r>
              <w:rPr>
                <w:rFonts w:ascii="Arial" w:cs="Arial" w:eastAsia="Arial" w:hAnsi="Arial"/>
                <w:sz w:val="14"/>
                <w:szCs w:val="14"/>
                <w:color w:val="auto"/>
              </w:rPr>
              <w:t>21</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08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2720" w:type="dxa"/>
            <w:vAlign w:val="bottom"/>
            <w:vMerge w:val="restart"/>
          </w:tcPr>
          <w:p>
            <w:pPr>
              <w:ind w:left="20"/>
              <w:spacing w:after="0"/>
              <w:rPr>
                <w:sz w:val="20"/>
                <w:szCs w:val="20"/>
                <w:color w:val="auto"/>
              </w:rPr>
            </w:pPr>
            <w:r>
              <w:rPr>
                <w:rFonts w:ascii="Arial" w:cs="Arial" w:eastAsia="Arial" w:hAnsi="Arial"/>
                <w:sz w:val="14"/>
                <w:szCs w:val="14"/>
                <w:color w:val="auto"/>
              </w:rPr>
              <w:t>Cash and cash equivalents</w:t>
            </w:r>
          </w:p>
        </w:tc>
        <w:tc>
          <w:tcPr>
            <w:tcW w:w="0" w:type="dxa"/>
            <w:vAlign w:val="bottom"/>
          </w:tcPr>
          <w:p>
            <w:pPr>
              <w:spacing w:after="0"/>
              <w:rPr>
                <w:sz w:val="1"/>
                <w:szCs w:val="1"/>
                <w:color w:val="auto"/>
              </w:rPr>
            </w:pPr>
          </w:p>
        </w:tc>
      </w:tr>
      <w:tr>
        <w:trPr>
          <w:trHeight w:val="74"/>
        </w:trPr>
        <w:tc>
          <w:tcPr>
            <w:tcW w:w="29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34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420" w:type="dxa"/>
            <w:vAlign w:val="bottom"/>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7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Commercial paper</w:t>
            </w:r>
          </w:p>
        </w:tc>
        <w:tc>
          <w:tcPr>
            <w:tcW w:w="12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10,796</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6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13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10,796</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272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Cash and cash equivalents</w:t>
            </w:r>
          </w:p>
        </w:tc>
        <w:tc>
          <w:tcPr>
            <w:tcW w:w="0" w:type="dxa"/>
            <w:vAlign w:val="bottom"/>
          </w:tcPr>
          <w:p>
            <w:pPr>
              <w:spacing w:after="0"/>
              <w:rPr>
                <w:sz w:val="1"/>
                <w:szCs w:val="1"/>
                <w:color w:val="auto"/>
              </w:rPr>
            </w:pPr>
          </w:p>
        </w:tc>
      </w:tr>
      <w:tr>
        <w:trPr>
          <w:trHeight w:val="80"/>
        </w:trPr>
        <w:tc>
          <w:tcPr>
            <w:tcW w:w="29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460" w:type="dxa"/>
            <w:vAlign w:val="bottom"/>
            <w:gridSpan w:val="2"/>
            <w:vMerge w:val="continue"/>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132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08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7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100" w:type="dxa"/>
            <w:vAlign w:val="bottom"/>
            <w:gridSpan w:val="2"/>
          </w:tcPr>
          <w:p>
            <w:pPr>
              <w:ind w:left="40"/>
              <w:spacing w:after="0"/>
              <w:rPr>
                <w:sz w:val="20"/>
                <w:szCs w:val="20"/>
                <w:color w:val="auto"/>
              </w:rPr>
            </w:pPr>
            <w:r>
              <w:rPr>
                <w:rFonts w:ascii="Arial" w:cs="Arial" w:eastAsia="Arial" w:hAnsi="Arial"/>
                <w:sz w:val="14"/>
                <w:szCs w:val="14"/>
                <w:color w:val="auto"/>
              </w:rPr>
              <w:t>Corporate bonds</w:t>
            </w:r>
          </w:p>
        </w:tc>
        <w:tc>
          <w:tcPr>
            <w:tcW w:w="120" w:type="dxa"/>
            <w:vAlign w:val="bottom"/>
          </w:tcPr>
          <w:p>
            <w:pPr>
              <w:spacing w:after="0"/>
              <w:rPr>
                <w:sz w:val="16"/>
                <w:szCs w:val="16"/>
                <w:color w:val="auto"/>
              </w:rPr>
            </w:pPr>
          </w:p>
        </w:tc>
        <w:tc>
          <w:tcPr>
            <w:tcW w:w="820" w:type="dxa"/>
            <w:vAlign w:val="bottom"/>
            <w:vMerge w:val="restart"/>
          </w:tcPr>
          <w:p>
            <w:pPr>
              <w:jc w:val="right"/>
              <w:ind w:right="48"/>
              <w:spacing w:after="0"/>
              <w:rPr>
                <w:sz w:val="20"/>
                <w:szCs w:val="20"/>
                <w:color w:val="auto"/>
              </w:rPr>
            </w:pPr>
            <w:r>
              <w:rPr>
                <w:rFonts w:ascii="Arial" w:cs="Arial" w:eastAsia="Arial" w:hAnsi="Arial"/>
                <w:sz w:val="14"/>
                <w:szCs w:val="14"/>
                <w:color w:val="auto"/>
              </w:rPr>
              <w:t>308,716</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6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320" w:type="dxa"/>
            <w:vAlign w:val="bottom"/>
            <w:vMerge w:val="restart"/>
          </w:tcPr>
          <w:p>
            <w:pPr>
              <w:jc w:val="right"/>
              <w:ind w:right="48"/>
              <w:spacing w:after="0"/>
              <w:rPr>
                <w:sz w:val="20"/>
                <w:szCs w:val="20"/>
                <w:color w:val="auto"/>
              </w:rPr>
            </w:pPr>
            <w:r>
              <w:rPr>
                <w:rFonts w:ascii="Arial" w:cs="Arial" w:eastAsia="Arial" w:hAnsi="Arial"/>
                <w:sz w:val="14"/>
                <w:szCs w:val="14"/>
                <w:color w:val="auto"/>
              </w:rPr>
              <w:t>308,716</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2720" w:type="dxa"/>
            <w:vAlign w:val="bottom"/>
            <w:vMerge w:val="restart"/>
          </w:tcPr>
          <w:p>
            <w:pPr>
              <w:ind w:left="20"/>
              <w:spacing w:after="0"/>
              <w:rPr>
                <w:sz w:val="20"/>
                <w:szCs w:val="20"/>
                <w:color w:val="auto"/>
              </w:rPr>
            </w:pPr>
            <w:r>
              <w:rPr>
                <w:rFonts w:ascii="Arial" w:cs="Arial" w:eastAsia="Arial" w:hAnsi="Arial"/>
                <w:sz w:val="14"/>
                <w:szCs w:val="14"/>
                <w:color w:val="auto"/>
              </w:rPr>
              <w:t>Short-term investments</w:t>
            </w:r>
          </w:p>
        </w:tc>
        <w:tc>
          <w:tcPr>
            <w:tcW w:w="0" w:type="dxa"/>
            <w:vAlign w:val="bottom"/>
          </w:tcPr>
          <w:p>
            <w:pPr>
              <w:spacing w:after="0"/>
              <w:rPr>
                <w:sz w:val="1"/>
                <w:szCs w:val="1"/>
                <w:color w:val="auto"/>
              </w:rPr>
            </w:pPr>
          </w:p>
        </w:tc>
      </w:tr>
      <w:tr>
        <w:trPr>
          <w:trHeight w:val="74"/>
        </w:trPr>
        <w:tc>
          <w:tcPr>
            <w:tcW w:w="29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60" w:type="dxa"/>
            <w:vAlign w:val="bottom"/>
            <w:gridSpan w:val="2"/>
            <w:vMerge w:val="continue"/>
          </w:tcPr>
          <w:p>
            <w:pPr>
              <w:spacing w:after="0"/>
              <w:rPr>
                <w:sz w:val="6"/>
                <w:szCs w:val="6"/>
                <w:color w:val="auto"/>
              </w:rPr>
            </w:pPr>
          </w:p>
        </w:tc>
        <w:tc>
          <w:tcPr>
            <w:tcW w:w="140" w:type="dxa"/>
            <w:vAlign w:val="bottom"/>
          </w:tcPr>
          <w:p>
            <w:pPr>
              <w:spacing w:after="0"/>
              <w:rPr>
                <w:sz w:val="6"/>
                <w:szCs w:val="6"/>
                <w:color w:val="auto"/>
              </w:rPr>
            </w:pPr>
          </w:p>
        </w:tc>
        <w:tc>
          <w:tcPr>
            <w:tcW w:w="132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7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6"/>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US Treasuries</w:t>
            </w:r>
          </w:p>
        </w:tc>
        <w:tc>
          <w:tcPr>
            <w:tcW w:w="1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59,725</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3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59,725</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4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Short-term investments</w:t>
            </w:r>
          </w:p>
        </w:tc>
        <w:tc>
          <w:tcPr>
            <w:tcW w:w="0" w:type="dxa"/>
            <w:vAlign w:val="bottom"/>
          </w:tcPr>
          <w:p>
            <w:pPr>
              <w:spacing w:after="0"/>
              <w:rPr>
                <w:sz w:val="1"/>
                <w:szCs w:val="1"/>
                <w:color w:val="auto"/>
              </w:rPr>
            </w:pPr>
          </w:p>
        </w:tc>
      </w:tr>
      <w:tr>
        <w:trPr>
          <w:trHeight w:val="264"/>
        </w:trPr>
        <w:tc>
          <w:tcPr>
            <w:tcW w:w="3100" w:type="dxa"/>
            <w:vAlign w:val="bottom"/>
            <w:gridSpan w:val="2"/>
          </w:tcPr>
          <w:p>
            <w:pPr>
              <w:ind w:left="40"/>
              <w:spacing w:after="0"/>
              <w:rPr>
                <w:sz w:val="20"/>
                <w:szCs w:val="20"/>
                <w:color w:val="auto"/>
              </w:rPr>
            </w:pPr>
            <w:r>
              <w:rPr>
                <w:rFonts w:ascii="Arial" w:cs="Arial" w:eastAsia="Arial" w:hAnsi="Arial"/>
                <w:sz w:val="14"/>
                <w:szCs w:val="14"/>
                <w:color w:val="auto"/>
              </w:rPr>
              <w:t>Commercial paper</w:t>
            </w:r>
          </w:p>
        </w:tc>
        <w:tc>
          <w:tcPr>
            <w:tcW w:w="120" w:type="dxa"/>
            <w:vAlign w:val="bottom"/>
          </w:tcPr>
          <w:p>
            <w:pPr>
              <w:spacing w:after="0"/>
              <w:rPr>
                <w:sz w:val="22"/>
                <w:szCs w:val="22"/>
                <w:color w:val="auto"/>
              </w:rPr>
            </w:pP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25,422</w:t>
            </w:r>
          </w:p>
        </w:tc>
        <w:tc>
          <w:tcPr>
            <w:tcW w:w="12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46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320" w:type="dxa"/>
            <w:vAlign w:val="bottom"/>
          </w:tcPr>
          <w:p>
            <w:pPr>
              <w:jc w:val="right"/>
              <w:ind w:right="48"/>
              <w:spacing w:after="0"/>
              <w:rPr>
                <w:sz w:val="20"/>
                <w:szCs w:val="20"/>
                <w:color w:val="auto"/>
              </w:rPr>
            </w:pPr>
            <w:r>
              <w:rPr>
                <w:rFonts w:ascii="Arial" w:cs="Arial" w:eastAsia="Arial" w:hAnsi="Arial"/>
                <w:sz w:val="14"/>
                <w:szCs w:val="14"/>
                <w:color w:val="auto"/>
              </w:rPr>
              <w:t>25,422</w:t>
            </w:r>
          </w:p>
        </w:tc>
        <w:tc>
          <w:tcPr>
            <w:tcW w:w="10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080" w:type="dxa"/>
            <w:vAlign w:val="bottom"/>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22"/>
                <w:szCs w:val="22"/>
                <w:color w:val="auto"/>
              </w:rPr>
            </w:pPr>
          </w:p>
        </w:tc>
        <w:tc>
          <w:tcPr>
            <w:tcW w:w="2720" w:type="dxa"/>
            <w:vAlign w:val="bottom"/>
          </w:tcPr>
          <w:p>
            <w:pPr>
              <w:ind w:left="20"/>
              <w:spacing w:after="0"/>
              <w:rPr>
                <w:sz w:val="20"/>
                <w:szCs w:val="20"/>
                <w:color w:val="auto"/>
              </w:rPr>
            </w:pPr>
            <w:r>
              <w:rPr>
                <w:rFonts w:ascii="Arial" w:cs="Arial" w:eastAsia="Arial" w:hAnsi="Arial"/>
                <w:sz w:val="14"/>
                <w:szCs w:val="14"/>
                <w:color w:val="auto"/>
              </w:rPr>
              <w:t>Short-term investments</w:t>
            </w:r>
          </w:p>
        </w:tc>
        <w:tc>
          <w:tcPr>
            <w:tcW w:w="0" w:type="dxa"/>
            <w:vAlign w:val="bottom"/>
          </w:tcPr>
          <w:p>
            <w:pPr>
              <w:spacing w:after="0"/>
              <w:rPr>
                <w:sz w:val="1"/>
                <w:szCs w:val="1"/>
                <w:color w:val="auto"/>
              </w:rPr>
            </w:pPr>
          </w:p>
        </w:tc>
      </w:tr>
      <w:tr>
        <w:trPr>
          <w:trHeight w:val="276"/>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Mutual funds</w:t>
            </w:r>
          </w:p>
        </w:tc>
        <w:tc>
          <w:tcPr>
            <w:tcW w:w="1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4,880</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4,880</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Short-term investments</w:t>
            </w:r>
          </w:p>
        </w:tc>
        <w:tc>
          <w:tcPr>
            <w:tcW w:w="0" w:type="dxa"/>
            <w:vAlign w:val="bottom"/>
          </w:tcPr>
          <w:p>
            <w:pPr>
              <w:spacing w:after="0"/>
              <w:rPr>
                <w:sz w:val="1"/>
                <w:szCs w:val="1"/>
                <w:color w:val="auto"/>
              </w:rPr>
            </w:pPr>
          </w:p>
        </w:tc>
      </w:tr>
      <w:tr>
        <w:trPr>
          <w:trHeight w:val="191"/>
        </w:trPr>
        <w:tc>
          <w:tcPr>
            <w:tcW w:w="3100" w:type="dxa"/>
            <w:vAlign w:val="bottom"/>
            <w:gridSpan w:val="2"/>
          </w:tcPr>
          <w:p>
            <w:pPr>
              <w:ind w:left="40"/>
              <w:spacing w:after="0"/>
              <w:rPr>
                <w:sz w:val="20"/>
                <w:szCs w:val="20"/>
                <w:color w:val="auto"/>
              </w:rPr>
            </w:pPr>
            <w:r>
              <w:rPr>
                <w:rFonts w:ascii="Arial" w:cs="Arial" w:eastAsia="Arial" w:hAnsi="Arial"/>
                <w:sz w:val="14"/>
                <w:szCs w:val="14"/>
                <w:color w:val="auto"/>
              </w:rPr>
              <w:t>Bank-time deposits</w:t>
            </w:r>
          </w:p>
        </w:tc>
        <w:tc>
          <w:tcPr>
            <w:tcW w:w="120" w:type="dxa"/>
            <w:vAlign w:val="bottom"/>
          </w:tcPr>
          <w:p>
            <w:pPr>
              <w:spacing w:after="0"/>
              <w:rPr>
                <w:sz w:val="16"/>
                <w:szCs w:val="16"/>
                <w:color w:val="auto"/>
              </w:rPr>
            </w:pPr>
          </w:p>
        </w:tc>
        <w:tc>
          <w:tcPr>
            <w:tcW w:w="820" w:type="dxa"/>
            <w:vAlign w:val="bottom"/>
            <w:vMerge w:val="restart"/>
          </w:tcPr>
          <w:p>
            <w:pPr>
              <w:jc w:val="right"/>
              <w:ind w:right="48"/>
              <w:spacing w:after="0"/>
              <w:rPr>
                <w:sz w:val="20"/>
                <w:szCs w:val="20"/>
                <w:color w:val="auto"/>
              </w:rPr>
            </w:pPr>
            <w:r>
              <w:rPr>
                <w:rFonts w:ascii="Arial" w:cs="Arial" w:eastAsia="Arial" w:hAnsi="Arial"/>
                <w:sz w:val="14"/>
                <w:szCs w:val="14"/>
                <w:color w:val="auto"/>
              </w:rPr>
              <w:t>216,663</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40" w:type="dxa"/>
            <w:vAlign w:val="bottom"/>
            <w:vMerge w:val="restart"/>
          </w:tcPr>
          <w:p>
            <w:pPr>
              <w:jc w:val="right"/>
              <w:ind w:right="48"/>
              <w:spacing w:after="0"/>
              <w:rPr>
                <w:sz w:val="20"/>
                <w:szCs w:val="20"/>
                <w:color w:val="auto"/>
              </w:rPr>
            </w:pPr>
            <w:r>
              <w:rPr>
                <w:rFonts w:ascii="Arial" w:cs="Arial" w:eastAsia="Arial" w:hAnsi="Arial"/>
                <w:sz w:val="14"/>
                <w:szCs w:val="14"/>
                <w:color w:val="auto"/>
              </w:rPr>
              <w:t>216,663</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08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2720" w:type="dxa"/>
            <w:vAlign w:val="bottom"/>
            <w:vMerge w:val="restart"/>
          </w:tcPr>
          <w:p>
            <w:pPr>
              <w:ind w:left="20"/>
              <w:spacing w:after="0"/>
              <w:rPr>
                <w:sz w:val="20"/>
                <w:szCs w:val="20"/>
                <w:color w:val="auto"/>
              </w:rPr>
            </w:pPr>
            <w:r>
              <w:rPr>
                <w:rFonts w:ascii="Arial" w:cs="Arial" w:eastAsia="Arial" w:hAnsi="Arial"/>
                <w:sz w:val="14"/>
                <w:szCs w:val="14"/>
                <w:color w:val="auto"/>
              </w:rPr>
              <w:t>Short-term investments</w:t>
            </w:r>
          </w:p>
        </w:tc>
        <w:tc>
          <w:tcPr>
            <w:tcW w:w="0" w:type="dxa"/>
            <w:vAlign w:val="bottom"/>
          </w:tcPr>
          <w:p>
            <w:pPr>
              <w:spacing w:after="0"/>
              <w:rPr>
                <w:sz w:val="1"/>
                <w:szCs w:val="1"/>
                <w:color w:val="auto"/>
              </w:rPr>
            </w:pPr>
          </w:p>
        </w:tc>
      </w:tr>
      <w:tr>
        <w:trPr>
          <w:trHeight w:val="74"/>
        </w:trPr>
        <w:tc>
          <w:tcPr>
            <w:tcW w:w="29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34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420" w:type="dxa"/>
            <w:vAlign w:val="bottom"/>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7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Foreign currency forward contracts</w:t>
            </w:r>
          </w:p>
        </w:tc>
        <w:tc>
          <w:tcPr>
            <w:tcW w:w="12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12</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6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13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12</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272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Prepaid expenses and other</w:t>
            </w:r>
          </w:p>
        </w:tc>
        <w:tc>
          <w:tcPr>
            <w:tcW w:w="0" w:type="dxa"/>
            <w:vAlign w:val="bottom"/>
          </w:tcPr>
          <w:p>
            <w:pPr>
              <w:spacing w:after="0"/>
              <w:rPr>
                <w:sz w:val="1"/>
                <w:szCs w:val="1"/>
                <w:color w:val="auto"/>
              </w:rPr>
            </w:pPr>
          </w:p>
        </w:tc>
      </w:tr>
      <w:tr>
        <w:trPr>
          <w:trHeight w:val="80"/>
        </w:trPr>
        <w:tc>
          <w:tcPr>
            <w:tcW w:w="29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460" w:type="dxa"/>
            <w:vAlign w:val="bottom"/>
            <w:gridSpan w:val="2"/>
            <w:vMerge w:val="continue"/>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132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08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7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100" w:type="dxa"/>
            <w:vAlign w:val="bottom"/>
            <w:gridSpan w:val="2"/>
          </w:tcPr>
          <w:p>
            <w:pPr>
              <w:ind w:left="40"/>
              <w:spacing w:after="0"/>
              <w:rPr>
                <w:sz w:val="20"/>
                <w:szCs w:val="20"/>
                <w:color w:val="auto"/>
              </w:rPr>
            </w:pPr>
            <w:r>
              <w:rPr>
                <w:rFonts w:ascii="Arial" w:cs="Arial" w:eastAsia="Arial" w:hAnsi="Arial"/>
                <w:sz w:val="14"/>
                <w:szCs w:val="14"/>
                <w:color w:val="auto"/>
              </w:rPr>
              <w:t>Foreign currency forward contracts</w:t>
            </w:r>
          </w:p>
        </w:tc>
        <w:tc>
          <w:tcPr>
            <w:tcW w:w="120" w:type="dxa"/>
            <w:vAlign w:val="bottom"/>
          </w:tcPr>
          <w:p>
            <w:pPr>
              <w:spacing w:after="0"/>
              <w:rPr>
                <w:sz w:val="16"/>
                <w:szCs w:val="16"/>
                <w:color w:val="auto"/>
              </w:rPr>
            </w:pPr>
          </w:p>
        </w:tc>
        <w:tc>
          <w:tcPr>
            <w:tcW w:w="820" w:type="dxa"/>
            <w:vAlign w:val="bottom"/>
            <w:vMerge w:val="restart"/>
          </w:tcPr>
          <w:p>
            <w:pPr>
              <w:jc w:val="right"/>
              <w:ind w:right="8"/>
              <w:spacing w:after="0"/>
              <w:rPr>
                <w:sz w:val="20"/>
                <w:szCs w:val="20"/>
                <w:color w:val="auto"/>
              </w:rPr>
            </w:pPr>
            <w:r>
              <w:rPr>
                <w:rFonts w:ascii="Arial" w:cs="Arial" w:eastAsia="Arial" w:hAnsi="Arial"/>
                <w:sz w:val="14"/>
                <w:szCs w:val="14"/>
                <w:color w:val="auto"/>
              </w:rPr>
              <w:t>(43)</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6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320" w:type="dxa"/>
            <w:vAlign w:val="bottom"/>
            <w:vMerge w:val="restart"/>
          </w:tcPr>
          <w:p>
            <w:pPr>
              <w:jc w:val="right"/>
              <w:spacing w:after="0"/>
              <w:rPr>
                <w:sz w:val="20"/>
                <w:szCs w:val="20"/>
                <w:color w:val="auto"/>
              </w:rPr>
            </w:pPr>
            <w:r>
              <w:rPr>
                <w:rFonts w:ascii="Arial" w:cs="Arial" w:eastAsia="Arial" w:hAnsi="Arial"/>
                <w:sz w:val="14"/>
                <w:szCs w:val="14"/>
                <w:color w:val="auto"/>
              </w:rPr>
              <w:t>(43)</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2720" w:type="dxa"/>
            <w:vAlign w:val="bottom"/>
            <w:vMerge w:val="restart"/>
          </w:tcPr>
          <w:p>
            <w:pPr>
              <w:ind w:left="20"/>
              <w:spacing w:after="0"/>
              <w:rPr>
                <w:sz w:val="20"/>
                <w:szCs w:val="20"/>
                <w:color w:val="auto"/>
              </w:rPr>
            </w:pPr>
            <w:r>
              <w:rPr>
                <w:rFonts w:ascii="Arial" w:cs="Arial" w:eastAsia="Arial" w:hAnsi="Arial"/>
                <w:sz w:val="14"/>
                <w:szCs w:val="14"/>
                <w:color w:val="auto"/>
              </w:rPr>
              <w:t>Accrued and other current liabilities</w:t>
            </w:r>
          </w:p>
        </w:tc>
        <w:tc>
          <w:tcPr>
            <w:tcW w:w="0" w:type="dxa"/>
            <w:vAlign w:val="bottom"/>
          </w:tcPr>
          <w:p>
            <w:pPr>
              <w:spacing w:after="0"/>
              <w:rPr>
                <w:sz w:val="1"/>
                <w:szCs w:val="1"/>
                <w:color w:val="auto"/>
              </w:rPr>
            </w:pPr>
          </w:p>
        </w:tc>
      </w:tr>
      <w:tr>
        <w:trPr>
          <w:trHeight w:val="74"/>
        </w:trPr>
        <w:tc>
          <w:tcPr>
            <w:tcW w:w="29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60" w:type="dxa"/>
            <w:vAlign w:val="bottom"/>
            <w:gridSpan w:val="2"/>
            <w:vMerge w:val="continue"/>
          </w:tcPr>
          <w:p>
            <w:pPr>
              <w:spacing w:after="0"/>
              <w:rPr>
                <w:sz w:val="6"/>
                <w:szCs w:val="6"/>
                <w:color w:val="auto"/>
              </w:rPr>
            </w:pPr>
          </w:p>
        </w:tc>
        <w:tc>
          <w:tcPr>
            <w:tcW w:w="140" w:type="dxa"/>
            <w:vAlign w:val="bottom"/>
          </w:tcPr>
          <w:p>
            <w:pPr>
              <w:spacing w:after="0"/>
              <w:rPr>
                <w:sz w:val="6"/>
                <w:szCs w:val="6"/>
                <w:color w:val="auto"/>
              </w:rPr>
            </w:pPr>
          </w:p>
        </w:tc>
        <w:tc>
          <w:tcPr>
            <w:tcW w:w="132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7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76"/>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Cross-currency swap</w:t>
            </w:r>
          </w:p>
        </w:tc>
        <w:tc>
          <w:tcPr>
            <w:tcW w:w="120" w:type="dxa"/>
            <w:vAlign w:val="bottom"/>
            <w:shd w:val="clear" w:color="auto" w:fill="CCEEFF"/>
          </w:tcPr>
          <w:p>
            <w:pPr>
              <w:spacing w:after="0"/>
              <w:rPr>
                <w:sz w:val="24"/>
                <w:szCs w:val="24"/>
                <w:color w:val="auto"/>
              </w:rPr>
            </w:pPr>
          </w:p>
        </w:tc>
        <w:tc>
          <w:tcPr>
            <w:tcW w:w="8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(15,659)</w:t>
            </w:r>
          </w:p>
        </w:tc>
        <w:tc>
          <w:tcPr>
            <w:tcW w:w="12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46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4"/>
                <w:szCs w:val="24"/>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(15,659)</w:t>
            </w:r>
          </w:p>
        </w:tc>
        <w:tc>
          <w:tcPr>
            <w:tcW w:w="100" w:type="dxa"/>
            <w:vAlign w:val="bottom"/>
            <w:shd w:val="clear" w:color="auto" w:fill="CCEEFF"/>
          </w:tcPr>
          <w:p>
            <w:pPr>
              <w:spacing w:after="0"/>
              <w:rPr>
                <w:sz w:val="24"/>
                <w:szCs w:val="24"/>
                <w:color w:val="auto"/>
              </w:rPr>
            </w:pPr>
          </w:p>
        </w:tc>
        <w:tc>
          <w:tcPr>
            <w:tcW w:w="160" w:type="dxa"/>
            <w:vAlign w:val="bottom"/>
            <w:shd w:val="clear" w:color="auto" w:fill="CCEEFF"/>
          </w:tcPr>
          <w:p>
            <w:pPr>
              <w:spacing w:after="0"/>
              <w:rPr>
                <w:sz w:val="24"/>
                <w:szCs w:val="24"/>
                <w:color w:val="auto"/>
              </w:rPr>
            </w:pP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4"/>
                <w:szCs w:val="24"/>
                <w:color w:val="auto"/>
              </w:rPr>
            </w:pPr>
          </w:p>
        </w:tc>
        <w:tc>
          <w:tcPr>
            <w:tcW w:w="27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Accrued and other current liabilities</w:t>
            </w:r>
          </w:p>
        </w:tc>
        <w:tc>
          <w:tcPr>
            <w:tcW w:w="0" w:type="dxa"/>
            <w:vAlign w:val="bottom"/>
          </w:tcPr>
          <w:p>
            <w:pPr>
              <w:spacing w:after="0"/>
              <w:rPr>
                <w:sz w:val="1"/>
                <w:szCs w:val="1"/>
                <w:color w:val="auto"/>
              </w:rPr>
            </w:pPr>
          </w:p>
        </w:tc>
      </w:tr>
      <w:tr>
        <w:trPr>
          <w:trHeight w:val="191"/>
        </w:trPr>
        <w:tc>
          <w:tcPr>
            <w:tcW w:w="3100" w:type="dxa"/>
            <w:vAlign w:val="bottom"/>
            <w:gridSpan w:val="2"/>
          </w:tcPr>
          <w:p>
            <w:pPr>
              <w:ind w:left="40"/>
              <w:spacing w:after="0"/>
              <w:rPr>
                <w:sz w:val="20"/>
                <w:szCs w:val="20"/>
                <w:color w:val="auto"/>
              </w:rPr>
            </w:pPr>
            <w:r>
              <w:rPr>
                <w:rFonts w:ascii="Arial" w:cs="Arial" w:eastAsia="Arial" w:hAnsi="Arial"/>
                <w:sz w:val="14"/>
                <w:szCs w:val="14"/>
                <w:color w:val="auto"/>
              </w:rPr>
              <w:t>Private equity</w:t>
            </w:r>
          </w:p>
        </w:tc>
        <w:tc>
          <w:tcPr>
            <w:tcW w:w="120" w:type="dxa"/>
            <w:vAlign w:val="bottom"/>
          </w:tcPr>
          <w:p>
            <w:pPr>
              <w:spacing w:after="0"/>
              <w:rPr>
                <w:sz w:val="16"/>
                <w:szCs w:val="16"/>
                <w:color w:val="auto"/>
              </w:rPr>
            </w:pPr>
          </w:p>
        </w:tc>
        <w:tc>
          <w:tcPr>
            <w:tcW w:w="820" w:type="dxa"/>
            <w:vAlign w:val="bottom"/>
            <w:vMerge w:val="restart"/>
          </w:tcPr>
          <w:p>
            <w:pPr>
              <w:jc w:val="right"/>
              <w:ind w:right="48"/>
              <w:spacing w:after="0"/>
              <w:rPr>
                <w:sz w:val="20"/>
                <w:szCs w:val="20"/>
                <w:color w:val="auto"/>
              </w:rPr>
            </w:pPr>
            <w:r>
              <w:rPr>
                <w:rFonts w:ascii="Arial" w:cs="Arial" w:eastAsia="Arial" w:hAnsi="Arial"/>
                <w:sz w:val="14"/>
                <w:szCs w:val="14"/>
                <w:color w:val="auto"/>
              </w:rPr>
              <w:t>1,205</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4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vMerge w:val="restart"/>
          </w:tcPr>
          <w:p>
            <w:pPr>
              <w:spacing w:after="0"/>
              <w:rPr>
                <w:sz w:val="16"/>
                <w:szCs w:val="16"/>
                <w:color w:val="auto"/>
              </w:rPr>
            </w:pPr>
          </w:p>
        </w:tc>
        <w:tc>
          <w:tcPr>
            <w:tcW w:w="140" w:type="dxa"/>
            <w:vAlign w:val="bottom"/>
          </w:tcPr>
          <w:p>
            <w:pPr>
              <w:spacing w:after="0"/>
              <w:rPr>
                <w:sz w:val="16"/>
                <w:szCs w:val="16"/>
                <w:color w:val="auto"/>
              </w:rPr>
            </w:pPr>
          </w:p>
        </w:tc>
        <w:tc>
          <w:tcPr>
            <w:tcW w:w="1320" w:type="dxa"/>
            <w:vAlign w:val="bottom"/>
            <w:vMerge w:val="restart"/>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vMerge w:val="restart"/>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vMerge w:val="restart"/>
          </w:tcPr>
          <w:p>
            <w:pPr>
              <w:jc w:val="right"/>
              <w:ind w:right="28"/>
              <w:spacing w:after="0"/>
              <w:rPr>
                <w:sz w:val="20"/>
                <w:szCs w:val="20"/>
                <w:color w:val="auto"/>
              </w:rPr>
            </w:pPr>
            <w:r>
              <w:rPr>
                <w:rFonts w:ascii="Arial" w:cs="Arial" w:eastAsia="Arial" w:hAnsi="Arial"/>
                <w:sz w:val="14"/>
                <w:szCs w:val="14"/>
                <w:color w:val="auto"/>
              </w:rPr>
              <w:t>1,205</w:t>
            </w:r>
          </w:p>
        </w:tc>
        <w:tc>
          <w:tcPr>
            <w:tcW w:w="120" w:type="dxa"/>
            <w:vAlign w:val="bottom"/>
          </w:tcPr>
          <w:p>
            <w:pPr>
              <w:spacing w:after="0"/>
              <w:rPr>
                <w:sz w:val="16"/>
                <w:szCs w:val="16"/>
                <w:color w:val="auto"/>
              </w:rPr>
            </w:pPr>
          </w:p>
        </w:tc>
        <w:tc>
          <w:tcPr>
            <w:tcW w:w="2720" w:type="dxa"/>
            <w:vAlign w:val="bottom"/>
            <w:vMerge w:val="restart"/>
          </w:tcPr>
          <w:p>
            <w:pPr>
              <w:ind w:left="20"/>
              <w:spacing w:after="0"/>
              <w:rPr>
                <w:sz w:val="20"/>
                <w:szCs w:val="20"/>
                <w:color w:val="auto"/>
              </w:rPr>
            </w:pPr>
            <w:r>
              <w:rPr>
                <w:rFonts w:ascii="Arial" w:cs="Arial" w:eastAsia="Arial" w:hAnsi="Arial"/>
                <w:sz w:val="14"/>
                <w:szCs w:val="14"/>
                <w:color w:val="auto"/>
              </w:rPr>
              <w:t>Other assets</w:t>
            </w:r>
          </w:p>
        </w:tc>
        <w:tc>
          <w:tcPr>
            <w:tcW w:w="0" w:type="dxa"/>
            <w:vAlign w:val="bottom"/>
          </w:tcPr>
          <w:p>
            <w:pPr>
              <w:spacing w:after="0"/>
              <w:rPr>
                <w:sz w:val="1"/>
                <w:szCs w:val="1"/>
                <w:color w:val="auto"/>
              </w:rPr>
            </w:pPr>
          </w:p>
        </w:tc>
      </w:tr>
      <w:tr>
        <w:trPr>
          <w:trHeight w:val="74"/>
        </w:trPr>
        <w:tc>
          <w:tcPr>
            <w:tcW w:w="2980" w:type="dxa"/>
            <w:vAlign w:val="bottom"/>
            <w:tcBorders>
              <w:bottom w:val="single" w:sz="8" w:color="auto"/>
            </w:tcBorders>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82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34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vMerge w:val="continue"/>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1320" w:type="dxa"/>
            <w:vAlign w:val="bottom"/>
            <w:tcBorders>
              <w:bottom w:val="single" w:sz="8" w:color="auto"/>
            </w:tcBorders>
            <w:vMerge w:val="continue"/>
          </w:tcPr>
          <w:p>
            <w:pPr>
              <w:spacing w:after="0"/>
              <w:rPr>
                <w:sz w:val="6"/>
                <w:szCs w:val="6"/>
                <w:color w:val="auto"/>
              </w:rPr>
            </w:pPr>
          </w:p>
        </w:tc>
        <w:tc>
          <w:tcPr>
            <w:tcW w:w="100" w:type="dxa"/>
            <w:vAlign w:val="bottom"/>
            <w:tcBorders>
              <w:bottom w:val="single" w:sz="8" w:color="CCEEFF"/>
            </w:tcBorders>
            <w:vMerge w:val="continue"/>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080" w:type="dxa"/>
            <w:vAlign w:val="bottom"/>
            <w:tcBorders>
              <w:bottom w:val="single" w:sz="8" w:color="auto"/>
            </w:tcBorders>
            <w:vMerge w:val="continue"/>
          </w:tcPr>
          <w:p>
            <w:pPr>
              <w:spacing w:after="0"/>
              <w:rPr>
                <w:sz w:val="6"/>
                <w:szCs w:val="6"/>
                <w:color w:val="auto"/>
              </w:rPr>
            </w:pPr>
          </w:p>
        </w:tc>
        <w:tc>
          <w:tcPr>
            <w:tcW w:w="120" w:type="dxa"/>
            <w:vAlign w:val="bottom"/>
            <w:tcBorders>
              <w:bottom w:val="single" w:sz="8" w:color="CCEEFF"/>
            </w:tcBorders>
          </w:tcPr>
          <w:p>
            <w:pPr>
              <w:spacing w:after="0"/>
              <w:rPr>
                <w:sz w:val="6"/>
                <w:szCs w:val="6"/>
                <w:color w:val="auto"/>
              </w:rPr>
            </w:pPr>
          </w:p>
        </w:tc>
        <w:tc>
          <w:tcPr>
            <w:tcW w:w="2720" w:type="dxa"/>
            <w:vAlign w:val="bottom"/>
            <w:tcBorders>
              <w:bottom w:val="single" w:sz="8" w:color="CCEEFF"/>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37"/>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Total recurring fair value measurements, net</w:t>
            </w:r>
          </w:p>
        </w:tc>
        <w:tc>
          <w:tcPr>
            <w:tcW w:w="1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1,128,364</w:t>
            </w:r>
          </w:p>
        </w:tc>
        <w:tc>
          <w:tcPr>
            <w:tcW w:w="12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4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793,035</w:t>
            </w: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334,124</w:t>
            </w:r>
          </w:p>
        </w:tc>
        <w:tc>
          <w:tcPr>
            <w:tcW w:w="10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1,205</w:t>
            </w:r>
          </w:p>
        </w:tc>
        <w:tc>
          <w:tcPr>
            <w:tcW w:w="120" w:type="dxa"/>
            <w:vAlign w:val="bottom"/>
            <w:shd w:val="clear" w:color="auto" w:fill="CCEEFF"/>
          </w:tcPr>
          <w:p>
            <w:pPr>
              <w:spacing w:after="0"/>
              <w:rPr>
                <w:sz w:val="20"/>
                <w:szCs w:val="20"/>
                <w:color w:val="auto"/>
              </w:rPr>
            </w:pPr>
          </w:p>
        </w:tc>
        <w:tc>
          <w:tcPr>
            <w:tcW w:w="272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7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4"/>
        </w:trPr>
        <w:tc>
          <w:tcPr>
            <w:tcW w:w="29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46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Quoted prices</w:t>
            </w:r>
          </w:p>
        </w:tc>
        <w:tc>
          <w:tcPr>
            <w:tcW w:w="140" w:type="dxa"/>
            <w:vAlign w:val="bottom"/>
          </w:tcPr>
          <w:p>
            <w:pPr>
              <w:spacing w:after="0"/>
              <w:rPr>
                <w:sz w:val="23"/>
                <w:szCs w:val="23"/>
                <w:color w:val="auto"/>
              </w:rPr>
            </w:pPr>
          </w:p>
        </w:tc>
        <w:tc>
          <w:tcPr>
            <w:tcW w:w="142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2"/>
              </w:rPr>
              <w:t>Significant other</w:t>
            </w:r>
          </w:p>
        </w:tc>
        <w:tc>
          <w:tcPr>
            <w:tcW w:w="160" w:type="dxa"/>
            <w:vAlign w:val="bottom"/>
          </w:tcPr>
          <w:p>
            <w:pPr>
              <w:spacing w:after="0"/>
              <w:rPr>
                <w:sz w:val="23"/>
                <w:szCs w:val="23"/>
                <w:color w:val="auto"/>
              </w:rPr>
            </w:pPr>
          </w:p>
        </w:tc>
        <w:tc>
          <w:tcPr>
            <w:tcW w:w="1080" w:type="dxa"/>
            <w:vAlign w:val="bottom"/>
          </w:tcPr>
          <w:p>
            <w:pPr>
              <w:jc w:val="center"/>
              <w:ind w:right="68"/>
              <w:spacing w:after="0"/>
              <w:rPr>
                <w:sz w:val="20"/>
                <w:szCs w:val="20"/>
                <w:color w:val="auto"/>
              </w:rPr>
            </w:pPr>
            <w:r>
              <w:rPr>
                <w:rFonts w:ascii="Arial" w:cs="Arial" w:eastAsia="Arial" w:hAnsi="Arial"/>
                <w:sz w:val="14"/>
                <w:szCs w:val="14"/>
                <w:b w:val="1"/>
                <w:bCs w:val="1"/>
                <w:color w:val="auto"/>
                <w:w w:val="92"/>
              </w:rPr>
              <w:t>Significant</w:t>
            </w:r>
          </w:p>
        </w:tc>
        <w:tc>
          <w:tcPr>
            <w:tcW w:w="120" w:type="dxa"/>
            <w:vAlign w:val="bottom"/>
          </w:tcPr>
          <w:p>
            <w:pPr>
              <w:spacing w:after="0"/>
              <w:rPr>
                <w:sz w:val="23"/>
                <w:szCs w:val="23"/>
                <w:color w:val="auto"/>
              </w:rPr>
            </w:pPr>
          </w:p>
        </w:tc>
        <w:tc>
          <w:tcPr>
            <w:tcW w:w="27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49"/>
        </w:trPr>
        <w:tc>
          <w:tcPr>
            <w:tcW w:w="2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5"/>
              </w:rPr>
              <w:t>March 31,</w:t>
            </w:r>
          </w:p>
        </w:tc>
        <w:tc>
          <w:tcPr>
            <w:tcW w:w="160" w:type="dxa"/>
            <w:vAlign w:val="bottom"/>
          </w:tcPr>
          <w:p>
            <w:pPr>
              <w:spacing w:after="0"/>
              <w:rPr>
                <w:sz w:val="12"/>
                <w:szCs w:val="12"/>
                <w:color w:val="auto"/>
              </w:rPr>
            </w:pPr>
          </w:p>
        </w:tc>
        <w:tc>
          <w:tcPr>
            <w:tcW w:w="14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in active markets</w:t>
            </w:r>
          </w:p>
        </w:tc>
        <w:tc>
          <w:tcPr>
            <w:tcW w:w="140" w:type="dxa"/>
            <w:vAlign w:val="bottom"/>
          </w:tcPr>
          <w:p>
            <w:pPr>
              <w:spacing w:after="0"/>
              <w:rPr>
                <w:sz w:val="12"/>
                <w:szCs w:val="12"/>
                <w:color w:val="auto"/>
              </w:rPr>
            </w:pPr>
          </w:p>
        </w:tc>
        <w:tc>
          <w:tcPr>
            <w:tcW w:w="142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0"/>
              </w:rPr>
              <w:t>unobservable</w:t>
            </w:r>
          </w:p>
        </w:tc>
        <w:tc>
          <w:tcPr>
            <w:tcW w:w="120" w:type="dxa"/>
            <w:vAlign w:val="bottom"/>
          </w:tcPr>
          <w:p>
            <w:pPr>
              <w:spacing w:after="0"/>
              <w:rPr>
                <w:sz w:val="12"/>
                <w:szCs w:val="12"/>
                <w:color w:val="auto"/>
              </w:rPr>
            </w:pPr>
          </w:p>
        </w:tc>
        <w:tc>
          <w:tcPr>
            <w:tcW w:w="27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9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46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93"/>
              </w:rPr>
              <w:t>for identical</w:t>
            </w:r>
          </w:p>
        </w:tc>
        <w:tc>
          <w:tcPr>
            <w:tcW w:w="140" w:type="dxa"/>
            <w:vAlign w:val="bottom"/>
          </w:tcPr>
          <w:p>
            <w:pPr>
              <w:spacing w:after="0"/>
              <w:rPr>
                <w:sz w:val="12"/>
                <w:szCs w:val="12"/>
                <w:color w:val="auto"/>
              </w:rPr>
            </w:pPr>
          </w:p>
        </w:tc>
        <w:tc>
          <w:tcPr>
            <w:tcW w:w="14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observable inputs</w:t>
            </w:r>
          </w:p>
        </w:tc>
        <w:tc>
          <w:tcPr>
            <w:tcW w:w="160" w:type="dxa"/>
            <w:vAlign w:val="bottom"/>
          </w:tcPr>
          <w:p>
            <w:pPr>
              <w:spacing w:after="0"/>
              <w:rPr>
                <w:sz w:val="12"/>
                <w:szCs w:val="12"/>
                <w:color w:val="auto"/>
              </w:rPr>
            </w:pPr>
          </w:p>
        </w:tc>
        <w:tc>
          <w:tcPr>
            <w:tcW w:w="1080" w:type="dxa"/>
            <w:vAlign w:val="bottom"/>
          </w:tcPr>
          <w:p>
            <w:pPr>
              <w:jc w:val="center"/>
              <w:ind w:right="68"/>
              <w:spacing w:after="0" w:line="149" w:lineRule="exact"/>
              <w:rPr>
                <w:sz w:val="20"/>
                <w:szCs w:val="20"/>
                <w:color w:val="auto"/>
              </w:rPr>
            </w:pPr>
            <w:r>
              <w:rPr>
                <w:rFonts w:ascii="Arial" w:cs="Arial" w:eastAsia="Arial" w:hAnsi="Arial"/>
                <w:sz w:val="14"/>
                <w:szCs w:val="14"/>
                <w:b w:val="1"/>
                <w:bCs w:val="1"/>
                <w:color w:val="auto"/>
                <w:w w:val="90"/>
              </w:rPr>
              <w:t>inputs</w:t>
            </w:r>
          </w:p>
        </w:tc>
        <w:tc>
          <w:tcPr>
            <w:tcW w:w="120" w:type="dxa"/>
            <w:vAlign w:val="bottom"/>
          </w:tcPr>
          <w:p>
            <w:pPr>
              <w:spacing w:after="0"/>
              <w:rPr>
                <w:sz w:val="12"/>
                <w:szCs w:val="12"/>
                <w:color w:val="auto"/>
              </w:rPr>
            </w:pPr>
          </w:p>
        </w:tc>
        <w:tc>
          <w:tcPr>
            <w:tcW w:w="2720" w:type="dxa"/>
            <w:vAlign w:val="bottom"/>
            <w:vMerge w:val="restart"/>
          </w:tcPr>
          <w:p>
            <w:pPr>
              <w:ind w:left="500"/>
              <w:spacing w:after="0"/>
              <w:rPr>
                <w:sz w:val="20"/>
                <w:szCs w:val="20"/>
                <w:color w:val="auto"/>
              </w:rPr>
            </w:pPr>
            <w:r>
              <w:rPr>
                <w:rFonts w:ascii="Arial" w:cs="Arial" w:eastAsia="Arial" w:hAnsi="Arial"/>
                <w:sz w:val="14"/>
                <w:szCs w:val="14"/>
                <w:b w:val="1"/>
                <w:bCs w:val="1"/>
                <w:color w:val="auto"/>
              </w:rPr>
              <w:t>Balance Sheet Classification</w:t>
            </w:r>
          </w:p>
        </w:tc>
        <w:tc>
          <w:tcPr>
            <w:tcW w:w="0" w:type="dxa"/>
            <w:vAlign w:val="bottom"/>
          </w:tcPr>
          <w:p>
            <w:pPr>
              <w:spacing w:after="0"/>
              <w:rPr>
                <w:sz w:val="1"/>
                <w:szCs w:val="1"/>
                <w:color w:val="auto"/>
              </w:rPr>
            </w:pPr>
          </w:p>
        </w:tc>
      </w:tr>
      <w:tr>
        <w:trPr>
          <w:trHeight w:val="192"/>
        </w:trPr>
        <w:tc>
          <w:tcPr>
            <w:tcW w:w="29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2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b w:val="1"/>
                <w:bCs w:val="1"/>
                <w:color w:val="auto"/>
                <w:w w:val="96"/>
              </w:rPr>
              <w:t>2017</w:t>
            </w: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108"/>
              <w:spacing w:after="0"/>
              <w:rPr>
                <w:sz w:val="20"/>
                <w:szCs w:val="20"/>
                <w:color w:val="auto"/>
              </w:rPr>
            </w:pPr>
            <w:r>
              <w:rPr>
                <w:rFonts w:ascii="Arial" w:cs="Arial" w:eastAsia="Arial" w:hAnsi="Arial"/>
                <w:sz w:val="14"/>
                <w:szCs w:val="14"/>
                <w:b w:val="1"/>
                <w:bCs w:val="1"/>
                <w:color w:val="auto"/>
                <w:w w:val="88"/>
              </w:rPr>
              <w:t>assets (level 1)</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1"/>
              </w:rPr>
              <w:t>(level 2)</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center"/>
              <w:ind w:right="88"/>
              <w:spacing w:after="0"/>
              <w:rPr>
                <w:sz w:val="20"/>
                <w:szCs w:val="20"/>
                <w:color w:val="auto"/>
              </w:rPr>
            </w:pPr>
            <w:r>
              <w:rPr>
                <w:rFonts w:ascii="Arial" w:cs="Arial" w:eastAsia="Arial" w:hAnsi="Arial"/>
                <w:sz w:val="14"/>
                <w:szCs w:val="14"/>
                <w:b w:val="1"/>
                <w:bCs w:val="1"/>
                <w:color w:val="auto"/>
                <w:w w:val="91"/>
              </w:rPr>
              <w:t>(level 3)</w:t>
            </w:r>
          </w:p>
        </w:tc>
        <w:tc>
          <w:tcPr>
            <w:tcW w:w="120" w:type="dxa"/>
            <w:vAlign w:val="bottom"/>
            <w:tcBorders>
              <w:bottom w:val="single" w:sz="8" w:color="CCEEFF"/>
            </w:tcBorders>
          </w:tcPr>
          <w:p>
            <w:pPr>
              <w:spacing w:after="0"/>
              <w:rPr>
                <w:sz w:val="16"/>
                <w:szCs w:val="16"/>
                <w:color w:val="auto"/>
              </w:rPr>
            </w:pPr>
          </w:p>
        </w:tc>
        <w:tc>
          <w:tcPr>
            <w:tcW w:w="27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0"/>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Money market funds</w:t>
            </w:r>
          </w:p>
        </w:tc>
        <w:tc>
          <w:tcPr>
            <w:tcW w:w="1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8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646,386</w:t>
            </w:r>
          </w:p>
        </w:tc>
        <w:tc>
          <w:tcPr>
            <w:tcW w:w="120" w:type="dxa"/>
            <w:vAlign w:val="bottom"/>
            <w:shd w:val="clear" w:color="auto" w:fill="CCEEFF"/>
          </w:tcPr>
          <w:p>
            <w:pPr>
              <w:spacing w:after="0"/>
              <w:rPr>
                <w:sz w:val="16"/>
                <w:szCs w:val="16"/>
                <w:color w:val="auto"/>
              </w:rPr>
            </w:pP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3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646,386</w:t>
            </w:r>
          </w:p>
        </w:tc>
        <w:tc>
          <w:tcPr>
            <w:tcW w:w="120" w:type="dxa"/>
            <w:vAlign w:val="bottom"/>
            <w:shd w:val="clear" w:color="auto" w:fill="CCEEFF"/>
          </w:tcPr>
          <w:p>
            <w:pPr>
              <w:spacing w:after="0"/>
              <w:rPr>
                <w:sz w:val="16"/>
                <w:szCs w:val="16"/>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42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108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6"/>
                <w:szCs w:val="16"/>
                <w:color w:val="auto"/>
              </w:rPr>
            </w:pPr>
          </w:p>
        </w:tc>
        <w:tc>
          <w:tcPr>
            <w:tcW w:w="272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Cash and cash equivalents</w:t>
            </w:r>
          </w:p>
        </w:tc>
        <w:tc>
          <w:tcPr>
            <w:tcW w:w="0" w:type="dxa"/>
            <w:vAlign w:val="bottom"/>
          </w:tcPr>
          <w:p>
            <w:pPr>
              <w:spacing w:after="0"/>
              <w:rPr>
                <w:sz w:val="1"/>
                <w:szCs w:val="1"/>
                <w:color w:val="auto"/>
              </w:rPr>
            </w:pPr>
          </w:p>
        </w:tc>
      </w:tr>
      <w:tr>
        <w:trPr>
          <w:trHeight w:val="66"/>
        </w:trPr>
        <w:tc>
          <w:tcPr>
            <w:tcW w:w="2980" w:type="dxa"/>
            <w:vAlign w:val="bottom"/>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20" w:type="dxa"/>
            <w:vAlign w:val="bottom"/>
            <w:vMerge w:val="continue"/>
            <w:shd w:val="clear" w:color="auto" w:fill="CCEEFF"/>
          </w:tcPr>
          <w:p>
            <w:pPr>
              <w:spacing w:after="0"/>
              <w:rPr>
                <w:sz w:val="5"/>
                <w:szCs w:val="5"/>
                <w:color w:val="auto"/>
              </w:rPr>
            </w:pPr>
          </w:p>
        </w:tc>
        <w:tc>
          <w:tcPr>
            <w:tcW w:w="82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60" w:type="dxa"/>
            <w:vAlign w:val="bottom"/>
            <w:vMerge w:val="continue"/>
            <w:shd w:val="clear" w:color="auto" w:fill="CCEEFF"/>
          </w:tcPr>
          <w:p>
            <w:pPr>
              <w:spacing w:after="0"/>
              <w:rPr>
                <w:sz w:val="5"/>
                <w:szCs w:val="5"/>
                <w:color w:val="auto"/>
              </w:rPr>
            </w:pPr>
          </w:p>
        </w:tc>
        <w:tc>
          <w:tcPr>
            <w:tcW w:w="134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140" w:type="dxa"/>
            <w:vAlign w:val="bottom"/>
            <w:vMerge w:val="continue"/>
            <w:shd w:val="clear" w:color="auto" w:fill="CCEEFF"/>
          </w:tcPr>
          <w:p>
            <w:pPr>
              <w:spacing w:after="0"/>
              <w:rPr>
                <w:sz w:val="5"/>
                <w:szCs w:val="5"/>
                <w:color w:val="auto"/>
              </w:rPr>
            </w:pPr>
          </w:p>
        </w:tc>
        <w:tc>
          <w:tcPr>
            <w:tcW w:w="1420" w:type="dxa"/>
            <w:vAlign w:val="bottom"/>
            <w:gridSpan w:val="2"/>
            <w:vMerge w:val="continue"/>
            <w:shd w:val="clear" w:color="auto" w:fill="CCEEFF"/>
          </w:tcPr>
          <w:p>
            <w:pPr>
              <w:spacing w:after="0"/>
              <w:rPr>
                <w:sz w:val="5"/>
                <w:szCs w:val="5"/>
                <w:color w:val="auto"/>
              </w:rPr>
            </w:pPr>
          </w:p>
        </w:tc>
        <w:tc>
          <w:tcPr>
            <w:tcW w:w="160" w:type="dxa"/>
            <w:vAlign w:val="bottom"/>
            <w:vMerge w:val="continue"/>
            <w:shd w:val="clear" w:color="auto" w:fill="CCEEFF"/>
          </w:tcPr>
          <w:p>
            <w:pPr>
              <w:spacing w:after="0"/>
              <w:rPr>
                <w:sz w:val="5"/>
                <w:szCs w:val="5"/>
                <w:color w:val="auto"/>
              </w:rPr>
            </w:pPr>
          </w:p>
        </w:tc>
        <w:tc>
          <w:tcPr>
            <w:tcW w:w="1080" w:type="dxa"/>
            <w:vAlign w:val="bottom"/>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27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91"/>
        </w:trPr>
        <w:tc>
          <w:tcPr>
            <w:tcW w:w="3100" w:type="dxa"/>
            <w:vAlign w:val="bottom"/>
            <w:gridSpan w:val="2"/>
          </w:tcPr>
          <w:p>
            <w:pPr>
              <w:ind w:left="40"/>
              <w:spacing w:after="0"/>
              <w:rPr>
                <w:sz w:val="20"/>
                <w:szCs w:val="20"/>
                <w:color w:val="auto"/>
              </w:rPr>
            </w:pPr>
            <w:r>
              <w:rPr>
                <w:rFonts w:ascii="Arial" w:cs="Arial" w:eastAsia="Arial" w:hAnsi="Arial"/>
                <w:sz w:val="14"/>
                <w:szCs w:val="14"/>
                <w:color w:val="auto"/>
              </w:rPr>
              <w:t>Bank-time deposits</w:t>
            </w:r>
          </w:p>
        </w:tc>
        <w:tc>
          <w:tcPr>
            <w:tcW w:w="120" w:type="dxa"/>
            <w:vAlign w:val="bottom"/>
          </w:tcPr>
          <w:p>
            <w:pPr>
              <w:spacing w:after="0"/>
              <w:rPr>
                <w:sz w:val="16"/>
                <w:szCs w:val="16"/>
                <w:color w:val="auto"/>
              </w:rPr>
            </w:pPr>
          </w:p>
        </w:tc>
        <w:tc>
          <w:tcPr>
            <w:tcW w:w="820" w:type="dxa"/>
            <w:vAlign w:val="bottom"/>
            <w:vMerge w:val="restart"/>
          </w:tcPr>
          <w:p>
            <w:pPr>
              <w:jc w:val="right"/>
              <w:ind w:right="48"/>
              <w:spacing w:after="0"/>
              <w:rPr>
                <w:sz w:val="20"/>
                <w:szCs w:val="20"/>
                <w:color w:val="auto"/>
              </w:rPr>
            </w:pPr>
            <w:r>
              <w:rPr>
                <w:rFonts w:ascii="Arial" w:cs="Arial" w:eastAsia="Arial" w:hAnsi="Arial"/>
                <w:sz w:val="14"/>
                <w:szCs w:val="14"/>
                <w:color w:val="auto"/>
              </w:rPr>
              <w:t>46,605</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40" w:type="dxa"/>
            <w:vAlign w:val="bottom"/>
            <w:vMerge w:val="restart"/>
          </w:tcPr>
          <w:p>
            <w:pPr>
              <w:jc w:val="right"/>
              <w:ind w:right="48"/>
              <w:spacing w:after="0"/>
              <w:rPr>
                <w:sz w:val="20"/>
                <w:szCs w:val="20"/>
                <w:color w:val="auto"/>
              </w:rPr>
            </w:pPr>
            <w:r>
              <w:rPr>
                <w:rFonts w:ascii="Arial" w:cs="Arial" w:eastAsia="Arial" w:hAnsi="Arial"/>
                <w:sz w:val="14"/>
                <w:szCs w:val="14"/>
                <w:color w:val="auto"/>
              </w:rPr>
              <w:t>46,605</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2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08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2720" w:type="dxa"/>
            <w:vAlign w:val="bottom"/>
            <w:vMerge w:val="restart"/>
          </w:tcPr>
          <w:p>
            <w:pPr>
              <w:ind w:left="20"/>
              <w:spacing w:after="0"/>
              <w:rPr>
                <w:sz w:val="20"/>
                <w:szCs w:val="20"/>
                <w:color w:val="auto"/>
              </w:rPr>
            </w:pPr>
            <w:r>
              <w:rPr>
                <w:rFonts w:ascii="Arial" w:cs="Arial" w:eastAsia="Arial" w:hAnsi="Arial"/>
                <w:sz w:val="14"/>
                <w:szCs w:val="14"/>
                <w:color w:val="auto"/>
              </w:rPr>
              <w:t>Cash and cash equivalents</w:t>
            </w:r>
          </w:p>
        </w:tc>
        <w:tc>
          <w:tcPr>
            <w:tcW w:w="0" w:type="dxa"/>
            <w:vAlign w:val="bottom"/>
          </w:tcPr>
          <w:p>
            <w:pPr>
              <w:spacing w:after="0"/>
              <w:rPr>
                <w:sz w:val="1"/>
                <w:szCs w:val="1"/>
                <w:color w:val="auto"/>
              </w:rPr>
            </w:pPr>
          </w:p>
        </w:tc>
      </w:tr>
      <w:tr>
        <w:trPr>
          <w:trHeight w:val="74"/>
        </w:trPr>
        <w:tc>
          <w:tcPr>
            <w:tcW w:w="29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34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420" w:type="dxa"/>
            <w:vAlign w:val="bottom"/>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7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Commercial paper</w:t>
            </w:r>
          </w:p>
        </w:tc>
        <w:tc>
          <w:tcPr>
            <w:tcW w:w="12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38,268</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6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13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38,268</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272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Cash and cash equivalents</w:t>
            </w:r>
          </w:p>
        </w:tc>
        <w:tc>
          <w:tcPr>
            <w:tcW w:w="0" w:type="dxa"/>
            <w:vAlign w:val="bottom"/>
          </w:tcPr>
          <w:p>
            <w:pPr>
              <w:spacing w:after="0"/>
              <w:rPr>
                <w:sz w:val="1"/>
                <w:szCs w:val="1"/>
                <w:color w:val="auto"/>
              </w:rPr>
            </w:pPr>
          </w:p>
        </w:tc>
      </w:tr>
      <w:tr>
        <w:trPr>
          <w:trHeight w:val="80"/>
        </w:trPr>
        <w:tc>
          <w:tcPr>
            <w:tcW w:w="29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460" w:type="dxa"/>
            <w:vAlign w:val="bottom"/>
            <w:gridSpan w:val="2"/>
            <w:vMerge w:val="continue"/>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132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08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7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100" w:type="dxa"/>
            <w:vAlign w:val="bottom"/>
            <w:gridSpan w:val="2"/>
          </w:tcPr>
          <w:p>
            <w:pPr>
              <w:ind w:left="40"/>
              <w:spacing w:after="0"/>
              <w:rPr>
                <w:sz w:val="20"/>
                <w:szCs w:val="20"/>
                <w:color w:val="auto"/>
              </w:rPr>
            </w:pPr>
            <w:r>
              <w:rPr>
                <w:rFonts w:ascii="Arial" w:cs="Arial" w:eastAsia="Arial" w:hAnsi="Arial"/>
                <w:sz w:val="14"/>
                <w:szCs w:val="14"/>
                <w:color w:val="auto"/>
              </w:rPr>
              <w:t>Corporate bonds</w:t>
            </w:r>
          </w:p>
        </w:tc>
        <w:tc>
          <w:tcPr>
            <w:tcW w:w="120" w:type="dxa"/>
            <w:vAlign w:val="bottom"/>
          </w:tcPr>
          <w:p>
            <w:pPr>
              <w:spacing w:after="0"/>
              <w:rPr>
                <w:sz w:val="16"/>
                <w:szCs w:val="16"/>
                <w:color w:val="auto"/>
              </w:rPr>
            </w:pPr>
          </w:p>
        </w:tc>
        <w:tc>
          <w:tcPr>
            <w:tcW w:w="820" w:type="dxa"/>
            <w:vAlign w:val="bottom"/>
            <w:vMerge w:val="restart"/>
          </w:tcPr>
          <w:p>
            <w:pPr>
              <w:jc w:val="right"/>
              <w:ind w:right="48"/>
              <w:spacing w:after="0"/>
              <w:rPr>
                <w:sz w:val="20"/>
                <w:szCs w:val="20"/>
                <w:color w:val="auto"/>
              </w:rPr>
            </w:pPr>
            <w:r>
              <w:rPr>
                <w:rFonts w:ascii="Arial" w:cs="Arial" w:eastAsia="Arial" w:hAnsi="Arial"/>
                <w:sz w:val="14"/>
                <w:szCs w:val="14"/>
                <w:color w:val="auto"/>
              </w:rPr>
              <w:t>243,019</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6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320" w:type="dxa"/>
            <w:vAlign w:val="bottom"/>
            <w:vMerge w:val="restart"/>
          </w:tcPr>
          <w:p>
            <w:pPr>
              <w:jc w:val="right"/>
              <w:ind w:right="48"/>
              <w:spacing w:after="0"/>
              <w:rPr>
                <w:sz w:val="20"/>
                <w:szCs w:val="20"/>
                <w:color w:val="auto"/>
              </w:rPr>
            </w:pPr>
            <w:r>
              <w:rPr>
                <w:rFonts w:ascii="Arial" w:cs="Arial" w:eastAsia="Arial" w:hAnsi="Arial"/>
                <w:sz w:val="14"/>
                <w:szCs w:val="14"/>
                <w:color w:val="auto"/>
              </w:rPr>
              <w:t>243,019</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2720" w:type="dxa"/>
            <w:vAlign w:val="bottom"/>
            <w:vMerge w:val="restart"/>
          </w:tcPr>
          <w:p>
            <w:pPr>
              <w:ind w:left="20"/>
              <w:spacing w:after="0"/>
              <w:rPr>
                <w:sz w:val="20"/>
                <w:szCs w:val="20"/>
                <w:color w:val="auto"/>
              </w:rPr>
            </w:pPr>
            <w:r>
              <w:rPr>
                <w:rFonts w:ascii="Arial" w:cs="Arial" w:eastAsia="Arial" w:hAnsi="Arial"/>
                <w:sz w:val="14"/>
                <w:szCs w:val="14"/>
                <w:color w:val="auto"/>
              </w:rPr>
              <w:t>Short-term investments</w:t>
            </w:r>
          </w:p>
        </w:tc>
        <w:tc>
          <w:tcPr>
            <w:tcW w:w="0" w:type="dxa"/>
            <w:vAlign w:val="bottom"/>
          </w:tcPr>
          <w:p>
            <w:pPr>
              <w:spacing w:after="0"/>
              <w:rPr>
                <w:sz w:val="1"/>
                <w:szCs w:val="1"/>
                <w:color w:val="auto"/>
              </w:rPr>
            </w:pPr>
          </w:p>
        </w:tc>
      </w:tr>
      <w:tr>
        <w:trPr>
          <w:trHeight w:val="74"/>
        </w:trPr>
        <w:tc>
          <w:tcPr>
            <w:tcW w:w="29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60" w:type="dxa"/>
            <w:vAlign w:val="bottom"/>
            <w:gridSpan w:val="2"/>
            <w:vMerge w:val="continue"/>
          </w:tcPr>
          <w:p>
            <w:pPr>
              <w:spacing w:after="0"/>
              <w:rPr>
                <w:sz w:val="6"/>
                <w:szCs w:val="6"/>
                <w:color w:val="auto"/>
              </w:rPr>
            </w:pPr>
          </w:p>
        </w:tc>
        <w:tc>
          <w:tcPr>
            <w:tcW w:w="140" w:type="dxa"/>
            <w:vAlign w:val="bottom"/>
          </w:tcPr>
          <w:p>
            <w:pPr>
              <w:spacing w:after="0"/>
              <w:rPr>
                <w:sz w:val="6"/>
                <w:szCs w:val="6"/>
                <w:color w:val="auto"/>
              </w:rPr>
            </w:pPr>
          </w:p>
        </w:tc>
        <w:tc>
          <w:tcPr>
            <w:tcW w:w="132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7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Bank-time deposits</w:t>
            </w:r>
          </w:p>
        </w:tc>
        <w:tc>
          <w:tcPr>
            <w:tcW w:w="12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175,745</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175,745</w:t>
            </w: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420" w:type="dxa"/>
            <w:vAlign w:val="bottom"/>
            <w:gridSpan w:val="2"/>
            <w:vMerge w:val="restart"/>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272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Short-term investments</w:t>
            </w:r>
          </w:p>
        </w:tc>
        <w:tc>
          <w:tcPr>
            <w:tcW w:w="0" w:type="dxa"/>
            <w:vAlign w:val="bottom"/>
          </w:tcPr>
          <w:p>
            <w:pPr>
              <w:spacing w:after="0"/>
              <w:rPr>
                <w:sz w:val="1"/>
                <w:szCs w:val="1"/>
                <w:color w:val="auto"/>
              </w:rPr>
            </w:pPr>
          </w:p>
        </w:tc>
      </w:tr>
      <w:tr>
        <w:trPr>
          <w:trHeight w:val="80"/>
        </w:trPr>
        <w:tc>
          <w:tcPr>
            <w:tcW w:w="29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34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1420" w:type="dxa"/>
            <w:vAlign w:val="bottom"/>
            <w:gridSpan w:val="2"/>
            <w:vMerge w:val="continue"/>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08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7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100" w:type="dxa"/>
            <w:vAlign w:val="bottom"/>
            <w:gridSpan w:val="2"/>
          </w:tcPr>
          <w:p>
            <w:pPr>
              <w:ind w:left="40"/>
              <w:spacing w:after="0"/>
              <w:rPr>
                <w:sz w:val="20"/>
                <w:szCs w:val="20"/>
                <w:color w:val="auto"/>
              </w:rPr>
            </w:pPr>
            <w:r>
              <w:rPr>
                <w:rFonts w:ascii="Arial" w:cs="Arial" w:eastAsia="Arial" w:hAnsi="Arial"/>
                <w:sz w:val="14"/>
                <w:szCs w:val="14"/>
                <w:color w:val="auto"/>
              </w:rPr>
              <w:t>Commercial paper</w:t>
            </w:r>
          </w:p>
        </w:tc>
        <w:tc>
          <w:tcPr>
            <w:tcW w:w="120" w:type="dxa"/>
            <w:vAlign w:val="bottom"/>
          </w:tcPr>
          <w:p>
            <w:pPr>
              <w:spacing w:after="0"/>
              <w:rPr>
                <w:sz w:val="16"/>
                <w:szCs w:val="16"/>
                <w:color w:val="auto"/>
              </w:rPr>
            </w:pPr>
          </w:p>
        </w:tc>
        <w:tc>
          <w:tcPr>
            <w:tcW w:w="820" w:type="dxa"/>
            <w:vAlign w:val="bottom"/>
            <w:vMerge w:val="restart"/>
          </w:tcPr>
          <w:p>
            <w:pPr>
              <w:jc w:val="right"/>
              <w:ind w:right="48"/>
              <w:spacing w:after="0"/>
              <w:rPr>
                <w:sz w:val="20"/>
                <w:szCs w:val="20"/>
                <w:color w:val="auto"/>
              </w:rPr>
            </w:pPr>
            <w:r>
              <w:rPr>
                <w:rFonts w:ascii="Arial" w:cs="Arial" w:eastAsia="Arial" w:hAnsi="Arial"/>
                <w:sz w:val="14"/>
                <w:szCs w:val="14"/>
                <w:color w:val="auto"/>
              </w:rPr>
              <w:t>25,936</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6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320" w:type="dxa"/>
            <w:vAlign w:val="bottom"/>
            <w:vMerge w:val="restart"/>
          </w:tcPr>
          <w:p>
            <w:pPr>
              <w:jc w:val="right"/>
              <w:ind w:right="48"/>
              <w:spacing w:after="0"/>
              <w:rPr>
                <w:sz w:val="20"/>
                <w:szCs w:val="20"/>
                <w:color w:val="auto"/>
              </w:rPr>
            </w:pPr>
            <w:r>
              <w:rPr>
                <w:rFonts w:ascii="Arial" w:cs="Arial" w:eastAsia="Arial" w:hAnsi="Arial"/>
                <w:sz w:val="14"/>
                <w:szCs w:val="14"/>
                <w:color w:val="auto"/>
              </w:rPr>
              <w:t>25,936</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2720" w:type="dxa"/>
            <w:vAlign w:val="bottom"/>
            <w:vMerge w:val="restart"/>
          </w:tcPr>
          <w:p>
            <w:pPr>
              <w:ind w:left="20"/>
              <w:spacing w:after="0"/>
              <w:rPr>
                <w:sz w:val="20"/>
                <w:szCs w:val="20"/>
                <w:color w:val="auto"/>
              </w:rPr>
            </w:pPr>
            <w:r>
              <w:rPr>
                <w:rFonts w:ascii="Arial" w:cs="Arial" w:eastAsia="Arial" w:hAnsi="Arial"/>
                <w:sz w:val="14"/>
                <w:szCs w:val="14"/>
                <w:color w:val="auto"/>
              </w:rPr>
              <w:t>Short-term investments</w:t>
            </w:r>
          </w:p>
        </w:tc>
        <w:tc>
          <w:tcPr>
            <w:tcW w:w="0" w:type="dxa"/>
            <w:vAlign w:val="bottom"/>
          </w:tcPr>
          <w:p>
            <w:pPr>
              <w:spacing w:after="0"/>
              <w:rPr>
                <w:sz w:val="1"/>
                <w:szCs w:val="1"/>
                <w:color w:val="auto"/>
              </w:rPr>
            </w:pPr>
          </w:p>
        </w:tc>
      </w:tr>
      <w:tr>
        <w:trPr>
          <w:trHeight w:val="74"/>
        </w:trPr>
        <w:tc>
          <w:tcPr>
            <w:tcW w:w="29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60" w:type="dxa"/>
            <w:vAlign w:val="bottom"/>
            <w:gridSpan w:val="2"/>
            <w:vMerge w:val="continue"/>
          </w:tcPr>
          <w:p>
            <w:pPr>
              <w:spacing w:after="0"/>
              <w:rPr>
                <w:sz w:val="6"/>
                <w:szCs w:val="6"/>
                <w:color w:val="auto"/>
              </w:rPr>
            </w:pPr>
          </w:p>
        </w:tc>
        <w:tc>
          <w:tcPr>
            <w:tcW w:w="140" w:type="dxa"/>
            <w:vAlign w:val="bottom"/>
          </w:tcPr>
          <w:p>
            <w:pPr>
              <w:spacing w:after="0"/>
              <w:rPr>
                <w:sz w:val="6"/>
                <w:szCs w:val="6"/>
                <w:color w:val="auto"/>
              </w:rPr>
            </w:pPr>
          </w:p>
        </w:tc>
        <w:tc>
          <w:tcPr>
            <w:tcW w:w="132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7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Mutual funds</w:t>
            </w:r>
          </w:p>
        </w:tc>
        <w:tc>
          <w:tcPr>
            <w:tcW w:w="12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4,232</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6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13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4,232</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272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Short-term investments</w:t>
            </w:r>
          </w:p>
        </w:tc>
        <w:tc>
          <w:tcPr>
            <w:tcW w:w="0" w:type="dxa"/>
            <w:vAlign w:val="bottom"/>
          </w:tcPr>
          <w:p>
            <w:pPr>
              <w:spacing w:after="0"/>
              <w:rPr>
                <w:sz w:val="1"/>
                <w:szCs w:val="1"/>
                <w:color w:val="auto"/>
              </w:rPr>
            </w:pPr>
          </w:p>
        </w:tc>
      </w:tr>
      <w:tr>
        <w:trPr>
          <w:trHeight w:val="80"/>
        </w:trPr>
        <w:tc>
          <w:tcPr>
            <w:tcW w:w="29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460" w:type="dxa"/>
            <w:vAlign w:val="bottom"/>
            <w:gridSpan w:val="2"/>
            <w:vMerge w:val="continue"/>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132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08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7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100" w:type="dxa"/>
            <w:vAlign w:val="bottom"/>
            <w:gridSpan w:val="2"/>
          </w:tcPr>
          <w:p>
            <w:pPr>
              <w:ind w:left="40"/>
              <w:spacing w:after="0"/>
              <w:rPr>
                <w:sz w:val="20"/>
                <w:szCs w:val="20"/>
                <w:color w:val="auto"/>
              </w:rPr>
            </w:pPr>
            <w:r>
              <w:rPr>
                <w:rFonts w:ascii="Arial" w:cs="Arial" w:eastAsia="Arial" w:hAnsi="Arial"/>
                <w:sz w:val="14"/>
                <w:szCs w:val="14"/>
                <w:color w:val="auto"/>
              </w:rPr>
              <w:t>Foreign currency forward contracts</w:t>
            </w:r>
          </w:p>
        </w:tc>
        <w:tc>
          <w:tcPr>
            <w:tcW w:w="120" w:type="dxa"/>
            <w:vAlign w:val="bottom"/>
          </w:tcPr>
          <w:p>
            <w:pPr>
              <w:spacing w:after="0"/>
              <w:rPr>
                <w:sz w:val="16"/>
                <w:szCs w:val="16"/>
                <w:color w:val="auto"/>
              </w:rPr>
            </w:pPr>
          </w:p>
        </w:tc>
        <w:tc>
          <w:tcPr>
            <w:tcW w:w="820" w:type="dxa"/>
            <w:vAlign w:val="bottom"/>
            <w:vMerge w:val="restart"/>
          </w:tcPr>
          <w:p>
            <w:pPr>
              <w:jc w:val="right"/>
              <w:ind w:right="48"/>
              <w:spacing w:after="0"/>
              <w:rPr>
                <w:sz w:val="20"/>
                <w:szCs w:val="20"/>
                <w:color w:val="auto"/>
              </w:rPr>
            </w:pPr>
            <w:r>
              <w:rPr>
                <w:rFonts w:ascii="Arial" w:cs="Arial" w:eastAsia="Arial" w:hAnsi="Arial"/>
                <w:sz w:val="14"/>
                <w:szCs w:val="14"/>
                <w:color w:val="auto"/>
              </w:rPr>
              <w:t>2</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6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320" w:type="dxa"/>
            <w:vAlign w:val="bottom"/>
            <w:vMerge w:val="restart"/>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80" w:type="dxa"/>
            <w:vAlign w:val="bottom"/>
            <w:vMerge w:val="restart"/>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tcPr>
          <w:p>
            <w:pPr>
              <w:spacing w:after="0"/>
              <w:rPr>
                <w:sz w:val="16"/>
                <w:szCs w:val="16"/>
                <w:color w:val="auto"/>
              </w:rPr>
            </w:pPr>
          </w:p>
        </w:tc>
        <w:tc>
          <w:tcPr>
            <w:tcW w:w="2720" w:type="dxa"/>
            <w:vAlign w:val="bottom"/>
            <w:vMerge w:val="restart"/>
          </w:tcPr>
          <w:p>
            <w:pPr>
              <w:ind w:left="20"/>
              <w:spacing w:after="0"/>
              <w:rPr>
                <w:sz w:val="20"/>
                <w:szCs w:val="20"/>
                <w:color w:val="auto"/>
              </w:rPr>
            </w:pPr>
            <w:r>
              <w:rPr>
                <w:rFonts w:ascii="Arial" w:cs="Arial" w:eastAsia="Arial" w:hAnsi="Arial"/>
                <w:sz w:val="14"/>
                <w:szCs w:val="14"/>
                <w:color w:val="auto"/>
              </w:rPr>
              <w:t>Prepaid expenses and other</w:t>
            </w:r>
          </w:p>
        </w:tc>
        <w:tc>
          <w:tcPr>
            <w:tcW w:w="0" w:type="dxa"/>
            <w:vAlign w:val="bottom"/>
          </w:tcPr>
          <w:p>
            <w:pPr>
              <w:spacing w:after="0"/>
              <w:rPr>
                <w:sz w:val="1"/>
                <w:szCs w:val="1"/>
                <w:color w:val="auto"/>
              </w:rPr>
            </w:pPr>
          </w:p>
        </w:tc>
      </w:tr>
      <w:tr>
        <w:trPr>
          <w:trHeight w:val="74"/>
        </w:trPr>
        <w:tc>
          <w:tcPr>
            <w:tcW w:w="29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60" w:type="dxa"/>
            <w:vAlign w:val="bottom"/>
            <w:gridSpan w:val="2"/>
            <w:vMerge w:val="continue"/>
          </w:tcPr>
          <w:p>
            <w:pPr>
              <w:spacing w:after="0"/>
              <w:rPr>
                <w:sz w:val="6"/>
                <w:szCs w:val="6"/>
                <w:color w:val="auto"/>
              </w:rPr>
            </w:pPr>
          </w:p>
        </w:tc>
        <w:tc>
          <w:tcPr>
            <w:tcW w:w="140" w:type="dxa"/>
            <w:vAlign w:val="bottom"/>
          </w:tcPr>
          <w:p>
            <w:pPr>
              <w:spacing w:after="0"/>
              <w:rPr>
                <w:sz w:val="6"/>
                <w:szCs w:val="6"/>
                <w:color w:val="auto"/>
              </w:rPr>
            </w:pPr>
          </w:p>
        </w:tc>
        <w:tc>
          <w:tcPr>
            <w:tcW w:w="1320" w:type="dxa"/>
            <w:vAlign w:val="bottom"/>
            <w:vMerge w:val="continue"/>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7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Foreign currency forward contracts</w:t>
            </w:r>
          </w:p>
        </w:tc>
        <w:tc>
          <w:tcPr>
            <w:tcW w:w="12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(352)</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60" w:type="dxa"/>
            <w:vAlign w:val="bottom"/>
            <w:gridSpan w:val="2"/>
            <w:vMerge w:val="restart"/>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17"/>
                <w:szCs w:val="17"/>
                <w:color w:val="auto"/>
              </w:rPr>
            </w:pPr>
          </w:p>
        </w:tc>
        <w:tc>
          <w:tcPr>
            <w:tcW w:w="13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(352)</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17"/>
                <w:szCs w:val="17"/>
                <w:color w:val="auto"/>
              </w:rPr>
            </w:pPr>
          </w:p>
        </w:tc>
        <w:tc>
          <w:tcPr>
            <w:tcW w:w="272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Accrued and other current liabilities</w:t>
            </w:r>
          </w:p>
        </w:tc>
        <w:tc>
          <w:tcPr>
            <w:tcW w:w="0" w:type="dxa"/>
            <w:vAlign w:val="bottom"/>
          </w:tcPr>
          <w:p>
            <w:pPr>
              <w:spacing w:after="0"/>
              <w:rPr>
                <w:sz w:val="1"/>
                <w:szCs w:val="1"/>
                <w:color w:val="auto"/>
              </w:rPr>
            </w:pPr>
          </w:p>
        </w:tc>
      </w:tr>
      <w:tr>
        <w:trPr>
          <w:trHeight w:val="80"/>
        </w:trPr>
        <w:tc>
          <w:tcPr>
            <w:tcW w:w="298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82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460" w:type="dxa"/>
            <w:vAlign w:val="bottom"/>
            <w:gridSpan w:val="2"/>
            <w:vMerge w:val="continue"/>
            <w:shd w:val="clear" w:color="auto" w:fill="CCEEFF"/>
          </w:tcPr>
          <w:p>
            <w:pPr>
              <w:spacing w:after="0"/>
              <w:rPr>
                <w:sz w:val="6"/>
                <w:szCs w:val="6"/>
                <w:color w:val="auto"/>
              </w:rPr>
            </w:pPr>
          </w:p>
        </w:tc>
        <w:tc>
          <w:tcPr>
            <w:tcW w:w="140" w:type="dxa"/>
            <w:vAlign w:val="bottom"/>
            <w:shd w:val="clear" w:color="auto" w:fill="CCEEFF"/>
          </w:tcPr>
          <w:p>
            <w:pPr>
              <w:spacing w:after="0"/>
              <w:rPr>
                <w:sz w:val="6"/>
                <w:szCs w:val="6"/>
                <w:color w:val="auto"/>
              </w:rPr>
            </w:pPr>
          </w:p>
        </w:tc>
        <w:tc>
          <w:tcPr>
            <w:tcW w:w="1320" w:type="dxa"/>
            <w:vAlign w:val="bottom"/>
            <w:vMerge w:val="continue"/>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160" w:type="dxa"/>
            <w:vAlign w:val="bottom"/>
            <w:shd w:val="clear" w:color="auto" w:fill="CCEEFF"/>
          </w:tcPr>
          <w:p>
            <w:pPr>
              <w:spacing w:after="0"/>
              <w:rPr>
                <w:sz w:val="6"/>
                <w:szCs w:val="6"/>
                <w:color w:val="auto"/>
              </w:rPr>
            </w:pPr>
          </w:p>
        </w:tc>
        <w:tc>
          <w:tcPr>
            <w:tcW w:w="1080" w:type="dxa"/>
            <w:vAlign w:val="bottom"/>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7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3100" w:type="dxa"/>
            <w:vAlign w:val="bottom"/>
            <w:gridSpan w:val="2"/>
          </w:tcPr>
          <w:p>
            <w:pPr>
              <w:ind w:left="40"/>
              <w:spacing w:after="0"/>
              <w:rPr>
                <w:sz w:val="20"/>
                <w:szCs w:val="20"/>
                <w:color w:val="auto"/>
              </w:rPr>
            </w:pPr>
            <w:r>
              <w:rPr>
                <w:rFonts w:ascii="Arial" w:cs="Arial" w:eastAsia="Arial" w:hAnsi="Arial"/>
                <w:sz w:val="14"/>
                <w:szCs w:val="14"/>
                <w:color w:val="auto"/>
              </w:rPr>
              <w:t>Private equity</w:t>
            </w:r>
          </w:p>
        </w:tc>
        <w:tc>
          <w:tcPr>
            <w:tcW w:w="120" w:type="dxa"/>
            <w:vAlign w:val="bottom"/>
          </w:tcPr>
          <w:p>
            <w:pPr>
              <w:spacing w:after="0"/>
              <w:rPr>
                <w:sz w:val="16"/>
                <w:szCs w:val="16"/>
                <w:color w:val="auto"/>
              </w:rPr>
            </w:pPr>
          </w:p>
        </w:tc>
        <w:tc>
          <w:tcPr>
            <w:tcW w:w="820" w:type="dxa"/>
            <w:vAlign w:val="bottom"/>
            <w:vMerge w:val="restart"/>
          </w:tcPr>
          <w:p>
            <w:pPr>
              <w:jc w:val="right"/>
              <w:ind w:right="48"/>
              <w:spacing w:after="0"/>
              <w:rPr>
                <w:sz w:val="20"/>
                <w:szCs w:val="20"/>
                <w:color w:val="auto"/>
              </w:rPr>
            </w:pPr>
            <w:r>
              <w:rPr>
                <w:rFonts w:ascii="Arial" w:cs="Arial" w:eastAsia="Arial" w:hAnsi="Arial"/>
                <w:sz w:val="14"/>
                <w:szCs w:val="14"/>
                <w:color w:val="auto"/>
              </w:rPr>
              <w:t>570</w:t>
            </w: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60" w:type="dxa"/>
            <w:vAlign w:val="bottom"/>
            <w:gridSpan w:val="2"/>
            <w:vMerge w:val="restart"/>
          </w:tcPr>
          <w:p>
            <w:pPr>
              <w:jc w:val="right"/>
              <w:ind w:right="24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16"/>
                <w:szCs w:val="16"/>
                <w:color w:val="auto"/>
              </w:rPr>
            </w:pPr>
          </w:p>
        </w:tc>
        <w:tc>
          <w:tcPr>
            <w:tcW w:w="1420" w:type="dxa"/>
            <w:vAlign w:val="bottom"/>
            <w:gridSpan w:val="2"/>
            <w:vMerge w:val="restart"/>
          </w:tcPr>
          <w:p>
            <w:pPr>
              <w:jc w:val="right"/>
              <w:ind w:right="220"/>
              <w:spacing w:after="0"/>
              <w:rPr>
                <w:sz w:val="20"/>
                <w:szCs w:val="20"/>
                <w:color w:val="auto"/>
              </w:rPr>
            </w:pPr>
            <w:r>
              <w:rPr>
                <w:rFonts w:ascii="Arial" w:cs="Arial" w:eastAsia="Arial" w:hAnsi="Arial"/>
                <w:sz w:val="14"/>
                <w:szCs w:val="14"/>
                <w:color w:val="auto"/>
              </w:rPr>
              <w:t>—</w:t>
            </w:r>
          </w:p>
        </w:tc>
        <w:tc>
          <w:tcPr>
            <w:tcW w:w="160" w:type="dxa"/>
            <w:vAlign w:val="bottom"/>
          </w:tcPr>
          <w:p>
            <w:pPr>
              <w:spacing w:after="0"/>
              <w:rPr>
                <w:sz w:val="16"/>
                <w:szCs w:val="16"/>
                <w:color w:val="auto"/>
              </w:rPr>
            </w:pPr>
          </w:p>
        </w:tc>
        <w:tc>
          <w:tcPr>
            <w:tcW w:w="1080" w:type="dxa"/>
            <w:vAlign w:val="bottom"/>
            <w:vMerge w:val="restart"/>
          </w:tcPr>
          <w:p>
            <w:pPr>
              <w:jc w:val="right"/>
              <w:ind w:right="28"/>
              <w:spacing w:after="0"/>
              <w:rPr>
                <w:sz w:val="20"/>
                <w:szCs w:val="20"/>
                <w:color w:val="auto"/>
              </w:rPr>
            </w:pPr>
            <w:r>
              <w:rPr>
                <w:rFonts w:ascii="Arial" w:cs="Arial" w:eastAsia="Arial" w:hAnsi="Arial"/>
                <w:sz w:val="14"/>
                <w:szCs w:val="14"/>
                <w:color w:val="auto"/>
              </w:rPr>
              <w:t>570</w:t>
            </w:r>
          </w:p>
        </w:tc>
        <w:tc>
          <w:tcPr>
            <w:tcW w:w="120" w:type="dxa"/>
            <w:vAlign w:val="bottom"/>
          </w:tcPr>
          <w:p>
            <w:pPr>
              <w:spacing w:after="0"/>
              <w:rPr>
                <w:sz w:val="16"/>
                <w:szCs w:val="16"/>
                <w:color w:val="auto"/>
              </w:rPr>
            </w:pPr>
          </w:p>
        </w:tc>
        <w:tc>
          <w:tcPr>
            <w:tcW w:w="2720" w:type="dxa"/>
            <w:vAlign w:val="bottom"/>
            <w:vMerge w:val="restart"/>
          </w:tcPr>
          <w:p>
            <w:pPr>
              <w:ind w:left="20"/>
              <w:spacing w:after="0"/>
              <w:rPr>
                <w:sz w:val="20"/>
                <w:szCs w:val="20"/>
                <w:color w:val="auto"/>
              </w:rPr>
            </w:pPr>
            <w:r>
              <w:rPr>
                <w:rFonts w:ascii="Arial" w:cs="Arial" w:eastAsia="Arial" w:hAnsi="Arial"/>
                <w:sz w:val="14"/>
                <w:szCs w:val="14"/>
                <w:color w:val="auto"/>
              </w:rPr>
              <w:t>Other assets</w:t>
            </w:r>
          </w:p>
        </w:tc>
        <w:tc>
          <w:tcPr>
            <w:tcW w:w="0" w:type="dxa"/>
            <w:vAlign w:val="bottom"/>
          </w:tcPr>
          <w:p>
            <w:pPr>
              <w:spacing w:after="0"/>
              <w:rPr>
                <w:sz w:val="1"/>
                <w:szCs w:val="1"/>
                <w:color w:val="auto"/>
              </w:rPr>
            </w:pPr>
          </w:p>
        </w:tc>
      </w:tr>
      <w:tr>
        <w:trPr>
          <w:trHeight w:val="74"/>
        </w:trPr>
        <w:tc>
          <w:tcPr>
            <w:tcW w:w="29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82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460" w:type="dxa"/>
            <w:vAlign w:val="bottom"/>
            <w:gridSpan w:val="2"/>
            <w:vMerge w:val="continue"/>
          </w:tcPr>
          <w:p>
            <w:pPr>
              <w:spacing w:after="0"/>
              <w:rPr>
                <w:sz w:val="6"/>
                <w:szCs w:val="6"/>
                <w:color w:val="auto"/>
              </w:rPr>
            </w:pPr>
          </w:p>
        </w:tc>
        <w:tc>
          <w:tcPr>
            <w:tcW w:w="140" w:type="dxa"/>
            <w:vAlign w:val="bottom"/>
          </w:tcPr>
          <w:p>
            <w:pPr>
              <w:spacing w:after="0"/>
              <w:rPr>
                <w:sz w:val="6"/>
                <w:szCs w:val="6"/>
                <w:color w:val="auto"/>
              </w:rPr>
            </w:pPr>
          </w:p>
        </w:tc>
        <w:tc>
          <w:tcPr>
            <w:tcW w:w="1420" w:type="dxa"/>
            <w:vAlign w:val="bottom"/>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vMerge w:val="continue"/>
          </w:tcPr>
          <w:p>
            <w:pPr>
              <w:spacing w:after="0"/>
              <w:rPr>
                <w:sz w:val="6"/>
                <w:szCs w:val="6"/>
                <w:color w:val="auto"/>
              </w:rPr>
            </w:pPr>
          </w:p>
        </w:tc>
        <w:tc>
          <w:tcPr>
            <w:tcW w:w="120" w:type="dxa"/>
            <w:vAlign w:val="bottom"/>
          </w:tcPr>
          <w:p>
            <w:pPr>
              <w:spacing w:after="0"/>
              <w:rPr>
                <w:sz w:val="6"/>
                <w:szCs w:val="6"/>
                <w:color w:val="auto"/>
              </w:rPr>
            </w:pPr>
          </w:p>
        </w:tc>
        <w:tc>
          <w:tcPr>
            <w:tcW w:w="27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7"/>
        </w:trPr>
        <w:tc>
          <w:tcPr>
            <w:tcW w:w="3100" w:type="dxa"/>
            <w:vAlign w:val="bottom"/>
            <w:gridSpan w:val="2"/>
            <w:shd w:val="clear" w:color="auto" w:fill="CCEEFF"/>
          </w:tcPr>
          <w:p>
            <w:pPr>
              <w:ind w:left="40"/>
              <w:spacing w:after="0"/>
              <w:rPr>
                <w:sz w:val="20"/>
                <w:szCs w:val="20"/>
                <w:color w:val="auto"/>
              </w:rPr>
            </w:pPr>
            <w:r>
              <w:rPr>
                <w:rFonts w:ascii="Arial" w:cs="Arial" w:eastAsia="Arial" w:hAnsi="Arial"/>
                <w:sz w:val="14"/>
                <w:szCs w:val="14"/>
                <w:color w:val="auto"/>
              </w:rPr>
              <w:t>Contingent consideration</w:t>
            </w:r>
          </w:p>
        </w:tc>
        <w:tc>
          <w:tcPr>
            <w:tcW w:w="120" w:type="dxa"/>
            <w:vAlign w:val="bottom"/>
            <w:shd w:val="clear" w:color="auto" w:fill="CCEEFF"/>
          </w:tcPr>
          <w:p>
            <w:pPr>
              <w:spacing w:after="0"/>
              <w:rPr>
                <w:sz w:val="17"/>
                <w:szCs w:val="17"/>
                <w:color w:val="auto"/>
              </w:rPr>
            </w:pPr>
          </w:p>
        </w:tc>
        <w:tc>
          <w:tcPr>
            <w:tcW w:w="820" w:type="dxa"/>
            <w:vAlign w:val="bottom"/>
            <w:vMerge w:val="restart"/>
            <w:shd w:val="clear" w:color="auto" w:fill="CCEEFF"/>
          </w:tcPr>
          <w:p>
            <w:pPr>
              <w:jc w:val="right"/>
              <w:ind w:right="8"/>
              <w:spacing w:after="0"/>
              <w:rPr>
                <w:sz w:val="20"/>
                <w:szCs w:val="20"/>
                <w:color w:val="auto"/>
              </w:rPr>
            </w:pPr>
            <w:r>
              <w:rPr>
                <w:rFonts w:ascii="Arial" w:cs="Arial" w:eastAsia="Arial" w:hAnsi="Arial"/>
                <w:sz w:val="14"/>
                <w:szCs w:val="14"/>
                <w:color w:val="auto"/>
              </w:rPr>
              <w:t>(6,465)</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34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vMerge w:val="restart"/>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20" w:type="dxa"/>
            <w:vAlign w:val="bottom"/>
            <w:vMerge w:val="restart"/>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vMerge w:val="restart"/>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8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(6,465)</w:t>
            </w:r>
          </w:p>
        </w:tc>
        <w:tc>
          <w:tcPr>
            <w:tcW w:w="120" w:type="dxa"/>
            <w:vAlign w:val="bottom"/>
            <w:shd w:val="clear" w:color="auto" w:fill="CCEEFF"/>
          </w:tcPr>
          <w:p>
            <w:pPr>
              <w:spacing w:after="0"/>
              <w:rPr>
                <w:sz w:val="17"/>
                <w:szCs w:val="17"/>
                <w:color w:val="auto"/>
              </w:rPr>
            </w:pPr>
          </w:p>
        </w:tc>
        <w:tc>
          <w:tcPr>
            <w:tcW w:w="2720" w:type="dxa"/>
            <w:vAlign w:val="bottom"/>
            <w:vMerge w:val="restart"/>
            <w:shd w:val="clear" w:color="auto" w:fill="CCEEFF"/>
          </w:tcPr>
          <w:p>
            <w:pPr>
              <w:ind w:left="20"/>
              <w:spacing w:after="0"/>
              <w:rPr>
                <w:sz w:val="20"/>
                <w:szCs w:val="20"/>
                <w:color w:val="auto"/>
              </w:rPr>
            </w:pPr>
            <w:r>
              <w:rPr>
                <w:rFonts w:ascii="Arial" w:cs="Arial" w:eastAsia="Arial" w:hAnsi="Arial"/>
                <w:sz w:val="14"/>
                <w:szCs w:val="14"/>
                <w:color w:val="auto"/>
              </w:rPr>
              <w:t>Other long-term liabilities</w:t>
            </w:r>
          </w:p>
        </w:tc>
        <w:tc>
          <w:tcPr>
            <w:tcW w:w="0" w:type="dxa"/>
            <w:vAlign w:val="bottom"/>
          </w:tcPr>
          <w:p>
            <w:pPr>
              <w:spacing w:after="0"/>
              <w:rPr>
                <w:sz w:val="1"/>
                <w:szCs w:val="1"/>
                <w:color w:val="auto"/>
              </w:rPr>
            </w:pPr>
          </w:p>
        </w:tc>
      </w:tr>
      <w:tr>
        <w:trPr>
          <w:trHeight w:val="74"/>
        </w:trPr>
        <w:tc>
          <w:tcPr>
            <w:tcW w:w="2980" w:type="dxa"/>
            <w:vAlign w:val="bottom"/>
            <w:tcBorders>
              <w:bottom w:val="single" w:sz="8" w:color="auto"/>
            </w:tcBorders>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20" w:type="dxa"/>
            <w:vAlign w:val="bottom"/>
            <w:tcBorders>
              <w:bottom w:val="single" w:sz="8" w:color="auto"/>
            </w:tcBorders>
            <w:shd w:val="clear" w:color="auto" w:fill="CCEEFF"/>
          </w:tcPr>
          <w:p>
            <w:pPr>
              <w:spacing w:after="0"/>
              <w:rPr>
                <w:sz w:val="6"/>
                <w:szCs w:val="6"/>
                <w:color w:val="auto"/>
              </w:rPr>
            </w:pPr>
          </w:p>
        </w:tc>
        <w:tc>
          <w:tcPr>
            <w:tcW w:w="82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160" w:type="dxa"/>
            <w:vAlign w:val="bottom"/>
            <w:tcBorders>
              <w:bottom w:val="single" w:sz="8" w:color="auto"/>
            </w:tcBorders>
            <w:shd w:val="clear" w:color="auto" w:fill="CCEEFF"/>
          </w:tcPr>
          <w:p>
            <w:pPr>
              <w:spacing w:after="0"/>
              <w:rPr>
                <w:sz w:val="6"/>
                <w:szCs w:val="6"/>
                <w:color w:val="auto"/>
              </w:rPr>
            </w:pPr>
          </w:p>
        </w:tc>
        <w:tc>
          <w:tcPr>
            <w:tcW w:w="134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vMerge w:val="continue"/>
            <w:shd w:val="clear" w:color="auto" w:fill="CCEEFF"/>
          </w:tcPr>
          <w:p>
            <w:pPr>
              <w:spacing w:after="0"/>
              <w:rPr>
                <w:sz w:val="6"/>
                <w:szCs w:val="6"/>
                <w:color w:val="auto"/>
              </w:rPr>
            </w:pPr>
          </w:p>
        </w:tc>
        <w:tc>
          <w:tcPr>
            <w:tcW w:w="140" w:type="dxa"/>
            <w:vAlign w:val="bottom"/>
            <w:tcBorders>
              <w:bottom w:val="single" w:sz="8" w:color="auto"/>
            </w:tcBorders>
            <w:shd w:val="clear" w:color="auto" w:fill="CCEEFF"/>
          </w:tcPr>
          <w:p>
            <w:pPr>
              <w:spacing w:after="0"/>
              <w:rPr>
                <w:sz w:val="6"/>
                <w:szCs w:val="6"/>
                <w:color w:val="auto"/>
              </w:rPr>
            </w:pPr>
          </w:p>
        </w:tc>
        <w:tc>
          <w:tcPr>
            <w:tcW w:w="1320" w:type="dxa"/>
            <w:vAlign w:val="bottom"/>
            <w:tcBorders>
              <w:bottom w:val="single" w:sz="8" w:color="auto"/>
            </w:tcBorders>
            <w:vMerge w:val="continue"/>
            <w:shd w:val="clear" w:color="auto" w:fill="CCEEFF"/>
          </w:tcPr>
          <w:p>
            <w:pPr>
              <w:spacing w:after="0"/>
              <w:rPr>
                <w:sz w:val="6"/>
                <w:szCs w:val="6"/>
                <w:color w:val="auto"/>
              </w:rPr>
            </w:pPr>
          </w:p>
        </w:tc>
        <w:tc>
          <w:tcPr>
            <w:tcW w:w="100" w:type="dxa"/>
            <w:vAlign w:val="bottom"/>
            <w:vMerge w:val="continue"/>
            <w:shd w:val="clear" w:color="auto" w:fill="CCEEFF"/>
          </w:tcPr>
          <w:p>
            <w:pPr>
              <w:spacing w:after="0"/>
              <w:rPr>
                <w:sz w:val="6"/>
                <w:szCs w:val="6"/>
                <w:color w:val="auto"/>
              </w:rPr>
            </w:pPr>
          </w:p>
        </w:tc>
        <w:tc>
          <w:tcPr>
            <w:tcW w:w="160" w:type="dxa"/>
            <w:vAlign w:val="bottom"/>
            <w:tcBorders>
              <w:bottom w:val="single" w:sz="8" w:color="auto"/>
            </w:tcBorders>
            <w:shd w:val="clear" w:color="auto" w:fill="CCEEFF"/>
          </w:tcPr>
          <w:p>
            <w:pPr>
              <w:spacing w:after="0"/>
              <w:rPr>
                <w:sz w:val="6"/>
                <w:szCs w:val="6"/>
                <w:color w:val="auto"/>
              </w:rPr>
            </w:pPr>
          </w:p>
        </w:tc>
        <w:tc>
          <w:tcPr>
            <w:tcW w:w="1080" w:type="dxa"/>
            <w:vAlign w:val="bottom"/>
            <w:tcBorders>
              <w:bottom w:val="single" w:sz="8" w:color="auto"/>
            </w:tcBorders>
            <w:vMerge w:val="continue"/>
            <w:shd w:val="clear" w:color="auto" w:fill="CCEEFF"/>
          </w:tcPr>
          <w:p>
            <w:pPr>
              <w:spacing w:after="0"/>
              <w:rPr>
                <w:sz w:val="6"/>
                <w:szCs w:val="6"/>
                <w:color w:val="auto"/>
              </w:rPr>
            </w:pPr>
          </w:p>
        </w:tc>
        <w:tc>
          <w:tcPr>
            <w:tcW w:w="120" w:type="dxa"/>
            <w:vAlign w:val="bottom"/>
            <w:shd w:val="clear" w:color="auto" w:fill="CCEEFF"/>
          </w:tcPr>
          <w:p>
            <w:pPr>
              <w:spacing w:after="0"/>
              <w:rPr>
                <w:sz w:val="6"/>
                <w:szCs w:val="6"/>
                <w:color w:val="auto"/>
              </w:rPr>
            </w:pPr>
          </w:p>
        </w:tc>
        <w:tc>
          <w:tcPr>
            <w:tcW w:w="2720" w:type="dxa"/>
            <w:vAlign w:val="bottom"/>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37"/>
        </w:trPr>
        <w:tc>
          <w:tcPr>
            <w:tcW w:w="3100" w:type="dxa"/>
            <w:vAlign w:val="bottom"/>
            <w:gridSpan w:val="2"/>
          </w:tcPr>
          <w:p>
            <w:pPr>
              <w:ind w:left="40"/>
              <w:spacing w:after="0"/>
              <w:rPr>
                <w:sz w:val="20"/>
                <w:szCs w:val="20"/>
                <w:color w:val="auto"/>
              </w:rPr>
            </w:pPr>
            <w:r>
              <w:rPr>
                <w:rFonts w:ascii="Arial" w:cs="Arial" w:eastAsia="Arial" w:hAnsi="Arial"/>
                <w:sz w:val="14"/>
                <w:szCs w:val="14"/>
                <w:color w:val="auto"/>
              </w:rPr>
              <w:t>Total recurring fair value measurements, net</w:t>
            </w:r>
          </w:p>
        </w:tc>
        <w:tc>
          <w:tcPr>
            <w:tcW w:w="120" w:type="dxa"/>
            <w:vAlign w:val="bottom"/>
          </w:tcPr>
          <w:p>
            <w:pPr>
              <w:jc w:val="right"/>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48"/>
              <w:spacing w:after="0"/>
              <w:rPr>
                <w:sz w:val="20"/>
                <w:szCs w:val="20"/>
                <w:color w:val="auto"/>
              </w:rPr>
            </w:pPr>
            <w:r>
              <w:rPr>
                <w:rFonts w:ascii="Arial" w:cs="Arial" w:eastAsia="Arial" w:hAnsi="Arial"/>
                <w:sz w:val="14"/>
                <w:szCs w:val="14"/>
                <w:color w:val="auto"/>
              </w:rPr>
              <w:t>1,173,946</w:t>
            </w:r>
          </w:p>
        </w:tc>
        <w:tc>
          <w:tcPr>
            <w:tcW w:w="12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340" w:type="dxa"/>
            <w:vAlign w:val="bottom"/>
          </w:tcPr>
          <w:p>
            <w:pPr>
              <w:jc w:val="right"/>
              <w:ind w:right="48"/>
              <w:spacing w:after="0"/>
              <w:rPr>
                <w:sz w:val="20"/>
                <w:szCs w:val="20"/>
                <w:color w:val="auto"/>
              </w:rPr>
            </w:pPr>
            <w:r>
              <w:rPr>
                <w:rFonts w:ascii="Arial" w:cs="Arial" w:eastAsia="Arial" w:hAnsi="Arial"/>
                <w:sz w:val="14"/>
                <w:szCs w:val="14"/>
                <w:color w:val="auto"/>
              </w:rPr>
              <w:t>868,736</w:t>
            </w:r>
          </w:p>
        </w:tc>
        <w:tc>
          <w:tcPr>
            <w:tcW w:w="120" w:type="dxa"/>
            <w:vAlign w:val="bottom"/>
          </w:tcPr>
          <w:p>
            <w:pPr>
              <w:spacing w:after="0"/>
              <w:rPr>
                <w:sz w:val="20"/>
                <w:szCs w:val="20"/>
                <w:color w:val="auto"/>
              </w:rPr>
            </w:pPr>
          </w:p>
        </w:tc>
        <w:tc>
          <w:tcPr>
            <w:tcW w:w="140" w:type="dxa"/>
            <w:vAlign w:val="bottom"/>
          </w:tcPr>
          <w:p>
            <w:pPr>
              <w:jc w:val="right"/>
              <w:spacing w:after="0"/>
              <w:rPr>
                <w:sz w:val="20"/>
                <w:szCs w:val="20"/>
                <w:color w:val="auto"/>
              </w:rPr>
            </w:pPr>
            <w:r>
              <w:rPr>
                <w:rFonts w:ascii="Arial" w:cs="Arial" w:eastAsia="Arial" w:hAnsi="Arial"/>
                <w:sz w:val="14"/>
                <w:szCs w:val="14"/>
                <w:color w:val="auto"/>
              </w:rPr>
              <w:t>$</w:t>
            </w:r>
          </w:p>
        </w:tc>
        <w:tc>
          <w:tcPr>
            <w:tcW w:w="1320" w:type="dxa"/>
            <w:vAlign w:val="bottom"/>
          </w:tcPr>
          <w:p>
            <w:pPr>
              <w:jc w:val="right"/>
              <w:ind w:right="48"/>
              <w:spacing w:after="0"/>
              <w:rPr>
                <w:sz w:val="20"/>
                <w:szCs w:val="20"/>
                <w:color w:val="auto"/>
              </w:rPr>
            </w:pPr>
            <w:r>
              <w:rPr>
                <w:rFonts w:ascii="Arial" w:cs="Arial" w:eastAsia="Arial" w:hAnsi="Arial"/>
                <w:sz w:val="14"/>
                <w:szCs w:val="14"/>
                <w:color w:val="auto"/>
              </w:rPr>
              <w:t>311,105</w:t>
            </w:r>
          </w:p>
        </w:tc>
        <w:tc>
          <w:tcPr>
            <w:tcW w:w="100" w:type="dxa"/>
            <w:vAlign w:val="bottom"/>
          </w:tcPr>
          <w:p>
            <w:pPr>
              <w:spacing w:after="0"/>
              <w:rPr>
                <w:sz w:val="20"/>
                <w:szCs w:val="20"/>
                <w:color w:val="auto"/>
              </w:rPr>
            </w:pPr>
          </w:p>
        </w:tc>
        <w:tc>
          <w:tcPr>
            <w:tcW w:w="160" w:type="dxa"/>
            <w:vAlign w:val="bottom"/>
          </w:tcPr>
          <w:p>
            <w:pPr>
              <w:jc w:val="right"/>
              <w:spacing w:after="0"/>
              <w:rPr>
                <w:sz w:val="20"/>
                <w:szCs w:val="20"/>
                <w:color w:val="auto"/>
              </w:rPr>
            </w:pPr>
            <w:r>
              <w:rPr>
                <w:rFonts w:ascii="Arial" w:cs="Arial" w:eastAsia="Arial" w:hAnsi="Arial"/>
                <w:sz w:val="14"/>
                <w:szCs w:val="14"/>
                <w:color w:val="auto"/>
              </w:rPr>
              <w:t>$</w:t>
            </w:r>
          </w:p>
        </w:tc>
        <w:tc>
          <w:tcPr>
            <w:tcW w:w="1080" w:type="dxa"/>
            <w:vAlign w:val="bottom"/>
          </w:tcPr>
          <w:p>
            <w:pPr>
              <w:jc w:val="right"/>
              <w:spacing w:after="0"/>
              <w:rPr>
                <w:sz w:val="20"/>
                <w:szCs w:val="20"/>
                <w:color w:val="auto"/>
              </w:rPr>
            </w:pPr>
            <w:r>
              <w:rPr>
                <w:rFonts w:ascii="Arial" w:cs="Arial" w:eastAsia="Arial" w:hAnsi="Arial"/>
                <w:sz w:val="14"/>
                <w:szCs w:val="14"/>
                <w:color w:val="auto"/>
              </w:rPr>
              <w:t>(5,895)</w:t>
            </w:r>
          </w:p>
        </w:tc>
        <w:tc>
          <w:tcPr>
            <w:tcW w:w="120" w:type="dxa"/>
            <w:vAlign w:val="bottom"/>
          </w:tcPr>
          <w:p>
            <w:pPr>
              <w:spacing w:after="0"/>
              <w:rPr>
                <w:sz w:val="20"/>
                <w:szCs w:val="20"/>
                <w:color w:val="auto"/>
              </w:rPr>
            </w:pPr>
          </w:p>
        </w:tc>
        <w:tc>
          <w:tcPr>
            <w:tcW w:w="27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7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connection with the Social Point acquisition (see Note 23), we recorded $6,409 as the initial fair value of earn-out contingent consideration. The fair value was estimated using a Monte-Carlo simulation model, which included significant unobservable Level 3 inputs, such as projected financial performance over the earn-out period along with estimates for market volatility and the discount rate applicable to potential cash payouts.</w:t>
      </w:r>
    </w:p>
    <w:p>
      <w:pPr>
        <w:spacing w:after="0" w:line="22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the fiscal year ended March 31, 2018, we recognized a reduction to general and administrative expense of $6,465, after the impact of foreign exchange, for the decrease in fair value of the contingent consideration liability associated with the Social Point acquisition, which reduced the fair value of the contingent consideration liability to $0. The reduction resulted from the lower probability of Social Point achieving certain performance measures in the 24-month period following the acquisition.</w:t>
      </w:r>
    </w:p>
    <w:p>
      <w:pPr>
        <w:spacing w:after="0" w:line="24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did not have any transfers between Level 1 and Level 2 fair value measurements nor did we have any transfers into or out of Level 3 during the fiscal year ended March 31, 2018.</w:t>
      </w:r>
    </w:p>
    <w:p>
      <w:pPr>
        <w:spacing w:after="0" w:line="2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Debt</w:t>
      </w:r>
    </w:p>
    <w:p>
      <w:pPr>
        <w:spacing w:after="0" w:line="283" w:lineRule="exact"/>
        <w:rPr>
          <w:sz w:val="20"/>
          <w:szCs w:val="20"/>
          <w:color w:val="auto"/>
        </w:rPr>
      </w:pPr>
    </w:p>
    <w:p>
      <w:pPr>
        <w:jc w:val="both"/>
        <w:ind w:right="20"/>
        <w:spacing w:after="0" w:line="264" w:lineRule="auto"/>
        <w:rPr>
          <w:sz w:val="20"/>
          <w:szCs w:val="20"/>
          <w:color w:val="auto"/>
        </w:rPr>
      </w:pPr>
      <w:r>
        <w:rPr>
          <w:rFonts w:ascii="Arial" w:cs="Arial" w:eastAsia="Arial" w:hAnsi="Arial"/>
          <w:sz w:val="18"/>
          <w:szCs w:val="18"/>
          <w:color w:val="auto"/>
        </w:rPr>
        <w:t>As of March 31, 2018, the estimated fair value of our 1.00% Convertible Notes due 2018 (the "1.00% Convertible Notes") was $36,799. The fair value was determined using Level 2 inputs, observable market data for the 1.00% Convertible Notes and its embedded option feature. See Note 11 for additional information regarding our Convertible Notes.</w:t>
      </w:r>
    </w:p>
    <w:p>
      <w:pPr>
        <w:sectPr>
          <w:pgSz w:w="11900" w:h="16838" w:orient="portrait"/>
          <w:cols w:equalWidth="0" w:num="1">
            <w:col w:w="11420"/>
          </w:cols>
          <w:pgMar w:left="240" w:top="726" w:right="239" w:bottom="1440" w:gutter="0" w:footer="0" w:header="0"/>
        </w:sect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69</w:t>
      </w:r>
    </w:p>
    <w:p>
      <w:pPr>
        <w:sectPr>
          <w:pgSz w:w="11900" w:h="16838" w:orient="portrait"/>
          <w:cols w:equalWidth="0" w:num="1">
            <w:col w:w="11420"/>
          </w:cols>
          <w:pgMar w:left="240" w:top="726" w:right="239" w:bottom="1440" w:gutter="0" w:footer="0" w:header="0"/>
          <w:type w:val="continuous"/>
        </w:sectPr>
      </w:pPr>
    </w:p>
    <w:bookmarkStart w:id="71" w:name="page72"/>
    <w:bookmarkEnd w:id="71"/>
    <w:p>
      <w:pPr>
        <w:ind w:left="360" w:hanging="352"/>
        <w:spacing w:after="0"/>
        <w:tabs>
          <w:tab w:leader="none" w:pos="360" w:val="left"/>
        </w:tabs>
        <w:numPr>
          <w:ilvl w:val="0"/>
          <w:numId w:val="25"/>
        </w:numPr>
        <w:rPr>
          <w:rFonts w:ascii="Arial" w:cs="Arial" w:eastAsia="Arial" w:hAnsi="Arial"/>
          <w:sz w:val="18"/>
          <w:szCs w:val="18"/>
          <w:b w:val="1"/>
          <w:bCs w:val="1"/>
          <w:color w:val="auto"/>
        </w:rPr>
      </w:pPr>
      <w:r>
        <w:rPr>
          <w:rFonts w:ascii="Arial" w:cs="Arial" w:eastAsia="Arial" w:hAnsi="Arial"/>
          <w:sz w:val="18"/>
          <w:szCs w:val="18"/>
          <w:b w:val="1"/>
          <w:bCs w:val="1"/>
          <w:color w:val="auto"/>
        </w:rPr>
        <w:t>SHORT-TERM INVESTMENTS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Our short-term investments consisted of the following as of March 31, 2018:</w:t>
      </w:r>
    </w:p>
    <w:p>
      <w:pPr>
        <w:spacing w:after="0" w:line="200" w:lineRule="exact"/>
        <w:rPr>
          <w:sz w:val="20"/>
          <w:szCs w:val="20"/>
          <w:color w:val="auto"/>
        </w:rPr>
      </w:pP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20" w:type="dxa"/>
            <w:vAlign w:val="bottom"/>
            <w:tcBorders>
              <w:bottom w:val="single" w:sz="8" w:color="auto"/>
            </w:tcBorders>
            <w:gridSpan w:val="5"/>
          </w:tcPr>
          <w:p>
            <w:pPr>
              <w:jc w:val="center"/>
              <w:ind w:right="300"/>
              <w:spacing w:after="0"/>
              <w:rPr>
                <w:sz w:val="20"/>
                <w:szCs w:val="20"/>
                <w:color w:val="auto"/>
              </w:rPr>
            </w:pPr>
            <w:r>
              <w:rPr>
                <w:rFonts w:ascii="Arial" w:cs="Arial" w:eastAsia="Arial" w:hAnsi="Arial"/>
                <w:sz w:val="14"/>
                <w:szCs w:val="14"/>
                <w:b w:val="1"/>
                <w:bCs w:val="1"/>
                <w:color w:val="auto"/>
                <w:w w:val="96"/>
              </w:rPr>
              <w:t>March 31, 2018</w:t>
            </w: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6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89"/>
              </w:rPr>
              <w:t>Cost or</w:t>
            </w:r>
          </w:p>
        </w:tc>
        <w:tc>
          <w:tcPr>
            <w:tcW w:w="200" w:type="dxa"/>
            <w:vAlign w:val="bottom"/>
            <w:tcBorders>
              <w:bottom w:val="single" w:sz="8" w:color="auto"/>
            </w:tcBorders>
          </w:tcPr>
          <w:p>
            <w:pPr>
              <w:spacing w:after="0"/>
              <w:rPr>
                <w:sz w:val="22"/>
                <w:szCs w:val="22"/>
                <w:color w:val="auto"/>
              </w:rPr>
            </w:pPr>
          </w:p>
        </w:tc>
        <w:tc>
          <w:tcPr>
            <w:tcW w:w="1720" w:type="dxa"/>
            <w:vAlign w:val="bottom"/>
            <w:tcBorders>
              <w:bottom w:val="single" w:sz="8" w:color="auto"/>
            </w:tcBorders>
            <w:gridSpan w:val="4"/>
          </w:tcPr>
          <w:p>
            <w:pPr>
              <w:jc w:val="center"/>
              <w:ind w:right="93"/>
              <w:spacing w:after="0"/>
              <w:rPr>
                <w:sz w:val="20"/>
                <w:szCs w:val="20"/>
                <w:color w:val="auto"/>
              </w:rPr>
            </w:pPr>
            <w:r>
              <w:rPr>
                <w:rFonts w:ascii="Arial" w:cs="Arial" w:eastAsia="Arial" w:hAnsi="Arial"/>
                <w:sz w:val="14"/>
                <w:szCs w:val="14"/>
                <w:b w:val="1"/>
                <w:bCs w:val="1"/>
                <w:color w:val="auto"/>
                <w:w w:val="92"/>
              </w:rPr>
              <w:t>Gross Unrealized</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1"/>
        </w:trPr>
        <w:tc>
          <w:tcPr>
            <w:tcW w:w="618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2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700" w:type="dxa"/>
            <w:vAlign w:val="bottom"/>
            <w:vMerge w:val="restart"/>
          </w:tcPr>
          <w:p>
            <w:pPr>
              <w:jc w:val="right"/>
              <w:ind w:right="176"/>
              <w:spacing w:after="0"/>
              <w:rPr>
                <w:sz w:val="20"/>
                <w:szCs w:val="20"/>
                <w:color w:val="auto"/>
              </w:rPr>
            </w:pPr>
            <w:r>
              <w:rPr>
                <w:rFonts w:ascii="Arial" w:cs="Arial" w:eastAsia="Arial" w:hAnsi="Arial"/>
                <w:sz w:val="14"/>
                <w:szCs w:val="14"/>
                <w:b w:val="1"/>
                <w:bCs w:val="1"/>
                <w:color w:val="auto"/>
              </w:rPr>
              <w:t>Gains</w:t>
            </w:r>
          </w:p>
        </w:tc>
        <w:tc>
          <w:tcPr>
            <w:tcW w:w="120" w:type="dxa"/>
            <w:vAlign w:val="bottom"/>
            <w:vMerge w:val="restart"/>
          </w:tcPr>
          <w:p>
            <w:pPr>
              <w:spacing w:after="0"/>
              <w:rPr>
                <w:sz w:val="6"/>
                <w:szCs w:val="6"/>
                <w:color w:val="auto"/>
              </w:rPr>
            </w:pPr>
          </w:p>
        </w:tc>
        <w:tc>
          <w:tcPr>
            <w:tcW w:w="180" w:type="dxa"/>
            <w:vAlign w:val="bottom"/>
          </w:tcPr>
          <w:p>
            <w:pPr>
              <w:spacing w:after="0"/>
              <w:rPr>
                <w:sz w:val="6"/>
                <w:szCs w:val="6"/>
                <w:color w:val="auto"/>
              </w:rPr>
            </w:pPr>
          </w:p>
        </w:tc>
        <w:tc>
          <w:tcPr>
            <w:tcW w:w="720" w:type="dxa"/>
            <w:vAlign w:val="bottom"/>
            <w:vMerge w:val="restart"/>
          </w:tcPr>
          <w:p>
            <w:pPr>
              <w:jc w:val="right"/>
              <w:ind w:right="173"/>
              <w:spacing w:after="0"/>
              <w:rPr>
                <w:sz w:val="20"/>
                <w:szCs w:val="20"/>
                <w:color w:val="auto"/>
              </w:rPr>
            </w:pPr>
            <w:r>
              <w:rPr>
                <w:rFonts w:ascii="Arial" w:cs="Arial" w:eastAsia="Arial" w:hAnsi="Arial"/>
                <w:sz w:val="14"/>
                <w:szCs w:val="14"/>
                <w:b w:val="1"/>
                <w:bCs w:val="1"/>
                <w:color w:val="auto"/>
                <w:w w:val="91"/>
              </w:rPr>
              <w:t>Losses</w:t>
            </w:r>
          </w:p>
        </w:tc>
        <w:tc>
          <w:tcPr>
            <w:tcW w:w="100" w:type="dxa"/>
            <w:vAlign w:val="bottom"/>
            <w:vMerge w:val="restart"/>
          </w:tcPr>
          <w:p>
            <w:pPr>
              <w:spacing w:after="0"/>
              <w:rPr>
                <w:sz w:val="6"/>
                <w:szCs w:val="6"/>
                <w:color w:val="auto"/>
              </w:rPr>
            </w:pPr>
          </w:p>
        </w:tc>
        <w:tc>
          <w:tcPr>
            <w:tcW w:w="280" w:type="dxa"/>
            <w:vAlign w:val="bottom"/>
          </w:tcPr>
          <w:p>
            <w:pPr>
              <w:spacing w:after="0"/>
              <w:rPr>
                <w:sz w:val="6"/>
                <w:szCs w:val="6"/>
                <w:color w:val="auto"/>
              </w:rPr>
            </w:pPr>
          </w:p>
        </w:tc>
        <w:tc>
          <w:tcPr>
            <w:tcW w:w="1200" w:type="dxa"/>
            <w:vAlign w:val="bottom"/>
            <w:vMerge w:val="restart"/>
          </w:tcPr>
          <w:p>
            <w:pPr>
              <w:jc w:val="right"/>
              <w:ind w:right="333"/>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61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92"/>
              </w:rPr>
              <w:t>Amortized Cost</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63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Short-term investments</w:t>
            </w: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300" w:type="dxa"/>
            <w:vAlign w:val="bottom"/>
            <w:gridSpan w:val="2"/>
          </w:tcPr>
          <w:p>
            <w:pPr>
              <w:ind w:left="180"/>
              <w:spacing w:after="0"/>
              <w:rPr>
                <w:sz w:val="20"/>
                <w:szCs w:val="20"/>
                <w:color w:val="auto"/>
              </w:rPr>
            </w:pPr>
            <w:r>
              <w:rPr>
                <w:rFonts w:ascii="Arial" w:cs="Arial" w:eastAsia="Arial" w:hAnsi="Arial"/>
                <w:sz w:val="18"/>
                <w:szCs w:val="18"/>
                <w:color w:val="auto"/>
              </w:rPr>
              <w:t>Bank time deposits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216,663</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216,663</w:t>
            </w: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Available-for-sale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300" w:type="dxa"/>
            <w:vAlign w:val="bottom"/>
            <w:gridSpan w:val="2"/>
          </w:tcPr>
          <w:p>
            <w:pPr>
              <w:ind w:left="380"/>
              <w:spacing w:after="0"/>
              <w:rPr>
                <w:sz w:val="20"/>
                <w:szCs w:val="20"/>
                <w:color w:val="auto"/>
              </w:rPr>
            </w:pPr>
            <w:r>
              <w:rPr>
                <w:rFonts w:ascii="Arial" w:cs="Arial" w:eastAsia="Arial" w:hAnsi="Arial"/>
                <w:sz w:val="18"/>
                <w:szCs w:val="18"/>
                <w:color w:val="auto"/>
              </w:rPr>
              <w:t>Corporate bonds</w:t>
            </w:r>
          </w:p>
        </w:tc>
        <w:tc>
          <w:tcPr>
            <w:tcW w:w="200" w:type="dxa"/>
            <w:vAlign w:val="bottom"/>
          </w:tcPr>
          <w:p>
            <w:pPr>
              <w:spacing w:after="0"/>
              <w:rPr>
                <w:sz w:val="21"/>
                <w:szCs w:val="21"/>
                <w:color w:val="auto"/>
              </w:rPr>
            </w:pP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310,387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6"/>
              <w:spacing w:after="0"/>
              <w:rPr>
                <w:sz w:val="20"/>
                <w:szCs w:val="20"/>
                <w:color w:val="auto"/>
              </w:rPr>
            </w:pPr>
            <w:r>
              <w:rPr>
                <w:rFonts w:ascii="Arial" w:cs="Arial" w:eastAsia="Arial" w:hAnsi="Arial"/>
                <w:sz w:val="18"/>
                <w:szCs w:val="18"/>
                <w:color w:val="auto"/>
              </w:rPr>
              <w:t>16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(1,687)</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308,716</w:t>
            </w: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US Treasuries</w:t>
            </w: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59,970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(245)</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59,725</w:t>
            </w:r>
          </w:p>
        </w:tc>
        <w:tc>
          <w:tcPr>
            <w:tcW w:w="0" w:type="dxa"/>
            <w:vAlign w:val="bottom"/>
          </w:tcPr>
          <w:p>
            <w:pPr>
              <w:spacing w:after="0"/>
              <w:rPr>
                <w:sz w:val="1"/>
                <w:szCs w:val="1"/>
                <w:color w:val="auto"/>
              </w:rPr>
            </w:pPr>
          </w:p>
        </w:tc>
      </w:tr>
      <w:tr>
        <w:trPr>
          <w:trHeight w:val="243"/>
        </w:trPr>
        <w:tc>
          <w:tcPr>
            <w:tcW w:w="6300" w:type="dxa"/>
            <w:vAlign w:val="bottom"/>
            <w:gridSpan w:val="2"/>
          </w:tcPr>
          <w:p>
            <w:pPr>
              <w:ind w:left="380"/>
              <w:spacing w:after="0"/>
              <w:rPr>
                <w:sz w:val="20"/>
                <w:szCs w:val="20"/>
                <w:color w:val="auto"/>
              </w:rPr>
            </w:pPr>
            <w:r>
              <w:rPr>
                <w:rFonts w:ascii="Arial" w:cs="Arial" w:eastAsia="Arial" w:hAnsi="Arial"/>
                <w:sz w:val="18"/>
                <w:szCs w:val="18"/>
                <w:color w:val="auto"/>
              </w:rPr>
              <w:t>Commercial paper</w:t>
            </w:r>
          </w:p>
        </w:tc>
        <w:tc>
          <w:tcPr>
            <w:tcW w:w="200" w:type="dxa"/>
            <w:vAlign w:val="bottom"/>
          </w:tcPr>
          <w:p>
            <w:pPr>
              <w:spacing w:after="0"/>
              <w:rPr>
                <w:sz w:val="21"/>
                <w:szCs w:val="21"/>
                <w:color w:val="auto"/>
              </w:rPr>
            </w:pP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25,422</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21"/>
                <w:szCs w:val="21"/>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25,422</w:t>
            </w:r>
          </w:p>
        </w:tc>
        <w:tc>
          <w:tcPr>
            <w:tcW w:w="0" w:type="dxa"/>
            <w:vAlign w:val="bottom"/>
          </w:tcPr>
          <w:p>
            <w:pPr>
              <w:spacing w:after="0"/>
              <w:rPr>
                <w:sz w:val="1"/>
                <w:szCs w:val="1"/>
                <w:color w:val="auto"/>
              </w:rPr>
            </w:pPr>
          </w:p>
        </w:tc>
      </w:tr>
      <w:tr>
        <w:trPr>
          <w:trHeight w:val="27"/>
        </w:trPr>
        <w:tc>
          <w:tcPr>
            <w:tcW w:w="61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3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Mutual funds</w:t>
            </w:r>
          </w:p>
        </w:tc>
        <w:tc>
          <w:tcPr>
            <w:tcW w:w="2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4,876</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16</w:t>
            </w:r>
          </w:p>
        </w:tc>
        <w:tc>
          <w:tcPr>
            <w:tcW w:w="120" w:type="dxa"/>
            <w:vAlign w:val="bottom"/>
            <w:tcBorders>
              <w:bottom w:val="single" w:sz="8" w:color="CCEEFF"/>
            </w:tcBorders>
            <w:shd w:val="clear" w:color="auto" w:fill="CCEEFF"/>
          </w:tcPr>
          <w:p>
            <w:pPr>
              <w:spacing w:after="0"/>
              <w:rPr>
                <w:sz w:val="23"/>
                <w:szCs w:val="23"/>
                <w:color w:val="auto"/>
              </w:rPr>
            </w:pPr>
          </w:p>
        </w:tc>
        <w:tc>
          <w:tcPr>
            <w:tcW w:w="18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4,880</w:t>
            </w:r>
          </w:p>
        </w:tc>
        <w:tc>
          <w:tcPr>
            <w:tcW w:w="0" w:type="dxa"/>
            <w:vAlign w:val="bottom"/>
          </w:tcPr>
          <w:p>
            <w:pPr>
              <w:spacing w:after="0"/>
              <w:rPr>
                <w:sz w:val="1"/>
                <w:szCs w:val="1"/>
                <w:color w:val="auto"/>
              </w:rPr>
            </w:pPr>
          </w:p>
        </w:tc>
      </w:tr>
      <w:tr>
        <w:trPr>
          <w:trHeight w:val="237"/>
        </w:trPr>
        <w:tc>
          <w:tcPr>
            <w:tcW w:w="618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short-term investments</w:t>
            </w:r>
          </w:p>
        </w:tc>
        <w:tc>
          <w:tcPr>
            <w:tcW w:w="12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jc w:val="right"/>
              <w:ind w:right="35"/>
              <w:spacing w:after="0"/>
              <w:rPr>
                <w:sz w:val="20"/>
                <w:szCs w:val="20"/>
                <w:color w:val="auto"/>
              </w:rPr>
            </w:pPr>
            <w:r>
              <w:rPr>
                <w:rFonts w:ascii="Arial" w:cs="Arial" w:eastAsia="Arial" w:hAnsi="Arial"/>
                <w:sz w:val="18"/>
                <w:szCs w:val="18"/>
                <w:color w:val="auto"/>
              </w:rPr>
              <w:t>617,318</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32</w:t>
            </w:r>
          </w:p>
        </w:tc>
        <w:tc>
          <w:tcPr>
            <w:tcW w:w="12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(1,944)</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615,406</w:t>
            </w:r>
          </w:p>
        </w:tc>
        <w:tc>
          <w:tcPr>
            <w:tcW w:w="0" w:type="dxa"/>
            <w:vAlign w:val="bottom"/>
          </w:tcPr>
          <w:p>
            <w:pPr>
              <w:spacing w:after="0"/>
              <w:rPr>
                <w:sz w:val="1"/>
                <w:szCs w:val="1"/>
                <w:color w:val="auto"/>
              </w:rPr>
            </w:pPr>
          </w:p>
        </w:tc>
      </w:tr>
      <w:tr>
        <w:trPr>
          <w:trHeight w:val="27"/>
        </w:trPr>
        <w:tc>
          <w:tcPr>
            <w:tcW w:w="61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0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0"/>
        </w:trPr>
        <w:tc>
          <w:tcPr>
            <w:tcW w:w="61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gridSpan w:val="5"/>
          </w:tcPr>
          <w:p>
            <w:pPr>
              <w:jc w:val="center"/>
              <w:ind w:right="300"/>
              <w:spacing w:after="0"/>
              <w:rPr>
                <w:sz w:val="20"/>
                <w:szCs w:val="20"/>
                <w:color w:val="auto"/>
              </w:rPr>
            </w:pPr>
            <w:r>
              <w:rPr>
                <w:rFonts w:ascii="Arial" w:cs="Arial" w:eastAsia="Arial" w:hAnsi="Arial"/>
                <w:sz w:val="14"/>
                <w:szCs w:val="14"/>
                <w:b w:val="1"/>
                <w:bCs w:val="1"/>
                <w:color w:val="auto"/>
                <w:w w:val="96"/>
              </w:rPr>
              <w:t>March 31, 2017</w:t>
            </w:r>
          </w:p>
        </w:tc>
        <w:tc>
          <w:tcPr>
            <w:tcW w:w="28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1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89"/>
              </w:rPr>
              <w:t>Cost or</w:t>
            </w:r>
          </w:p>
        </w:tc>
        <w:tc>
          <w:tcPr>
            <w:tcW w:w="200" w:type="dxa"/>
            <w:vAlign w:val="bottom"/>
            <w:tcBorders>
              <w:bottom w:val="single" w:sz="8" w:color="auto"/>
            </w:tcBorders>
          </w:tcPr>
          <w:p>
            <w:pPr>
              <w:spacing w:after="0"/>
              <w:rPr>
                <w:sz w:val="22"/>
                <w:szCs w:val="22"/>
                <w:color w:val="auto"/>
              </w:rPr>
            </w:pPr>
          </w:p>
        </w:tc>
        <w:tc>
          <w:tcPr>
            <w:tcW w:w="1720" w:type="dxa"/>
            <w:vAlign w:val="bottom"/>
            <w:tcBorders>
              <w:bottom w:val="single" w:sz="8" w:color="auto"/>
            </w:tcBorders>
            <w:gridSpan w:val="4"/>
          </w:tcPr>
          <w:p>
            <w:pPr>
              <w:jc w:val="center"/>
              <w:ind w:right="93"/>
              <w:spacing w:after="0"/>
              <w:rPr>
                <w:sz w:val="20"/>
                <w:szCs w:val="20"/>
                <w:color w:val="auto"/>
              </w:rPr>
            </w:pPr>
            <w:r>
              <w:rPr>
                <w:rFonts w:ascii="Arial" w:cs="Arial" w:eastAsia="Arial" w:hAnsi="Arial"/>
                <w:sz w:val="14"/>
                <w:szCs w:val="14"/>
                <w:b w:val="1"/>
                <w:bCs w:val="1"/>
                <w:color w:val="auto"/>
                <w:w w:val="92"/>
              </w:rPr>
              <w:t>Gross Unrealized</w:t>
            </w:r>
          </w:p>
        </w:tc>
        <w:tc>
          <w:tcPr>
            <w:tcW w:w="10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1"/>
        </w:trPr>
        <w:tc>
          <w:tcPr>
            <w:tcW w:w="618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2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700" w:type="dxa"/>
            <w:vAlign w:val="bottom"/>
            <w:vMerge w:val="restart"/>
          </w:tcPr>
          <w:p>
            <w:pPr>
              <w:jc w:val="right"/>
              <w:ind w:right="176"/>
              <w:spacing w:after="0"/>
              <w:rPr>
                <w:sz w:val="20"/>
                <w:szCs w:val="20"/>
                <w:color w:val="auto"/>
              </w:rPr>
            </w:pPr>
            <w:r>
              <w:rPr>
                <w:rFonts w:ascii="Arial" w:cs="Arial" w:eastAsia="Arial" w:hAnsi="Arial"/>
                <w:sz w:val="14"/>
                <w:szCs w:val="14"/>
                <w:b w:val="1"/>
                <w:bCs w:val="1"/>
                <w:color w:val="auto"/>
              </w:rPr>
              <w:t>Gains</w:t>
            </w:r>
          </w:p>
        </w:tc>
        <w:tc>
          <w:tcPr>
            <w:tcW w:w="120" w:type="dxa"/>
            <w:vAlign w:val="bottom"/>
            <w:vMerge w:val="restart"/>
          </w:tcPr>
          <w:p>
            <w:pPr>
              <w:spacing w:after="0"/>
              <w:rPr>
                <w:sz w:val="6"/>
                <w:szCs w:val="6"/>
                <w:color w:val="auto"/>
              </w:rPr>
            </w:pPr>
          </w:p>
        </w:tc>
        <w:tc>
          <w:tcPr>
            <w:tcW w:w="180" w:type="dxa"/>
            <w:vAlign w:val="bottom"/>
          </w:tcPr>
          <w:p>
            <w:pPr>
              <w:spacing w:after="0"/>
              <w:rPr>
                <w:sz w:val="6"/>
                <w:szCs w:val="6"/>
                <w:color w:val="auto"/>
              </w:rPr>
            </w:pPr>
          </w:p>
        </w:tc>
        <w:tc>
          <w:tcPr>
            <w:tcW w:w="720" w:type="dxa"/>
            <w:vAlign w:val="bottom"/>
            <w:vMerge w:val="restart"/>
          </w:tcPr>
          <w:p>
            <w:pPr>
              <w:jc w:val="right"/>
              <w:ind w:right="173"/>
              <w:spacing w:after="0"/>
              <w:rPr>
                <w:sz w:val="20"/>
                <w:szCs w:val="20"/>
                <w:color w:val="auto"/>
              </w:rPr>
            </w:pPr>
            <w:r>
              <w:rPr>
                <w:rFonts w:ascii="Arial" w:cs="Arial" w:eastAsia="Arial" w:hAnsi="Arial"/>
                <w:sz w:val="14"/>
                <w:szCs w:val="14"/>
                <w:b w:val="1"/>
                <w:bCs w:val="1"/>
                <w:color w:val="auto"/>
                <w:w w:val="91"/>
              </w:rPr>
              <w:t>Losses</w:t>
            </w:r>
          </w:p>
        </w:tc>
        <w:tc>
          <w:tcPr>
            <w:tcW w:w="100" w:type="dxa"/>
            <w:vAlign w:val="bottom"/>
            <w:vMerge w:val="restart"/>
          </w:tcPr>
          <w:p>
            <w:pPr>
              <w:spacing w:after="0"/>
              <w:rPr>
                <w:sz w:val="6"/>
                <w:szCs w:val="6"/>
                <w:color w:val="auto"/>
              </w:rPr>
            </w:pPr>
          </w:p>
        </w:tc>
        <w:tc>
          <w:tcPr>
            <w:tcW w:w="280" w:type="dxa"/>
            <w:vAlign w:val="bottom"/>
          </w:tcPr>
          <w:p>
            <w:pPr>
              <w:spacing w:after="0"/>
              <w:rPr>
                <w:sz w:val="6"/>
                <w:szCs w:val="6"/>
                <w:color w:val="auto"/>
              </w:rPr>
            </w:pPr>
          </w:p>
        </w:tc>
        <w:tc>
          <w:tcPr>
            <w:tcW w:w="1200" w:type="dxa"/>
            <w:vAlign w:val="bottom"/>
            <w:vMerge w:val="restart"/>
          </w:tcPr>
          <w:p>
            <w:pPr>
              <w:jc w:val="right"/>
              <w:ind w:right="333"/>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618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115"/>
              <w:spacing w:after="0"/>
              <w:rPr>
                <w:sz w:val="20"/>
                <w:szCs w:val="20"/>
                <w:color w:val="auto"/>
              </w:rPr>
            </w:pPr>
            <w:r>
              <w:rPr>
                <w:rFonts w:ascii="Arial" w:cs="Arial" w:eastAsia="Arial" w:hAnsi="Arial"/>
                <w:sz w:val="14"/>
                <w:szCs w:val="14"/>
                <w:b w:val="1"/>
                <w:bCs w:val="1"/>
                <w:color w:val="auto"/>
                <w:w w:val="92"/>
              </w:rPr>
              <w:t>Amortized Cost</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63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Short-term investments</w:t>
            </w: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300" w:type="dxa"/>
            <w:vAlign w:val="bottom"/>
            <w:gridSpan w:val="2"/>
          </w:tcPr>
          <w:p>
            <w:pPr>
              <w:ind w:left="180"/>
              <w:spacing w:after="0"/>
              <w:rPr>
                <w:sz w:val="20"/>
                <w:szCs w:val="20"/>
                <w:color w:val="auto"/>
              </w:rPr>
            </w:pPr>
            <w:r>
              <w:rPr>
                <w:rFonts w:ascii="Arial" w:cs="Arial" w:eastAsia="Arial" w:hAnsi="Arial"/>
                <w:sz w:val="18"/>
                <w:szCs w:val="18"/>
                <w:color w:val="auto"/>
              </w:rPr>
              <w:t>Bank time deposits</w:t>
            </w: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175,745</w:t>
            </w:r>
          </w:p>
        </w:tc>
        <w:tc>
          <w:tcPr>
            <w:tcW w:w="100" w:type="dxa"/>
            <w:vAlign w:val="bottom"/>
          </w:tcPr>
          <w:p>
            <w:pPr>
              <w:spacing w:after="0"/>
              <w:rPr>
                <w:sz w:val="21"/>
                <w:szCs w:val="21"/>
                <w:color w:val="auto"/>
              </w:rPr>
            </w:pPr>
          </w:p>
        </w:tc>
        <w:tc>
          <w:tcPr>
            <w:tcW w:w="20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175,745</w:t>
            </w:r>
          </w:p>
        </w:tc>
        <w:tc>
          <w:tcPr>
            <w:tcW w:w="0" w:type="dxa"/>
            <w:vAlign w:val="bottom"/>
          </w:tcPr>
          <w:p>
            <w:pPr>
              <w:spacing w:after="0"/>
              <w:rPr>
                <w:sz w:val="1"/>
                <w:szCs w:val="1"/>
                <w:color w:val="auto"/>
              </w:rPr>
            </w:pPr>
          </w:p>
        </w:tc>
      </w:tr>
      <w:tr>
        <w:trPr>
          <w:trHeight w:val="27"/>
        </w:trPr>
        <w:tc>
          <w:tcPr>
            <w:tcW w:w="63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Available-for-sale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300" w:type="dxa"/>
            <w:vAlign w:val="bottom"/>
            <w:gridSpan w:val="2"/>
          </w:tcPr>
          <w:p>
            <w:pPr>
              <w:ind w:left="380"/>
              <w:spacing w:after="0"/>
              <w:rPr>
                <w:sz w:val="20"/>
                <w:szCs w:val="20"/>
                <w:color w:val="auto"/>
              </w:rPr>
            </w:pPr>
            <w:r>
              <w:rPr>
                <w:rFonts w:ascii="Arial" w:cs="Arial" w:eastAsia="Arial" w:hAnsi="Arial"/>
                <w:sz w:val="18"/>
                <w:szCs w:val="18"/>
                <w:color w:val="auto"/>
              </w:rPr>
              <w:t>Corporate bonds</w:t>
            </w:r>
          </w:p>
        </w:tc>
        <w:tc>
          <w:tcPr>
            <w:tcW w:w="200" w:type="dxa"/>
            <w:vAlign w:val="bottom"/>
          </w:tcPr>
          <w:p>
            <w:pPr>
              <w:spacing w:after="0"/>
              <w:rPr>
                <w:sz w:val="21"/>
                <w:szCs w:val="21"/>
                <w:color w:val="auto"/>
              </w:rPr>
            </w:pP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243,140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6"/>
              <w:spacing w:after="0"/>
              <w:rPr>
                <w:sz w:val="20"/>
                <w:szCs w:val="20"/>
                <w:color w:val="auto"/>
              </w:rPr>
            </w:pPr>
            <w:r>
              <w:rPr>
                <w:rFonts w:ascii="Arial" w:cs="Arial" w:eastAsia="Arial" w:hAnsi="Arial"/>
                <w:sz w:val="18"/>
                <w:szCs w:val="18"/>
                <w:color w:val="auto"/>
              </w:rPr>
              <w:t>98</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(219)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243,019</w:t>
            </w:r>
          </w:p>
        </w:tc>
        <w:tc>
          <w:tcPr>
            <w:tcW w:w="0" w:type="dxa"/>
            <w:vAlign w:val="bottom"/>
          </w:tcPr>
          <w:p>
            <w:pPr>
              <w:spacing w:after="0"/>
              <w:rPr>
                <w:sz w:val="1"/>
                <w:szCs w:val="1"/>
                <w:color w:val="auto"/>
              </w:rPr>
            </w:pPr>
          </w:p>
        </w:tc>
      </w:tr>
      <w:tr>
        <w:trPr>
          <w:trHeight w:val="27"/>
        </w:trPr>
        <w:tc>
          <w:tcPr>
            <w:tcW w:w="63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30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Commercial paper</w:t>
            </w: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25,938</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5</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25,936</w:t>
            </w:r>
          </w:p>
        </w:tc>
        <w:tc>
          <w:tcPr>
            <w:tcW w:w="0" w:type="dxa"/>
            <w:vAlign w:val="bottom"/>
          </w:tcPr>
          <w:p>
            <w:pPr>
              <w:spacing w:after="0"/>
              <w:rPr>
                <w:sz w:val="1"/>
                <w:szCs w:val="1"/>
                <w:color w:val="auto"/>
              </w:rPr>
            </w:pPr>
          </w:p>
        </w:tc>
      </w:tr>
      <w:tr>
        <w:trPr>
          <w:trHeight w:val="243"/>
        </w:trPr>
        <w:tc>
          <w:tcPr>
            <w:tcW w:w="6300" w:type="dxa"/>
            <w:vAlign w:val="bottom"/>
            <w:gridSpan w:val="2"/>
          </w:tcPr>
          <w:p>
            <w:pPr>
              <w:ind w:left="380"/>
              <w:spacing w:after="0"/>
              <w:rPr>
                <w:sz w:val="20"/>
                <w:szCs w:val="20"/>
                <w:color w:val="auto"/>
              </w:rPr>
            </w:pPr>
            <w:r>
              <w:rPr>
                <w:rFonts w:ascii="Arial" w:cs="Arial" w:eastAsia="Arial" w:hAnsi="Arial"/>
                <w:sz w:val="18"/>
                <w:szCs w:val="18"/>
                <w:color w:val="auto"/>
              </w:rPr>
              <w:t>Mutual funds</w:t>
            </w:r>
          </w:p>
        </w:tc>
        <w:tc>
          <w:tcPr>
            <w:tcW w:w="200" w:type="dxa"/>
            <w:vAlign w:val="bottom"/>
          </w:tcPr>
          <w:p>
            <w:pPr>
              <w:spacing w:after="0"/>
              <w:rPr>
                <w:sz w:val="21"/>
                <w:szCs w:val="21"/>
                <w:color w:val="auto"/>
              </w:rPr>
            </w:pPr>
          </w:p>
        </w:tc>
        <w:tc>
          <w:tcPr>
            <w:tcW w:w="1320" w:type="dxa"/>
            <w:vAlign w:val="bottom"/>
          </w:tcPr>
          <w:p>
            <w:pPr>
              <w:jc w:val="right"/>
              <w:ind w:right="35"/>
              <w:spacing w:after="0"/>
              <w:rPr>
                <w:sz w:val="20"/>
                <w:szCs w:val="20"/>
                <w:color w:val="auto"/>
              </w:rPr>
            </w:pPr>
            <w:r>
              <w:rPr>
                <w:rFonts w:ascii="Arial" w:cs="Arial" w:eastAsia="Arial" w:hAnsi="Arial"/>
                <w:sz w:val="18"/>
                <w:szCs w:val="18"/>
                <w:color w:val="auto"/>
              </w:rPr>
              <w:t>4,118</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00" w:type="dxa"/>
            <w:vAlign w:val="bottom"/>
          </w:tcPr>
          <w:p>
            <w:pPr>
              <w:jc w:val="right"/>
              <w:ind w:right="16"/>
              <w:spacing w:after="0"/>
              <w:rPr>
                <w:sz w:val="20"/>
                <w:szCs w:val="20"/>
                <w:color w:val="auto"/>
              </w:rPr>
            </w:pPr>
            <w:r>
              <w:rPr>
                <w:rFonts w:ascii="Arial" w:cs="Arial" w:eastAsia="Arial" w:hAnsi="Arial"/>
                <w:sz w:val="18"/>
                <w:szCs w:val="18"/>
                <w:color w:val="auto"/>
              </w:rPr>
              <w:t>123</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4,232</w:t>
            </w:r>
          </w:p>
        </w:tc>
        <w:tc>
          <w:tcPr>
            <w:tcW w:w="0" w:type="dxa"/>
            <w:vAlign w:val="bottom"/>
          </w:tcPr>
          <w:p>
            <w:pPr>
              <w:spacing w:after="0"/>
              <w:rPr>
                <w:sz w:val="1"/>
                <w:szCs w:val="1"/>
                <w:color w:val="auto"/>
              </w:rPr>
            </w:pPr>
          </w:p>
        </w:tc>
      </w:tr>
      <w:tr>
        <w:trPr>
          <w:trHeight w:val="27"/>
        </w:trPr>
        <w:tc>
          <w:tcPr>
            <w:tcW w:w="61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3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short-term investments</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448,941</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226</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(235)</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448,932</w:t>
            </w:r>
          </w:p>
        </w:tc>
        <w:tc>
          <w:tcPr>
            <w:tcW w:w="0" w:type="dxa"/>
            <w:vAlign w:val="bottom"/>
          </w:tcPr>
          <w:p>
            <w:pPr>
              <w:spacing w:after="0"/>
              <w:rPr>
                <w:sz w:val="1"/>
                <w:szCs w:val="1"/>
                <w:color w:val="auto"/>
              </w:rPr>
            </w:pPr>
          </w:p>
        </w:tc>
      </w:tr>
      <w:tr>
        <w:trPr>
          <w:trHeight w:val="20"/>
        </w:trPr>
        <w:tc>
          <w:tcPr>
            <w:tcW w:w="6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Based on our evaluation of impairment for these investments, we did not consider any of these investments to be other-than-temporarily impaired as of March 31, 2018 or 2017. We do not intend to sell any of our investments with unrealized losses, nor is it more likely than not that we will be required to sell those investments.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the contracted maturities of our short-term investments at March 31, 2018:</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880" w:type="dxa"/>
            <w:vAlign w:val="bottom"/>
            <w:tcBorders>
              <w:bottom w:val="single" w:sz="8" w:color="auto"/>
            </w:tcBorders>
            <w:gridSpan w:val="4"/>
          </w:tcPr>
          <w:p>
            <w:pPr>
              <w:jc w:val="right"/>
              <w:ind w:right="954"/>
              <w:spacing w:after="0"/>
              <w:rPr>
                <w:sz w:val="20"/>
                <w:szCs w:val="20"/>
                <w:color w:val="auto"/>
              </w:rPr>
            </w:pPr>
            <w:r>
              <w:rPr>
                <w:rFonts w:ascii="Arial" w:cs="Arial" w:eastAsia="Arial" w:hAnsi="Arial"/>
                <w:sz w:val="14"/>
                <w:szCs w:val="14"/>
                <w:b w:val="1"/>
                <w:bCs w:val="1"/>
                <w:color w:val="auto"/>
              </w:rPr>
              <w:t>March 31, 2018</w:t>
            </w:r>
          </w:p>
        </w:tc>
      </w:tr>
      <w:tr>
        <w:trPr>
          <w:trHeight w:val="264"/>
        </w:trPr>
        <w:tc>
          <w:tcPr>
            <w:tcW w:w="82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300" w:type="dxa"/>
            <w:vAlign w:val="bottom"/>
            <w:tcBorders>
              <w:bottom w:val="single" w:sz="8" w:color="auto"/>
            </w:tcBorders>
          </w:tcPr>
          <w:p>
            <w:pPr>
              <w:jc w:val="right"/>
              <w:ind w:right="177"/>
              <w:spacing w:after="0"/>
              <w:rPr>
                <w:sz w:val="20"/>
                <w:szCs w:val="20"/>
                <w:color w:val="auto"/>
              </w:rPr>
            </w:pPr>
            <w:r>
              <w:rPr>
                <w:rFonts w:ascii="Arial" w:cs="Arial" w:eastAsia="Arial" w:hAnsi="Arial"/>
                <w:sz w:val="14"/>
                <w:szCs w:val="14"/>
                <w:b w:val="1"/>
                <w:bCs w:val="1"/>
                <w:color w:val="auto"/>
                <w:w w:val="98"/>
              </w:rPr>
              <w:t>Amortized Cost</w:t>
            </w:r>
          </w:p>
        </w:tc>
        <w:tc>
          <w:tcPr>
            <w:tcW w:w="100" w:type="dxa"/>
            <w:vAlign w:val="bottom"/>
            <w:tcBorders>
              <w:bottom w:val="single" w:sz="8" w:color="CCEEFF"/>
            </w:tcBorders>
          </w:tcPr>
          <w:p>
            <w:pPr>
              <w:spacing w:after="0"/>
              <w:rPr>
                <w:sz w:val="22"/>
                <w:szCs w:val="22"/>
                <w:color w:val="auto"/>
              </w:rPr>
            </w:pPr>
          </w:p>
        </w:tc>
        <w:tc>
          <w:tcPr>
            <w:tcW w:w="28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334"/>
              <w:spacing w:after="0"/>
              <w:rPr>
                <w:sz w:val="20"/>
                <w:szCs w:val="20"/>
                <w:color w:val="auto"/>
              </w:rPr>
            </w:pPr>
            <w:r>
              <w:rPr>
                <w:rFonts w:ascii="Arial" w:cs="Arial" w:eastAsia="Arial" w:hAnsi="Arial"/>
                <w:sz w:val="14"/>
                <w:szCs w:val="14"/>
                <w:b w:val="1"/>
                <w:bCs w:val="1"/>
                <w:color w:val="auto"/>
              </w:rPr>
              <w:t>Fair Value</w:t>
            </w:r>
          </w:p>
        </w:tc>
      </w:tr>
      <w:tr>
        <w:trPr>
          <w:trHeight w:val="250"/>
        </w:trPr>
        <w:tc>
          <w:tcPr>
            <w:tcW w:w="8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Short-term investments</w:t>
            </w:r>
          </w:p>
        </w:tc>
        <w:tc>
          <w:tcPr>
            <w:tcW w:w="1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r>
      <w:tr>
        <w:trPr>
          <w:trHeight w:val="243"/>
        </w:trPr>
        <w:tc>
          <w:tcPr>
            <w:tcW w:w="8360" w:type="dxa"/>
            <w:vAlign w:val="bottom"/>
            <w:gridSpan w:val="2"/>
          </w:tcPr>
          <w:p>
            <w:pPr>
              <w:ind w:left="180"/>
              <w:spacing w:after="0"/>
              <w:rPr>
                <w:sz w:val="20"/>
                <w:szCs w:val="20"/>
                <w:color w:val="auto"/>
              </w:rPr>
            </w:pPr>
            <w:r>
              <w:rPr>
                <w:rFonts w:ascii="Arial" w:cs="Arial" w:eastAsia="Arial" w:hAnsi="Arial"/>
                <w:sz w:val="18"/>
                <w:szCs w:val="18"/>
                <w:color w:val="auto"/>
              </w:rPr>
              <w:t>Due in 1 year or less</w:t>
            </w:r>
          </w:p>
        </w:tc>
        <w:tc>
          <w:tcPr>
            <w:tcW w:w="18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Pr>
          <w:p>
            <w:pPr>
              <w:jc w:val="right"/>
              <w:ind w:right="17"/>
              <w:spacing w:after="0"/>
              <w:rPr>
                <w:sz w:val="20"/>
                <w:szCs w:val="20"/>
                <w:color w:val="auto"/>
              </w:rPr>
            </w:pPr>
            <w:r>
              <w:rPr>
                <w:rFonts w:ascii="Arial" w:cs="Arial" w:eastAsia="Arial" w:hAnsi="Arial"/>
                <w:sz w:val="18"/>
                <w:szCs w:val="18"/>
                <w:color w:val="auto"/>
              </w:rPr>
              <w:t>509,981</w:t>
            </w:r>
          </w:p>
        </w:tc>
        <w:tc>
          <w:tcPr>
            <w:tcW w:w="100" w:type="dxa"/>
            <w:vAlign w:val="bottom"/>
          </w:tcPr>
          <w:p>
            <w:pPr>
              <w:spacing w:after="0"/>
              <w:rPr>
                <w:sz w:val="21"/>
                <w:szCs w:val="21"/>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4"/>
              <w:spacing w:after="0"/>
              <w:rPr>
                <w:sz w:val="20"/>
                <w:szCs w:val="20"/>
                <w:color w:val="auto"/>
              </w:rPr>
            </w:pPr>
            <w:r>
              <w:rPr>
                <w:rFonts w:ascii="Arial" w:cs="Arial" w:eastAsia="Arial" w:hAnsi="Arial"/>
                <w:sz w:val="18"/>
                <w:szCs w:val="18"/>
                <w:color w:val="auto"/>
              </w:rPr>
              <w:t>508,853</w:t>
            </w: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70"/>
        </w:trPr>
        <w:tc>
          <w:tcPr>
            <w:tcW w:w="83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Due in 1-2 years</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107,337</w:t>
            </w: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106,553</w:t>
            </w:r>
          </w:p>
        </w:tc>
      </w:tr>
      <w:tr>
        <w:trPr>
          <w:trHeight w:val="237"/>
        </w:trPr>
        <w:tc>
          <w:tcPr>
            <w:tcW w:w="82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short-term investments</w:t>
            </w:r>
          </w:p>
        </w:tc>
        <w:tc>
          <w:tcPr>
            <w:tcW w:w="12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tcBorders>
          </w:tcPr>
          <w:p>
            <w:pPr>
              <w:jc w:val="right"/>
              <w:ind w:right="17"/>
              <w:spacing w:after="0"/>
              <w:rPr>
                <w:sz w:val="20"/>
                <w:szCs w:val="20"/>
                <w:color w:val="auto"/>
              </w:rPr>
            </w:pPr>
            <w:r>
              <w:rPr>
                <w:rFonts w:ascii="Arial" w:cs="Arial" w:eastAsia="Arial" w:hAnsi="Arial"/>
                <w:sz w:val="18"/>
                <w:szCs w:val="18"/>
                <w:color w:val="auto"/>
              </w:rPr>
              <w:t>617,318</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615,406</w:t>
            </w:r>
          </w:p>
        </w:tc>
      </w:tr>
      <w:tr>
        <w:trPr>
          <w:trHeight w:val="27"/>
        </w:trPr>
        <w:tc>
          <w:tcPr>
            <w:tcW w:w="82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20"/>
        </w:trPr>
        <w:tc>
          <w:tcPr>
            <w:tcW w:w="8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bl>
    <w:p>
      <w:pPr>
        <w:spacing w:after="0" w:line="333" w:lineRule="exact"/>
        <w:rPr>
          <w:sz w:val="20"/>
          <w:szCs w:val="20"/>
          <w:color w:val="auto"/>
        </w:rPr>
      </w:pPr>
    </w:p>
    <w:p>
      <w:pPr>
        <w:ind w:left="360" w:hanging="352"/>
        <w:spacing w:after="0"/>
        <w:tabs>
          <w:tab w:leader="none" w:pos="360" w:val="left"/>
        </w:tabs>
        <w:numPr>
          <w:ilvl w:val="0"/>
          <w:numId w:val="26"/>
        </w:numPr>
        <w:rPr>
          <w:rFonts w:ascii="Arial" w:cs="Arial" w:eastAsia="Arial" w:hAnsi="Arial"/>
          <w:sz w:val="18"/>
          <w:szCs w:val="18"/>
          <w:b w:val="1"/>
          <w:bCs w:val="1"/>
          <w:color w:val="auto"/>
        </w:rPr>
      </w:pPr>
      <w:r>
        <w:rPr>
          <w:rFonts w:ascii="Arial" w:cs="Arial" w:eastAsia="Arial" w:hAnsi="Arial"/>
          <w:sz w:val="18"/>
          <w:szCs w:val="18"/>
          <w:b w:val="1"/>
          <w:bCs w:val="1"/>
          <w:color w:val="auto"/>
        </w:rPr>
        <w:t>DERIVATIVE INSTRUMENTS AND HEDGING ACTIVITIES</w:t>
      </w:r>
    </w:p>
    <w:p>
      <w:pPr>
        <w:spacing w:after="0" w:line="283"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Our risk management strategy includes the use of derivative financial instruments to reduce the volatility of earnings and cash flows associated with changes in foreign currency exchange rates. We do not enter into derivative financial contracts for speculative or trading purposes. We classify cash flows from its derivative transactions as cash flows from operating activities in our Consolidated Statements of Cash Flows.</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Foreign currency forward contracts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shows the gross notional amounts of foreign currency forward contracts: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44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rPr>
              <w:t>March 31,</w:t>
            </w:r>
          </w:p>
        </w:tc>
        <w:tc>
          <w:tcPr>
            <w:tcW w:w="880" w:type="dxa"/>
            <w:vAlign w:val="bottom"/>
            <w:tcBorders>
              <w:bottom w:val="single" w:sz="8" w:color="auto"/>
            </w:tcBorders>
          </w:tcPr>
          <w:p>
            <w:pPr>
              <w:spacing w:after="0"/>
              <w:rPr>
                <w:sz w:val="16"/>
                <w:szCs w:val="16"/>
                <w:color w:val="auto"/>
              </w:rPr>
            </w:pPr>
          </w:p>
        </w:tc>
      </w:tr>
      <w:tr>
        <w:trPr>
          <w:trHeight w:val="264"/>
        </w:trPr>
        <w:tc>
          <w:tcPr>
            <w:tcW w:w="87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jc w:val="right"/>
              <w:ind w:right="396"/>
              <w:spacing w:after="0"/>
              <w:rPr>
                <w:sz w:val="20"/>
                <w:szCs w:val="20"/>
                <w:color w:val="auto"/>
              </w:rPr>
            </w:pPr>
            <w:r>
              <w:rPr>
                <w:rFonts w:ascii="Arial" w:cs="Arial" w:eastAsia="Arial" w:hAnsi="Arial"/>
                <w:sz w:val="14"/>
                <w:szCs w:val="14"/>
                <w:b w:val="1"/>
                <w:bCs w:val="1"/>
                <w:color w:val="auto"/>
              </w:rPr>
              <w:t>2017</w:t>
            </w:r>
          </w:p>
        </w:tc>
      </w:tr>
      <w:tr>
        <w:trPr>
          <w:trHeight w:val="250"/>
        </w:trPr>
        <w:tc>
          <w:tcPr>
            <w:tcW w:w="88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Forward contracts to sell foreign currencies</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9"/>
              </w:rPr>
              <w:t>$</w:t>
            </w:r>
          </w:p>
        </w:tc>
        <w:tc>
          <w:tcPr>
            <w:tcW w:w="96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b w:val="1"/>
                <w:bCs w:val="1"/>
                <w:color w:val="auto"/>
              </w:rPr>
              <w:t>67,580</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8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177,549</w:t>
            </w:r>
          </w:p>
        </w:tc>
      </w:tr>
      <w:tr>
        <w:trPr>
          <w:trHeight w:val="243"/>
        </w:trPr>
        <w:tc>
          <w:tcPr>
            <w:tcW w:w="8800" w:type="dxa"/>
            <w:vAlign w:val="bottom"/>
            <w:gridSpan w:val="2"/>
          </w:tcPr>
          <w:p>
            <w:pPr>
              <w:ind w:left="40"/>
              <w:spacing w:after="0"/>
              <w:rPr>
                <w:sz w:val="20"/>
                <w:szCs w:val="20"/>
                <w:color w:val="auto"/>
              </w:rPr>
            </w:pPr>
            <w:r>
              <w:rPr>
                <w:rFonts w:ascii="Arial" w:cs="Arial" w:eastAsia="Arial" w:hAnsi="Arial"/>
                <w:sz w:val="18"/>
                <w:szCs w:val="18"/>
                <w:color w:val="auto"/>
              </w:rPr>
              <w:t>Forward contracts to purchase foreign currencies</w:t>
            </w:r>
          </w:p>
        </w:tc>
        <w:tc>
          <w:tcPr>
            <w:tcW w:w="300" w:type="dxa"/>
            <w:vAlign w:val="bottom"/>
          </w:tcPr>
          <w:p>
            <w:pPr>
              <w:jc w:val="right"/>
              <w:ind w:right="90"/>
              <w:spacing w:after="0"/>
              <w:rPr>
                <w:sz w:val="20"/>
                <w:szCs w:val="20"/>
                <w:color w:val="auto"/>
              </w:rPr>
            </w:pPr>
            <w:r>
              <w:rPr>
                <w:rFonts w:ascii="Arial" w:cs="Arial" w:eastAsia="Arial" w:hAnsi="Arial"/>
                <w:sz w:val="18"/>
                <w:szCs w:val="18"/>
                <w:b w:val="1"/>
                <w:bCs w:val="1"/>
                <w:color w:val="auto"/>
                <w:w w:val="99"/>
              </w:rPr>
              <w:t>$</w:t>
            </w:r>
          </w:p>
        </w:tc>
        <w:tc>
          <w:tcPr>
            <w:tcW w:w="960" w:type="dxa"/>
            <w:vAlign w:val="bottom"/>
          </w:tcPr>
          <w:p>
            <w:pPr>
              <w:jc w:val="right"/>
              <w:ind w:right="39"/>
              <w:spacing w:after="0"/>
              <w:rPr>
                <w:sz w:val="20"/>
                <w:szCs w:val="20"/>
                <w:color w:val="auto"/>
              </w:rPr>
            </w:pPr>
            <w:r>
              <w:rPr>
                <w:rFonts w:ascii="Arial" w:cs="Arial" w:eastAsia="Arial" w:hAnsi="Arial"/>
                <w:sz w:val="18"/>
                <w:szCs w:val="18"/>
                <w:b w:val="1"/>
                <w:bCs w:val="1"/>
                <w:color w:val="auto"/>
              </w:rPr>
              <w:t>4,359</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6"/>
              <w:spacing w:after="0"/>
              <w:rPr>
                <w:sz w:val="20"/>
                <w:szCs w:val="20"/>
                <w:color w:val="auto"/>
              </w:rPr>
            </w:pPr>
            <w:r>
              <w:rPr>
                <w:rFonts w:ascii="Arial" w:cs="Arial" w:eastAsia="Arial" w:hAnsi="Arial"/>
                <w:sz w:val="18"/>
                <w:szCs w:val="18"/>
                <w:color w:val="auto"/>
              </w:rPr>
              <w:t>9,170</w:t>
            </w:r>
          </w:p>
        </w:tc>
      </w:tr>
    </w:tbl>
    <w:p>
      <w:pPr>
        <w:spacing w:after="0" w:line="200" w:lineRule="exact"/>
        <w:rPr>
          <w:sz w:val="20"/>
          <w:szCs w:val="20"/>
          <w:color w:val="auto"/>
        </w:rPr>
      </w:pPr>
    </w:p>
    <w:p>
      <w:pPr>
        <w:sectPr>
          <w:pgSz w:w="11900" w:h="16838" w:orient="portrait"/>
          <w:cols w:equalWidth="0" w:num="1">
            <w:col w:w="11420"/>
          </w:cols>
          <w:pgMar w:left="240" w:top="715" w:right="239" w:bottom="541" w:gutter="0" w:footer="0" w:header="0"/>
        </w:sectPr>
      </w:pPr>
    </w:p>
    <w:p>
      <w:pPr>
        <w:spacing w:after="0" w:line="5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70</w:t>
      </w:r>
    </w:p>
    <w:p>
      <w:pPr>
        <w:sectPr>
          <w:pgSz w:w="11900" w:h="16838" w:orient="portrait"/>
          <w:cols w:equalWidth="0" w:num="1">
            <w:col w:w="11420"/>
          </w:cols>
          <w:pgMar w:left="240" w:top="715" w:right="239" w:bottom="541" w:gutter="0" w:footer="0" w:header="0"/>
          <w:type w:val="continuous"/>
        </w:sectPr>
      </w:pPr>
    </w:p>
    <w:bookmarkStart w:id="72" w:name="page73"/>
    <w:bookmarkEnd w:id="72"/>
    <w:p>
      <w:pPr>
        <w:jc w:val="both"/>
        <w:spacing w:after="0" w:line="257" w:lineRule="auto"/>
        <w:rPr>
          <w:sz w:val="20"/>
          <w:szCs w:val="20"/>
          <w:color w:val="auto"/>
        </w:rPr>
      </w:pPr>
      <w:r>
        <w:rPr>
          <w:rFonts w:ascii="Arial" w:cs="Arial" w:eastAsia="Arial" w:hAnsi="Arial"/>
          <w:sz w:val="18"/>
          <w:szCs w:val="18"/>
          <w:color w:val="auto"/>
        </w:rPr>
        <w:t>For the fiscal years ended March 31, 2018, 2017 and 2016, we recorded a loss of $19,473 and gains of $7,197, and $144, respectively, related to foreign currency forward contracts in Interest and other, net on the Consolidated Statements of Operations. Our derivative contracts are foreign currency exchange forward contracts that are not designated as hedging instruments under hedge accounting and are used to reduce the impact of foreign currency on certain balance sheet exposures and certain revenue and expense. These instruments are generally short term in nature, with typical maturities of less than one year, and are subject to fluctuations in foreign exchange rates.</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Cross-currency swaps</w:t>
      </w:r>
    </w:p>
    <w:p>
      <w:pPr>
        <w:spacing w:after="0" w:line="14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entered into a cross-currency swap agreement in August 2017 related to an intercompany loan that has been designated and accounted for as a cash flow hedge of foreign currency exchange risk. The intercompany loan is related to the acquisition of Social Point. As of March 31, 2018, the notional amount of the cross-currency swap is $129,000. This cross-currency swap mitigates the exposure to fluctuations in the U.S. dollar-euro exchange rate related to the intercompany loan. The critical terms of the cross-currency swap agreement correspond to the intercompany loan and both mature at the same time in 2027; as such, there was no ineffectiveness during the period.</w:t>
      </w:r>
    </w:p>
    <w:p>
      <w:pPr>
        <w:spacing w:after="0" w:line="18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Changes in the fair value of this cross-currency swap are recorded in Accumulated other comprehensive income (loss) and offset the change in value of interest and principal payment as a result of changes in foreign exchange rates. Resulting gains or losses from the cross-currency swap are reclassified from Accumulated other comprehensive income (loss) to earnings to offset foreign currency transaction gains and losses recognized on the intercompany loan. We recognize the difference between the U.S. dollar interest payments received from the swap counterparty and the U.S. dollar equivalent of the euro interest payments made to the swap counterparty in Interest and other, net on our Consolidated Statement of Operations. There are no credit-risk related contingent features associated with these swaps.</w:t>
      </w:r>
    </w:p>
    <w:p>
      <w:pPr>
        <w:spacing w:after="0" w:line="108" w:lineRule="exact"/>
        <w:rPr>
          <w:sz w:val="20"/>
          <w:szCs w:val="20"/>
          <w:color w:val="auto"/>
        </w:rPr>
      </w:pPr>
    </w:p>
    <w:p>
      <w:pPr>
        <w:ind w:left="360" w:hanging="352"/>
        <w:spacing w:after="0"/>
        <w:tabs>
          <w:tab w:leader="none" w:pos="360" w:val="left"/>
        </w:tabs>
        <w:numPr>
          <w:ilvl w:val="0"/>
          <w:numId w:val="27"/>
        </w:numPr>
        <w:rPr>
          <w:rFonts w:ascii="Arial" w:cs="Arial" w:eastAsia="Arial" w:hAnsi="Arial"/>
          <w:sz w:val="18"/>
          <w:szCs w:val="18"/>
          <w:b w:val="1"/>
          <w:bCs w:val="1"/>
          <w:color w:val="auto"/>
        </w:rPr>
      </w:pPr>
      <w:r>
        <w:rPr>
          <w:rFonts w:ascii="Arial" w:cs="Arial" w:eastAsia="Arial" w:hAnsi="Arial"/>
          <w:sz w:val="18"/>
          <w:szCs w:val="18"/>
          <w:b w:val="1"/>
          <w:bCs w:val="1"/>
          <w:color w:val="auto"/>
        </w:rPr>
        <w:t>INVENTORY</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Inventory balances by category are as follows: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52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March 31,</w:t>
            </w:r>
          </w:p>
        </w:tc>
        <w:tc>
          <w:tcPr>
            <w:tcW w:w="1160" w:type="dxa"/>
            <w:vAlign w:val="bottom"/>
            <w:tcBorders>
              <w:bottom w:val="single" w:sz="8" w:color="auto"/>
            </w:tcBorders>
          </w:tcPr>
          <w:p>
            <w:pPr>
              <w:spacing w:after="0"/>
              <w:rPr>
                <w:sz w:val="16"/>
                <w:szCs w:val="16"/>
                <w:color w:val="auto"/>
              </w:rPr>
            </w:pPr>
          </w:p>
        </w:tc>
      </w:tr>
      <w:tr>
        <w:trPr>
          <w:trHeight w:val="264"/>
        </w:trPr>
        <w:tc>
          <w:tcPr>
            <w:tcW w:w="504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1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Finished products</w:t>
            </w:r>
          </w:p>
        </w:tc>
        <w:tc>
          <w:tcPr>
            <w:tcW w:w="30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13,940</w:t>
            </w:r>
          </w:p>
        </w:tc>
        <w:tc>
          <w:tcPr>
            <w:tcW w:w="520" w:type="dxa"/>
            <w:vAlign w:val="bottom"/>
            <w:tcBorders>
              <w:bottom w:val="single" w:sz="8" w:color="CCEEFF"/>
            </w:tcBorders>
            <w:gridSpan w:val="3"/>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15,530</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Parts and supplies</w:t>
            </w:r>
          </w:p>
        </w:tc>
        <w:tc>
          <w:tcPr>
            <w:tcW w:w="3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1,222</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793</w:t>
            </w:r>
          </w:p>
        </w:tc>
      </w:tr>
      <w:tr>
        <w:trPr>
          <w:trHeight w:val="27"/>
        </w:trPr>
        <w:tc>
          <w:tcPr>
            <w:tcW w:w="5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 w:type="dxa"/>
            <w:vAlign w:val="bottom"/>
            <w:tcBorders>
              <w:bottom w:val="single" w:sz="8" w:color="CCEEFF"/>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69"/>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Inventory</w:t>
            </w:r>
          </w:p>
        </w:tc>
        <w:tc>
          <w:tcPr>
            <w:tcW w:w="30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b w:val="1"/>
                <w:bCs w:val="1"/>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15,162</w:t>
            </w:r>
          </w:p>
        </w:tc>
        <w:tc>
          <w:tcPr>
            <w:tcW w:w="520" w:type="dxa"/>
            <w:vAlign w:val="bottom"/>
            <w:tcBorders>
              <w:bottom w:val="single" w:sz="8" w:color="CCEEFF"/>
            </w:tcBorders>
            <w:gridSpan w:val="3"/>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16,323</w:t>
            </w:r>
          </w:p>
        </w:tc>
      </w:tr>
      <w:tr>
        <w:trPr>
          <w:trHeight w:val="20"/>
        </w:trPr>
        <w:tc>
          <w:tcPr>
            <w:tcW w:w="504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auto"/>
              <w:bottom w:val="single" w:sz="8" w:color="auto"/>
            </w:tcBorders>
            <w:gridSpan w:val="4"/>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gridSpan w:val="2"/>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r>
      <w:tr>
        <w:trPr>
          <w:trHeight w:val="332"/>
        </w:trPr>
        <w:tc>
          <w:tcPr>
            <w:tcW w:w="8360" w:type="dxa"/>
            <w:vAlign w:val="bottom"/>
            <w:gridSpan w:val="10"/>
          </w:tcPr>
          <w:p>
            <w:pPr>
              <w:spacing w:after="0"/>
              <w:rPr>
                <w:sz w:val="20"/>
                <w:szCs w:val="20"/>
                <w:color w:val="auto"/>
              </w:rPr>
            </w:pPr>
            <w:r>
              <w:rPr>
                <w:rFonts w:ascii="Arial" w:cs="Arial" w:eastAsia="Arial" w:hAnsi="Arial"/>
                <w:sz w:val="18"/>
                <w:szCs w:val="18"/>
                <w:color w:val="auto"/>
                <w:w w:val="94"/>
              </w:rPr>
              <w:t>Estimated product returns included in inventory at March 31, 2018 and 2017 were $373 and $529, respectively.</w:t>
            </w:r>
          </w:p>
        </w:tc>
        <w:tc>
          <w:tcPr>
            <w:tcW w:w="3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486"/>
        </w:trPr>
        <w:tc>
          <w:tcPr>
            <w:tcW w:w="5160" w:type="dxa"/>
            <w:vAlign w:val="bottom"/>
            <w:gridSpan w:val="2"/>
          </w:tcPr>
          <w:p>
            <w:pPr>
              <w:spacing w:after="0"/>
              <w:rPr>
                <w:sz w:val="20"/>
                <w:szCs w:val="20"/>
                <w:color w:val="auto"/>
              </w:rPr>
            </w:pPr>
            <w:r>
              <w:rPr>
                <w:rFonts w:ascii="Arial" w:cs="Arial" w:eastAsia="Arial" w:hAnsi="Arial"/>
                <w:sz w:val="18"/>
                <w:szCs w:val="18"/>
                <w:b w:val="1"/>
                <w:bCs w:val="1"/>
                <w:color w:val="auto"/>
              </w:rPr>
              <w:t>7.   SOFTWARE DEVELOPMENT COSTS AND LICENSES</w:t>
            </w:r>
          </w:p>
        </w:tc>
        <w:tc>
          <w:tcPr>
            <w:tcW w:w="30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486"/>
        </w:trPr>
        <w:tc>
          <w:tcPr>
            <w:tcW w:w="6560" w:type="dxa"/>
            <w:vAlign w:val="bottom"/>
            <w:gridSpan w:val="4"/>
          </w:tcPr>
          <w:p>
            <w:pPr>
              <w:spacing w:after="0"/>
              <w:rPr>
                <w:sz w:val="20"/>
                <w:szCs w:val="20"/>
                <w:color w:val="auto"/>
              </w:rPr>
            </w:pPr>
            <w:r>
              <w:rPr>
                <w:rFonts w:ascii="Arial" w:cs="Arial" w:eastAsia="Arial" w:hAnsi="Arial"/>
                <w:sz w:val="18"/>
                <w:szCs w:val="18"/>
                <w:color w:val="auto"/>
              </w:rPr>
              <w:t>Details of our capitalized software development costs and licenses are as follows:</w:t>
            </w: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534"/>
        </w:trPr>
        <w:tc>
          <w:tcPr>
            <w:tcW w:w="5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gridSpan w:val="4"/>
          </w:tcPr>
          <w:p>
            <w:pPr>
              <w:jc w:val="right"/>
              <w:ind w:right="30"/>
              <w:spacing w:after="0"/>
              <w:rPr>
                <w:sz w:val="20"/>
                <w:szCs w:val="20"/>
                <w:color w:val="auto"/>
              </w:rPr>
            </w:pPr>
            <w:r>
              <w:rPr>
                <w:rFonts w:ascii="Arial" w:cs="Arial" w:eastAsia="Arial" w:hAnsi="Arial"/>
                <w:sz w:val="14"/>
                <w:szCs w:val="14"/>
                <w:b w:val="1"/>
                <w:bCs w:val="1"/>
                <w:color w:val="auto"/>
              </w:rPr>
              <w:t>March 31,</w:t>
            </w:r>
          </w:p>
        </w:tc>
        <w:tc>
          <w:tcPr>
            <w:tcW w:w="10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r>
      <w:tr>
        <w:trPr>
          <w:trHeight w:val="264"/>
        </w:trPr>
        <w:tc>
          <w:tcPr>
            <w:tcW w:w="50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spacing w:after="0"/>
              <w:rPr>
                <w:sz w:val="22"/>
                <w:szCs w:val="22"/>
                <w:color w:val="auto"/>
              </w:rPr>
            </w:pPr>
          </w:p>
        </w:tc>
        <w:tc>
          <w:tcPr>
            <w:tcW w:w="460" w:type="dxa"/>
            <w:vAlign w:val="bottom"/>
            <w:tcBorders>
              <w:bottom w:val="single" w:sz="8" w:color="auto"/>
            </w:tcBorders>
            <w:gridSpan w:val="3"/>
          </w:tcPr>
          <w:p>
            <w:pPr>
              <w:jc w:val="right"/>
              <w:ind w:right="70"/>
              <w:spacing w:after="0"/>
              <w:rPr>
                <w:sz w:val="20"/>
                <w:szCs w:val="20"/>
                <w:color w:val="auto"/>
              </w:rPr>
            </w:pPr>
            <w:r>
              <w:rPr>
                <w:rFonts w:ascii="Arial" w:cs="Arial" w:eastAsia="Arial" w:hAnsi="Arial"/>
                <w:sz w:val="14"/>
                <w:szCs w:val="14"/>
                <w:b w:val="1"/>
                <w:bCs w:val="1"/>
                <w:color w:val="auto"/>
                <w:w w:val="89"/>
              </w:rPr>
              <w:t>2018</w:t>
            </w:r>
          </w:p>
        </w:tc>
        <w:tc>
          <w:tcPr>
            <w:tcW w:w="122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spacing w:after="0"/>
              <w:rPr>
                <w:sz w:val="22"/>
                <w:szCs w:val="22"/>
                <w:color w:val="auto"/>
              </w:rPr>
            </w:pPr>
          </w:p>
        </w:tc>
        <w:tc>
          <w:tcPr>
            <w:tcW w:w="52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4"/>
                <w:szCs w:val="14"/>
                <w:b w:val="1"/>
                <w:bCs w:val="1"/>
                <w:color w:val="auto"/>
                <w:w w:val="96"/>
              </w:rPr>
              <w:t>2017</w:t>
            </w:r>
          </w:p>
        </w:tc>
        <w:tc>
          <w:tcPr>
            <w:tcW w:w="1160" w:type="dxa"/>
            <w:vAlign w:val="bottom"/>
            <w:tcBorders>
              <w:bottom w:val="single" w:sz="8" w:color="auto"/>
            </w:tcBorders>
          </w:tcPr>
          <w:p>
            <w:pPr>
              <w:spacing w:after="0"/>
              <w:rPr>
                <w:sz w:val="22"/>
                <w:szCs w:val="22"/>
                <w:color w:val="auto"/>
              </w:rPr>
            </w:pPr>
          </w:p>
        </w:tc>
      </w:tr>
      <w:tr>
        <w:trPr>
          <w:trHeight w:val="264"/>
        </w:trPr>
        <w:tc>
          <w:tcPr>
            <w:tcW w:w="50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314"/>
              <w:spacing w:after="0"/>
              <w:rPr>
                <w:sz w:val="20"/>
                <w:szCs w:val="20"/>
                <w:color w:val="auto"/>
              </w:rPr>
            </w:pPr>
            <w:r>
              <w:rPr>
                <w:rFonts w:ascii="Arial" w:cs="Arial" w:eastAsia="Arial" w:hAnsi="Arial"/>
                <w:sz w:val="14"/>
                <w:szCs w:val="14"/>
                <w:b w:val="1"/>
                <w:bCs w:val="1"/>
                <w:color w:val="auto"/>
              </w:rPr>
              <w:t>Current</w:t>
            </w: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gridSpan w:val="2"/>
          </w:tcPr>
          <w:p>
            <w:pPr>
              <w:ind w:left="120"/>
              <w:spacing w:after="0"/>
              <w:rPr>
                <w:sz w:val="20"/>
                <w:szCs w:val="20"/>
                <w:color w:val="auto"/>
              </w:rPr>
            </w:pPr>
            <w:r>
              <w:rPr>
                <w:rFonts w:ascii="Arial" w:cs="Arial" w:eastAsia="Arial" w:hAnsi="Arial"/>
                <w:sz w:val="14"/>
                <w:szCs w:val="14"/>
                <w:b w:val="1"/>
                <w:bCs w:val="1"/>
                <w:color w:val="auto"/>
              </w:rPr>
              <w:t>Non-current</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295"/>
              <w:spacing w:after="0"/>
              <w:rPr>
                <w:sz w:val="20"/>
                <w:szCs w:val="20"/>
                <w:color w:val="auto"/>
              </w:rPr>
            </w:pPr>
            <w:r>
              <w:rPr>
                <w:rFonts w:ascii="Arial" w:cs="Arial" w:eastAsia="Arial" w:hAnsi="Arial"/>
                <w:sz w:val="14"/>
                <w:szCs w:val="14"/>
                <w:b w:val="1"/>
                <w:bCs w:val="1"/>
                <w:color w:val="auto"/>
              </w:rPr>
              <w:t>Current</w:t>
            </w: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274"/>
              <w:spacing w:after="0"/>
              <w:rPr>
                <w:sz w:val="20"/>
                <w:szCs w:val="20"/>
                <w:color w:val="auto"/>
              </w:rPr>
            </w:pPr>
            <w:r>
              <w:rPr>
                <w:rFonts w:ascii="Arial" w:cs="Arial" w:eastAsia="Arial" w:hAnsi="Arial"/>
                <w:sz w:val="14"/>
                <w:szCs w:val="14"/>
                <w:b w:val="1"/>
                <w:bCs w:val="1"/>
                <w:color w:val="auto"/>
                <w:w w:val="97"/>
              </w:rPr>
              <w:t>Non-current</w:t>
            </w: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Software development costs, internally developed</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19,338</w:t>
            </w:r>
          </w:p>
        </w:tc>
        <w:tc>
          <w:tcPr>
            <w:tcW w:w="460" w:type="dxa"/>
            <w:vAlign w:val="bottom"/>
            <w:tcBorders>
              <w:bottom w:val="single" w:sz="8" w:color="CCEEFF"/>
            </w:tcBorders>
            <w:gridSpan w:val="3"/>
            <w:shd w:val="clear" w:color="auto" w:fill="CCEEFF"/>
          </w:tcPr>
          <w:p>
            <w:pPr>
              <w:jc w:val="right"/>
              <w:ind w:right="30"/>
              <w:spacing w:after="0"/>
              <w:rPr>
                <w:sz w:val="20"/>
                <w:szCs w:val="20"/>
                <w:color w:val="auto"/>
              </w:rPr>
            </w:pPr>
            <w:r>
              <w:rPr>
                <w:rFonts w:ascii="Arial" w:cs="Arial" w:eastAsia="Arial" w:hAnsi="Arial"/>
                <w:sz w:val="18"/>
                <w:szCs w:val="18"/>
                <w:b w:val="1"/>
                <w:bCs w:val="1"/>
                <w:color w:val="auto"/>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515,761</w:t>
            </w: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28,959</w:t>
            </w:r>
          </w:p>
        </w:tc>
        <w:tc>
          <w:tcPr>
            <w:tcW w:w="520" w:type="dxa"/>
            <w:vAlign w:val="bottom"/>
            <w:tcBorders>
              <w:bottom w:val="single" w:sz="8" w:color="CCEEFF"/>
            </w:tcBorders>
            <w:gridSpan w:val="3"/>
            <w:shd w:val="clear" w:color="auto" w:fill="CCEEFF"/>
          </w:tcPr>
          <w:p>
            <w:pPr>
              <w:jc w:val="right"/>
              <w:ind w:right="110"/>
              <w:spacing w:after="0"/>
              <w:rPr>
                <w:sz w:val="20"/>
                <w:szCs w:val="20"/>
                <w:color w:val="auto"/>
              </w:rPr>
            </w:pPr>
            <w:r>
              <w:rPr>
                <w:rFonts w:ascii="Arial" w:cs="Arial" w:eastAsia="Arial" w:hAnsi="Arial"/>
                <w:sz w:val="18"/>
                <w:szCs w:val="18"/>
                <w:color w:val="auto"/>
              </w:rPr>
              <w:t>$</w:t>
            </w: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310,229</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Software development costs, externally developed</w:t>
            </w:r>
          </w:p>
        </w:tc>
        <w:tc>
          <w:tcPr>
            <w:tcW w:w="30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4,275</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b w:val="1"/>
                <w:bCs w:val="1"/>
                <w:color w:val="auto"/>
              </w:rPr>
              <w:t>122,270</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5,455</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71,407</w:t>
            </w: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2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0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7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Licenses</w:t>
            </w:r>
          </w:p>
        </w:tc>
        <w:tc>
          <w:tcPr>
            <w:tcW w:w="30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9,671</w:t>
            </w:r>
          </w:p>
        </w:tc>
        <w:tc>
          <w:tcPr>
            <w:tcW w:w="1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1,338</w:t>
            </w: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7,307</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274</w:t>
            </w:r>
          </w:p>
        </w:tc>
      </w:tr>
      <w:tr>
        <w:trPr>
          <w:trHeight w:val="237"/>
        </w:trPr>
        <w:tc>
          <w:tcPr>
            <w:tcW w:w="50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Software development costs and licenses</w:t>
            </w:r>
          </w:p>
        </w:tc>
        <w:tc>
          <w:tcPr>
            <w:tcW w:w="12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33,284</w:t>
            </w:r>
          </w:p>
        </w:tc>
        <w:tc>
          <w:tcPr>
            <w:tcW w:w="1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b w:val="1"/>
                <w:bCs w:val="1"/>
                <w:color w:val="auto"/>
                <w:w w:val="9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639,369</w:t>
            </w:r>
          </w:p>
        </w:tc>
        <w:tc>
          <w:tcPr>
            <w:tcW w:w="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80" w:type="dxa"/>
            <w:vAlign w:val="bottom"/>
            <w:tcBorders>
              <w:top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41,721</w:t>
            </w:r>
          </w:p>
        </w:tc>
        <w:tc>
          <w:tcPr>
            <w:tcW w:w="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381,910</w:t>
            </w:r>
          </w:p>
        </w:tc>
      </w:tr>
      <w:tr>
        <w:trPr>
          <w:trHeight w:val="27"/>
        </w:trPr>
        <w:tc>
          <w:tcPr>
            <w:tcW w:w="50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r>
      <w:tr>
        <w:trPr>
          <w:trHeight w:val="20"/>
        </w:trPr>
        <w:tc>
          <w:tcPr>
            <w:tcW w:w="5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r>
    </w:tbl>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Software development costs and licenses as of March 31, 2018 and 2017 included $638,055 and $381,910, respectively, related to titles that have not been released.</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420"/>
          </w:cols>
          <w:pgMar w:left="240" w:top="719" w:right="239" w:bottom="1440" w:gutter="0" w:footer="0" w:header="0"/>
        </w:sectPr>
      </w:pPr>
    </w:p>
    <w:bookmarkStart w:id="73" w:name="page74"/>
    <w:bookmarkEnd w:id="73"/>
    <w:p>
      <w:pPr>
        <w:spacing w:after="0"/>
        <w:rPr>
          <w:sz w:val="20"/>
          <w:szCs w:val="20"/>
          <w:color w:val="auto"/>
        </w:rPr>
      </w:pPr>
      <w:r>
        <w:rPr>
          <w:rFonts w:ascii="Arial" w:cs="Arial" w:eastAsia="Arial" w:hAnsi="Arial"/>
          <w:sz w:val="18"/>
          <w:szCs w:val="18"/>
          <w:color w:val="auto"/>
        </w:rPr>
        <w:t>Amortization and impairment of software development costs and licenses are as follows:</w:t>
      </w:r>
    </w:p>
    <w:p>
      <w:pPr>
        <w:spacing w:after="0" w:line="200" w:lineRule="exact"/>
        <w:rPr>
          <w:sz w:val="20"/>
          <w:szCs w:val="20"/>
          <w:color w:val="auto"/>
        </w:rPr>
      </w:pP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gridSpan w:val="7"/>
          </w:tcPr>
          <w:p>
            <w:pPr>
              <w:jc w:val="right"/>
              <w:ind w:right="290"/>
              <w:spacing w:after="0"/>
              <w:rPr>
                <w:sz w:val="20"/>
                <w:szCs w:val="20"/>
                <w:color w:val="auto"/>
              </w:rPr>
            </w:pPr>
            <w:r>
              <w:rPr>
                <w:rFonts w:ascii="Arial" w:cs="Arial" w:eastAsia="Arial" w:hAnsi="Arial"/>
                <w:sz w:val="14"/>
                <w:szCs w:val="14"/>
                <w:b w:val="1"/>
                <w:bCs w:val="1"/>
                <w:color w:val="auto"/>
                <w:w w:val="93"/>
              </w:rPr>
              <w:t>Fiscal Year Ended March 31,</w:t>
            </w:r>
          </w:p>
        </w:tc>
        <w:tc>
          <w:tcPr>
            <w:tcW w:w="1040" w:type="dxa"/>
            <w:vAlign w:val="bottom"/>
            <w:tcBorders>
              <w:bottom w:val="single" w:sz="8" w:color="auto"/>
            </w:tcBorders>
          </w:tcPr>
          <w:p>
            <w:pPr>
              <w:spacing w:after="0"/>
              <w:rPr>
                <w:sz w:val="16"/>
                <w:szCs w:val="16"/>
                <w:color w:val="auto"/>
              </w:rPr>
            </w:pPr>
          </w:p>
        </w:tc>
      </w:tr>
      <w:tr>
        <w:trPr>
          <w:trHeight w:val="264"/>
        </w:trPr>
        <w:tc>
          <w:tcPr>
            <w:tcW w:w="66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74"/>
              <w:spacing w:after="0"/>
              <w:rPr>
                <w:sz w:val="20"/>
                <w:szCs w:val="20"/>
                <w:color w:val="auto"/>
              </w:rPr>
            </w:pPr>
            <w:r>
              <w:rPr>
                <w:rFonts w:ascii="Arial" w:cs="Arial" w:eastAsia="Arial" w:hAnsi="Arial"/>
                <w:sz w:val="14"/>
                <w:szCs w:val="14"/>
                <w:b w:val="1"/>
                <w:bCs w:val="1"/>
                <w:color w:val="auto"/>
              </w:rPr>
              <w:t>2018</w:t>
            </w:r>
          </w:p>
        </w:tc>
        <w:tc>
          <w:tcPr>
            <w:tcW w:w="2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2016</w:t>
            </w:r>
          </w:p>
        </w:tc>
      </w:tr>
      <w:tr>
        <w:trPr>
          <w:trHeight w:val="25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Amortization of software development costs and licenses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101,437</w:t>
            </w:r>
          </w:p>
        </w:tc>
        <w:tc>
          <w:tcPr>
            <w:tcW w:w="500" w:type="dxa"/>
            <w:vAlign w:val="bottom"/>
            <w:tcBorders>
              <w:bottom w:val="single" w:sz="8" w:color="CCEEFF"/>
            </w:tcBorders>
            <w:gridSpan w:val="4"/>
            <w:shd w:val="clear" w:color="auto" w:fill="CCEEFF"/>
          </w:tcPr>
          <w:p>
            <w:pPr>
              <w:jc w:val="right"/>
              <w:ind w:right="15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222,801</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117,506</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Impairment of software development costs and licenses</w:t>
            </w: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1,060</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20,166</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22,671</w:t>
            </w: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Less: Portion representing stock-based compensation</w:t>
            </w:r>
          </w:p>
        </w:tc>
        <w:tc>
          <w:tcPr>
            <w:tcW w:w="3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(24,610)</w:t>
            </w:r>
          </w:p>
        </w:tc>
        <w:tc>
          <w:tcPr>
            <w:tcW w:w="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(21,056)</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(5,705)</w:t>
            </w:r>
          </w:p>
        </w:tc>
      </w:tr>
      <w:tr>
        <w:trPr>
          <w:trHeight w:val="237"/>
        </w:trPr>
        <w:tc>
          <w:tcPr>
            <w:tcW w:w="66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Amortization and impairment, net of stock-based compensation</w:t>
            </w:r>
          </w:p>
        </w:tc>
        <w:tc>
          <w:tcPr>
            <w:tcW w:w="12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77,887</w:t>
            </w:r>
          </w:p>
        </w:tc>
        <w:tc>
          <w:tcPr>
            <w:tcW w:w="40" w:type="dxa"/>
            <w:vAlign w:val="bottom"/>
            <w:tcBorders>
              <w:top w:val="single" w:sz="8" w:color="auto"/>
            </w:tcBorders>
            <w:gridSpan w:val="2"/>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221,911</w:t>
            </w:r>
          </w:p>
        </w:tc>
        <w:tc>
          <w:tcPr>
            <w:tcW w:w="100" w:type="dxa"/>
            <w:vAlign w:val="bottom"/>
          </w:tcPr>
          <w:p>
            <w:pPr>
              <w:spacing w:after="0"/>
              <w:rPr>
                <w:sz w:val="20"/>
                <w:szCs w:val="20"/>
                <w:color w:val="auto"/>
              </w:rPr>
            </w:pPr>
          </w:p>
        </w:tc>
        <w:tc>
          <w:tcPr>
            <w:tcW w:w="44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134,472</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66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r>
        <w:trPr>
          <w:trHeight w:val="467"/>
        </w:trPr>
        <w:tc>
          <w:tcPr>
            <w:tcW w:w="6760" w:type="dxa"/>
            <w:vAlign w:val="bottom"/>
            <w:gridSpan w:val="2"/>
          </w:tcPr>
          <w:p>
            <w:pPr>
              <w:spacing w:after="0"/>
              <w:rPr>
                <w:sz w:val="20"/>
                <w:szCs w:val="20"/>
                <w:color w:val="auto"/>
              </w:rPr>
            </w:pPr>
            <w:r>
              <w:rPr>
                <w:rFonts w:ascii="Arial" w:cs="Arial" w:eastAsia="Arial" w:hAnsi="Arial"/>
                <w:sz w:val="18"/>
                <w:szCs w:val="18"/>
                <w:b w:val="1"/>
                <w:bCs w:val="1"/>
                <w:color w:val="auto"/>
              </w:rPr>
              <w:t>8.   FIXED ASSETS, NET</w:t>
            </w:r>
          </w:p>
        </w:tc>
        <w:tc>
          <w:tcPr>
            <w:tcW w:w="3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486"/>
        </w:trPr>
        <w:tc>
          <w:tcPr>
            <w:tcW w:w="6760" w:type="dxa"/>
            <w:vAlign w:val="bottom"/>
            <w:gridSpan w:val="2"/>
          </w:tcPr>
          <w:p>
            <w:pPr>
              <w:spacing w:after="0"/>
              <w:rPr>
                <w:sz w:val="20"/>
                <w:szCs w:val="20"/>
                <w:color w:val="auto"/>
              </w:rPr>
            </w:pPr>
            <w:r>
              <w:rPr>
                <w:rFonts w:ascii="Arial" w:cs="Arial" w:eastAsia="Arial" w:hAnsi="Arial"/>
                <w:sz w:val="18"/>
                <w:szCs w:val="18"/>
                <w:color w:val="auto"/>
              </w:rPr>
              <w:t>Fixed asset balances by category are as follows:</w:t>
            </w:r>
          </w:p>
        </w:tc>
        <w:tc>
          <w:tcPr>
            <w:tcW w:w="3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669"/>
        </w:trPr>
        <w:tc>
          <w:tcPr>
            <w:tcW w:w="6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660" w:type="dxa"/>
            <w:vAlign w:val="bottom"/>
            <w:tcBorders>
              <w:bottom w:val="single" w:sz="8" w:color="auto"/>
            </w:tcBorders>
            <w:gridSpan w:val="3"/>
          </w:tcPr>
          <w:p>
            <w:pPr>
              <w:jc w:val="right"/>
              <w:ind w:right="70"/>
              <w:spacing w:after="0"/>
              <w:rPr>
                <w:sz w:val="20"/>
                <w:szCs w:val="20"/>
                <w:color w:val="auto"/>
              </w:rPr>
            </w:pPr>
            <w:r>
              <w:rPr>
                <w:rFonts w:ascii="Arial" w:cs="Arial" w:eastAsia="Arial" w:hAnsi="Arial"/>
                <w:sz w:val="14"/>
                <w:szCs w:val="14"/>
                <w:b w:val="1"/>
                <w:bCs w:val="1"/>
                <w:color w:val="auto"/>
              </w:rPr>
              <w:t>March 31,</w:t>
            </w:r>
          </w:p>
        </w:tc>
        <w:tc>
          <w:tcPr>
            <w:tcW w:w="1040" w:type="dxa"/>
            <w:vAlign w:val="bottom"/>
            <w:tcBorders>
              <w:bottom w:val="single" w:sz="8" w:color="auto"/>
            </w:tcBorders>
          </w:tcPr>
          <w:p>
            <w:pPr>
              <w:spacing w:after="0"/>
              <w:rPr>
                <w:sz w:val="24"/>
                <w:szCs w:val="24"/>
                <w:color w:val="auto"/>
              </w:rPr>
            </w:pPr>
          </w:p>
        </w:tc>
      </w:tr>
      <w:tr>
        <w:trPr>
          <w:trHeight w:val="264"/>
        </w:trPr>
        <w:tc>
          <w:tcPr>
            <w:tcW w:w="664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20" w:type="dxa"/>
            <w:vAlign w:val="bottom"/>
            <w:tcBorders>
              <w:bottom w:val="single" w:sz="8" w:color="CCEEFF"/>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r>
      <w:tr>
        <w:trPr>
          <w:trHeight w:val="25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Computer equipment</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500" w:type="dxa"/>
            <w:vAlign w:val="bottom"/>
            <w:tcBorders>
              <w:bottom w:val="single" w:sz="8" w:color="CCEEFF"/>
            </w:tcBorders>
            <w:gridSpan w:val="4"/>
            <w:shd w:val="clear" w:color="auto" w:fill="CCEEFF"/>
          </w:tcPr>
          <w:p>
            <w:pPr>
              <w:jc w:val="right"/>
              <w:ind w:right="150"/>
              <w:spacing w:after="0"/>
              <w:rPr>
                <w:sz w:val="20"/>
                <w:szCs w:val="20"/>
                <w:color w:val="auto"/>
              </w:rPr>
            </w:pPr>
            <w:r>
              <w:rPr>
                <w:rFonts w:ascii="Arial" w:cs="Arial" w:eastAsia="Arial" w:hAnsi="Arial"/>
                <w:sz w:val="18"/>
                <w:szCs w:val="18"/>
                <w:b w:val="1"/>
                <w:bCs w:val="1"/>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87,926</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75,281</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Computer software</w:t>
            </w:r>
          </w:p>
        </w:tc>
        <w:tc>
          <w:tcPr>
            <w:tcW w:w="3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b w:val="1"/>
                <w:bCs w:val="1"/>
                <w:color w:val="auto"/>
              </w:rPr>
              <w:t>47,702</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41,527</w:t>
            </w:r>
          </w:p>
        </w:tc>
      </w:tr>
      <w:tr>
        <w:trPr>
          <w:trHeight w:val="27"/>
        </w:trPr>
        <w:tc>
          <w:tcPr>
            <w:tcW w:w="676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Leasehold improvements</w:t>
            </w: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88,762</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56,758</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Office equipment</w:t>
            </w:r>
          </w:p>
        </w:tc>
        <w:tc>
          <w:tcPr>
            <w:tcW w:w="3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b w:val="1"/>
                <w:bCs w:val="1"/>
                <w:color w:val="auto"/>
              </w:rPr>
              <w:t>8,139</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5,843</w:t>
            </w:r>
          </w:p>
        </w:tc>
      </w:tr>
      <w:tr>
        <w:trPr>
          <w:trHeight w:val="27"/>
        </w:trPr>
        <w:tc>
          <w:tcPr>
            <w:tcW w:w="676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5"/>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Furniture and fixtures</w:t>
            </w:r>
          </w:p>
        </w:tc>
        <w:tc>
          <w:tcPr>
            <w:tcW w:w="3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13,933</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9,108</w:t>
            </w:r>
          </w:p>
        </w:tc>
      </w:tr>
      <w:tr>
        <w:trPr>
          <w:trHeight w:val="237"/>
        </w:trPr>
        <w:tc>
          <w:tcPr>
            <w:tcW w:w="6640" w:type="dxa"/>
            <w:vAlign w:val="bottom"/>
            <w:tcBorders>
              <w:top w:val="single" w:sz="8" w:color="auto"/>
            </w:tcBorders>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b w:val="1"/>
                <w:bCs w:val="1"/>
                <w:color w:val="auto"/>
              </w:rPr>
              <w:t>246,462</w:t>
            </w:r>
          </w:p>
        </w:tc>
        <w:tc>
          <w:tcPr>
            <w:tcW w:w="100" w:type="dxa"/>
            <w:vAlign w:val="bottom"/>
            <w:tcBorders>
              <w:top w:val="single" w:sz="8" w:color="auto"/>
            </w:tcBorders>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188,517</w:t>
            </w:r>
          </w:p>
        </w:tc>
      </w:tr>
      <w:tr>
        <w:trPr>
          <w:trHeight w:val="27"/>
        </w:trPr>
        <w:tc>
          <w:tcPr>
            <w:tcW w:w="676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2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Less: accumulated depreciation</w:t>
            </w:r>
          </w:p>
        </w:tc>
        <w:tc>
          <w:tcPr>
            <w:tcW w:w="3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(143,984)</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(121,217)</w:t>
            </w:r>
          </w:p>
        </w:tc>
      </w:tr>
      <w:tr>
        <w:trPr>
          <w:trHeight w:val="237"/>
        </w:trPr>
        <w:tc>
          <w:tcPr>
            <w:tcW w:w="6760" w:type="dxa"/>
            <w:vAlign w:val="bottom"/>
            <w:tcBorders>
              <w:top w:val="single" w:sz="8" w:color="auto"/>
            </w:tcBorders>
            <w:gridSpan w:val="2"/>
          </w:tcPr>
          <w:p>
            <w:pPr>
              <w:ind w:left="40"/>
              <w:spacing w:after="0"/>
              <w:rPr>
                <w:sz w:val="20"/>
                <w:szCs w:val="20"/>
                <w:color w:val="auto"/>
              </w:rPr>
            </w:pPr>
            <w:r>
              <w:rPr>
                <w:rFonts w:ascii="Arial" w:cs="Arial" w:eastAsia="Arial" w:hAnsi="Arial"/>
                <w:sz w:val="18"/>
                <w:szCs w:val="18"/>
                <w:color w:val="auto"/>
              </w:rPr>
              <w:t>Fixed assets, net</w:t>
            </w:r>
          </w:p>
        </w:tc>
        <w:tc>
          <w:tcPr>
            <w:tcW w:w="3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20" w:type="dxa"/>
            <w:vAlign w:val="bottom"/>
            <w:gridSpan w:val="2"/>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b w:val="1"/>
                <w:bCs w:val="1"/>
                <w:color w:val="auto"/>
              </w:rPr>
              <w:t>102,478</w:t>
            </w:r>
          </w:p>
        </w:tc>
        <w:tc>
          <w:tcPr>
            <w:tcW w:w="100" w:type="dxa"/>
            <w:vAlign w:val="bottom"/>
          </w:tcPr>
          <w:p>
            <w:pPr>
              <w:spacing w:after="0"/>
              <w:rPr>
                <w:sz w:val="20"/>
                <w:szCs w:val="20"/>
                <w:color w:val="auto"/>
              </w:rPr>
            </w:pPr>
          </w:p>
        </w:tc>
        <w:tc>
          <w:tcPr>
            <w:tcW w:w="44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67,300</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66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6"/>
          <w:szCs w:val="16"/>
          <w:color w:val="auto"/>
        </w:rPr>
        <w:t>Depreciation expense related to fixed assets for the fiscal years ended March 31, 2018, 2017 and 2016 was $32,202, $30,629 and $28,800, respectively.</w:t>
      </w:r>
    </w:p>
    <w:p>
      <w:pPr>
        <w:spacing w:after="0" w:line="298" w:lineRule="exact"/>
        <w:rPr>
          <w:sz w:val="20"/>
          <w:szCs w:val="20"/>
          <w:color w:val="auto"/>
        </w:rPr>
      </w:pPr>
    </w:p>
    <w:p>
      <w:pPr>
        <w:spacing w:after="0"/>
        <w:tabs>
          <w:tab w:leader="none" w:pos="340" w:val="left"/>
        </w:tabs>
        <w:rPr>
          <w:sz w:val="20"/>
          <w:szCs w:val="20"/>
          <w:color w:val="auto"/>
        </w:rPr>
      </w:pPr>
      <w:r>
        <w:rPr>
          <w:rFonts w:ascii="Arial" w:cs="Arial" w:eastAsia="Arial" w:hAnsi="Arial"/>
          <w:sz w:val="18"/>
          <w:szCs w:val="18"/>
          <w:b w:val="1"/>
          <w:bCs w:val="1"/>
          <w:color w:val="auto"/>
        </w:rPr>
        <w:t>9.</w:t>
        <w:tab/>
        <w:t>GOODWILL AND INTANGIBLE ASSETS, NET</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Goodwill</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The change in our goodwill balance is as follows:</w:t>
      </w:r>
    </w:p>
    <w:p>
      <w:pPr>
        <w:spacing w:after="0" w:line="200" w:lineRule="exact"/>
        <w:rPr>
          <w:sz w:val="20"/>
          <w:szCs w:val="20"/>
          <w:color w:val="auto"/>
        </w:rPr>
      </w:pP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8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Total</w:t>
            </w:r>
          </w:p>
        </w:tc>
      </w:tr>
      <w:tr>
        <w:trPr>
          <w:trHeight w:val="250"/>
        </w:trPr>
        <w:tc>
          <w:tcPr>
            <w:tcW w:w="9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Balance at March 31, 2016</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217,080</w:t>
            </w:r>
          </w:p>
        </w:tc>
      </w:tr>
      <w:tr>
        <w:trPr>
          <w:trHeight w:val="243"/>
        </w:trPr>
        <w:tc>
          <w:tcPr>
            <w:tcW w:w="9940" w:type="dxa"/>
            <w:vAlign w:val="bottom"/>
            <w:gridSpan w:val="2"/>
          </w:tcPr>
          <w:p>
            <w:pPr>
              <w:ind w:left="40"/>
              <w:spacing w:after="0"/>
              <w:rPr>
                <w:sz w:val="20"/>
                <w:szCs w:val="20"/>
                <w:color w:val="auto"/>
              </w:rPr>
            </w:pPr>
            <w:r>
              <w:rPr>
                <w:rFonts w:ascii="Arial" w:cs="Arial" w:eastAsia="Arial" w:hAnsi="Arial"/>
                <w:sz w:val="18"/>
                <w:szCs w:val="18"/>
                <w:color w:val="auto"/>
              </w:rPr>
              <w:t>Additions and adjustments (see Note 23)</w:t>
            </w: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143,952</w:t>
            </w:r>
          </w:p>
        </w:tc>
      </w:tr>
      <w:tr>
        <w:trPr>
          <w:trHeight w:val="27"/>
        </w:trPr>
        <w:tc>
          <w:tcPr>
            <w:tcW w:w="9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9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Currency translation adjustment</w:t>
            </w: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(1,917)</w:t>
            </w:r>
          </w:p>
        </w:tc>
      </w:tr>
      <w:tr>
        <w:trPr>
          <w:trHeight w:val="237"/>
        </w:trPr>
        <w:tc>
          <w:tcPr>
            <w:tcW w:w="982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Balance at March 31, 2017</w:t>
            </w:r>
          </w:p>
        </w:tc>
        <w:tc>
          <w:tcPr>
            <w:tcW w:w="12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b w:val="1"/>
                <w:bCs w:val="1"/>
                <w:color w:val="auto"/>
              </w:rPr>
              <w:t>359,115</w:t>
            </w:r>
          </w:p>
        </w:tc>
      </w:tr>
      <w:tr>
        <w:trPr>
          <w:trHeight w:val="27"/>
        </w:trPr>
        <w:tc>
          <w:tcPr>
            <w:tcW w:w="9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9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Additions from immaterial acquisition</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6,236</w:t>
            </w:r>
          </w:p>
        </w:tc>
      </w:tr>
      <w:tr>
        <w:trPr>
          <w:trHeight w:val="243"/>
        </w:trPr>
        <w:tc>
          <w:tcPr>
            <w:tcW w:w="9940" w:type="dxa"/>
            <w:vAlign w:val="bottom"/>
            <w:gridSpan w:val="2"/>
          </w:tcPr>
          <w:p>
            <w:pPr>
              <w:ind w:left="40"/>
              <w:spacing w:after="0"/>
              <w:rPr>
                <w:sz w:val="20"/>
                <w:szCs w:val="20"/>
                <w:color w:val="auto"/>
              </w:rPr>
            </w:pPr>
            <w:r>
              <w:rPr>
                <w:rFonts w:ascii="Arial" w:cs="Arial" w:eastAsia="Arial" w:hAnsi="Arial"/>
                <w:sz w:val="18"/>
                <w:szCs w:val="18"/>
                <w:color w:val="auto"/>
              </w:rPr>
              <w:t>Adjustments (see Note 23)</w:t>
            </w:r>
          </w:p>
        </w:tc>
        <w:tc>
          <w:tcPr>
            <w:tcW w:w="36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4,245</w:t>
            </w:r>
          </w:p>
        </w:tc>
      </w:tr>
      <w:tr>
        <w:trPr>
          <w:trHeight w:val="27"/>
        </w:trPr>
        <w:tc>
          <w:tcPr>
            <w:tcW w:w="98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99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Currency translation adjustment</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29,934</w:t>
            </w:r>
          </w:p>
        </w:tc>
      </w:tr>
      <w:tr>
        <w:trPr>
          <w:trHeight w:val="237"/>
        </w:trPr>
        <w:tc>
          <w:tcPr>
            <w:tcW w:w="982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Balance at March 31, 2018</w:t>
            </w:r>
          </w:p>
        </w:tc>
        <w:tc>
          <w:tcPr>
            <w:tcW w:w="12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b w:val="1"/>
                <w:bCs w:val="1"/>
                <w:color w:val="auto"/>
              </w:rPr>
              <w:t>399,530</w:t>
            </w:r>
          </w:p>
        </w:tc>
      </w:tr>
      <w:tr>
        <w:trPr>
          <w:trHeight w:val="27"/>
        </w:trPr>
        <w:tc>
          <w:tcPr>
            <w:tcW w:w="98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98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Indefinite-lived intangibles</w:t>
      </w:r>
    </w:p>
    <w:p>
      <w:pPr>
        <w:spacing w:after="0" w:line="279"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Intangibles, net as of March 31, 2017 includes in-process research and development assets of $14,827 acquired as part of the Social Point acquisition, which are indefinite-lived intangibles and therefore not subject to amortization until the related games are released. During the fiscal year ended March 31, 2018, as a result of our decision not to proceed with further development of a certain game related to in-process research and development ("IPR&amp;D"), we recognized an impairment charge of $11,257 in Depreciation and amortization expense in our Consolidated Statements of Operations. As of March 31, 2018, there are $5,226 of in-process research and development assets included in Intangibles, net.</w:t>
      </w:r>
    </w:p>
    <w:p>
      <w:pPr>
        <w:sectPr>
          <w:pgSz w:w="11900" w:h="16838" w:orient="portrait"/>
          <w:cols w:equalWidth="0" w:num="1">
            <w:col w:w="11420"/>
          </w:cols>
          <w:pgMar w:left="240" w:top="719" w:right="239" w:bottom="1440" w:gutter="0" w:footer="0" w:header="0"/>
        </w:sectPr>
      </w:pPr>
    </w:p>
    <w:p>
      <w:pPr>
        <w:spacing w:after="0" w:line="33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72</w:t>
      </w:r>
    </w:p>
    <w:p>
      <w:pPr>
        <w:sectPr>
          <w:pgSz w:w="11900" w:h="16838" w:orient="portrait"/>
          <w:cols w:equalWidth="0" w:num="1">
            <w:col w:w="11420"/>
          </w:cols>
          <w:pgMar w:left="240" w:top="719" w:right="239" w:bottom="1440" w:gutter="0" w:footer="0" w:header="0"/>
          <w:type w:val="continuous"/>
        </w:sectPr>
      </w:pPr>
    </w:p>
    <w:bookmarkStart w:id="74" w:name="page75"/>
    <w:bookmarkEnd w:id="74"/>
    <w:p>
      <w:pPr>
        <w:spacing w:after="0"/>
        <w:rPr>
          <w:sz w:val="20"/>
          <w:szCs w:val="20"/>
          <w:color w:val="auto"/>
        </w:rPr>
      </w:pPr>
      <w:r>
        <w:rPr>
          <w:rFonts w:ascii="Arial" w:cs="Arial" w:eastAsia="Arial" w:hAnsi="Arial"/>
          <w:sz w:val="18"/>
          <w:szCs w:val="18"/>
          <w:i w:val="1"/>
          <w:iCs w:val="1"/>
          <w:color w:val="auto"/>
        </w:rPr>
        <w:t>Definite-lived intangibles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the intangible assets that are subject to amortization:</w:t>
      </w:r>
    </w:p>
    <w:p>
      <w:pPr>
        <w:spacing w:after="0" w:line="200" w:lineRule="exact"/>
        <w:rPr>
          <w:sz w:val="20"/>
          <w:szCs w:val="20"/>
          <w:color w:val="auto"/>
        </w:rPr>
      </w:pP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560" w:type="dxa"/>
            <w:vAlign w:val="bottom"/>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900" w:type="dxa"/>
            <w:vAlign w:val="bottom"/>
            <w:tcBorders>
              <w:bottom w:val="single" w:sz="8" w:color="auto"/>
            </w:tcBorders>
            <w:gridSpan w:val="5"/>
          </w:tcPr>
          <w:p>
            <w:pPr>
              <w:ind w:left="440"/>
              <w:spacing w:after="0"/>
              <w:rPr>
                <w:sz w:val="20"/>
                <w:szCs w:val="20"/>
                <w:color w:val="auto"/>
              </w:rPr>
            </w:pPr>
            <w:r>
              <w:rPr>
                <w:rFonts w:ascii="Arial" w:cs="Arial" w:eastAsia="Arial" w:hAnsi="Arial"/>
                <w:sz w:val="14"/>
                <w:szCs w:val="14"/>
                <w:b w:val="1"/>
                <w:bCs w:val="1"/>
                <w:color w:val="auto"/>
              </w:rPr>
              <w:t>March 31,</w:t>
            </w:r>
          </w:p>
        </w:tc>
        <w:tc>
          <w:tcPr>
            <w:tcW w:w="16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560" w:type="dxa"/>
            <w:vAlign w:val="bottom"/>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88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center"/>
              <w:ind w:right="76"/>
              <w:spacing w:after="0"/>
              <w:rPr>
                <w:sz w:val="20"/>
                <w:szCs w:val="20"/>
                <w:color w:val="auto"/>
              </w:rPr>
            </w:pPr>
            <w:r>
              <w:rPr>
                <w:rFonts w:ascii="Arial" w:cs="Arial" w:eastAsia="Arial" w:hAnsi="Arial"/>
                <w:sz w:val="14"/>
                <w:szCs w:val="14"/>
                <w:b w:val="1"/>
                <w:bCs w:val="1"/>
                <w:color w:val="auto"/>
                <w:w w:val="89"/>
              </w:rPr>
              <w:t>2017</w:t>
            </w:r>
          </w:p>
        </w:tc>
        <w:tc>
          <w:tcPr>
            <w:tcW w:w="100" w:type="dxa"/>
            <w:vAlign w:val="bottom"/>
            <w:tcBorders>
              <w:bottom w:val="single" w:sz="8" w:color="auto"/>
            </w:tcBorders>
          </w:tcPr>
          <w:p>
            <w:pPr>
              <w:spacing w:after="0"/>
              <w:rPr>
                <w:sz w:val="22"/>
                <w:szCs w:val="22"/>
                <w:color w:val="auto"/>
              </w:rPr>
            </w:pPr>
          </w:p>
        </w:tc>
        <w:tc>
          <w:tcPr>
            <w:tcW w:w="14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45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0" w:type="dxa"/>
            <w:vAlign w:val="bottom"/>
            <w:gridSpan w:val="2"/>
          </w:tcPr>
          <w:p>
            <w:pPr>
              <w:jc w:val="center"/>
              <w:ind w:right="320"/>
              <w:spacing w:after="0" w:line="153" w:lineRule="exact"/>
              <w:rPr>
                <w:sz w:val="20"/>
                <w:szCs w:val="20"/>
                <w:color w:val="auto"/>
              </w:rPr>
            </w:pPr>
            <w:r>
              <w:rPr>
                <w:rFonts w:ascii="Arial" w:cs="Arial" w:eastAsia="Arial" w:hAnsi="Arial"/>
                <w:sz w:val="14"/>
                <w:szCs w:val="14"/>
                <w:b w:val="1"/>
                <w:bCs w:val="1"/>
                <w:color w:val="auto"/>
                <w:w w:val="88"/>
              </w:rPr>
              <w:t>Gross</w:t>
            </w:r>
          </w:p>
        </w:tc>
        <w:tc>
          <w:tcPr>
            <w:tcW w:w="160" w:type="dxa"/>
            <w:vAlign w:val="bottom"/>
          </w:tcPr>
          <w:p>
            <w:pPr>
              <w:spacing w:after="0"/>
              <w:rPr>
                <w:sz w:val="13"/>
                <w:szCs w:val="13"/>
                <w:color w:val="auto"/>
              </w:rPr>
            </w:pPr>
          </w:p>
        </w:tc>
        <w:tc>
          <w:tcPr>
            <w:tcW w:w="11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Accumulated</w:t>
            </w:r>
          </w:p>
        </w:tc>
        <w:tc>
          <w:tcPr>
            <w:tcW w:w="140" w:type="dxa"/>
            <w:vAlign w:val="bottom"/>
          </w:tcPr>
          <w:p>
            <w:pPr>
              <w:spacing w:after="0"/>
              <w:rPr>
                <w:sz w:val="13"/>
                <w:szCs w:val="13"/>
                <w:color w:val="auto"/>
              </w:rPr>
            </w:pPr>
          </w:p>
        </w:tc>
        <w:tc>
          <w:tcPr>
            <w:tcW w:w="880" w:type="dxa"/>
            <w:vAlign w:val="bottom"/>
            <w:gridSpan w:val="2"/>
            <w:vMerge w:val="restart"/>
          </w:tcPr>
          <w:p>
            <w:pPr>
              <w:jc w:val="center"/>
              <w:ind w:right="240"/>
              <w:spacing w:after="0"/>
              <w:rPr>
                <w:sz w:val="20"/>
                <w:szCs w:val="20"/>
                <w:color w:val="auto"/>
              </w:rPr>
            </w:pPr>
            <w:r>
              <w:rPr>
                <w:rFonts w:ascii="Arial" w:cs="Arial" w:eastAsia="Arial" w:hAnsi="Arial"/>
                <w:sz w:val="14"/>
                <w:szCs w:val="14"/>
                <w:b w:val="1"/>
                <w:bCs w:val="1"/>
                <w:color w:val="auto"/>
                <w:w w:val="91"/>
              </w:rPr>
              <w:t>Net Book</w:t>
            </w:r>
          </w:p>
        </w:tc>
        <w:tc>
          <w:tcPr>
            <w:tcW w:w="140" w:type="dxa"/>
            <w:vAlign w:val="bottom"/>
          </w:tcPr>
          <w:p>
            <w:pPr>
              <w:spacing w:after="0"/>
              <w:rPr>
                <w:sz w:val="13"/>
                <w:szCs w:val="13"/>
                <w:color w:val="auto"/>
              </w:rPr>
            </w:pPr>
          </w:p>
        </w:tc>
        <w:tc>
          <w:tcPr>
            <w:tcW w:w="880" w:type="dxa"/>
            <w:vAlign w:val="bottom"/>
            <w:gridSpan w:val="2"/>
          </w:tcPr>
          <w:p>
            <w:pPr>
              <w:jc w:val="center"/>
              <w:ind w:right="260"/>
              <w:spacing w:after="0" w:line="153" w:lineRule="exact"/>
              <w:rPr>
                <w:sz w:val="20"/>
                <w:szCs w:val="20"/>
                <w:color w:val="auto"/>
              </w:rPr>
            </w:pPr>
            <w:r>
              <w:rPr>
                <w:rFonts w:ascii="Arial" w:cs="Arial" w:eastAsia="Arial" w:hAnsi="Arial"/>
                <w:sz w:val="14"/>
                <w:szCs w:val="14"/>
                <w:b w:val="1"/>
                <w:bCs w:val="1"/>
                <w:color w:val="auto"/>
                <w:w w:val="83"/>
              </w:rPr>
              <w:t>Gross</w:t>
            </w:r>
          </w:p>
        </w:tc>
        <w:tc>
          <w:tcPr>
            <w:tcW w:w="160" w:type="dxa"/>
            <w:vAlign w:val="bottom"/>
          </w:tcPr>
          <w:p>
            <w:pPr>
              <w:spacing w:after="0"/>
              <w:rPr>
                <w:sz w:val="13"/>
                <w:szCs w:val="13"/>
                <w:color w:val="auto"/>
              </w:rPr>
            </w:pPr>
          </w:p>
        </w:tc>
        <w:tc>
          <w:tcPr>
            <w:tcW w:w="118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3"/>
              </w:rPr>
              <w:t>Accumulated</w:t>
            </w:r>
          </w:p>
        </w:tc>
        <w:tc>
          <w:tcPr>
            <w:tcW w:w="140" w:type="dxa"/>
            <w:vAlign w:val="bottom"/>
          </w:tcPr>
          <w:p>
            <w:pPr>
              <w:spacing w:after="0"/>
              <w:rPr>
                <w:sz w:val="13"/>
                <w:szCs w:val="13"/>
                <w:color w:val="auto"/>
              </w:rPr>
            </w:pPr>
          </w:p>
        </w:tc>
        <w:tc>
          <w:tcPr>
            <w:tcW w:w="760" w:type="dxa"/>
            <w:vAlign w:val="bottom"/>
            <w:vMerge w:val="restart"/>
          </w:tcPr>
          <w:p>
            <w:pPr>
              <w:jc w:val="right"/>
              <w:ind w:right="74"/>
              <w:spacing w:after="0"/>
              <w:rPr>
                <w:sz w:val="20"/>
                <w:szCs w:val="20"/>
                <w:color w:val="auto"/>
              </w:rPr>
            </w:pPr>
            <w:r>
              <w:rPr>
                <w:rFonts w:ascii="Arial" w:cs="Arial" w:eastAsia="Arial" w:hAnsi="Arial"/>
                <w:sz w:val="14"/>
                <w:szCs w:val="14"/>
                <w:b w:val="1"/>
                <w:bCs w:val="1"/>
                <w:color w:val="auto"/>
                <w:w w:val="94"/>
              </w:rPr>
              <w:t>Net Book</w:t>
            </w:r>
          </w:p>
        </w:tc>
        <w:tc>
          <w:tcPr>
            <w:tcW w:w="0" w:type="dxa"/>
            <w:vAlign w:val="bottom"/>
          </w:tcPr>
          <w:p>
            <w:pPr>
              <w:spacing w:after="0"/>
              <w:rPr>
                <w:sz w:val="1"/>
                <w:szCs w:val="1"/>
                <w:color w:val="auto"/>
              </w:rPr>
            </w:pPr>
          </w:p>
        </w:tc>
      </w:tr>
      <w:tr>
        <w:trPr>
          <w:trHeight w:val="149"/>
        </w:trPr>
        <w:tc>
          <w:tcPr>
            <w:tcW w:w="4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97"/>
              </w:rPr>
              <w:t>Carrying</w:t>
            </w:r>
          </w:p>
        </w:tc>
        <w:tc>
          <w:tcPr>
            <w:tcW w:w="16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8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rPr>
              <w:t>Carrying</w:t>
            </w:r>
          </w:p>
        </w:tc>
        <w:tc>
          <w:tcPr>
            <w:tcW w:w="16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45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4"/>
              </w:rPr>
              <w:t>Amount</w:t>
            </w:r>
          </w:p>
        </w:tc>
        <w:tc>
          <w:tcPr>
            <w:tcW w:w="160" w:type="dxa"/>
            <w:vAlign w:val="bottom"/>
          </w:tcPr>
          <w:p>
            <w:pPr>
              <w:spacing w:after="0"/>
              <w:rPr>
                <w:sz w:val="16"/>
                <w:szCs w:val="16"/>
                <w:color w:val="auto"/>
              </w:rPr>
            </w:pPr>
          </w:p>
        </w:tc>
        <w:tc>
          <w:tcPr>
            <w:tcW w:w="1180" w:type="dxa"/>
            <w:vAlign w:val="bottom"/>
            <w:gridSpan w:val="2"/>
          </w:tcPr>
          <w:p>
            <w:pPr>
              <w:ind w:left="40"/>
              <w:spacing w:after="0"/>
              <w:rPr>
                <w:sz w:val="20"/>
                <w:szCs w:val="20"/>
                <w:color w:val="auto"/>
              </w:rPr>
            </w:pPr>
            <w:r>
              <w:rPr>
                <w:rFonts w:ascii="Arial" w:cs="Arial" w:eastAsia="Arial" w:hAnsi="Arial"/>
                <w:sz w:val="14"/>
                <w:szCs w:val="14"/>
                <w:b w:val="1"/>
                <w:bCs w:val="1"/>
                <w:color w:val="auto"/>
              </w:rPr>
              <w:t>Amortization</w:t>
            </w:r>
          </w:p>
        </w:tc>
        <w:tc>
          <w:tcPr>
            <w:tcW w:w="140" w:type="dxa"/>
            <w:vAlign w:val="bottom"/>
          </w:tcPr>
          <w:p>
            <w:pPr>
              <w:spacing w:after="0"/>
              <w:rPr>
                <w:sz w:val="16"/>
                <w:szCs w:val="16"/>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6"/>
              </w:rPr>
              <w:t>Value</w:t>
            </w:r>
          </w:p>
        </w:tc>
        <w:tc>
          <w:tcPr>
            <w:tcW w:w="140" w:type="dxa"/>
            <w:vAlign w:val="bottom"/>
          </w:tcPr>
          <w:p>
            <w:pPr>
              <w:spacing w:after="0"/>
              <w:rPr>
                <w:sz w:val="16"/>
                <w:szCs w:val="16"/>
                <w:color w:val="auto"/>
              </w:rPr>
            </w:pPr>
          </w:p>
        </w:tc>
        <w:tc>
          <w:tcPr>
            <w:tcW w:w="88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Amount</w:t>
            </w:r>
          </w:p>
        </w:tc>
        <w:tc>
          <w:tcPr>
            <w:tcW w:w="160" w:type="dxa"/>
            <w:vAlign w:val="bottom"/>
          </w:tcPr>
          <w:p>
            <w:pPr>
              <w:spacing w:after="0"/>
              <w:rPr>
                <w:sz w:val="16"/>
                <w:szCs w:val="16"/>
                <w:color w:val="auto"/>
              </w:rPr>
            </w:pPr>
          </w:p>
        </w:tc>
        <w:tc>
          <w:tcPr>
            <w:tcW w:w="11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5"/>
              </w:rPr>
              <w:t>Amortization</w:t>
            </w:r>
          </w:p>
        </w:tc>
        <w:tc>
          <w:tcPr>
            <w:tcW w:w="140" w:type="dxa"/>
            <w:vAlign w:val="bottom"/>
          </w:tcPr>
          <w:p>
            <w:pPr>
              <w:spacing w:after="0"/>
              <w:rPr>
                <w:sz w:val="16"/>
                <w:szCs w:val="16"/>
                <w:color w:val="auto"/>
              </w:rPr>
            </w:pPr>
          </w:p>
        </w:tc>
        <w:tc>
          <w:tcPr>
            <w:tcW w:w="760" w:type="dxa"/>
            <w:vAlign w:val="bottom"/>
          </w:tcPr>
          <w:p>
            <w:pPr>
              <w:jc w:val="right"/>
              <w:ind w:right="194"/>
              <w:spacing w:after="0"/>
              <w:rPr>
                <w:sz w:val="20"/>
                <w:szCs w:val="20"/>
                <w:color w:val="auto"/>
              </w:rPr>
            </w:pPr>
            <w:r>
              <w:rPr>
                <w:rFonts w:ascii="Arial" w:cs="Arial" w:eastAsia="Arial" w:hAnsi="Arial"/>
                <w:sz w:val="14"/>
                <w:szCs w:val="14"/>
                <w:b w:val="1"/>
                <w:bCs w:val="1"/>
                <w:color w:val="auto"/>
              </w:rPr>
              <w:t>Value</w:t>
            </w:r>
          </w:p>
        </w:tc>
        <w:tc>
          <w:tcPr>
            <w:tcW w:w="0" w:type="dxa"/>
            <w:vAlign w:val="bottom"/>
          </w:tcPr>
          <w:p>
            <w:pPr>
              <w:spacing w:after="0"/>
              <w:rPr>
                <w:sz w:val="1"/>
                <w:szCs w:val="1"/>
                <w:color w:val="auto"/>
              </w:rPr>
            </w:pPr>
          </w:p>
        </w:tc>
      </w:tr>
      <w:tr>
        <w:trPr>
          <w:trHeight w:val="250"/>
        </w:trPr>
        <w:tc>
          <w:tcPr>
            <w:tcW w:w="4560" w:type="dxa"/>
            <w:vAlign w:val="bottom"/>
            <w:tcBorders>
              <w:top w:val="single" w:sz="8" w:color="auto"/>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Intellectual property</w:t>
            </w: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880" w:type="dxa"/>
            <w:vAlign w:val="bottom"/>
            <w:tcBorders>
              <w:top w:val="single" w:sz="8" w:color="auto"/>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b w:val="1"/>
                <w:bCs w:val="1"/>
                <w:color w:val="auto"/>
              </w:rPr>
              <w:t>37,431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0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(13,616)</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76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b w:val="1"/>
                <w:bCs w:val="1"/>
                <w:color w:val="auto"/>
              </w:rPr>
              <w:t>23,815</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15,931</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(12,943)</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2,988</w:t>
            </w:r>
          </w:p>
        </w:tc>
        <w:tc>
          <w:tcPr>
            <w:tcW w:w="0" w:type="dxa"/>
            <w:vAlign w:val="bottom"/>
          </w:tcPr>
          <w:p>
            <w:pPr>
              <w:spacing w:after="0"/>
              <w:rPr>
                <w:sz w:val="1"/>
                <w:szCs w:val="1"/>
                <w:color w:val="auto"/>
              </w:rPr>
            </w:pPr>
          </w:p>
        </w:tc>
      </w:tr>
      <w:tr>
        <w:trPr>
          <w:trHeight w:val="243"/>
        </w:trPr>
        <w:tc>
          <w:tcPr>
            <w:tcW w:w="4560" w:type="dxa"/>
            <w:vAlign w:val="bottom"/>
          </w:tcPr>
          <w:p>
            <w:pPr>
              <w:ind w:left="40"/>
              <w:spacing w:after="0"/>
              <w:rPr>
                <w:sz w:val="20"/>
                <w:szCs w:val="20"/>
                <w:color w:val="auto"/>
              </w:rPr>
            </w:pPr>
            <w:r>
              <w:rPr>
                <w:rFonts w:ascii="Arial" w:cs="Arial" w:eastAsia="Arial" w:hAnsi="Arial"/>
                <w:sz w:val="18"/>
                <w:szCs w:val="18"/>
                <w:color w:val="auto"/>
              </w:rPr>
              <w:t>Developed game technology</w:t>
            </w:r>
          </w:p>
        </w:tc>
        <w:tc>
          <w:tcPr>
            <w:tcW w:w="180" w:type="dxa"/>
            <w:vAlign w:val="bottom"/>
          </w:tcPr>
          <w:p>
            <w:pPr>
              <w:spacing w:after="0"/>
              <w:rPr>
                <w:sz w:val="21"/>
                <w:szCs w:val="21"/>
                <w:color w:val="auto"/>
              </w:rPr>
            </w:pPr>
          </w:p>
        </w:tc>
        <w:tc>
          <w:tcPr>
            <w:tcW w:w="880" w:type="dxa"/>
            <w:vAlign w:val="bottom"/>
          </w:tcPr>
          <w:p>
            <w:pPr>
              <w:jc w:val="right"/>
              <w:ind w:right="36"/>
              <w:spacing w:after="0"/>
              <w:rPr>
                <w:sz w:val="20"/>
                <w:szCs w:val="20"/>
                <w:color w:val="auto"/>
              </w:rPr>
            </w:pPr>
            <w:r>
              <w:rPr>
                <w:rFonts w:ascii="Arial" w:cs="Arial" w:eastAsia="Arial" w:hAnsi="Arial"/>
                <w:sz w:val="18"/>
                <w:szCs w:val="18"/>
                <w:b w:val="1"/>
                <w:bCs w:val="1"/>
                <w:color w:val="auto"/>
              </w:rPr>
              <w:t>67,133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(23,189)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16"/>
              <w:spacing w:after="0"/>
              <w:rPr>
                <w:sz w:val="20"/>
                <w:szCs w:val="20"/>
                <w:color w:val="auto"/>
              </w:rPr>
            </w:pPr>
            <w:r>
              <w:rPr>
                <w:rFonts w:ascii="Arial" w:cs="Arial" w:eastAsia="Arial" w:hAnsi="Arial"/>
                <w:sz w:val="18"/>
                <w:szCs w:val="18"/>
                <w:b w:val="1"/>
                <w:bCs w:val="1"/>
                <w:color w:val="auto"/>
              </w:rPr>
              <w:t>43,944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16"/>
              <w:spacing w:after="0"/>
              <w:rPr>
                <w:sz w:val="20"/>
                <w:szCs w:val="20"/>
                <w:color w:val="auto"/>
              </w:rPr>
            </w:pPr>
            <w:r>
              <w:rPr>
                <w:rFonts w:ascii="Arial" w:cs="Arial" w:eastAsia="Arial" w:hAnsi="Arial"/>
                <w:sz w:val="18"/>
                <w:szCs w:val="18"/>
                <w:color w:val="auto"/>
              </w:rPr>
              <w:t>54,421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(2,659)</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14"/>
              <w:spacing w:after="0"/>
              <w:rPr>
                <w:sz w:val="20"/>
                <w:szCs w:val="20"/>
                <w:color w:val="auto"/>
              </w:rPr>
            </w:pPr>
            <w:r>
              <w:rPr>
                <w:rFonts w:ascii="Arial" w:cs="Arial" w:eastAsia="Arial" w:hAnsi="Arial"/>
                <w:sz w:val="18"/>
                <w:szCs w:val="18"/>
                <w:color w:val="auto"/>
              </w:rPr>
              <w:t>51,762</w:t>
            </w:r>
          </w:p>
        </w:tc>
        <w:tc>
          <w:tcPr>
            <w:tcW w:w="0" w:type="dxa"/>
            <w:vAlign w:val="bottom"/>
          </w:tcPr>
          <w:p>
            <w:pPr>
              <w:spacing w:after="0"/>
              <w:rPr>
                <w:sz w:val="1"/>
                <w:szCs w:val="1"/>
                <w:color w:val="auto"/>
              </w:rPr>
            </w:pPr>
          </w:p>
        </w:tc>
      </w:tr>
      <w:tr>
        <w:trPr>
          <w:trHeight w:val="27"/>
        </w:trPr>
        <w:tc>
          <w:tcPr>
            <w:tcW w:w="4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5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Analytics technology</w:t>
            </w:r>
          </w:p>
        </w:tc>
        <w:tc>
          <w:tcPr>
            <w:tcW w:w="180" w:type="dxa"/>
            <w:vAlign w:val="bottom"/>
            <w:tcBorders>
              <w:bottom w:val="single" w:sz="8" w:color="CCEEFF"/>
            </w:tcBorders>
            <w:shd w:val="clear" w:color="auto" w:fill="CCEEFF"/>
          </w:tcPr>
          <w:p>
            <w:pPr>
              <w:spacing w:after="0"/>
              <w:rPr>
                <w:sz w:val="21"/>
                <w:szCs w:val="21"/>
                <w:color w:val="auto"/>
              </w:rPr>
            </w:pPr>
          </w:p>
        </w:tc>
        <w:tc>
          <w:tcPr>
            <w:tcW w:w="8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b w:val="1"/>
                <w:bCs w:val="1"/>
                <w:color w:val="auto"/>
              </w:rPr>
              <w:t>34,499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(8,050)</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b w:val="1"/>
                <w:bCs w:val="1"/>
                <w:color w:val="auto"/>
              </w:rPr>
              <w:t>26,449</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29,959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28,960</w:t>
            </w:r>
          </w:p>
        </w:tc>
        <w:tc>
          <w:tcPr>
            <w:tcW w:w="0" w:type="dxa"/>
            <w:vAlign w:val="bottom"/>
          </w:tcPr>
          <w:p>
            <w:pPr>
              <w:spacing w:after="0"/>
              <w:rPr>
                <w:sz w:val="1"/>
                <w:szCs w:val="1"/>
                <w:color w:val="auto"/>
              </w:rPr>
            </w:pPr>
          </w:p>
        </w:tc>
      </w:tr>
      <w:tr>
        <w:trPr>
          <w:trHeight w:val="243"/>
        </w:trPr>
        <w:tc>
          <w:tcPr>
            <w:tcW w:w="4560" w:type="dxa"/>
            <w:vAlign w:val="bottom"/>
          </w:tcPr>
          <w:p>
            <w:pPr>
              <w:ind w:left="40"/>
              <w:spacing w:after="0"/>
              <w:rPr>
                <w:sz w:val="20"/>
                <w:szCs w:val="20"/>
                <w:color w:val="auto"/>
              </w:rPr>
            </w:pPr>
            <w:r>
              <w:rPr>
                <w:rFonts w:ascii="Arial" w:cs="Arial" w:eastAsia="Arial" w:hAnsi="Arial"/>
                <w:sz w:val="18"/>
                <w:szCs w:val="18"/>
                <w:color w:val="auto"/>
              </w:rPr>
              <w:t>User base</w:t>
            </w:r>
          </w:p>
        </w:tc>
        <w:tc>
          <w:tcPr>
            <w:tcW w:w="180" w:type="dxa"/>
            <w:vAlign w:val="bottom"/>
          </w:tcPr>
          <w:p>
            <w:pPr>
              <w:spacing w:after="0"/>
              <w:rPr>
                <w:sz w:val="21"/>
                <w:szCs w:val="21"/>
                <w:color w:val="auto"/>
              </w:rPr>
            </w:pPr>
          </w:p>
        </w:tc>
        <w:tc>
          <w:tcPr>
            <w:tcW w:w="880" w:type="dxa"/>
            <w:vAlign w:val="bottom"/>
          </w:tcPr>
          <w:p>
            <w:pPr>
              <w:jc w:val="right"/>
              <w:ind w:right="36"/>
              <w:spacing w:after="0"/>
              <w:rPr>
                <w:sz w:val="20"/>
                <w:szCs w:val="20"/>
                <w:color w:val="auto"/>
              </w:rPr>
            </w:pPr>
            <w:r>
              <w:rPr>
                <w:rFonts w:ascii="Arial" w:cs="Arial" w:eastAsia="Arial" w:hAnsi="Arial"/>
                <w:sz w:val="18"/>
                <w:szCs w:val="18"/>
                <w:b w:val="1"/>
                <w:bCs w:val="1"/>
                <w:color w:val="auto"/>
              </w:rPr>
              <w:t>10,454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b w:val="1"/>
                <w:bCs w:val="1"/>
                <w:color w:val="auto"/>
              </w:rPr>
              <w:t>(10,454)</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21"/>
                <w:szCs w:val="21"/>
                <w:color w:val="auto"/>
              </w:rPr>
            </w:pPr>
          </w:p>
        </w:tc>
        <w:tc>
          <w:tcPr>
            <w:tcW w:w="760" w:type="dxa"/>
            <w:vAlign w:val="bottom"/>
          </w:tcPr>
          <w:p>
            <w:pPr>
              <w:jc w:val="right"/>
              <w:ind w:right="16"/>
              <w:spacing w:after="0"/>
              <w:rPr>
                <w:sz w:val="20"/>
                <w:szCs w:val="20"/>
                <w:color w:val="auto"/>
              </w:rPr>
            </w:pPr>
            <w:r>
              <w:rPr>
                <w:rFonts w:ascii="Arial" w:cs="Arial" w:eastAsia="Arial" w:hAnsi="Arial"/>
                <w:sz w:val="18"/>
                <w:szCs w:val="18"/>
                <w:color w:val="auto"/>
              </w:rPr>
              <w:t>9,079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(1,513)</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760" w:type="dxa"/>
            <w:vAlign w:val="bottom"/>
          </w:tcPr>
          <w:p>
            <w:pPr>
              <w:jc w:val="right"/>
              <w:ind w:right="14"/>
              <w:spacing w:after="0"/>
              <w:rPr>
                <w:sz w:val="20"/>
                <w:szCs w:val="20"/>
                <w:color w:val="auto"/>
              </w:rPr>
            </w:pPr>
            <w:r>
              <w:rPr>
                <w:rFonts w:ascii="Arial" w:cs="Arial" w:eastAsia="Arial" w:hAnsi="Arial"/>
                <w:sz w:val="18"/>
                <w:szCs w:val="18"/>
                <w:color w:val="auto"/>
              </w:rPr>
              <w:t>7,566</w:t>
            </w:r>
          </w:p>
        </w:tc>
        <w:tc>
          <w:tcPr>
            <w:tcW w:w="0" w:type="dxa"/>
            <w:vAlign w:val="bottom"/>
          </w:tcPr>
          <w:p>
            <w:pPr>
              <w:spacing w:after="0"/>
              <w:rPr>
                <w:sz w:val="1"/>
                <w:szCs w:val="1"/>
                <w:color w:val="auto"/>
              </w:rPr>
            </w:pPr>
          </w:p>
        </w:tc>
      </w:tr>
      <w:tr>
        <w:trPr>
          <w:trHeight w:val="27"/>
        </w:trPr>
        <w:tc>
          <w:tcPr>
            <w:tcW w:w="4560" w:type="dxa"/>
            <w:vAlign w:val="bottom"/>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7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5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Branding and trade names</w:t>
            </w:r>
          </w:p>
        </w:tc>
        <w:tc>
          <w:tcPr>
            <w:tcW w:w="180" w:type="dxa"/>
            <w:vAlign w:val="bottom"/>
            <w:tcBorders>
              <w:bottom w:val="single" w:sz="8" w:color="CCEEFF"/>
            </w:tcBorders>
            <w:shd w:val="clear" w:color="auto" w:fill="CCEEFF"/>
          </w:tcPr>
          <w:p>
            <w:pPr>
              <w:spacing w:after="0"/>
              <w:rPr>
                <w:sz w:val="23"/>
                <w:szCs w:val="23"/>
                <w:color w:val="auto"/>
              </w:rPr>
            </w:pPr>
          </w:p>
        </w:tc>
        <w:tc>
          <w:tcPr>
            <w:tcW w:w="8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b w:val="1"/>
                <w:bCs w:val="1"/>
                <w:color w:val="auto"/>
              </w:rPr>
              <w:t>4,879</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(632)</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b w:val="1"/>
                <w:bCs w:val="1"/>
                <w:color w:val="auto"/>
              </w:rPr>
              <w:t>4,247</w:t>
            </w:r>
          </w:p>
        </w:tc>
        <w:tc>
          <w:tcPr>
            <w:tcW w:w="12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4,237</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(78)</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7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4,159</w:t>
            </w:r>
          </w:p>
        </w:tc>
        <w:tc>
          <w:tcPr>
            <w:tcW w:w="0" w:type="dxa"/>
            <w:vAlign w:val="bottom"/>
          </w:tcPr>
          <w:p>
            <w:pPr>
              <w:spacing w:after="0"/>
              <w:rPr>
                <w:sz w:val="1"/>
                <w:szCs w:val="1"/>
                <w:color w:val="auto"/>
              </w:rPr>
            </w:pPr>
          </w:p>
        </w:tc>
      </w:tr>
      <w:tr>
        <w:trPr>
          <w:trHeight w:val="237"/>
        </w:trPr>
        <w:tc>
          <w:tcPr>
            <w:tcW w:w="456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definite-lived intangible assets</w:t>
            </w: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88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b w:val="1"/>
                <w:bCs w:val="1"/>
                <w:color w:val="auto"/>
              </w:rPr>
              <w:t>154,396</w:t>
            </w:r>
          </w:p>
        </w:tc>
        <w:tc>
          <w:tcPr>
            <w:tcW w:w="12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(55,941)</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76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b w:val="1"/>
                <w:bCs w:val="1"/>
                <w:color w:val="auto"/>
              </w:rPr>
              <w:t>98,455</w:t>
            </w:r>
          </w:p>
        </w:tc>
        <w:tc>
          <w:tcPr>
            <w:tcW w:w="12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w w:val="98"/>
              </w:rPr>
              <w:t>113,627</w:t>
            </w:r>
          </w:p>
        </w:tc>
        <w:tc>
          <w:tcPr>
            <w:tcW w:w="12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(18,192)</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76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95,435</w:t>
            </w:r>
          </w:p>
        </w:tc>
        <w:tc>
          <w:tcPr>
            <w:tcW w:w="0" w:type="dxa"/>
            <w:vAlign w:val="bottom"/>
          </w:tcPr>
          <w:p>
            <w:pPr>
              <w:spacing w:after="0"/>
              <w:rPr>
                <w:sz w:val="1"/>
                <w:szCs w:val="1"/>
                <w:color w:val="auto"/>
              </w:rPr>
            </w:pPr>
          </w:p>
        </w:tc>
      </w:tr>
      <w:tr>
        <w:trPr>
          <w:trHeight w:val="27"/>
        </w:trPr>
        <w:tc>
          <w:tcPr>
            <w:tcW w:w="45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5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 xml:space="preserve">During the fiscal year ended March 31, 2018, we acquired intellectual property related to </w:t>
      </w:r>
      <w:r>
        <w:rPr>
          <w:rFonts w:ascii="Arial" w:cs="Arial" w:eastAsia="Arial" w:hAnsi="Arial"/>
          <w:sz w:val="18"/>
          <w:szCs w:val="18"/>
          <w:i w:val="1"/>
          <w:iCs w:val="1"/>
          <w:color w:val="auto"/>
        </w:rPr>
        <w:t>Kerbal Space Program</w:t>
      </w:r>
      <w:r>
        <w:rPr>
          <w:rFonts w:ascii="Arial" w:cs="Arial" w:eastAsia="Arial" w:hAnsi="Arial"/>
          <w:sz w:val="18"/>
          <w:szCs w:val="18"/>
          <w:color w:val="auto"/>
        </w:rPr>
        <w:t>, which was treated as a an asset acquisition in accordance with the adoption of ASU 2017-01 (Refer to Note 1), resulting in a $21,500 increase in Intellectual property and a $4,465 increase in Developed game technology.</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Amortization of intangible assets is included in our Consolidated Statements of Operations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186690</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9">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345" w:lineRule="exact"/>
        <w:rPr>
          <w:sz w:val="20"/>
          <w:szCs w:val="20"/>
          <w:color w:val="auto"/>
        </w:rPr>
      </w:pPr>
    </w:p>
    <w:p>
      <w:pPr>
        <w:ind w:left="8220"/>
        <w:spacing w:after="0"/>
        <w:rPr>
          <w:sz w:val="20"/>
          <w:szCs w:val="20"/>
          <w:color w:val="auto"/>
        </w:rPr>
      </w:pPr>
      <w:r>
        <w:rPr>
          <w:rFonts w:ascii="Arial" w:cs="Arial" w:eastAsia="Arial" w:hAnsi="Arial"/>
          <w:sz w:val="14"/>
          <w:szCs w:val="14"/>
          <w:b w:val="1"/>
          <w:bCs w:val="1"/>
          <w:color w:val="auto"/>
        </w:rPr>
        <w:t>Fiscal Year Ended 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4293235</wp:posOffset>
            </wp:positionH>
            <wp:positionV relativeFrom="paragraph">
              <wp:posOffset>23495</wp:posOffset>
            </wp:positionV>
            <wp:extent cx="295846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0">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6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600" w:type="dxa"/>
            <w:vAlign w:val="bottom"/>
            <w:tcBorders>
              <w:bottom w:val="single" w:sz="8" w:color="auto"/>
            </w:tcBorders>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2016</w:t>
            </w:r>
          </w:p>
        </w:tc>
      </w:tr>
      <w:tr>
        <w:trPr>
          <w:trHeight w:val="25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Cost of goods sold</w:t>
            </w:r>
          </w:p>
        </w:tc>
        <w:tc>
          <w:tcPr>
            <w:tcW w:w="900" w:type="dxa"/>
            <w:vAlign w:val="bottom"/>
            <w:tcBorders>
              <w:bottom w:val="single" w:sz="8" w:color="CCEEFF"/>
            </w:tcBorders>
            <w:shd w:val="clear" w:color="auto" w:fill="CCEEFF"/>
          </w:tcPr>
          <w:p>
            <w:pPr>
              <w:jc w:val="right"/>
              <w:ind w:right="696"/>
              <w:spacing w:after="0"/>
              <w:rPr>
                <w:sz w:val="20"/>
                <w:szCs w:val="20"/>
                <w:color w:val="auto"/>
              </w:rPr>
            </w:pPr>
            <w:r>
              <w:rPr>
                <w:rFonts w:ascii="Arial" w:cs="Arial" w:eastAsia="Arial" w:hAnsi="Arial"/>
                <w:sz w:val="18"/>
                <w:szCs w:val="18"/>
                <w:b w:val="1"/>
                <w:bCs w:val="1"/>
                <w:color w:val="auto"/>
                <w:w w:val="99"/>
              </w:rPr>
              <w:t>$</w:t>
            </w:r>
          </w:p>
        </w:tc>
        <w:tc>
          <w:tcPr>
            <w:tcW w:w="6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87"/>
              </w:rPr>
              <w:t>19,719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4,252</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160</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Selling and marketing</w:t>
            </w:r>
          </w:p>
        </w:tc>
        <w:tc>
          <w:tcPr>
            <w:tcW w:w="900" w:type="dxa"/>
            <w:vAlign w:val="bottom"/>
          </w:tcPr>
          <w:p>
            <w:pPr>
              <w:spacing w:after="0"/>
              <w:rPr>
                <w:sz w:val="21"/>
                <w:szCs w:val="21"/>
                <w:color w:val="auto"/>
              </w:rPr>
            </w:pPr>
          </w:p>
        </w:tc>
        <w:tc>
          <w:tcPr>
            <w:tcW w:w="600" w:type="dxa"/>
            <w:vAlign w:val="bottom"/>
          </w:tcPr>
          <w:p>
            <w:pPr>
              <w:jc w:val="right"/>
              <w:ind w:right="10"/>
              <w:spacing w:after="0"/>
              <w:rPr>
                <w:sz w:val="20"/>
                <w:szCs w:val="20"/>
                <w:color w:val="auto"/>
              </w:rPr>
            </w:pPr>
            <w:r>
              <w:rPr>
                <w:rFonts w:ascii="Arial" w:cs="Arial" w:eastAsia="Arial" w:hAnsi="Arial"/>
                <w:sz w:val="18"/>
                <w:szCs w:val="18"/>
                <w:b w:val="1"/>
                <w:bCs w:val="1"/>
                <w:color w:val="auto"/>
              </w:rPr>
              <w:t>8,107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1,497</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6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Research and development</w:t>
            </w:r>
          </w:p>
        </w:tc>
        <w:tc>
          <w:tcPr>
            <w:tcW w:w="90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rPr>
              <w:t>6,494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989</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Depreciation and amortization</w:t>
            </w:r>
          </w:p>
        </w:tc>
        <w:tc>
          <w:tcPr>
            <w:tcW w:w="900" w:type="dxa"/>
            <w:vAlign w:val="bottom"/>
          </w:tcPr>
          <w:p>
            <w:pPr>
              <w:spacing w:after="0"/>
              <w:rPr>
                <w:sz w:val="21"/>
                <w:szCs w:val="21"/>
                <w:color w:val="auto"/>
              </w:rPr>
            </w:pPr>
          </w:p>
        </w:tc>
        <w:tc>
          <w:tcPr>
            <w:tcW w:w="600" w:type="dxa"/>
            <w:vAlign w:val="bottom"/>
          </w:tcPr>
          <w:p>
            <w:pPr>
              <w:jc w:val="right"/>
              <w:ind w:right="10"/>
              <w:spacing w:after="0"/>
              <w:rPr>
                <w:sz w:val="20"/>
                <w:szCs w:val="20"/>
                <w:color w:val="auto"/>
              </w:rPr>
            </w:pPr>
            <w:r>
              <w:rPr>
                <w:rFonts w:ascii="Arial" w:cs="Arial" w:eastAsia="Arial" w:hAnsi="Arial"/>
                <w:sz w:val="18"/>
                <w:szCs w:val="18"/>
                <w:b w:val="1"/>
                <w:bCs w:val="1"/>
                <w:color w:val="auto"/>
              </w:rPr>
              <w:t>510</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78</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amortization of intangible assets</w:t>
            </w:r>
          </w:p>
        </w:tc>
        <w:tc>
          <w:tcPr>
            <w:tcW w:w="900" w:type="dxa"/>
            <w:vAlign w:val="bottom"/>
            <w:tcBorders>
              <w:bottom w:val="single" w:sz="8" w:color="CCEEFF"/>
            </w:tcBorders>
            <w:shd w:val="clear" w:color="auto" w:fill="CCEEFF"/>
          </w:tcPr>
          <w:p>
            <w:pPr>
              <w:jc w:val="right"/>
              <w:ind w:right="696"/>
              <w:spacing w:after="0"/>
              <w:rPr>
                <w:sz w:val="20"/>
                <w:szCs w:val="20"/>
                <w:color w:val="auto"/>
              </w:rPr>
            </w:pPr>
            <w:r>
              <w:rPr>
                <w:rFonts w:ascii="Arial" w:cs="Arial" w:eastAsia="Arial" w:hAnsi="Arial"/>
                <w:sz w:val="18"/>
                <w:szCs w:val="18"/>
                <w:b w:val="1"/>
                <w:bCs w:val="1"/>
                <w:color w:val="auto"/>
                <w:w w:val="99"/>
              </w:rPr>
              <w:t>$</w:t>
            </w:r>
          </w:p>
        </w:tc>
        <w:tc>
          <w:tcPr>
            <w:tcW w:w="6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87"/>
              </w:rPr>
              <w:t>34,830</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6,816</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160</w:t>
            </w:r>
          </w:p>
        </w:tc>
      </w:tr>
      <w:tr>
        <w:trPr>
          <w:trHeight w:val="20"/>
        </w:trPr>
        <w:tc>
          <w:tcPr>
            <w:tcW w:w="6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Estimated future amortization of intangible assets that will be recorded in cost of goods sold and operating expenses for the years ending March 31, are as follows:</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20" w:type="dxa"/>
            <w:vAlign w:val="bottom"/>
            <w:gridSpan w:val="2"/>
          </w:tcPr>
          <w:p>
            <w:pPr>
              <w:jc w:val="center"/>
              <w:ind w:right="80"/>
              <w:spacing w:after="0"/>
              <w:rPr>
                <w:sz w:val="20"/>
                <w:szCs w:val="20"/>
                <w:color w:val="auto"/>
              </w:rPr>
            </w:pPr>
            <w:r>
              <w:rPr>
                <w:rFonts w:ascii="Arial" w:cs="Arial" w:eastAsia="Arial" w:hAnsi="Arial"/>
                <w:sz w:val="18"/>
                <w:szCs w:val="18"/>
                <w:b w:val="1"/>
                <w:bCs w:val="1"/>
                <w:color w:val="auto"/>
                <w:w w:val="90"/>
              </w:rPr>
              <w:t>Fiscal Year Ended</w:t>
            </w:r>
          </w:p>
        </w:tc>
        <w:tc>
          <w:tcPr>
            <w:tcW w:w="320" w:type="dxa"/>
            <w:vAlign w:val="bottom"/>
          </w:tcPr>
          <w:p>
            <w:pPr>
              <w:spacing w:after="0"/>
              <w:rPr>
                <w:sz w:val="18"/>
                <w:szCs w:val="18"/>
                <w:color w:val="auto"/>
              </w:rPr>
            </w:pPr>
          </w:p>
        </w:tc>
        <w:tc>
          <w:tcPr>
            <w:tcW w:w="1240" w:type="dxa"/>
            <w:vAlign w:val="bottom"/>
          </w:tcPr>
          <w:p>
            <w:pPr>
              <w:spacing w:after="0"/>
              <w:rPr>
                <w:sz w:val="18"/>
                <w:szCs w:val="18"/>
                <w:color w:val="auto"/>
              </w:rPr>
            </w:pPr>
          </w:p>
        </w:tc>
      </w:tr>
      <w:tr>
        <w:trPr>
          <w:trHeight w:val="234"/>
        </w:trPr>
        <w:tc>
          <w:tcPr>
            <w:tcW w:w="19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3"/>
              </w:rPr>
              <w:t>March 31,</w:t>
            </w:r>
          </w:p>
        </w:tc>
        <w:tc>
          <w:tcPr>
            <w:tcW w:w="32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Arial" w:cs="Arial" w:eastAsia="Arial" w:hAnsi="Arial"/>
                <w:sz w:val="18"/>
                <w:szCs w:val="18"/>
                <w:b w:val="1"/>
                <w:bCs w:val="1"/>
                <w:color w:val="auto"/>
              </w:rPr>
              <w:t>Amortization</w:t>
            </w:r>
          </w:p>
        </w:tc>
      </w:tr>
      <w:tr>
        <w:trPr>
          <w:trHeight w:val="27"/>
        </w:trPr>
        <w:tc>
          <w:tcPr>
            <w:tcW w:w="1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r>
      <w:tr>
        <w:trPr>
          <w:trHeight w:val="244"/>
        </w:trPr>
        <w:tc>
          <w:tcPr>
            <w:tcW w:w="18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2019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31,683</w:t>
            </w:r>
          </w:p>
        </w:tc>
      </w:tr>
      <w:tr>
        <w:trPr>
          <w:trHeight w:val="243"/>
        </w:trPr>
        <w:tc>
          <w:tcPr>
            <w:tcW w:w="1820" w:type="dxa"/>
            <w:vAlign w:val="bottom"/>
          </w:tcPr>
          <w:p>
            <w:pPr>
              <w:jc w:val="center"/>
              <w:spacing w:after="0"/>
              <w:rPr>
                <w:sz w:val="20"/>
                <w:szCs w:val="20"/>
                <w:color w:val="auto"/>
              </w:rPr>
            </w:pPr>
            <w:r>
              <w:rPr>
                <w:rFonts w:ascii="Arial" w:cs="Arial" w:eastAsia="Arial" w:hAnsi="Arial"/>
                <w:sz w:val="18"/>
                <w:szCs w:val="18"/>
                <w:color w:val="auto"/>
                <w:w w:val="89"/>
              </w:rPr>
              <w:t>2020</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28,223</w:t>
            </w:r>
          </w:p>
        </w:tc>
      </w:tr>
      <w:tr>
        <w:trPr>
          <w:trHeight w:val="27"/>
        </w:trPr>
        <w:tc>
          <w:tcPr>
            <w:tcW w:w="1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50"/>
        </w:trPr>
        <w:tc>
          <w:tcPr>
            <w:tcW w:w="18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9"/>
              </w:rPr>
              <w:t>2021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2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18,445</w:t>
            </w:r>
          </w:p>
        </w:tc>
      </w:tr>
      <w:tr>
        <w:trPr>
          <w:trHeight w:val="243"/>
        </w:trPr>
        <w:tc>
          <w:tcPr>
            <w:tcW w:w="1820" w:type="dxa"/>
            <w:vAlign w:val="bottom"/>
          </w:tcPr>
          <w:p>
            <w:pPr>
              <w:jc w:val="center"/>
              <w:spacing w:after="0"/>
              <w:rPr>
                <w:sz w:val="20"/>
                <w:szCs w:val="20"/>
                <w:color w:val="auto"/>
              </w:rPr>
            </w:pPr>
            <w:r>
              <w:rPr>
                <w:rFonts w:ascii="Arial" w:cs="Arial" w:eastAsia="Arial" w:hAnsi="Arial"/>
                <w:sz w:val="18"/>
                <w:szCs w:val="18"/>
                <w:color w:val="auto"/>
                <w:w w:val="89"/>
              </w:rPr>
              <w:t>2022</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40" w:type="dxa"/>
            <w:vAlign w:val="bottom"/>
          </w:tcPr>
          <w:p>
            <w:pPr>
              <w:jc w:val="right"/>
              <w:spacing w:after="0"/>
              <w:rPr>
                <w:sz w:val="20"/>
                <w:szCs w:val="20"/>
                <w:color w:val="auto"/>
              </w:rPr>
            </w:pPr>
            <w:r>
              <w:rPr>
                <w:rFonts w:ascii="Arial" w:cs="Arial" w:eastAsia="Arial" w:hAnsi="Arial"/>
                <w:sz w:val="18"/>
                <w:szCs w:val="18"/>
                <w:color w:val="auto"/>
              </w:rPr>
              <w:t>10,774</w:t>
            </w:r>
          </w:p>
        </w:tc>
      </w:tr>
      <w:tr>
        <w:trPr>
          <w:trHeight w:val="27"/>
        </w:trPr>
        <w:tc>
          <w:tcPr>
            <w:tcW w:w="1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40" w:type="dxa"/>
            <w:vAlign w:val="bottom"/>
          </w:tcPr>
          <w:p>
            <w:pPr>
              <w:spacing w:after="0"/>
              <w:rPr>
                <w:sz w:val="2"/>
                <w:szCs w:val="2"/>
                <w:color w:val="auto"/>
              </w:rPr>
            </w:pPr>
          </w:p>
        </w:tc>
      </w:tr>
      <w:tr>
        <w:trPr>
          <w:trHeight w:val="243"/>
        </w:trPr>
        <w:tc>
          <w:tcPr>
            <w:tcW w:w="18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2023</w:t>
            </w:r>
          </w:p>
        </w:tc>
        <w:tc>
          <w:tcPr>
            <w:tcW w:w="100" w:type="dxa"/>
            <w:vAlign w:val="bottom"/>
            <w:shd w:val="clear" w:color="auto" w:fill="CCEEFF"/>
          </w:tcPr>
          <w:p>
            <w:pPr>
              <w:spacing w:after="0"/>
              <w:rPr>
                <w:sz w:val="21"/>
                <w:szCs w:val="21"/>
                <w:color w:val="auto"/>
              </w:rPr>
            </w:pPr>
          </w:p>
        </w:tc>
        <w:tc>
          <w:tcPr>
            <w:tcW w:w="320" w:type="dxa"/>
            <w:vAlign w:val="bottom"/>
            <w:shd w:val="clear" w:color="auto" w:fill="CCEEFF"/>
          </w:tcPr>
          <w:p>
            <w:pPr>
              <w:spacing w:after="0"/>
              <w:rPr>
                <w:sz w:val="21"/>
                <w:szCs w:val="21"/>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4,295</w:t>
            </w:r>
          </w:p>
        </w:tc>
      </w:tr>
      <w:tr>
        <w:trPr>
          <w:trHeight w:val="27"/>
        </w:trPr>
        <w:tc>
          <w:tcPr>
            <w:tcW w:w="182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ACCRUED EXPENSES AND OTHER CURRENT LIABILITIES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Accrued expenses and other current liabilities consisted of:</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3"/>
          </w:tcPr>
          <w:p>
            <w:pPr>
              <w:jc w:val="right"/>
              <w:ind w:right="70"/>
              <w:spacing w:after="0"/>
              <w:rPr>
                <w:sz w:val="20"/>
                <w:szCs w:val="20"/>
                <w:color w:val="auto"/>
              </w:rPr>
            </w:pPr>
            <w:r>
              <w:rPr>
                <w:rFonts w:ascii="Arial" w:cs="Arial" w:eastAsia="Arial" w:hAnsi="Arial"/>
                <w:sz w:val="14"/>
                <w:szCs w:val="14"/>
                <w:b w:val="1"/>
                <w:bCs w:val="1"/>
                <w:color w:val="auto"/>
              </w:rPr>
              <w:t>March 31,</w:t>
            </w:r>
          </w:p>
        </w:tc>
        <w:tc>
          <w:tcPr>
            <w:tcW w:w="1040" w:type="dxa"/>
            <w:vAlign w:val="bottom"/>
            <w:tcBorders>
              <w:bottom w:val="single" w:sz="8" w:color="auto"/>
            </w:tcBorders>
          </w:tcPr>
          <w:p>
            <w:pPr>
              <w:spacing w:after="0"/>
              <w:rPr>
                <w:sz w:val="16"/>
                <w:szCs w:val="16"/>
                <w:color w:val="auto"/>
              </w:rPr>
            </w:pPr>
          </w:p>
        </w:tc>
      </w:tr>
      <w:tr>
        <w:trPr>
          <w:trHeight w:val="264"/>
        </w:trPr>
        <w:tc>
          <w:tcPr>
            <w:tcW w:w="82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512"/>
              <w:spacing w:after="0"/>
              <w:rPr>
                <w:sz w:val="20"/>
                <w:szCs w:val="20"/>
                <w:color w:val="auto"/>
              </w:rPr>
            </w:pPr>
            <w:r>
              <w:rPr>
                <w:rFonts w:ascii="Arial" w:cs="Arial" w:eastAsia="Arial" w:hAnsi="Arial"/>
                <w:sz w:val="14"/>
                <w:szCs w:val="14"/>
                <w:b w:val="1"/>
                <w:bCs w:val="1"/>
                <w:color w:val="auto"/>
              </w:rPr>
              <w:t>2017</w:t>
            </w:r>
          </w:p>
        </w:tc>
      </w:tr>
      <w:tr>
        <w:trPr>
          <w:trHeight w:val="250"/>
        </w:trPr>
        <w:tc>
          <w:tcPr>
            <w:tcW w:w="8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Software development royalties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600,512</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492,133</w:t>
            </w:r>
          </w:p>
        </w:tc>
      </w:tr>
      <w:tr>
        <w:trPr>
          <w:trHeight w:val="243"/>
        </w:trPr>
        <w:tc>
          <w:tcPr>
            <w:tcW w:w="8360" w:type="dxa"/>
            <w:vAlign w:val="bottom"/>
            <w:gridSpan w:val="2"/>
          </w:tcPr>
          <w:p>
            <w:pPr>
              <w:ind w:left="40"/>
              <w:spacing w:after="0"/>
              <w:rPr>
                <w:sz w:val="20"/>
                <w:szCs w:val="20"/>
                <w:color w:val="auto"/>
              </w:rPr>
            </w:pPr>
            <w:r>
              <w:rPr>
                <w:rFonts w:ascii="Arial" w:cs="Arial" w:eastAsia="Arial" w:hAnsi="Arial"/>
                <w:sz w:val="18"/>
                <w:szCs w:val="18"/>
                <w:color w:val="auto"/>
              </w:rPr>
              <w:t>Business reorganization (see Note 20)</w:t>
            </w: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b w:val="1"/>
                <w:bCs w:val="1"/>
                <w:color w:val="auto"/>
              </w:rPr>
              <w:t>72,074</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65,935</w:t>
            </w: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Compensation and benefits</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57,499</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44,843</w:t>
            </w:r>
          </w:p>
        </w:tc>
      </w:tr>
      <w:tr>
        <w:trPr>
          <w:trHeight w:val="243"/>
        </w:trPr>
        <w:tc>
          <w:tcPr>
            <w:tcW w:w="8360" w:type="dxa"/>
            <w:vAlign w:val="bottom"/>
            <w:gridSpan w:val="2"/>
          </w:tcPr>
          <w:p>
            <w:pPr>
              <w:ind w:left="40"/>
              <w:spacing w:after="0"/>
              <w:rPr>
                <w:sz w:val="20"/>
                <w:szCs w:val="20"/>
                <w:color w:val="auto"/>
              </w:rPr>
            </w:pPr>
            <w:r>
              <w:rPr>
                <w:rFonts w:ascii="Arial" w:cs="Arial" w:eastAsia="Arial" w:hAnsi="Arial"/>
                <w:sz w:val="18"/>
                <w:szCs w:val="18"/>
                <w:color w:val="auto"/>
              </w:rPr>
              <w:t>Licenses</w:t>
            </w: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b w:val="1"/>
                <w:bCs w:val="1"/>
                <w:color w:val="auto"/>
              </w:rPr>
              <w:t>43,261</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37,019</w:t>
            </w: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8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Deferred acquisition payments</w:t>
            </w: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25,000</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25,000</w:t>
            </w:r>
          </w:p>
        </w:tc>
      </w:tr>
      <w:tr>
        <w:trPr>
          <w:trHeight w:val="243"/>
        </w:trPr>
        <w:tc>
          <w:tcPr>
            <w:tcW w:w="8360" w:type="dxa"/>
            <w:vAlign w:val="bottom"/>
            <w:gridSpan w:val="2"/>
          </w:tcPr>
          <w:p>
            <w:pPr>
              <w:ind w:left="40"/>
              <w:spacing w:after="0"/>
              <w:rPr>
                <w:sz w:val="20"/>
                <w:szCs w:val="20"/>
                <w:color w:val="auto"/>
              </w:rPr>
            </w:pPr>
            <w:r>
              <w:rPr>
                <w:rFonts w:ascii="Arial" w:cs="Arial" w:eastAsia="Arial" w:hAnsi="Arial"/>
                <w:sz w:val="18"/>
                <w:szCs w:val="18"/>
                <w:color w:val="auto"/>
              </w:rPr>
              <w:t>Marketing and promotions</w:t>
            </w: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b w:val="1"/>
                <w:bCs w:val="1"/>
                <w:color w:val="auto"/>
              </w:rPr>
              <w:t>19,731</w:t>
            </w:r>
          </w:p>
        </w:tc>
        <w:tc>
          <w:tcPr>
            <w:tcW w:w="1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21,030</w:t>
            </w:r>
          </w:p>
        </w:tc>
      </w:tr>
      <w:tr>
        <w:trPr>
          <w:trHeight w:val="27"/>
        </w:trPr>
        <w:tc>
          <w:tcPr>
            <w:tcW w:w="8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8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3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96,671</w:t>
            </w:r>
          </w:p>
        </w:tc>
        <w:tc>
          <w:tcPr>
            <w:tcW w:w="100" w:type="dxa"/>
            <w:vAlign w:val="bottom"/>
            <w:tcBorders>
              <w:bottom w:val="single" w:sz="8" w:color="CCEEFF"/>
            </w:tcBorders>
            <w:shd w:val="clear" w:color="auto" w:fill="CCEEFF"/>
          </w:tcPr>
          <w:p>
            <w:pPr>
              <w:spacing w:after="0"/>
              <w:rPr>
                <w:sz w:val="23"/>
                <w:szCs w:val="23"/>
                <w:color w:val="auto"/>
              </w:rPr>
            </w:pPr>
          </w:p>
        </w:tc>
        <w:tc>
          <w:tcPr>
            <w:tcW w:w="4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64,915</w:t>
            </w:r>
          </w:p>
        </w:tc>
      </w:tr>
      <w:tr>
        <w:trPr>
          <w:trHeight w:val="237"/>
        </w:trPr>
        <w:tc>
          <w:tcPr>
            <w:tcW w:w="82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Accrued expenses and other current liabilities</w:t>
            </w:r>
          </w:p>
        </w:tc>
        <w:tc>
          <w:tcPr>
            <w:tcW w:w="120" w:type="dxa"/>
            <w:vAlign w:val="bottom"/>
          </w:tcPr>
          <w:p>
            <w:pPr>
              <w:spacing w:after="0"/>
              <w:rPr>
                <w:sz w:val="20"/>
                <w:szCs w:val="20"/>
                <w:color w:val="auto"/>
              </w:rPr>
            </w:pP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b w:val="1"/>
                <w:bCs w:val="1"/>
                <w:color w:val="auto"/>
              </w:rPr>
              <w:t>914,748</w:t>
            </w:r>
          </w:p>
        </w:tc>
        <w:tc>
          <w:tcPr>
            <w:tcW w:w="100" w:type="dxa"/>
            <w:vAlign w:val="bottom"/>
          </w:tcPr>
          <w:p>
            <w:pPr>
              <w:spacing w:after="0"/>
              <w:rPr>
                <w:sz w:val="20"/>
                <w:szCs w:val="20"/>
                <w:color w:val="auto"/>
              </w:rPr>
            </w:pPr>
          </w:p>
        </w:tc>
        <w:tc>
          <w:tcPr>
            <w:tcW w:w="44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750,875</w:t>
            </w:r>
          </w:p>
        </w:tc>
      </w:tr>
      <w:tr>
        <w:trPr>
          <w:trHeight w:val="27"/>
        </w:trPr>
        <w:tc>
          <w:tcPr>
            <w:tcW w:w="82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8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719" w:right="239" w:bottom="555" w:gutter="0" w:footer="0" w:header="0"/>
        </w:sect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73</w:t>
      </w:r>
    </w:p>
    <w:p>
      <w:pPr>
        <w:sectPr>
          <w:pgSz w:w="11900" w:h="16838" w:orient="portrait"/>
          <w:cols w:equalWidth="0" w:num="1">
            <w:col w:w="11420"/>
          </w:cols>
          <w:pgMar w:left="240" w:top="719" w:right="239" w:bottom="555" w:gutter="0" w:footer="0" w:header="0"/>
          <w:type w:val="continuous"/>
        </w:sectPr>
      </w:pPr>
    </w:p>
    <w:bookmarkStart w:id="75" w:name="page76"/>
    <w:bookmarkEnd w:id="75"/>
    <w:p>
      <w:pPr>
        <w:spacing w:after="0"/>
        <w:rPr>
          <w:sz w:val="20"/>
          <w:szCs w:val="20"/>
          <w:color w:val="auto"/>
        </w:rPr>
      </w:pPr>
      <w:r>
        <w:rPr>
          <w:rFonts w:ascii="Arial" w:cs="Arial" w:eastAsia="Arial" w:hAnsi="Arial"/>
          <w:sz w:val="18"/>
          <w:szCs w:val="18"/>
          <w:b w:val="1"/>
          <w:bCs w:val="1"/>
          <w:color w:val="auto"/>
        </w:rPr>
        <w:t>11.  DEBT</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Agreement</w:t>
      </w:r>
    </w:p>
    <w:p>
      <w:pPr>
        <w:spacing w:after="0" w:line="14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In December 2017, we entered into a Seventh Amendment to our Second Amended and Restated Credit Agreement (as amended, the “Credit Agreement”). The Credit Agreement provides for borrowings of up to $100,000 which may be increased by up to $100,000 pursuant to the terms of the Credit Agreement and which is secured by substantially all of our assets and the equity of our subsidiaries. The Credit Agreement expires on August 18, 2019. Revolving loans under the Credit Agreement bear interest at our election of (a) 0.25% to 0.75% above a certain base rate (4.75% at March 31, 2018), or (b) 1.25% to 1.75% above the LIBOR Rate (approximately 1.88% at March 31, 2018), with the margin rate subject to the achievement of certain average liquidity levels. We are also required to pay a monthly fee on the unused available balance, ranging from 0.25% to 0.375% based on availability. We had no outstanding borrowings at March 31, 2018 and 2017.</w:t>
      </w:r>
    </w:p>
    <w:p>
      <w:pPr>
        <w:spacing w:after="0" w:line="10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Availability under the Credit Agreement is unrestricted when liquidity, as defined in the Credit Agreement, is at least $300,000. When liquidity is below $300,000 availability under the Credit Agreement is restricted by our United States and United Kingdom based accounts receivable and inventory balances. The Credit Agreement also allows for the issuance of letters of credit in an aggregate amount of up to $5,000.</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Information related to availability on our Credit Agreement is as follows: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2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3"/>
          </w:tcPr>
          <w:p>
            <w:pPr>
              <w:jc w:val="right"/>
              <w:ind w:right="70"/>
              <w:spacing w:after="0"/>
              <w:rPr>
                <w:sz w:val="20"/>
                <w:szCs w:val="20"/>
                <w:color w:val="auto"/>
              </w:rPr>
            </w:pPr>
            <w:r>
              <w:rPr>
                <w:rFonts w:ascii="Arial" w:cs="Arial" w:eastAsia="Arial" w:hAnsi="Arial"/>
                <w:sz w:val="14"/>
                <w:szCs w:val="14"/>
                <w:b w:val="1"/>
                <w:bCs w:val="1"/>
                <w:color w:val="auto"/>
              </w:rPr>
              <w:t>March 31,</w:t>
            </w:r>
          </w:p>
        </w:tc>
        <w:tc>
          <w:tcPr>
            <w:tcW w:w="1040" w:type="dxa"/>
            <w:vAlign w:val="bottom"/>
            <w:tcBorders>
              <w:bottom w:val="single" w:sz="8" w:color="auto"/>
            </w:tcBorders>
          </w:tcPr>
          <w:p>
            <w:pPr>
              <w:spacing w:after="0"/>
              <w:rPr>
                <w:sz w:val="16"/>
                <w:szCs w:val="16"/>
                <w:color w:val="auto"/>
              </w:rPr>
            </w:pPr>
          </w:p>
        </w:tc>
      </w:tr>
      <w:tr>
        <w:trPr>
          <w:trHeight w:val="264"/>
        </w:trPr>
        <w:tc>
          <w:tcPr>
            <w:tcW w:w="82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2017</w:t>
            </w:r>
          </w:p>
        </w:tc>
      </w:tr>
      <w:tr>
        <w:trPr>
          <w:trHeight w:val="250"/>
        </w:trPr>
        <w:tc>
          <w:tcPr>
            <w:tcW w:w="83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Available borrowings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b w:val="1"/>
                <w:bCs w:val="1"/>
                <w:color w:val="auto"/>
              </w:rPr>
              <w:t>98,335</w:t>
            </w:r>
          </w:p>
        </w:tc>
        <w:tc>
          <w:tcPr>
            <w:tcW w:w="10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98,320</w:t>
            </w:r>
          </w:p>
        </w:tc>
      </w:tr>
      <w:tr>
        <w:trPr>
          <w:trHeight w:val="243"/>
        </w:trPr>
        <w:tc>
          <w:tcPr>
            <w:tcW w:w="8360" w:type="dxa"/>
            <w:vAlign w:val="bottom"/>
            <w:gridSpan w:val="2"/>
          </w:tcPr>
          <w:p>
            <w:pPr>
              <w:ind w:left="40"/>
              <w:spacing w:after="0"/>
              <w:rPr>
                <w:sz w:val="20"/>
                <w:szCs w:val="20"/>
                <w:color w:val="auto"/>
              </w:rPr>
            </w:pPr>
            <w:r>
              <w:rPr>
                <w:rFonts w:ascii="Arial" w:cs="Arial" w:eastAsia="Arial" w:hAnsi="Arial"/>
                <w:sz w:val="18"/>
                <w:szCs w:val="18"/>
                <w:color w:val="auto"/>
              </w:rPr>
              <w:t>Outstanding letters of credit</w:t>
            </w:r>
          </w:p>
        </w:tc>
        <w:tc>
          <w:tcPr>
            <w:tcW w:w="360" w:type="dxa"/>
            <w:vAlign w:val="bottom"/>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Pr>
          <w:p>
            <w:pPr>
              <w:jc w:val="right"/>
              <w:ind w:right="19"/>
              <w:spacing w:after="0"/>
              <w:rPr>
                <w:sz w:val="20"/>
                <w:szCs w:val="20"/>
                <w:color w:val="auto"/>
              </w:rPr>
            </w:pPr>
            <w:r>
              <w:rPr>
                <w:rFonts w:ascii="Arial" w:cs="Arial" w:eastAsia="Arial" w:hAnsi="Arial"/>
                <w:sz w:val="18"/>
                <w:szCs w:val="18"/>
                <w:b w:val="1"/>
                <w:bCs w:val="1"/>
                <w:color w:val="auto"/>
              </w:rPr>
              <w:t>1,664</w:t>
            </w:r>
          </w:p>
        </w:tc>
        <w:tc>
          <w:tcPr>
            <w:tcW w:w="100" w:type="dxa"/>
            <w:vAlign w:val="bottom"/>
          </w:tcPr>
          <w:p>
            <w:pPr>
              <w:spacing w:after="0"/>
              <w:rPr>
                <w:sz w:val="21"/>
                <w:szCs w:val="21"/>
                <w:color w:val="auto"/>
              </w:rPr>
            </w:pPr>
          </w:p>
        </w:tc>
        <w:tc>
          <w:tcPr>
            <w:tcW w:w="440" w:type="dxa"/>
            <w:vAlign w:val="bottom"/>
          </w:tcPr>
          <w:p>
            <w:pPr>
              <w:jc w:val="right"/>
              <w:ind w:right="23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6"/>
              <w:spacing w:after="0"/>
              <w:rPr>
                <w:sz w:val="20"/>
                <w:szCs w:val="20"/>
                <w:color w:val="auto"/>
              </w:rPr>
            </w:pPr>
            <w:r>
              <w:rPr>
                <w:rFonts w:ascii="Arial" w:cs="Arial" w:eastAsia="Arial" w:hAnsi="Arial"/>
                <w:sz w:val="18"/>
                <w:szCs w:val="18"/>
                <w:color w:val="auto"/>
              </w:rPr>
              <w:t>1,664</w:t>
            </w:r>
          </w:p>
        </w:tc>
      </w:tr>
    </w:tbl>
    <w:p>
      <w:pPr>
        <w:spacing w:after="0" w:line="148" w:lineRule="exact"/>
        <w:rPr>
          <w:sz w:val="20"/>
          <w:szCs w:val="20"/>
          <w:color w:val="auto"/>
        </w:rPr>
      </w:pPr>
    </w:p>
    <w:p>
      <w:pPr>
        <w:jc w:val="both"/>
        <w:spacing w:after="0" w:line="253" w:lineRule="auto"/>
        <w:rPr>
          <w:sz w:val="20"/>
          <w:szCs w:val="20"/>
          <w:color w:val="auto"/>
        </w:rPr>
      </w:pPr>
      <w:r>
        <w:rPr>
          <w:rFonts w:ascii="Arial" w:cs="Arial" w:eastAsia="Arial" w:hAnsi="Arial"/>
          <w:sz w:val="18"/>
          <w:szCs w:val="18"/>
          <w:color w:val="auto"/>
        </w:rPr>
        <w:t>We recorded interest expense and fees related to the Credit Agreement of $441, $441 and $438, for the fiscal years ended March 31, 2018, 2017 and 2016, respectively. The Credit Agreement contains covenants that substantially limit our and our subsidiaries' ability to: create, incur, assume or be liable for indebtedness; dispose of assets outside the ordinary course of business; acquire, merge or consolidate with or into another person or entity; create, incur or allow any lien on any of their respective properties; make investments; or pay dividends or make distributions (each subject to certain limitations); or optionally prepay any indebtedness (subject to certain exceptions, including an exception permitting the redemption of the Company's unsecured convertible senior notes upon the meeting of certain minimum liquidity requirements). In addition, the Credit Agreement provides for certain events of default such as nonpayment of principal and interest, breaches of representations and warranties, noncompliance with covenants, acts of insolvency, default on indebtedness held by third parties and default on certain material contracts (subject to certain limitations and cure periods). The Credit Agreement also contains a requirement that we maintain an interest coverage ratio of more than one to one for the trailing twelve-month period, if certain average liquidity levels fall below $30,000.</w:t>
      </w:r>
    </w:p>
    <w:p>
      <w:pPr>
        <w:spacing w:after="0" w:line="2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1.00% Convertible Notes Due 2018</w:t>
      </w:r>
    </w:p>
    <w:p>
      <w:pPr>
        <w:spacing w:after="0" w:line="27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On June 18, 2013, we issued $250,000 aggregate principal amount of 1.00% Convertible Notes due 2018. The 1.00% Convertible Notes were issued at 98.5% of par value for proceeds of $246,250. Interest on the 1.00% Convertible Notes is payable semi-annually in arrears on July 1</w:t>
      </w:r>
      <w:r>
        <w:rPr>
          <w:rFonts w:ascii="Arial" w:cs="Arial" w:eastAsia="Arial" w:hAnsi="Arial"/>
          <w:sz w:val="13"/>
          <w:szCs w:val="13"/>
          <w:color w:val="auto"/>
        </w:rPr>
        <w:t>st</w:t>
      </w:r>
      <w:r>
        <w:rPr>
          <w:rFonts w:ascii="Arial" w:cs="Arial" w:eastAsia="Arial" w:hAnsi="Arial"/>
          <w:sz w:val="17"/>
          <w:szCs w:val="17"/>
          <w:color w:val="auto"/>
        </w:rPr>
        <w:t xml:space="preserve"> and January 1</w:t>
      </w:r>
      <w:r>
        <w:rPr>
          <w:rFonts w:ascii="Arial" w:cs="Arial" w:eastAsia="Arial" w:hAnsi="Arial"/>
          <w:sz w:val="13"/>
          <w:szCs w:val="13"/>
          <w:color w:val="auto"/>
        </w:rPr>
        <w:t>st</w:t>
      </w:r>
      <w:r>
        <w:rPr>
          <w:rFonts w:ascii="Arial" w:cs="Arial" w:eastAsia="Arial" w:hAnsi="Arial"/>
          <w:sz w:val="17"/>
          <w:szCs w:val="17"/>
          <w:color w:val="auto"/>
        </w:rPr>
        <w:t xml:space="preserve"> of each year, commencing on January 1, 2014. The 1.00% Convertible Notes mature on July 1, 2018, unless earlier repurchased by the Company or converted. The Company does not have the right to redeem the 1.00% Convertible Notes prior to maturity. The Company also granted the underwriters a 30-day option to purchase up to an additional $37,500 principal amount of 1.00% Convertible Notes to cover overallotments, if any. On July 17, 2013, the Company closed its public offering of $37,500 principal amount of the Company's 1.00% Convertible Notes as a result of the underwriters exercising their overallotment option in full on July 12, 2013, bringing the total proceeds to $283,188.</w:t>
      </w:r>
    </w:p>
    <w:p>
      <w:pPr>
        <w:spacing w:after="0" w:line="22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1.00% Convertible Notes are convertible at an initial conversion rate of 46.4727 shares of our common stock per $1 principal amount of 1.00% Convertible Notes (representing an initial conversion price of approximately $21.52 per share of common stock for a total of approximately 13,361 underlying conversion shares) subject to adjustment in certain circumstances.</w:t>
      </w:r>
    </w:p>
    <w:p>
      <w:pPr>
        <w:spacing w:after="0" w:line="23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During the fiscal year ended March 31, 2018, 1.00% Convertible Notes with an aggregate principal value of $259,989 were submitted for conversion. We elected to settle the conversion in shares of our common stock. As a result of early conversions of the 1.00% Convertible Notes, we recorded a gain within Interest and other, net on our Consolidated Statement of Operations of $4,900 for the fiscal year ended March 31, 2018.</w:t>
      </w: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420"/>
          </w:cols>
          <w:pgMar w:left="240" w:top="715" w:right="239" w:bottom="1440" w:gutter="0" w:footer="0" w:header="0"/>
        </w:sectPr>
      </w:pPr>
    </w:p>
    <w:bookmarkStart w:id="76" w:name="page77"/>
    <w:bookmarkEnd w:id="76"/>
    <w:p>
      <w:pPr>
        <w:spacing w:after="0"/>
        <w:rPr>
          <w:sz w:val="20"/>
          <w:szCs w:val="20"/>
          <w:color w:val="auto"/>
        </w:rPr>
      </w:pPr>
      <w:r>
        <w:rPr>
          <w:rFonts w:ascii="Arial" w:cs="Arial" w:eastAsia="Arial" w:hAnsi="Arial"/>
          <w:sz w:val="18"/>
          <w:szCs w:val="18"/>
          <w:color w:val="auto"/>
        </w:rPr>
        <w:t>The following table provides additional information related to our 1.00% Convertible Notes: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4"/>
                <w:szCs w:val="14"/>
                <w:b w:val="1"/>
                <w:bCs w:val="1"/>
                <w:color w:val="auto"/>
              </w:rPr>
              <w:t>March 31,</w:t>
            </w:r>
          </w:p>
        </w:tc>
        <w:tc>
          <w:tcPr>
            <w:tcW w:w="960" w:type="dxa"/>
            <w:vAlign w:val="bottom"/>
            <w:tcBorders>
              <w:bottom w:val="single" w:sz="8" w:color="auto"/>
            </w:tcBorders>
          </w:tcPr>
          <w:p>
            <w:pPr>
              <w:spacing w:after="0"/>
              <w:rPr>
                <w:sz w:val="16"/>
                <w:szCs w:val="16"/>
                <w:color w:val="auto"/>
              </w:rPr>
            </w:pPr>
          </w:p>
        </w:tc>
      </w:tr>
      <w:tr>
        <w:trPr>
          <w:trHeight w:val="264"/>
        </w:trPr>
        <w:tc>
          <w:tcPr>
            <w:tcW w:w="84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455"/>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2017</w:t>
            </w:r>
          </w:p>
        </w:tc>
      </w:tr>
      <w:tr>
        <w:trPr>
          <w:trHeight w:val="270"/>
        </w:trPr>
        <w:tc>
          <w:tcPr>
            <w:tcW w:w="8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Additional paid-in capital</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0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35,784</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35,784</w:t>
            </w:r>
          </w:p>
        </w:tc>
      </w:tr>
      <w:tr>
        <w:trPr>
          <w:trHeight w:val="237"/>
        </w:trPr>
        <w:tc>
          <w:tcPr>
            <w:tcW w:w="8580" w:type="dxa"/>
            <w:vAlign w:val="bottom"/>
            <w:gridSpan w:val="2"/>
          </w:tcPr>
          <w:p>
            <w:pPr>
              <w:ind w:left="40"/>
              <w:spacing w:after="0"/>
              <w:rPr>
                <w:sz w:val="20"/>
                <w:szCs w:val="20"/>
                <w:color w:val="auto"/>
              </w:rPr>
            </w:pPr>
            <w:r>
              <w:rPr>
                <w:rFonts w:ascii="Arial" w:cs="Arial" w:eastAsia="Arial" w:hAnsi="Arial"/>
                <w:sz w:val="18"/>
                <w:szCs w:val="18"/>
                <w:color w:val="auto"/>
              </w:rPr>
              <w:t>Principal amount of 1.00% Convertible Notes</w:t>
            </w: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020" w:type="dxa"/>
            <w:vAlign w:val="bottom"/>
            <w:tcBorders>
              <w:top w:val="single" w:sz="8" w:color="auto"/>
            </w:tcBorders>
          </w:tcPr>
          <w:p>
            <w:pPr>
              <w:jc w:val="right"/>
              <w:ind w:right="15"/>
              <w:spacing w:after="0"/>
              <w:rPr>
                <w:sz w:val="20"/>
                <w:szCs w:val="20"/>
                <w:color w:val="auto"/>
              </w:rPr>
            </w:pPr>
            <w:r>
              <w:rPr>
                <w:rFonts w:ascii="Arial" w:cs="Arial" w:eastAsia="Arial" w:hAnsi="Arial"/>
                <w:sz w:val="18"/>
                <w:szCs w:val="18"/>
                <w:b w:val="1"/>
                <w:bCs w:val="1"/>
                <w:color w:val="auto"/>
              </w:rPr>
              <w:t>8,160</w:t>
            </w:r>
          </w:p>
        </w:tc>
        <w:tc>
          <w:tcPr>
            <w:tcW w:w="120" w:type="dxa"/>
            <w:vAlign w:val="bottom"/>
          </w:tcPr>
          <w:p>
            <w:pPr>
              <w:spacing w:after="0"/>
              <w:rPr>
                <w:sz w:val="20"/>
                <w:szCs w:val="20"/>
                <w:color w:val="auto"/>
              </w:rPr>
            </w:pPr>
          </w:p>
        </w:tc>
        <w:tc>
          <w:tcPr>
            <w:tcW w:w="400" w:type="dxa"/>
            <w:vAlign w:val="bottom"/>
            <w:tcBorders>
              <w:top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268,149</w:t>
            </w:r>
          </w:p>
        </w:tc>
      </w:tr>
      <w:tr>
        <w:trPr>
          <w:trHeight w:val="27"/>
        </w:trPr>
        <w:tc>
          <w:tcPr>
            <w:tcW w:w="8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960" w:type="dxa"/>
            <w:vAlign w:val="bottom"/>
          </w:tcPr>
          <w:p>
            <w:pPr>
              <w:spacing w:after="0"/>
              <w:rPr>
                <w:sz w:val="2"/>
                <w:szCs w:val="2"/>
                <w:color w:val="auto"/>
              </w:rPr>
            </w:pPr>
          </w:p>
        </w:tc>
      </w:tr>
      <w:tr>
        <w:trPr>
          <w:trHeight w:val="250"/>
        </w:trPr>
        <w:tc>
          <w:tcPr>
            <w:tcW w:w="8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Unamortized discount of the liability component</w:t>
            </w:r>
          </w:p>
        </w:tc>
        <w:tc>
          <w:tcPr>
            <w:tcW w:w="3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89</w:t>
            </w:r>
          </w:p>
        </w:tc>
        <w:tc>
          <w:tcPr>
            <w:tcW w:w="120" w:type="dxa"/>
            <w:vAlign w:val="bottom"/>
            <w:tcBorders>
              <w:bottom w:val="single" w:sz="8" w:color="CCEEFF"/>
            </w:tcBorders>
            <w:shd w:val="clear" w:color="auto" w:fill="CCEEFF"/>
          </w:tcPr>
          <w:p>
            <w:pPr>
              <w:spacing w:after="0"/>
              <w:rPr>
                <w:sz w:val="21"/>
                <w:szCs w:val="21"/>
                <w:color w:val="auto"/>
              </w:rPr>
            </w:pPr>
          </w:p>
        </w:tc>
        <w:tc>
          <w:tcPr>
            <w:tcW w:w="4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15,751</w:t>
            </w:r>
          </w:p>
        </w:tc>
      </w:tr>
      <w:tr>
        <w:trPr>
          <w:trHeight w:val="243"/>
        </w:trPr>
        <w:tc>
          <w:tcPr>
            <w:tcW w:w="8580" w:type="dxa"/>
            <w:vAlign w:val="bottom"/>
            <w:gridSpan w:val="2"/>
          </w:tcPr>
          <w:p>
            <w:pPr>
              <w:ind w:left="40"/>
              <w:spacing w:after="0"/>
              <w:rPr>
                <w:sz w:val="20"/>
                <w:szCs w:val="20"/>
                <w:color w:val="auto"/>
              </w:rPr>
            </w:pPr>
            <w:r>
              <w:rPr>
                <w:rFonts w:ascii="Arial" w:cs="Arial" w:eastAsia="Arial" w:hAnsi="Arial"/>
                <w:sz w:val="18"/>
                <w:szCs w:val="18"/>
                <w:color w:val="auto"/>
              </w:rPr>
              <w:t>Carrying amount of debt issuance costs</w:t>
            </w:r>
          </w:p>
        </w:tc>
        <w:tc>
          <w:tcPr>
            <w:tcW w:w="340" w:type="dxa"/>
            <w:vAlign w:val="bottom"/>
          </w:tcPr>
          <w:p>
            <w:pPr>
              <w:spacing w:after="0"/>
              <w:rPr>
                <w:sz w:val="21"/>
                <w:szCs w:val="21"/>
                <w:color w:val="auto"/>
              </w:rPr>
            </w:pPr>
          </w:p>
        </w:tc>
        <w:tc>
          <w:tcPr>
            <w:tcW w:w="1020" w:type="dxa"/>
            <w:vAlign w:val="bottom"/>
          </w:tcPr>
          <w:p>
            <w:pPr>
              <w:jc w:val="right"/>
              <w:ind w:right="15"/>
              <w:spacing w:after="0"/>
              <w:rPr>
                <w:sz w:val="20"/>
                <w:szCs w:val="20"/>
                <w:color w:val="auto"/>
              </w:rPr>
            </w:pPr>
            <w:r>
              <w:rPr>
                <w:rFonts w:ascii="Arial" w:cs="Arial" w:eastAsia="Arial" w:hAnsi="Arial"/>
                <w:sz w:val="18"/>
                <w:szCs w:val="18"/>
                <w:b w:val="1"/>
                <w:bCs w:val="1"/>
                <w:color w:val="auto"/>
              </w:rPr>
              <w:t>3</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960" w:type="dxa"/>
            <w:vAlign w:val="bottom"/>
          </w:tcPr>
          <w:p>
            <w:pPr>
              <w:jc w:val="right"/>
              <w:ind w:right="13"/>
              <w:spacing w:after="0"/>
              <w:rPr>
                <w:sz w:val="20"/>
                <w:szCs w:val="20"/>
                <w:color w:val="auto"/>
              </w:rPr>
            </w:pPr>
            <w:r>
              <w:rPr>
                <w:rFonts w:ascii="Arial" w:cs="Arial" w:eastAsia="Arial" w:hAnsi="Arial"/>
                <w:sz w:val="18"/>
                <w:szCs w:val="18"/>
                <w:color w:val="auto"/>
              </w:rPr>
              <w:t>469</w:t>
            </w:r>
          </w:p>
        </w:tc>
      </w:tr>
      <w:tr>
        <w:trPr>
          <w:trHeight w:val="27"/>
        </w:trPr>
        <w:tc>
          <w:tcPr>
            <w:tcW w:w="84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r>
      <w:tr>
        <w:trPr>
          <w:trHeight w:val="269"/>
        </w:trPr>
        <w:tc>
          <w:tcPr>
            <w:tcW w:w="85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carrying amount of 1.00% Convertible Notes</w:t>
            </w: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02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8,068</w:t>
            </w:r>
          </w:p>
        </w:tc>
        <w:tc>
          <w:tcPr>
            <w:tcW w:w="12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251,929</w:t>
            </w:r>
          </w:p>
        </w:tc>
      </w:tr>
      <w:tr>
        <w:trPr>
          <w:trHeight w:val="20"/>
        </w:trPr>
        <w:tc>
          <w:tcPr>
            <w:tcW w:w="84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r>
    </w:tbl>
    <w:p>
      <w:pPr>
        <w:spacing w:after="0" w:line="33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of March 31, 2018 and 2017, the if-converted value of our 1.00% Convertible Notes exceeded the principal amount of $8,160 and $268,149, respectively, by $28,639 and $470,456, respectively.</w:t>
      </w:r>
    </w:p>
    <w:p>
      <w:pPr>
        <w:spacing w:after="0" w:line="8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of April 1, 2018 until the close of business on the business day immediately preceding the maturity date, holders may convert their 1.00% Convertible Notes at any time. Prior to April 26, 2018, upon conversion, the 1.00% Convertible Notes were eligible to be settled, at our election, in cash, shares of our common stock, or a combination of cash and shares of our common stock. Effective April 26, 2018, we elected to settle our remaining conversion obligations in connection with the 1.00% Convertible Notes solely in shares of our common stock and accordingly notified the Trustee. As such, we have continued to classify these 1.00% Convertible Notes as long-term debt.</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the components of interest expense related to our 1.00% Convertible Notes: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2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6"/>
          </w:tcPr>
          <w:p>
            <w:pPr>
              <w:jc w:val="right"/>
              <w:ind w:right="70"/>
              <w:spacing w:after="0"/>
              <w:rPr>
                <w:sz w:val="20"/>
                <w:szCs w:val="20"/>
                <w:color w:val="auto"/>
              </w:rPr>
            </w:pPr>
            <w:r>
              <w:rPr>
                <w:rFonts w:ascii="Arial" w:cs="Arial" w:eastAsia="Arial" w:hAnsi="Arial"/>
                <w:sz w:val="14"/>
                <w:szCs w:val="14"/>
                <w:b w:val="1"/>
                <w:bCs w:val="1"/>
                <w:color w:val="auto"/>
              </w:rPr>
              <w:t>Fiscal Year Ended March 31,</w:t>
            </w:r>
          </w:p>
        </w:tc>
        <w:tc>
          <w:tcPr>
            <w:tcW w:w="920" w:type="dxa"/>
            <w:vAlign w:val="bottom"/>
            <w:tcBorders>
              <w:bottom w:val="single" w:sz="8" w:color="auto"/>
            </w:tcBorders>
          </w:tcPr>
          <w:p>
            <w:pPr>
              <w:spacing w:after="0"/>
              <w:rPr>
                <w:sz w:val="16"/>
                <w:szCs w:val="16"/>
                <w:color w:val="auto"/>
              </w:rPr>
            </w:pPr>
          </w:p>
        </w:tc>
      </w:tr>
      <w:tr>
        <w:trPr>
          <w:trHeight w:val="264"/>
        </w:trPr>
        <w:tc>
          <w:tcPr>
            <w:tcW w:w="5120" w:type="dxa"/>
            <w:vAlign w:val="bottom"/>
            <w:tcBorders>
              <w:bottom w:val="single" w:sz="8" w:color="auto"/>
            </w:tcBorders>
          </w:tcPr>
          <w:p>
            <w:pPr>
              <w:spacing w:after="0"/>
              <w:rPr>
                <w:sz w:val="22"/>
                <w:szCs w:val="22"/>
                <w:color w:val="auto"/>
              </w:rPr>
            </w:pPr>
          </w:p>
        </w:tc>
        <w:tc>
          <w:tcPr>
            <w:tcW w:w="22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1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94"/>
              <w:spacing w:after="0"/>
              <w:rPr>
                <w:sz w:val="20"/>
                <w:szCs w:val="20"/>
                <w:color w:val="auto"/>
              </w:rPr>
            </w:pPr>
            <w:r>
              <w:rPr>
                <w:rFonts w:ascii="Arial" w:cs="Arial" w:eastAsia="Arial" w:hAnsi="Arial"/>
                <w:sz w:val="14"/>
                <w:szCs w:val="14"/>
                <w:b w:val="1"/>
                <w:bCs w:val="1"/>
                <w:color w:val="auto"/>
              </w:rPr>
              <w:t>2016</w:t>
            </w:r>
          </w:p>
        </w:tc>
      </w:tr>
      <w:tr>
        <w:trPr>
          <w:trHeight w:val="25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interest expense (coupon interest expense)</w:t>
            </w:r>
          </w:p>
        </w:tc>
        <w:tc>
          <w:tcPr>
            <w:tcW w:w="2620" w:type="dxa"/>
            <w:vAlign w:val="bottom"/>
            <w:tcBorders>
              <w:bottom w:val="single" w:sz="8" w:color="CCEEFF"/>
            </w:tcBorders>
            <w:gridSpan w:val="3"/>
            <w:shd w:val="clear" w:color="auto" w:fill="CCEEFF"/>
          </w:tcPr>
          <w:p>
            <w:pPr>
              <w:jc w:val="right"/>
              <w:ind w:right="90"/>
              <w:spacing w:after="0"/>
              <w:rPr>
                <w:sz w:val="20"/>
                <w:szCs w:val="20"/>
                <w:color w:val="auto"/>
              </w:rPr>
            </w:pPr>
            <w:r>
              <w:rPr>
                <w:rFonts w:ascii="Arial" w:cs="Arial" w:eastAsia="Arial" w:hAnsi="Arial"/>
                <w:sz w:val="18"/>
                <w:szCs w:val="18"/>
                <w:b w:val="1"/>
                <w:bCs w:val="1"/>
                <w:color w:val="auto"/>
              </w:rPr>
              <w:t>$</w:t>
            </w:r>
          </w:p>
        </w:tc>
        <w:tc>
          <w:tcPr>
            <w:tcW w:w="9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b w:val="1"/>
                <w:bCs w:val="1"/>
                <w:color w:val="auto"/>
              </w:rPr>
              <w:t>539</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2,784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2,875</w:t>
            </w: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Non-cash amortization of discount on 1.00% Convertible Notes</w:t>
            </w:r>
          </w:p>
        </w:tc>
        <w:tc>
          <w:tcPr>
            <w:tcW w:w="2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6"/>
              <w:spacing w:after="0"/>
              <w:rPr>
                <w:sz w:val="20"/>
                <w:szCs w:val="20"/>
                <w:color w:val="auto"/>
              </w:rPr>
            </w:pPr>
            <w:r>
              <w:rPr>
                <w:rFonts w:ascii="Arial" w:cs="Arial" w:eastAsia="Arial" w:hAnsi="Arial"/>
                <w:sz w:val="18"/>
                <w:szCs w:val="18"/>
                <w:b w:val="1"/>
                <w:bCs w:val="1"/>
                <w:color w:val="auto"/>
              </w:rPr>
              <w:t>15,662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color w:val="auto"/>
              </w:rPr>
              <w:t>14,221</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14"/>
              <w:spacing w:after="0"/>
              <w:rPr>
                <w:sz w:val="20"/>
                <w:szCs w:val="20"/>
                <w:color w:val="auto"/>
              </w:rPr>
            </w:pPr>
            <w:r>
              <w:rPr>
                <w:rFonts w:ascii="Arial" w:cs="Arial" w:eastAsia="Arial" w:hAnsi="Arial"/>
                <w:sz w:val="18"/>
                <w:szCs w:val="18"/>
                <w:color w:val="auto"/>
              </w:rPr>
              <w:t>12,085</w:t>
            </w:r>
          </w:p>
        </w:tc>
      </w:tr>
      <w:tr>
        <w:trPr>
          <w:trHeight w:val="27"/>
        </w:trPr>
        <w:tc>
          <w:tcPr>
            <w:tcW w:w="5120" w:type="dxa"/>
            <w:vAlign w:val="bottom"/>
          </w:tcPr>
          <w:p>
            <w:pPr>
              <w:spacing w:after="0"/>
              <w:rPr>
                <w:sz w:val="2"/>
                <w:szCs w:val="2"/>
                <w:color w:val="auto"/>
              </w:rPr>
            </w:pPr>
          </w:p>
        </w:tc>
        <w:tc>
          <w:tcPr>
            <w:tcW w:w="22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70"/>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Amortization of debt issuance costs</w:t>
            </w:r>
          </w:p>
        </w:tc>
        <w:tc>
          <w:tcPr>
            <w:tcW w:w="22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b w:val="1"/>
                <w:bCs w:val="1"/>
                <w:color w:val="auto"/>
              </w:rPr>
              <w:t>466</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453</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443</w:t>
            </w:r>
          </w:p>
        </w:tc>
      </w:tr>
      <w:tr>
        <w:trPr>
          <w:trHeight w:val="237"/>
        </w:trPr>
        <w:tc>
          <w:tcPr>
            <w:tcW w:w="51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interest expense related to 1.00% Convertible Notes</w:t>
            </w:r>
          </w:p>
        </w:tc>
        <w:tc>
          <w:tcPr>
            <w:tcW w:w="22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9"/>
              </w:rPr>
              <w:t>$</w:t>
            </w:r>
          </w:p>
        </w:tc>
        <w:tc>
          <w:tcPr>
            <w:tcW w:w="96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b w:val="1"/>
                <w:bCs w:val="1"/>
                <w:color w:val="auto"/>
              </w:rPr>
              <w:t>16,667</w:t>
            </w:r>
          </w:p>
        </w:tc>
        <w:tc>
          <w:tcPr>
            <w:tcW w:w="10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17,458</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15,403</w:t>
            </w:r>
          </w:p>
        </w:tc>
      </w:tr>
      <w:tr>
        <w:trPr>
          <w:trHeight w:val="27"/>
        </w:trPr>
        <w:tc>
          <w:tcPr>
            <w:tcW w:w="512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0"/>
        </w:trPr>
        <w:tc>
          <w:tcPr>
            <w:tcW w:w="5120" w:type="dxa"/>
            <w:vAlign w:val="bottom"/>
            <w:tcBorders>
              <w:bottom w:val="single" w:sz="8" w:color="auto"/>
            </w:tcBorders>
          </w:tcPr>
          <w:p>
            <w:pPr>
              <w:spacing w:after="0" w:line="20" w:lineRule="exact"/>
              <w:rPr>
                <w:sz w:val="1"/>
                <w:szCs w:val="1"/>
                <w:color w:val="auto"/>
              </w:rPr>
            </w:pPr>
          </w:p>
        </w:tc>
        <w:tc>
          <w:tcPr>
            <w:tcW w:w="2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r>
        <w:trPr>
          <w:trHeight w:val="656"/>
        </w:trPr>
        <w:tc>
          <w:tcPr>
            <w:tcW w:w="5120" w:type="dxa"/>
            <w:vAlign w:val="bottom"/>
          </w:tcPr>
          <w:p>
            <w:pPr>
              <w:spacing w:after="0"/>
              <w:rPr>
                <w:sz w:val="24"/>
                <w:szCs w:val="24"/>
                <w:color w:val="auto"/>
              </w:rPr>
            </w:pPr>
          </w:p>
        </w:tc>
        <w:tc>
          <w:tcPr>
            <w:tcW w:w="2200" w:type="dxa"/>
            <w:vAlign w:val="bottom"/>
          </w:tcPr>
          <w:p>
            <w:pPr>
              <w:jc w:val="right"/>
              <w:ind w:right="1430"/>
              <w:spacing w:after="0"/>
              <w:rPr>
                <w:sz w:val="20"/>
                <w:szCs w:val="20"/>
                <w:color w:val="auto"/>
              </w:rPr>
            </w:pPr>
            <w:r>
              <w:rPr>
                <w:rFonts w:ascii="Arial" w:cs="Arial" w:eastAsia="Arial" w:hAnsi="Arial"/>
                <w:sz w:val="18"/>
                <w:szCs w:val="18"/>
                <w:color w:val="auto"/>
              </w:rPr>
              <w:t>75</w:t>
            </w: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r>
    </w:tbl>
    <w:p>
      <w:pPr>
        <w:sectPr>
          <w:pgSz w:w="11900" w:h="16838" w:orient="portrait"/>
          <w:cols w:equalWidth="0" w:num="1">
            <w:col w:w="11420"/>
          </w:cols>
          <w:pgMar w:left="240" w:top="719" w:right="239" w:bottom="1440" w:gutter="0" w:footer="0" w:header="0"/>
        </w:sectPr>
      </w:pPr>
    </w:p>
    <w:bookmarkStart w:id="77" w:name="page78"/>
    <w:bookmarkEnd w:id="77"/>
    <w:p>
      <w:pPr>
        <w:spacing w:after="0"/>
        <w:rPr>
          <w:sz w:val="20"/>
          <w:szCs w:val="20"/>
          <w:color w:val="auto"/>
        </w:rPr>
      </w:pPr>
      <w:r>
        <w:rPr>
          <w:rFonts w:ascii="Arial" w:cs="Arial" w:eastAsia="Arial" w:hAnsi="Arial"/>
          <w:sz w:val="18"/>
          <w:szCs w:val="18"/>
          <w:b w:val="1"/>
          <w:bCs w:val="1"/>
          <w:color w:val="auto"/>
        </w:rPr>
        <w:t>12.  EARNINGS (LOSS) PER SHARE ("EPS")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the computation of basic and diluted EPS (in thousands except per share amounts):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2100" w:type="dxa"/>
            <w:vAlign w:val="bottom"/>
            <w:tcBorders>
              <w:bottom w:val="single" w:sz="8" w:color="auto"/>
            </w:tcBorders>
            <w:gridSpan w:val="4"/>
          </w:tcPr>
          <w:p>
            <w:pPr>
              <w:ind w:left="160"/>
              <w:spacing w:after="0"/>
              <w:rPr>
                <w:sz w:val="20"/>
                <w:szCs w:val="20"/>
                <w:color w:val="auto"/>
              </w:rPr>
            </w:pPr>
            <w:r>
              <w:rPr>
                <w:rFonts w:ascii="Arial" w:cs="Arial" w:eastAsia="Arial" w:hAnsi="Arial"/>
                <w:sz w:val="14"/>
                <w:szCs w:val="14"/>
                <w:b w:val="1"/>
                <w:bCs w:val="1"/>
                <w:color w:val="auto"/>
              </w:rPr>
              <w:t>Fiscal Year Ended March 31,</w:t>
            </w:r>
          </w:p>
        </w:tc>
        <w:tc>
          <w:tcPr>
            <w:tcW w:w="34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r>
      <w:tr>
        <w:trPr>
          <w:trHeight w:val="264"/>
        </w:trPr>
        <w:tc>
          <w:tcPr>
            <w:tcW w:w="63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2018</w:t>
            </w:r>
          </w:p>
        </w:tc>
        <w:tc>
          <w:tcPr>
            <w:tcW w:w="54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2016</w:t>
            </w:r>
          </w:p>
        </w:tc>
      </w:tr>
      <w:tr>
        <w:trPr>
          <w:trHeight w:val="250"/>
        </w:trPr>
        <w:tc>
          <w:tcPr>
            <w:tcW w:w="6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Computation of Basic earnings (loss) per share:</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r>
      <w:tr>
        <w:trPr>
          <w:trHeight w:val="243"/>
        </w:trPr>
        <w:tc>
          <w:tcPr>
            <w:tcW w:w="6440" w:type="dxa"/>
            <w:vAlign w:val="bottom"/>
            <w:gridSpan w:val="2"/>
          </w:tcPr>
          <w:p>
            <w:pPr>
              <w:ind w:left="180"/>
              <w:spacing w:after="0"/>
              <w:rPr>
                <w:sz w:val="20"/>
                <w:szCs w:val="20"/>
                <w:color w:val="auto"/>
              </w:rPr>
            </w:pPr>
            <w:r>
              <w:rPr>
                <w:rFonts w:ascii="Arial" w:cs="Arial" w:eastAsia="Arial" w:hAnsi="Arial"/>
                <w:sz w:val="18"/>
                <w:szCs w:val="18"/>
                <w:color w:val="auto"/>
              </w:rPr>
              <w:t>Net income (loss)</w:t>
            </w:r>
          </w:p>
        </w:tc>
        <w:tc>
          <w:tcPr>
            <w:tcW w:w="340" w:type="dxa"/>
            <w:vAlign w:val="bottom"/>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Pr>
          <w:p>
            <w:pPr>
              <w:jc w:val="right"/>
              <w:ind w:right="11"/>
              <w:spacing w:after="0"/>
              <w:rPr>
                <w:sz w:val="20"/>
                <w:szCs w:val="20"/>
                <w:color w:val="auto"/>
              </w:rPr>
            </w:pPr>
            <w:r>
              <w:rPr>
                <w:rFonts w:ascii="Arial" w:cs="Arial" w:eastAsia="Arial" w:hAnsi="Arial"/>
                <w:sz w:val="18"/>
                <w:szCs w:val="18"/>
                <w:b w:val="1"/>
                <w:bCs w:val="1"/>
                <w:color w:val="auto"/>
              </w:rPr>
              <w:t>173,533</w:t>
            </w:r>
          </w:p>
        </w:tc>
        <w:tc>
          <w:tcPr>
            <w:tcW w:w="88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67,303</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(8,302)</w:t>
            </w:r>
          </w:p>
        </w:tc>
      </w:tr>
      <w:tr>
        <w:trPr>
          <w:trHeight w:val="27"/>
        </w:trPr>
        <w:tc>
          <w:tcPr>
            <w:tcW w:w="6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70"/>
        </w:trPr>
        <w:tc>
          <w:tcPr>
            <w:tcW w:w="64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Less: net income allocated to participating securities</w:t>
            </w:r>
          </w:p>
        </w:tc>
        <w:tc>
          <w:tcPr>
            <w:tcW w:w="3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(159)</w:t>
            </w:r>
          </w:p>
        </w:tc>
        <w:tc>
          <w:tcPr>
            <w:tcW w:w="54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(1,275)</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632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Net income (loss) for basic earnings (loss) per share calculation</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173,374</w:t>
            </w:r>
          </w:p>
        </w:tc>
        <w:tc>
          <w:tcPr>
            <w:tcW w:w="54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66,028</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(8,302)</w:t>
            </w:r>
          </w:p>
        </w:tc>
      </w:tr>
      <w:tr>
        <w:trPr>
          <w:trHeight w:val="67"/>
        </w:trPr>
        <w:tc>
          <w:tcPr>
            <w:tcW w:w="63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54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r>
      <w:tr>
        <w:trPr>
          <w:trHeight w:val="231"/>
        </w:trPr>
        <w:tc>
          <w:tcPr>
            <w:tcW w:w="64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Total weighted average shares outstanding—basic</w:t>
            </w:r>
          </w:p>
        </w:tc>
        <w:tc>
          <w:tcPr>
            <w:tcW w:w="3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110,210</w:t>
            </w:r>
          </w:p>
        </w:tc>
        <w:tc>
          <w:tcPr>
            <w:tcW w:w="54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91,921</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83,417</w:t>
            </w:r>
          </w:p>
        </w:tc>
      </w:tr>
      <w:tr>
        <w:trPr>
          <w:trHeight w:val="243"/>
        </w:trPr>
        <w:tc>
          <w:tcPr>
            <w:tcW w:w="6440" w:type="dxa"/>
            <w:vAlign w:val="bottom"/>
            <w:gridSpan w:val="2"/>
          </w:tcPr>
          <w:p>
            <w:pPr>
              <w:ind w:left="180"/>
              <w:spacing w:after="0"/>
              <w:rPr>
                <w:sz w:val="20"/>
                <w:szCs w:val="20"/>
                <w:color w:val="auto"/>
              </w:rPr>
            </w:pPr>
            <w:r>
              <w:rPr>
                <w:rFonts w:ascii="Arial" w:cs="Arial" w:eastAsia="Arial" w:hAnsi="Arial"/>
                <w:sz w:val="18"/>
                <w:szCs w:val="18"/>
                <w:color w:val="auto"/>
              </w:rPr>
              <w:t>Less: weighted average participating shares outstanding</w:t>
            </w: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(101)</w:t>
            </w:r>
          </w:p>
        </w:tc>
        <w:tc>
          <w:tcPr>
            <w:tcW w:w="5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(1,741)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6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5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69"/>
        </w:trPr>
        <w:tc>
          <w:tcPr>
            <w:tcW w:w="6440" w:type="dxa"/>
            <w:vAlign w:val="bottom"/>
            <w:tcBorders>
              <w:bottom w:val="single" w:sz="8" w:color="CCEEFF"/>
            </w:tcBorders>
            <w:gridSpan w:val="2"/>
            <w:shd w:val="clear" w:color="auto" w:fill="CCEEFF"/>
          </w:tcPr>
          <w:p>
            <w:pPr>
              <w:ind w:left="380"/>
              <w:spacing w:after="0"/>
              <w:rPr>
                <w:sz w:val="20"/>
                <w:szCs w:val="20"/>
                <w:color w:val="auto"/>
              </w:rPr>
            </w:pPr>
            <w:r>
              <w:rPr>
                <w:rFonts w:ascii="Arial" w:cs="Arial" w:eastAsia="Arial" w:hAnsi="Arial"/>
                <w:sz w:val="18"/>
                <w:szCs w:val="18"/>
                <w:color w:val="auto"/>
              </w:rPr>
              <w:t>Weighted average common shares outstanding—basic</w:t>
            </w:r>
          </w:p>
        </w:tc>
        <w:tc>
          <w:tcPr>
            <w:tcW w:w="3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110,109</w:t>
            </w:r>
          </w:p>
        </w:tc>
        <w:tc>
          <w:tcPr>
            <w:tcW w:w="54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90,180</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83,417</w:t>
            </w:r>
          </w:p>
        </w:tc>
      </w:tr>
      <w:tr>
        <w:trPr>
          <w:trHeight w:val="20"/>
        </w:trPr>
        <w:tc>
          <w:tcPr>
            <w:tcW w:w="6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r>
      <w:tr>
        <w:trPr>
          <w:trHeight w:val="224"/>
        </w:trPr>
        <w:tc>
          <w:tcPr>
            <w:tcW w:w="6440" w:type="dxa"/>
            <w:vAlign w:val="bottom"/>
            <w:gridSpan w:val="2"/>
          </w:tcPr>
          <w:p>
            <w:pPr>
              <w:ind w:left="380"/>
              <w:spacing w:after="0"/>
              <w:rPr>
                <w:sz w:val="20"/>
                <w:szCs w:val="20"/>
                <w:color w:val="auto"/>
              </w:rPr>
            </w:pPr>
            <w:r>
              <w:rPr>
                <w:rFonts w:ascii="Arial" w:cs="Arial" w:eastAsia="Arial" w:hAnsi="Arial"/>
                <w:sz w:val="18"/>
                <w:szCs w:val="18"/>
                <w:color w:val="auto"/>
              </w:rPr>
              <w:t>Basic earnings (loss) per share</w:t>
            </w:r>
          </w:p>
        </w:tc>
        <w:tc>
          <w:tcPr>
            <w:tcW w:w="340" w:type="dxa"/>
            <w:vAlign w:val="bottom"/>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Pr>
          <w:p>
            <w:pPr>
              <w:jc w:val="right"/>
              <w:ind w:right="11"/>
              <w:spacing w:after="0"/>
              <w:rPr>
                <w:sz w:val="20"/>
                <w:szCs w:val="20"/>
                <w:color w:val="auto"/>
              </w:rPr>
            </w:pPr>
            <w:r>
              <w:rPr>
                <w:rFonts w:ascii="Arial" w:cs="Arial" w:eastAsia="Arial" w:hAnsi="Arial"/>
                <w:sz w:val="18"/>
                <w:szCs w:val="18"/>
                <w:b w:val="1"/>
                <w:bCs w:val="1"/>
                <w:color w:val="auto"/>
              </w:rPr>
              <w:t>1.57</w:t>
            </w:r>
          </w:p>
        </w:tc>
        <w:tc>
          <w:tcPr>
            <w:tcW w:w="88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0.73</w:t>
            </w:r>
          </w:p>
        </w:tc>
        <w:tc>
          <w:tcPr>
            <w:tcW w:w="12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(0.10)</w:t>
            </w:r>
          </w:p>
        </w:tc>
      </w:tr>
      <w:tr>
        <w:trPr>
          <w:trHeight w:val="27"/>
        </w:trPr>
        <w:tc>
          <w:tcPr>
            <w:tcW w:w="6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6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Computation of Diluted earnings (loss) per share:</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r>
      <w:tr>
        <w:trPr>
          <w:trHeight w:val="243"/>
        </w:trPr>
        <w:tc>
          <w:tcPr>
            <w:tcW w:w="6440" w:type="dxa"/>
            <w:vAlign w:val="bottom"/>
            <w:gridSpan w:val="2"/>
          </w:tcPr>
          <w:p>
            <w:pPr>
              <w:ind w:left="180"/>
              <w:spacing w:after="0"/>
              <w:rPr>
                <w:sz w:val="20"/>
                <w:szCs w:val="20"/>
                <w:color w:val="auto"/>
              </w:rPr>
            </w:pPr>
            <w:r>
              <w:rPr>
                <w:rFonts w:ascii="Arial" w:cs="Arial" w:eastAsia="Arial" w:hAnsi="Arial"/>
                <w:sz w:val="18"/>
                <w:szCs w:val="18"/>
                <w:color w:val="auto"/>
              </w:rPr>
              <w:t>Net income (loss)</w:t>
            </w:r>
          </w:p>
        </w:tc>
        <w:tc>
          <w:tcPr>
            <w:tcW w:w="340" w:type="dxa"/>
            <w:vAlign w:val="bottom"/>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Pr>
          <w:p>
            <w:pPr>
              <w:jc w:val="right"/>
              <w:ind w:right="11"/>
              <w:spacing w:after="0"/>
              <w:rPr>
                <w:sz w:val="20"/>
                <w:szCs w:val="20"/>
                <w:color w:val="auto"/>
              </w:rPr>
            </w:pPr>
            <w:r>
              <w:rPr>
                <w:rFonts w:ascii="Arial" w:cs="Arial" w:eastAsia="Arial" w:hAnsi="Arial"/>
                <w:sz w:val="18"/>
                <w:szCs w:val="18"/>
                <w:b w:val="1"/>
                <w:bCs w:val="1"/>
                <w:color w:val="auto"/>
              </w:rPr>
              <w:t>173,533</w:t>
            </w:r>
          </w:p>
        </w:tc>
        <w:tc>
          <w:tcPr>
            <w:tcW w:w="88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67,303</w:t>
            </w:r>
          </w:p>
        </w:tc>
        <w:tc>
          <w:tcPr>
            <w:tcW w:w="120" w:type="dxa"/>
            <w:vAlign w:val="bottom"/>
          </w:tcPr>
          <w:p>
            <w:pPr>
              <w:spacing w:after="0"/>
              <w:rPr>
                <w:sz w:val="21"/>
                <w:szCs w:val="21"/>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(8,302)</w:t>
            </w:r>
          </w:p>
        </w:tc>
      </w:tr>
      <w:tr>
        <w:trPr>
          <w:trHeight w:val="27"/>
        </w:trPr>
        <w:tc>
          <w:tcPr>
            <w:tcW w:w="6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70"/>
        </w:trPr>
        <w:tc>
          <w:tcPr>
            <w:tcW w:w="64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Less: net income allocated to participating securities</w:t>
            </w:r>
          </w:p>
        </w:tc>
        <w:tc>
          <w:tcPr>
            <w:tcW w:w="3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(155)</w:t>
            </w:r>
          </w:p>
        </w:tc>
        <w:tc>
          <w:tcPr>
            <w:tcW w:w="54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(1,246)</w:t>
            </w:r>
          </w:p>
        </w:tc>
        <w:tc>
          <w:tcPr>
            <w:tcW w:w="12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w:t>
            </w:r>
          </w:p>
        </w:tc>
      </w:tr>
      <w:tr>
        <w:trPr>
          <w:trHeight w:val="237"/>
        </w:trPr>
        <w:tc>
          <w:tcPr>
            <w:tcW w:w="6320" w:type="dxa"/>
            <w:vAlign w:val="bottom"/>
            <w:tcBorders>
              <w:top w:val="single" w:sz="8" w:color="auto"/>
            </w:tcBorders>
          </w:tcPr>
          <w:p>
            <w:pPr>
              <w:ind w:left="380"/>
              <w:spacing w:after="0"/>
              <w:rPr>
                <w:sz w:val="20"/>
                <w:szCs w:val="20"/>
                <w:color w:val="auto"/>
              </w:rPr>
            </w:pPr>
            <w:r>
              <w:rPr>
                <w:rFonts w:ascii="Arial" w:cs="Arial" w:eastAsia="Arial" w:hAnsi="Arial"/>
                <w:sz w:val="18"/>
                <w:szCs w:val="18"/>
                <w:color w:val="auto"/>
              </w:rPr>
              <w:t>Net income (loss) for diluted earnings (loss) per share calculation</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b w:val="1"/>
                <w:bCs w:val="1"/>
                <w:color w:val="auto"/>
              </w:rPr>
              <w:t>173,378</w:t>
            </w:r>
          </w:p>
        </w:tc>
        <w:tc>
          <w:tcPr>
            <w:tcW w:w="54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66,057</w:t>
            </w:r>
          </w:p>
        </w:tc>
        <w:tc>
          <w:tcPr>
            <w:tcW w:w="12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(8,302)</w:t>
            </w:r>
          </w:p>
        </w:tc>
      </w:tr>
      <w:tr>
        <w:trPr>
          <w:trHeight w:val="67"/>
        </w:trPr>
        <w:tc>
          <w:tcPr>
            <w:tcW w:w="63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54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r>
      <w:tr>
        <w:trPr>
          <w:trHeight w:val="231"/>
        </w:trPr>
        <w:tc>
          <w:tcPr>
            <w:tcW w:w="64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Weighted average common shares outstanding—basic</w:t>
            </w:r>
          </w:p>
        </w:tc>
        <w:tc>
          <w:tcPr>
            <w:tcW w:w="3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110,109</w:t>
            </w:r>
          </w:p>
        </w:tc>
        <w:tc>
          <w:tcPr>
            <w:tcW w:w="54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91,921</w:t>
            </w:r>
          </w:p>
        </w:tc>
        <w:tc>
          <w:tcPr>
            <w:tcW w:w="12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83,417</w:t>
            </w:r>
          </w:p>
        </w:tc>
      </w:tr>
      <w:tr>
        <w:trPr>
          <w:trHeight w:val="243"/>
        </w:trPr>
        <w:tc>
          <w:tcPr>
            <w:tcW w:w="6440" w:type="dxa"/>
            <w:vAlign w:val="bottom"/>
            <w:gridSpan w:val="2"/>
          </w:tcPr>
          <w:p>
            <w:pPr>
              <w:ind w:left="180"/>
              <w:spacing w:after="0"/>
              <w:rPr>
                <w:sz w:val="20"/>
                <w:szCs w:val="20"/>
                <w:color w:val="auto"/>
              </w:rPr>
            </w:pPr>
            <w:r>
              <w:rPr>
                <w:rFonts w:ascii="Arial" w:cs="Arial" w:eastAsia="Arial" w:hAnsi="Arial"/>
                <w:sz w:val="18"/>
                <w:szCs w:val="18"/>
                <w:color w:val="auto"/>
              </w:rPr>
              <w:t>Add: dilutive effect of common stock equivalents</w:t>
            </w:r>
          </w:p>
        </w:tc>
        <w:tc>
          <w:tcPr>
            <w:tcW w:w="34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b w:val="1"/>
                <w:bCs w:val="1"/>
                <w:color w:val="auto"/>
              </w:rPr>
              <w:t>2,755</w:t>
            </w:r>
          </w:p>
        </w:tc>
        <w:tc>
          <w:tcPr>
            <w:tcW w:w="540" w:type="dxa"/>
            <w:vAlign w:val="bottom"/>
          </w:tcPr>
          <w:p>
            <w:pPr>
              <w:jc w:val="right"/>
              <w:ind w:right="13"/>
              <w:spacing w:after="0"/>
              <w:rPr>
                <w:sz w:val="20"/>
                <w:szCs w:val="20"/>
                <w:color w:val="auto"/>
              </w:rPr>
            </w:pPr>
            <w:r>
              <w:rPr>
                <w:rFonts w:ascii="Arial" w:cs="Arial" w:eastAsia="Arial" w:hAnsi="Arial"/>
                <w:sz w:val="18"/>
                <w:szCs w:val="18"/>
                <w:b w:val="1"/>
                <w:bCs w:val="1"/>
                <w:color w:val="auto"/>
                <w:w w:val="93"/>
              </w:rPr>
              <w:t>2,755</w:t>
            </w:r>
          </w:p>
        </w:tc>
        <w:tc>
          <w:tcPr>
            <w:tcW w:w="34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2,152</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6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5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44"/>
        </w:trPr>
        <w:tc>
          <w:tcPr>
            <w:tcW w:w="64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Weighted average common shares outstanding—diluted</w:t>
            </w: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112,864</w:t>
            </w:r>
          </w:p>
        </w:tc>
        <w:tc>
          <w:tcPr>
            <w:tcW w:w="54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94,073</w:t>
            </w:r>
          </w:p>
        </w:tc>
        <w:tc>
          <w:tcPr>
            <w:tcW w:w="12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83,417</w:t>
            </w:r>
          </w:p>
        </w:tc>
      </w:tr>
      <w:tr>
        <w:trPr>
          <w:trHeight w:val="243"/>
        </w:trPr>
        <w:tc>
          <w:tcPr>
            <w:tcW w:w="6440" w:type="dxa"/>
            <w:vAlign w:val="bottom"/>
            <w:gridSpan w:val="2"/>
          </w:tcPr>
          <w:p>
            <w:pPr>
              <w:ind w:left="180"/>
              <w:spacing w:after="0"/>
              <w:rPr>
                <w:sz w:val="20"/>
                <w:szCs w:val="20"/>
                <w:color w:val="auto"/>
              </w:rPr>
            </w:pPr>
            <w:r>
              <w:rPr>
                <w:rFonts w:ascii="Arial" w:cs="Arial" w:eastAsia="Arial" w:hAnsi="Arial"/>
                <w:sz w:val="18"/>
                <w:szCs w:val="18"/>
                <w:color w:val="auto"/>
              </w:rPr>
              <w:t>Less: weighted average participating shares outstanding</w:t>
            </w: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(101)</w:t>
            </w:r>
          </w:p>
        </w:tc>
        <w:tc>
          <w:tcPr>
            <w:tcW w:w="54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(1,741)</w:t>
            </w:r>
          </w:p>
        </w:tc>
        <w:tc>
          <w:tcPr>
            <w:tcW w:w="1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63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54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69"/>
        </w:trPr>
        <w:tc>
          <w:tcPr>
            <w:tcW w:w="64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Weighted average common shares outstanding- diluted</w:t>
            </w:r>
          </w:p>
        </w:tc>
        <w:tc>
          <w:tcPr>
            <w:tcW w:w="3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112,763</w:t>
            </w:r>
          </w:p>
        </w:tc>
        <w:tc>
          <w:tcPr>
            <w:tcW w:w="54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92,332</w:t>
            </w:r>
          </w:p>
        </w:tc>
        <w:tc>
          <w:tcPr>
            <w:tcW w:w="12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83,417</w:t>
            </w:r>
          </w:p>
        </w:tc>
      </w:tr>
      <w:tr>
        <w:trPr>
          <w:trHeight w:val="20"/>
        </w:trPr>
        <w:tc>
          <w:tcPr>
            <w:tcW w:w="6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r>
      <w:tr>
        <w:trPr>
          <w:trHeight w:val="224"/>
        </w:trPr>
        <w:tc>
          <w:tcPr>
            <w:tcW w:w="6440" w:type="dxa"/>
            <w:vAlign w:val="bottom"/>
            <w:gridSpan w:val="2"/>
          </w:tcPr>
          <w:p>
            <w:pPr>
              <w:ind w:left="180"/>
              <w:spacing w:after="0"/>
              <w:rPr>
                <w:sz w:val="20"/>
                <w:szCs w:val="20"/>
                <w:color w:val="auto"/>
              </w:rPr>
            </w:pPr>
            <w:r>
              <w:rPr>
                <w:rFonts w:ascii="Arial" w:cs="Arial" w:eastAsia="Arial" w:hAnsi="Arial"/>
                <w:sz w:val="18"/>
                <w:szCs w:val="18"/>
                <w:color w:val="auto"/>
              </w:rPr>
              <w:t>Diluted earnings (loss) per share</w:t>
            </w:r>
          </w:p>
        </w:tc>
        <w:tc>
          <w:tcPr>
            <w:tcW w:w="340" w:type="dxa"/>
            <w:vAlign w:val="bottom"/>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Pr>
          <w:p>
            <w:pPr>
              <w:jc w:val="right"/>
              <w:ind w:right="11"/>
              <w:spacing w:after="0"/>
              <w:rPr>
                <w:sz w:val="20"/>
                <w:szCs w:val="20"/>
                <w:color w:val="auto"/>
              </w:rPr>
            </w:pPr>
            <w:r>
              <w:rPr>
                <w:rFonts w:ascii="Arial" w:cs="Arial" w:eastAsia="Arial" w:hAnsi="Arial"/>
                <w:sz w:val="18"/>
                <w:szCs w:val="18"/>
                <w:b w:val="1"/>
                <w:bCs w:val="1"/>
                <w:color w:val="auto"/>
              </w:rPr>
              <w:t>1.54</w:t>
            </w:r>
          </w:p>
        </w:tc>
        <w:tc>
          <w:tcPr>
            <w:tcW w:w="880" w:type="dxa"/>
            <w:vAlign w:val="bottom"/>
            <w:gridSpan w:val="2"/>
          </w:tcPr>
          <w:p>
            <w:pPr>
              <w:jc w:val="right"/>
              <w:ind w:right="13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1"/>
              <w:spacing w:after="0"/>
              <w:rPr>
                <w:sz w:val="20"/>
                <w:szCs w:val="20"/>
                <w:color w:val="auto"/>
              </w:rPr>
            </w:pPr>
            <w:r>
              <w:rPr>
                <w:rFonts w:ascii="Arial" w:cs="Arial" w:eastAsia="Arial" w:hAnsi="Arial"/>
                <w:sz w:val="18"/>
                <w:szCs w:val="18"/>
                <w:color w:val="auto"/>
              </w:rPr>
              <w:t>0.72</w:t>
            </w:r>
          </w:p>
        </w:tc>
        <w:tc>
          <w:tcPr>
            <w:tcW w:w="120" w:type="dxa"/>
            <w:vAlign w:val="bottom"/>
          </w:tcPr>
          <w:p>
            <w:pPr>
              <w:spacing w:after="0"/>
              <w:rPr>
                <w:sz w:val="19"/>
                <w:szCs w:val="19"/>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(0.10)</w:t>
            </w:r>
          </w:p>
        </w:tc>
      </w:tr>
    </w:tbl>
    <w:p>
      <w:pPr>
        <w:spacing w:after="0" w:line="148"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The calculation of EPS for common stock under the two-class method shown above for the fiscal years ended March 31, 2018 and 2017 excludes income attributable to the participating securities from the numerator and excludes the dilutive effect of those awards from the denominator.</w:t>
      </w:r>
    </w:p>
    <w:p>
      <w:pPr>
        <w:spacing w:after="0" w:line="201"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We incurred a net loss for the fiscal year ended March 31, 2016; therefore, the basic and diluted weighted average shares outstanding excluded the effect of unvested share-based awards that are considered participating securities and all common stock equivalents because their effect would be antidilutive. For the fiscal year ended March 31, 2016 we had 6,405 of unvested share-based awards which were excluded due to the net loss for the period.</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COMMITMENTS AND CONTINGENCIES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A summary of annual minimum contractual obligations and commitments as of March 31, 2018 is as follows:</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9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2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4"/>
              </w:rPr>
              <w:t>Software</w:t>
            </w:r>
          </w:p>
        </w:tc>
        <w:tc>
          <w:tcPr>
            <w:tcW w:w="2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6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6"/>
              </w:rPr>
              <w:t>Operating</w:t>
            </w:r>
          </w:p>
        </w:tc>
        <w:tc>
          <w:tcPr>
            <w:tcW w:w="180" w:type="dxa"/>
            <w:vAlign w:val="bottom"/>
          </w:tcPr>
          <w:p>
            <w:pPr>
              <w:spacing w:after="0"/>
              <w:rPr>
                <w:sz w:val="14"/>
                <w:szCs w:val="14"/>
                <w:color w:val="auto"/>
              </w:rPr>
            </w:pPr>
          </w:p>
        </w:tc>
        <w:tc>
          <w:tcPr>
            <w:tcW w:w="118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88"/>
              </w:rPr>
              <w:t>Purchase</w:t>
            </w:r>
          </w:p>
        </w:tc>
        <w:tc>
          <w:tcPr>
            <w:tcW w:w="160" w:type="dxa"/>
            <w:vAlign w:val="bottom"/>
          </w:tcPr>
          <w:p>
            <w:pPr>
              <w:spacing w:after="0"/>
              <w:rPr>
                <w:sz w:val="14"/>
                <w:szCs w:val="14"/>
                <w:color w:val="auto"/>
              </w:rPr>
            </w:pPr>
          </w:p>
        </w:tc>
        <w:tc>
          <w:tcPr>
            <w:tcW w:w="1200" w:type="dxa"/>
            <w:vAlign w:val="bottom"/>
            <w:gridSpan w:val="2"/>
            <w:vMerge w:val="restart"/>
          </w:tcPr>
          <w:p>
            <w:pPr>
              <w:jc w:val="center"/>
              <w:ind w:right="280"/>
              <w:spacing w:after="0"/>
              <w:rPr>
                <w:sz w:val="20"/>
                <w:szCs w:val="20"/>
                <w:color w:val="auto"/>
              </w:rPr>
            </w:pPr>
            <w:r>
              <w:rPr>
                <w:rFonts w:ascii="Arial" w:cs="Arial" w:eastAsia="Arial" w:hAnsi="Arial"/>
                <w:sz w:val="14"/>
                <w:szCs w:val="14"/>
                <w:b w:val="1"/>
                <w:bCs w:val="1"/>
                <w:color w:val="auto"/>
                <w:w w:val="93"/>
              </w:rPr>
              <w:t>Convertible</w:t>
            </w:r>
          </w:p>
        </w:tc>
        <w:tc>
          <w:tcPr>
            <w:tcW w:w="200" w:type="dxa"/>
            <w:vAlign w:val="bottom"/>
          </w:tcPr>
          <w:p>
            <w:pPr>
              <w:spacing w:after="0"/>
              <w:rPr>
                <w:sz w:val="14"/>
                <w:szCs w:val="14"/>
                <w:color w:val="auto"/>
              </w:rPr>
            </w:pPr>
          </w:p>
        </w:tc>
        <w:tc>
          <w:tcPr>
            <w:tcW w:w="116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6"/>
              </w:rPr>
              <w:t>Convertible</w:t>
            </w:r>
          </w:p>
        </w:tc>
        <w:tc>
          <w:tcPr>
            <w:tcW w:w="3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8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Fiscal Year Ending March 31,</w:t>
            </w:r>
          </w:p>
        </w:tc>
        <w:tc>
          <w:tcPr>
            <w:tcW w:w="160" w:type="dxa"/>
            <w:vAlign w:val="bottom"/>
          </w:tcPr>
          <w:p>
            <w:pPr>
              <w:spacing w:after="0"/>
              <w:rPr>
                <w:sz w:val="12"/>
                <w:szCs w:val="12"/>
                <w:color w:val="auto"/>
              </w:rPr>
            </w:pPr>
          </w:p>
        </w:tc>
        <w:tc>
          <w:tcPr>
            <w:tcW w:w="12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0"/>
              </w:rPr>
              <w:t>Development</w:t>
            </w:r>
          </w:p>
        </w:tc>
        <w:tc>
          <w:tcPr>
            <w:tcW w:w="220" w:type="dxa"/>
            <w:vAlign w:val="bottom"/>
          </w:tcPr>
          <w:p>
            <w:pPr>
              <w:spacing w:after="0"/>
              <w:rPr>
                <w:sz w:val="12"/>
                <w:szCs w:val="12"/>
                <w:color w:val="auto"/>
              </w:rPr>
            </w:pPr>
          </w:p>
        </w:tc>
        <w:tc>
          <w:tcPr>
            <w:tcW w:w="1140" w:type="dxa"/>
            <w:vAlign w:val="bottom"/>
            <w:gridSpan w:val="2"/>
            <w:vMerge w:val="restart"/>
          </w:tcPr>
          <w:p>
            <w:pPr>
              <w:ind w:left="80"/>
              <w:spacing w:after="0"/>
              <w:rPr>
                <w:sz w:val="20"/>
                <w:szCs w:val="20"/>
                <w:color w:val="auto"/>
              </w:rPr>
            </w:pPr>
            <w:r>
              <w:rPr>
                <w:rFonts w:ascii="Arial" w:cs="Arial" w:eastAsia="Arial" w:hAnsi="Arial"/>
                <w:sz w:val="14"/>
                <w:szCs w:val="14"/>
                <w:b w:val="1"/>
                <w:bCs w:val="1"/>
                <w:color w:val="auto"/>
              </w:rPr>
              <w:t>Marketing</w:t>
            </w:r>
          </w:p>
        </w:tc>
        <w:tc>
          <w:tcPr>
            <w:tcW w:w="20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180" w:type="dxa"/>
            <w:vAlign w:val="bottom"/>
          </w:tcPr>
          <w:p>
            <w:pPr>
              <w:spacing w:after="0"/>
              <w:rPr>
                <w:sz w:val="12"/>
                <w:szCs w:val="12"/>
                <w:color w:val="auto"/>
              </w:rPr>
            </w:pPr>
          </w:p>
        </w:tc>
        <w:tc>
          <w:tcPr>
            <w:tcW w:w="118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2"/>
            <w:vMerge w:val="continue"/>
          </w:tcPr>
          <w:p>
            <w:pPr>
              <w:spacing w:after="0"/>
              <w:rPr>
                <w:sz w:val="12"/>
                <w:szCs w:val="12"/>
                <w:color w:val="auto"/>
              </w:rPr>
            </w:pPr>
          </w:p>
        </w:tc>
        <w:tc>
          <w:tcPr>
            <w:tcW w:w="20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300" w:type="dxa"/>
            <w:vAlign w:val="bottom"/>
          </w:tcPr>
          <w:p>
            <w:pPr>
              <w:spacing w:after="0"/>
              <w:rPr>
                <w:sz w:val="12"/>
                <w:szCs w:val="12"/>
                <w:color w:val="auto"/>
              </w:rPr>
            </w:pPr>
          </w:p>
        </w:tc>
        <w:tc>
          <w:tcPr>
            <w:tcW w:w="960" w:type="dxa"/>
            <w:vAlign w:val="bottom"/>
            <w:vMerge w:val="restart"/>
          </w:tcPr>
          <w:p>
            <w:pPr>
              <w:jc w:val="right"/>
              <w:ind w:right="392"/>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208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122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and Licensing</w:t>
            </w:r>
          </w:p>
        </w:tc>
        <w:tc>
          <w:tcPr>
            <w:tcW w:w="220" w:type="dxa"/>
            <w:vAlign w:val="bottom"/>
          </w:tcPr>
          <w:p>
            <w:pPr>
              <w:spacing w:after="0"/>
              <w:rPr>
                <w:sz w:val="16"/>
                <w:szCs w:val="16"/>
                <w:color w:val="auto"/>
              </w:rPr>
            </w:pPr>
          </w:p>
        </w:tc>
        <w:tc>
          <w:tcPr>
            <w:tcW w:w="1140" w:type="dxa"/>
            <w:vAlign w:val="bottom"/>
            <w:gridSpan w:val="2"/>
            <w:vMerge w:val="continue"/>
          </w:tcPr>
          <w:p>
            <w:pPr>
              <w:spacing w:after="0"/>
              <w:rPr>
                <w:sz w:val="16"/>
                <w:szCs w:val="16"/>
                <w:color w:val="auto"/>
              </w:rPr>
            </w:pPr>
          </w:p>
        </w:tc>
        <w:tc>
          <w:tcPr>
            <w:tcW w:w="200" w:type="dxa"/>
            <w:vAlign w:val="bottom"/>
          </w:tcPr>
          <w:p>
            <w:pPr>
              <w:spacing w:after="0"/>
              <w:rPr>
                <w:sz w:val="16"/>
                <w:szCs w:val="16"/>
                <w:color w:val="auto"/>
              </w:rPr>
            </w:pPr>
          </w:p>
        </w:tc>
        <w:tc>
          <w:tcPr>
            <w:tcW w:w="10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4"/>
              </w:rPr>
              <w:t>Leases</w:t>
            </w:r>
          </w:p>
        </w:tc>
        <w:tc>
          <w:tcPr>
            <w:tcW w:w="180" w:type="dxa"/>
            <w:vAlign w:val="bottom"/>
          </w:tcPr>
          <w:p>
            <w:pPr>
              <w:spacing w:after="0"/>
              <w:rPr>
                <w:sz w:val="16"/>
                <w:szCs w:val="16"/>
                <w:color w:val="auto"/>
              </w:rPr>
            </w:pPr>
          </w:p>
        </w:tc>
        <w:tc>
          <w:tcPr>
            <w:tcW w:w="118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93"/>
              </w:rPr>
              <w:t>Obligations</w:t>
            </w:r>
          </w:p>
        </w:tc>
        <w:tc>
          <w:tcPr>
            <w:tcW w:w="160" w:type="dxa"/>
            <w:vAlign w:val="bottom"/>
          </w:tcPr>
          <w:p>
            <w:pPr>
              <w:spacing w:after="0"/>
              <w:rPr>
                <w:sz w:val="16"/>
                <w:szCs w:val="16"/>
                <w:color w:val="auto"/>
              </w:rPr>
            </w:pPr>
          </w:p>
        </w:tc>
        <w:tc>
          <w:tcPr>
            <w:tcW w:w="120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2"/>
              </w:rPr>
              <w:t>Notes Interest</w:t>
            </w:r>
          </w:p>
        </w:tc>
        <w:tc>
          <w:tcPr>
            <w:tcW w:w="200" w:type="dxa"/>
            <w:vAlign w:val="bottom"/>
          </w:tcPr>
          <w:p>
            <w:pPr>
              <w:spacing w:after="0"/>
              <w:rPr>
                <w:sz w:val="16"/>
                <w:szCs w:val="16"/>
                <w:color w:val="auto"/>
              </w:rPr>
            </w:pPr>
          </w:p>
        </w:tc>
        <w:tc>
          <w:tcPr>
            <w:tcW w:w="116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7"/>
              </w:rPr>
              <w:t>Notes</w:t>
            </w:r>
          </w:p>
        </w:tc>
        <w:tc>
          <w:tcPr>
            <w:tcW w:w="300" w:type="dxa"/>
            <w:vAlign w:val="bottom"/>
          </w:tcPr>
          <w:p>
            <w:pPr>
              <w:spacing w:after="0"/>
              <w:rPr>
                <w:sz w:val="16"/>
                <w:szCs w:val="16"/>
                <w:color w:val="auto"/>
              </w:rPr>
            </w:pPr>
          </w:p>
        </w:tc>
        <w:tc>
          <w:tcPr>
            <w:tcW w:w="96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196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116,242</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2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49,725</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4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39,113</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21,549</w:t>
            </w: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20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8,160</w:t>
            </w: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234,809</w:t>
            </w:r>
          </w:p>
        </w:tc>
        <w:tc>
          <w:tcPr>
            <w:tcW w:w="0" w:type="dxa"/>
            <w:vAlign w:val="bottom"/>
          </w:tcPr>
          <w:p>
            <w:pPr>
              <w:spacing w:after="0"/>
              <w:rPr>
                <w:sz w:val="1"/>
                <w:szCs w:val="1"/>
                <w:color w:val="auto"/>
              </w:rPr>
            </w:pPr>
          </w:p>
        </w:tc>
      </w:tr>
      <w:tr>
        <w:trPr>
          <w:trHeight w:val="243"/>
        </w:trPr>
        <w:tc>
          <w:tcPr>
            <w:tcW w:w="1960" w:type="dxa"/>
            <w:vAlign w:val="bottom"/>
          </w:tcPr>
          <w:p>
            <w:pPr>
              <w:jc w:val="right"/>
              <w:spacing w:after="0"/>
              <w:rPr>
                <w:sz w:val="20"/>
                <w:szCs w:val="20"/>
                <w:color w:val="auto"/>
              </w:rPr>
            </w:pPr>
            <w:r>
              <w:rPr>
                <w:rFonts w:ascii="Arial" w:cs="Arial" w:eastAsia="Arial" w:hAnsi="Arial"/>
                <w:sz w:val="18"/>
                <w:szCs w:val="18"/>
                <w:color w:val="auto"/>
              </w:rPr>
              <w:t>2020</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tcPr>
          <w:p>
            <w:pPr>
              <w:jc w:val="right"/>
              <w:ind w:right="35"/>
              <w:spacing w:after="0"/>
              <w:rPr>
                <w:sz w:val="20"/>
                <w:szCs w:val="20"/>
                <w:color w:val="auto"/>
              </w:rPr>
            </w:pPr>
            <w:r>
              <w:rPr>
                <w:rFonts w:ascii="Arial" w:cs="Arial" w:eastAsia="Arial" w:hAnsi="Arial"/>
                <w:sz w:val="18"/>
                <w:szCs w:val="18"/>
                <w:color w:val="auto"/>
              </w:rPr>
              <w:t>53,534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4,060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29,620</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7,046</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94,260</w:t>
            </w:r>
          </w:p>
        </w:tc>
        <w:tc>
          <w:tcPr>
            <w:tcW w:w="0" w:type="dxa"/>
            <w:vAlign w:val="bottom"/>
          </w:tcPr>
          <w:p>
            <w:pPr>
              <w:spacing w:after="0"/>
              <w:rPr>
                <w:sz w:val="1"/>
                <w:szCs w:val="1"/>
                <w:color w:val="auto"/>
              </w:rPr>
            </w:pPr>
          </w:p>
        </w:tc>
      </w:tr>
      <w:tr>
        <w:trPr>
          <w:trHeight w:val="27"/>
        </w:trPr>
        <w:tc>
          <w:tcPr>
            <w:tcW w:w="1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2021</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28,999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13,480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23,092</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1,629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67,200</w:t>
            </w:r>
          </w:p>
        </w:tc>
        <w:tc>
          <w:tcPr>
            <w:tcW w:w="0" w:type="dxa"/>
            <w:vAlign w:val="bottom"/>
          </w:tcPr>
          <w:p>
            <w:pPr>
              <w:spacing w:after="0"/>
              <w:rPr>
                <w:sz w:val="1"/>
                <w:szCs w:val="1"/>
                <w:color w:val="auto"/>
              </w:rPr>
            </w:pPr>
          </w:p>
        </w:tc>
      </w:tr>
      <w:tr>
        <w:trPr>
          <w:trHeight w:val="243"/>
        </w:trPr>
        <w:tc>
          <w:tcPr>
            <w:tcW w:w="1960" w:type="dxa"/>
            <w:vAlign w:val="bottom"/>
          </w:tcPr>
          <w:p>
            <w:pPr>
              <w:jc w:val="right"/>
              <w:spacing w:after="0"/>
              <w:rPr>
                <w:sz w:val="20"/>
                <w:szCs w:val="20"/>
                <w:color w:val="auto"/>
              </w:rPr>
            </w:pPr>
            <w:r>
              <w:rPr>
                <w:rFonts w:ascii="Arial" w:cs="Arial" w:eastAsia="Arial" w:hAnsi="Arial"/>
                <w:sz w:val="18"/>
                <w:szCs w:val="18"/>
                <w:color w:val="auto"/>
              </w:rPr>
              <w:t>2022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20" w:type="dxa"/>
            <w:vAlign w:val="bottom"/>
          </w:tcPr>
          <w:p>
            <w:pPr>
              <w:jc w:val="right"/>
              <w:ind w:right="35"/>
              <w:spacing w:after="0"/>
              <w:rPr>
                <w:sz w:val="20"/>
                <w:szCs w:val="20"/>
                <w:color w:val="auto"/>
              </w:rPr>
            </w:pPr>
            <w:r>
              <w:rPr>
                <w:rFonts w:ascii="Arial" w:cs="Arial" w:eastAsia="Arial" w:hAnsi="Arial"/>
                <w:sz w:val="18"/>
                <w:szCs w:val="18"/>
                <w:color w:val="auto"/>
              </w:rPr>
              <w:t>21,748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color w:val="auto"/>
              </w:rPr>
              <w:t>3,773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21,665</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47,186</w:t>
            </w:r>
          </w:p>
        </w:tc>
        <w:tc>
          <w:tcPr>
            <w:tcW w:w="0" w:type="dxa"/>
            <w:vAlign w:val="bottom"/>
          </w:tcPr>
          <w:p>
            <w:pPr>
              <w:spacing w:after="0"/>
              <w:rPr>
                <w:sz w:val="1"/>
                <w:szCs w:val="1"/>
                <w:color w:val="auto"/>
              </w:rPr>
            </w:pPr>
          </w:p>
        </w:tc>
      </w:tr>
      <w:tr>
        <w:trPr>
          <w:trHeight w:val="27"/>
        </w:trPr>
        <w:tc>
          <w:tcPr>
            <w:tcW w:w="1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1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2023</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6,250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3,500</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19,571</w:t>
            </w:r>
          </w:p>
        </w:tc>
        <w:tc>
          <w:tcPr>
            <w:tcW w:w="12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29,321</w:t>
            </w:r>
          </w:p>
        </w:tc>
        <w:tc>
          <w:tcPr>
            <w:tcW w:w="0" w:type="dxa"/>
            <w:vAlign w:val="bottom"/>
          </w:tcPr>
          <w:p>
            <w:pPr>
              <w:spacing w:after="0"/>
              <w:rPr>
                <w:sz w:val="1"/>
                <w:szCs w:val="1"/>
                <w:color w:val="auto"/>
              </w:rPr>
            </w:pPr>
          </w:p>
        </w:tc>
      </w:tr>
      <w:tr>
        <w:trPr>
          <w:trHeight w:val="243"/>
        </w:trPr>
        <w:tc>
          <w:tcPr>
            <w:tcW w:w="2080" w:type="dxa"/>
            <w:vAlign w:val="bottom"/>
            <w:gridSpan w:val="2"/>
          </w:tcPr>
          <w:p>
            <w:pPr>
              <w:ind w:left="40"/>
              <w:spacing w:after="0"/>
              <w:rPr>
                <w:sz w:val="20"/>
                <w:szCs w:val="20"/>
                <w:color w:val="auto"/>
              </w:rPr>
            </w:pPr>
            <w:r>
              <w:rPr>
                <w:rFonts w:ascii="Arial" w:cs="Arial" w:eastAsia="Arial" w:hAnsi="Arial"/>
                <w:sz w:val="18"/>
                <w:szCs w:val="18"/>
                <w:color w:val="auto"/>
              </w:rPr>
              <w:t>Thereafter</w:t>
            </w:r>
          </w:p>
        </w:tc>
        <w:tc>
          <w:tcPr>
            <w:tcW w:w="160" w:type="dxa"/>
            <w:vAlign w:val="bottom"/>
          </w:tcPr>
          <w:p>
            <w:pPr>
              <w:spacing w:after="0"/>
              <w:rPr>
                <w:sz w:val="21"/>
                <w:szCs w:val="21"/>
                <w:color w:val="auto"/>
              </w:rPr>
            </w:pPr>
          </w:p>
        </w:tc>
        <w:tc>
          <w:tcPr>
            <w:tcW w:w="1120" w:type="dxa"/>
            <w:vAlign w:val="bottom"/>
          </w:tcPr>
          <w:p>
            <w:pPr>
              <w:jc w:val="right"/>
              <w:ind w:right="35"/>
              <w:spacing w:after="0"/>
              <w:rPr>
                <w:sz w:val="20"/>
                <w:szCs w:val="20"/>
                <w:color w:val="auto"/>
              </w:rPr>
            </w:pPr>
            <w:r>
              <w:rPr>
                <w:rFonts w:ascii="Arial" w:cs="Arial" w:eastAsia="Arial" w:hAnsi="Arial"/>
                <w:sz w:val="18"/>
                <w:szCs w:val="18"/>
                <w:color w:val="auto"/>
              </w:rPr>
              <w:t>5,250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4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940" w:type="dxa"/>
            <w:vAlign w:val="bottom"/>
          </w:tcPr>
          <w:p>
            <w:pPr>
              <w:jc w:val="right"/>
              <w:ind w:right="14"/>
              <w:spacing w:after="0"/>
              <w:rPr>
                <w:sz w:val="20"/>
                <w:szCs w:val="20"/>
                <w:color w:val="auto"/>
              </w:rPr>
            </w:pPr>
            <w:r>
              <w:rPr>
                <w:rFonts w:ascii="Arial" w:cs="Arial" w:eastAsia="Arial" w:hAnsi="Arial"/>
                <w:sz w:val="18"/>
                <w:szCs w:val="18"/>
                <w:color w:val="auto"/>
              </w:rPr>
              <w:t>62,476</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2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21"/>
                <w:szCs w:val="21"/>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960" w:type="dxa"/>
            <w:vAlign w:val="bottom"/>
          </w:tcPr>
          <w:p>
            <w:pPr>
              <w:jc w:val="right"/>
              <w:ind w:right="12"/>
              <w:spacing w:after="0"/>
              <w:rPr>
                <w:sz w:val="20"/>
                <w:szCs w:val="20"/>
                <w:color w:val="auto"/>
              </w:rPr>
            </w:pPr>
            <w:r>
              <w:rPr>
                <w:rFonts w:ascii="Arial" w:cs="Arial" w:eastAsia="Arial" w:hAnsi="Arial"/>
                <w:sz w:val="18"/>
                <w:szCs w:val="18"/>
                <w:color w:val="auto"/>
              </w:rPr>
              <w:t>67,726</w:t>
            </w:r>
          </w:p>
        </w:tc>
        <w:tc>
          <w:tcPr>
            <w:tcW w:w="0" w:type="dxa"/>
            <w:vAlign w:val="bottom"/>
          </w:tcPr>
          <w:p>
            <w:pPr>
              <w:spacing w:after="0"/>
              <w:rPr>
                <w:sz w:val="1"/>
                <w:szCs w:val="1"/>
                <w:color w:val="auto"/>
              </w:rPr>
            </w:pPr>
          </w:p>
        </w:tc>
      </w:tr>
      <w:tr>
        <w:trPr>
          <w:trHeight w:val="27"/>
        </w:trPr>
        <w:tc>
          <w:tcPr>
            <w:tcW w:w="19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20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12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b w:val="1"/>
                <w:bCs w:val="1"/>
                <w:color w:val="auto"/>
              </w:rPr>
              <w:t>232,023</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74,538</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94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195,537</w:t>
            </w: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79"/>
              </w:rPr>
              <w:t>$</w:t>
            </w: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30,224</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10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b w:val="1"/>
                <w:bCs w:val="1"/>
                <w:color w:val="auto"/>
              </w:rPr>
              <w:t>20</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b w:val="1"/>
                <w:bCs w:val="1"/>
                <w:color w:val="auto"/>
              </w:rPr>
              <w:t>8,160</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9"/>
              </w:rPr>
              <w:t>$</w:t>
            </w:r>
          </w:p>
        </w:tc>
        <w:tc>
          <w:tcPr>
            <w:tcW w:w="96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540,502</w:t>
            </w:r>
          </w:p>
        </w:tc>
        <w:tc>
          <w:tcPr>
            <w:tcW w:w="0" w:type="dxa"/>
            <w:vAlign w:val="bottom"/>
          </w:tcPr>
          <w:p>
            <w:pPr>
              <w:spacing w:after="0"/>
              <w:rPr>
                <w:sz w:val="1"/>
                <w:szCs w:val="1"/>
                <w:color w:val="auto"/>
              </w:rPr>
            </w:pPr>
          </w:p>
        </w:tc>
      </w:tr>
      <w:tr>
        <w:trPr>
          <w:trHeight w:val="20"/>
        </w:trPr>
        <w:tc>
          <w:tcPr>
            <w:tcW w:w="19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21" w:lineRule="exact"/>
        <w:rPr>
          <w:sz w:val="20"/>
          <w:szCs w:val="20"/>
          <w:color w:val="auto"/>
        </w:rPr>
      </w:pPr>
    </w:p>
    <w:p>
      <w:pPr>
        <w:jc w:val="both"/>
        <w:spacing w:after="0" w:line="257" w:lineRule="auto"/>
        <w:rPr>
          <w:sz w:val="20"/>
          <w:szCs w:val="20"/>
          <w:color w:val="auto"/>
        </w:rPr>
      </w:pPr>
      <w:r>
        <w:rPr>
          <w:rFonts w:ascii="Arial" w:cs="Arial" w:eastAsia="Arial" w:hAnsi="Arial"/>
          <w:sz w:val="18"/>
          <w:szCs w:val="18"/>
          <w:i w:val="1"/>
          <w:iCs w:val="1"/>
          <w:color w:val="auto"/>
        </w:rPr>
        <w:t xml:space="preserve">Software Development and Licensing Agreements: </w:t>
      </w:r>
      <w:r>
        <w:rPr>
          <w:rFonts w:ascii="Arial" w:cs="Arial" w:eastAsia="Arial" w:hAnsi="Arial"/>
          <w:sz w:val="18"/>
          <w:szCs w:val="18"/>
          <w:color w:val="auto"/>
        </w:rPr>
        <w:t>We make payments to third-party software developers that include contractual payments to developers</w:t>
      </w:r>
      <w:r>
        <w:rPr>
          <w:rFonts w:ascii="Arial" w:cs="Arial" w:eastAsia="Arial" w:hAnsi="Arial"/>
          <w:sz w:val="18"/>
          <w:szCs w:val="18"/>
          <w:i w:val="1"/>
          <w:iCs w:val="1"/>
          <w:color w:val="auto"/>
        </w:rPr>
        <w:t xml:space="preserve"> </w:t>
      </w:r>
      <w:r>
        <w:rPr>
          <w:rFonts w:ascii="Arial" w:cs="Arial" w:eastAsia="Arial" w:hAnsi="Arial"/>
          <w:sz w:val="18"/>
          <w:szCs w:val="18"/>
          <w:color w:val="auto"/>
        </w:rPr>
        <w:t>under several software development agreements that expire at various times through January 2022. Our aggregate outstanding software development commitments assume satisfactory performance by third-party software developers. We also have licensing commitments that primarily consist of obligations to holders of intellectual property rights for use of their trademarks, copyrights, technology or other intellectual property rights in the development of our products.</w:t>
      </w:r>
    </w:p>
    <w:p>
      <w:pPr>
        <w:sectPr>
          <w:pgSz w:w="11900" w:h="16838" w:orient="portrait"/>
          <w:cols w:equalWidth="0" w:num="1">
            <w:col w:w="11420"/>
          </w:cols>
          <w:pgMar w:left="240" w:top="715" w:right="239" w:bottom="1440" w:gutter="0" w:footer="0" w:header="0"/>
        </w:sectPr>
      </w:pPr>
    </w:p>
    <w:p>
      <w:pPr>
        <w:spacing w:after="0" w:line="35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76</w:t>
      </w:r>
    </w:p>
    <w:p>
      <w:pPr>
        <w:sectPr>
          <w:pgSz w:w="11900" w:h="16838" w:orient="portrait"/>
          <w:cols w:equalWidth="0" w:num="1">
            <w:col w:w="11420"/>
          </w:cols>
          <w:pgMar w:left="240" w:top="715" w:right="239" w:bottom="1440" w:gutter="0" w:footer="0" w:header="0"/>
          <w:type w:val="continuous"/>
        </w:sectPr>
      </w:pPr>
    </w:p>
    <w:bookmarkStart w:id="78" w:name="page79"/>
    <w:bookmarkEnd w:id="78"/>
    <w:p>
      <w:pPr>
        <w:jc w:val="both"/>
        <w:spacing w:after="0" w:line="264" w:lineRule="auto"/>
        <w:rPr>
          <w:sz w:val="20"/>
          <w:szCs w:val="20"/>
          <w:color w:val="auto"/>
        </w:rPr>
      </w:pPr>
      <w:r>
        <w:rPr>
          <w:rFonts w:ascii="Arial" w:cs="Arial" w:eastAsia="Arial" w:hAnsi="Arial"/>
          <w:sz w:val="18"/>
          <w:szCs w:val="18"/>
          <w:i w:val="1"/>
          <w:iCs w:val="1"/>
          <w:color w:val="auto"/>
        </w:rPr>
        <w:t xml:space="preserve">Marketing Agreements: </w:t>
      </w:r>
      <w:r>
        <w:rPr>
          <w:rFonts w:ascii="Arial" w:cs="Arial" w:eastAsia="Arial" w:hAnsi="Arial"/>
          <w:sz w:val="18"/>
          <w:szCs w:val="18"/>
          <w:color w:val="auto"/>
        </w:rPr>
        <w:t>We have certain minimum marketing support commitments where we commit to spend specified amounts related to marketing our</w:t>
      </w:r>
      <w:r>
        <w:rPr>
          <w:rFonts w:ascii="Arial" w:cs="Arial" w:eastAsia="Arial" w:hAnsi="Arial"/>
          <w:sz w:val="18"/>
          <w:szCs w:val="18"/>
          <w:i w:val="1"/>
          <w:iCs w:val="1"/>
          <w:color w:val="auto"/>
        </w:rPr>
        <w:t xml:space="preserve"> </w:t>
      </w:r>
      <w:r>
        <w:rPr>
          <w:rFonts w:ascii="Arial" w:cs="Arial" w:eastAsia="Arial" w:hAnsi="Arial"/>
          <w:sz w:val="18"/>
          <w:szCs w:val="18"/>
          <w:color w:val="auto"/>
        </w:rPr>
        <w:t>products. Marketing commitments expire at various times through December 2022 and primarily reflect our agreements with major sports leagues and players' associations.</w:t>
      </w:r>
    </w:p>
    <w:p>
      <w:pPr>
        <w:spacing w:after="0" w:line="23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i w:val="1"/>
          <w:iCs w:val="1"/>
          <w:color w:val="auto"/>
        </w:rPr>
        <w:t xml:space="preserve">Operating Leases: </w:t>
      </w:r>
      <w:r>
        <w:rPr>
          <w:rFonts w:ascii="Arial" w:cs="Arial" w:eastAsia="Arial" w:hAnsi="Arial"/>
          <w:sz w:val="17"/>
          <w:szCs w:val="17"/>
          <w:color w:val="auto"/>
        </w:rPr>
        <w:t>Our offices are occupied under non-cancelable operating leases expiring at various times through December 2032. We also lease certain</w:t>
      </w:r>
      <w:r>
        <w:rPr>
          <w:rFonts w:ascii="Arial" w:cs="Arial" w:eastAsia="Arial" w:hAnsi="Arial"/>
          <w:sz w:val="17"/>
          <w:szCs w:val="17"/>
          <w:i w:val="1"/>
          <w:iCs w:val="1"/>
          <w:color w:val="auto"/>
        </w:rPr>
        <w:t xml:space="preserve"> </w:t>
      </w:r>
      <w:r>
        <w:rPr>
          <w:rFonts w:ascii="Arial" w:cs="Arial" w:eastAsia="Arial" w:hAnsi="Arial"/>
          <w:sz w:val="17"/>
          <w:szCs w:val="17"/>
          <w:color w:val="auto"/>
        </w:rPr>
        <w:t>furniture, equipment and automobiles under non-cancelable leases expiring through March 2021. Some of the leases have fixed rent increases and also include inducements to enter into the lease. The effect of such amounts are deferred and recognized on a straight-line basis over the related lease term. Rent expense amounted to $25,301, $19,545 and $18,032 for the fiscal years ended March 31, 2018, 2017 and 2016, respectively.</w:t>
      </w:r>
    </w:p>
    <w:p>
      <w:pPr>
        <w:spacing w:after="0" w:line="225" w:lineRule="exact"/>
        <w:rPr>
          <w:sz w:val="20"/>
          <w:szCs w:val="20"/>
          <w:color w:val="auto"/>
        </w:rPr>
      </w:pPr>
    </w:p>
    <w:p>
      <w:pPr>
        <w:jc w:val="both"/>
        <w:spacing w:after="0" w:line="264" w:lineRule="auto"/>
        <w:rPr>
          <w:sz w:val="20"/>
          <w:szCs w:val="20"/>
          <w:color w:val="auto"/>
        </w:rPr>
      </w:pPr>
      <w:r>
        <w:rPr>
          <w:rFonts w:ascii="Arial" w:cs="Arial" w:eastAsia="Arial" w:hAnsi="Arial"/>
          <w:sz w:val="18"/>
          <w:szCs w:val="18"/>
          <w:i w:val="1"/>
          <w:iCs w:val="1"/>
          <w:color w:val="auto"/>
        </w:rPr>
        <w:t xml:space="preserve">Purchase obligations: </w:t>
      </w:r>
      <w:r>
        <w:rPr>
          <w:rFonts w:ascii="Arial" w:cs="Arial" w:eastAsia="Arial" w:hAnsi="Arial"/>
          <w:sz w:val="18"/>
          <w:szCs w:val="18"/>
          <w:color w:val="auto"/>
        </w:rPr>
        <w:t>These obligations are primarily related to agreements to purchase services that are enforceable and legally binding on the Company</w:t>
      </w:r>
      <w:r>
        <w:rPr>
          <w:rFonts w:ascii="Arial" w:cs="Arial" w:eastAsia="Arial" w:hAnsi="Arial"/>
          <w:sz w:val="18"/>
          <w:szCs w:val="18"/>
          <w:i w:val="1"/>
          <w:iCs w:val="1"/>
          <w:color w:val="auto"/>
        </w:rPr>
        <w:t xml:space="preserve"> </w:t>
      </w:r>
      <w:r>
        <w:rPr>
          <w:rFonts w:ascii="Arial" w:cs="Arial" w:eastAsia="Arial" w:hAnsi="Arial"/>
          <w:sz w:val="18"/>
          <w:szCs w:val="18"/>
          <w:color w:val="auto"/>
        </w:rPr>
        <w:t>that specifies all significant terms, including fixed, minimum or variable pricing provisions; and the approximate timing of the transactions, expiring at various times through September 2021.</w:t>
      </w:r>
    </w:p>
    <w:p>
      <w:pPr>
        <w:spacing w:after="0" w:line="23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i w:val="1"/>
          <w:iCs w:val="1"/>
          <w:color w:val="auto"/>
        </w:rPr>
        <w:t xml:space="preserve">Employee Savings Plans: </w:t>
      </w:r>
      <w:r>
        <w:rPr>
          <w:rFonts w:ascii="Arial" w:cs="Arial" w:eastAsia="Arial" w:hAnsi="Arial"/>
          <w:sz w:val="18"/>
          <w:szCs w:val="18"/>
          <w:color w:val="auto"/>
        </w:rPr>
        <w:t>For our United States employees we maintain a 401(k) retirement savings plan and trust. Our 401(k) plan is offered to all eligible</w:t>
      </w:r>
      <w:r>
        <w:rPr>
          <w:rFonts w:ascii="Arial" w:cs="Arial" w:eastAsia="Arial" w:hAnsi="Arial"/>
          <w:sz w:val="18"/>
          <w:szCs w:val="18"/>
          <w:i w:val="1"/>
          <w:iCs w:val="1"/>
          <w:color w:val="auto"/>
        </w:rPr>
        <w:t xml:space="preserve"> </w:t>
      </w:r>
      <w:r>
        <w:rPr>
          <w:rFonts w:ascii="Arial" w:cs="Arial" w:eastAsia="Arial" w:hAnsi="Arial"/>
          <w:sz w:val="18"/>
          <w:szCs w:val="18"/>
          <w:color w:val="auto"/>
        </w:rPr>
        <w:t>employees and participants may make voluntary contributions. We also have various pension plans for our non-U.S. employees, some of which are required by local laws, and allow or require Company contributions. Employer contributions under all defined contribution and pension plans during the fiscal years ended March 31, 2018, 2017 and 2016 were $9,592, $8,018 and $8,348, respectively.</w:t>
      </w:r>
    </w:p>
    <w:p>
      <w:pPr>
        <w:spacing w:after="0" w:line="241" w:lineRule="exact"/>
        <w:rPr>
          <w:sz w:val="20"/>
          <w:szCs w:val="20"/>
          <w:color w:val="auto"/>
        </w:rPr>
      </w:pPr>
    </w:p>
    <w:p>
      <w:pPr>
        <w:jc w:val="both"/>
        <w:spacing w:after="0" w:line="302" w:lineRule="auto"/>
        <w:rPr>
          <w:sz w:val="20"/>
          <w:szCs w:val="20"/>
          <w:color w:val="auto"/>
        </w:rPr>
      </w:pPr>
      <w:r>
        <w:rPr>
          <w:rFonts w:ascii="Arial" w:cs="Arial" w:eastAsia="Arial" w:hAnsi="Arial"/>
          <w:sz w:val="16"/>
          <w:szCs w:val="16"/>
          <w:i w:val="1"/>
          <w:iCs w:val="1"/>
          <w:color w:val="auto"/>
        </w:rPr>
        <w:t xml:space="preserve">Legal and Other Proceedings: </w:t>
      </w:r>
      <w:r>
        <w:rPr>
          <w:rFonts w:ascii="Arial" w:cs="Arial" w:eastAsia="Arial" w:hAnsi="Arial"/>
          <w:sz w:val="16"/>
          <w:szCs w:val="16"/>
          <w:color w:val="auto"/>
        </w:rPr>
        <w:t>We are, or may become, subject to demands and claims (including intellectual property claims) and are involved in routine</w:t>
      </w:r>
      <w:r>
        <w:rPr>
          <w:rFonts w:ascii="Arial" w:cs="Arial" w:eastAsia="Arial" w:hAnsi="Arial"/>
          <w:sz w:val="16"/>
          <w:szCs w:val="16"/>
          <w:i w:val="1"/>
          <w:iCs w:val="1"/>
          <w:color w:val="auto"/>
        </w:rPr>
        <w:t xml:space="preserve"> </w:t>
      </w:r>
      <w:r>
        <w:rPr>
          <w:rFonts w:ascii="Arial" w:cs="Arial" w:eastAsia="Arial" w:hAnsi="Arial"/>
          <w:sz w:val="16"/>
          <w:szCs w:val="16"/>
          <w:color w:val="auto"/>
        </w:rPr>
        <w:t>litigation in the ordinary course of business which we do not believe to be material to our business or financial condition or results of operations. We have appropriately accrued amounts related to certain of these claims and legal and other proceedings. While it is reasonably possible that a loss may be incurred in excess of the amounts accrued in our financial statements, we believe that such losses, unless otherwise disclosed, would not be material.</w:t>
      </w:r>
    </w:p>
    <w:p>
      <w:pPr>
        <w:spacing w:after="0" w:line="208"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On April 11, 2016, we filed a declaratory judgment action in the United States District Court for the Southern District of New York seeking, among other things, a judicial declaration that Leslie Benzies, the former president of one of our subsidiaries with whom we had been in ongoing discussions regarding his separation of employment, is not entitled to any minimum allocation or financial parity with any other person under the applicable royalty plan. We believe we will prevail in this matter, although there can be no assurance of the outcome. On April 12, 2016, Mr. Benzies filed a complaint in the Supreme Court of the State of New York, New York County against us, and certain of our subsidiaries and employees. We removed this case to the United States District Court for the Southern District of New York, but the case was subsequently remanded to state court. The complaint claims damages of at least $150,000 and contains allegations of breach of fiduciary duty; fraudulent inducement and fraudulent concealment; aiding and abetting breach of fiduciary duty; breach of various contracts; breach of implied duty of good faith and fair dealing; tortious interference with contract; unjust enrichment; reformation; constructive trust; declaration of rights; constructive discharge; defamation and fraud. We have asserted counterclaims for breach of contract, theft of trade secrets, and misappropriation.</w:t>
      </w:r>
    </w:p>
    <w:p>
      <w:pPr>
        <w:spacing w:after="0" w:line="23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a result of amended pleadings, motion practice and appeals to date, twelve of Mr. Benzies’ claims have been dismissed, leaving only six remaining claims: breach of various contracts, constructive discharge, breach of implied duty of good faith and fair dealing, and tortious interference with contract. Our federal court action has been stayed pending the conclusion of the state court action. We believe that we have meritorious defenses to the remaining claims, and we intend to vigorously defend against them and to pursue our counterclaims.</w:t>
      </w:r>
    </w:p>
    <w:p>
      <w:pPr>
        <w:spacing w:after="0" w:line="241" w:lineRule="exact"/>
        <w:rPr>
          <w:sz w:val="20"/>
          <w:szCs w:val="20"/>
          <w:color w:val="auto"/>
        </w:rPr>
      </w:pPr>
    </w:p>
    <w:p>
      <w:pPr>
        <w:jc w:val="both"/>
        <w:spacing w:after="0" w:line="312" w:lineRule="auto"/>
        <w:rPr>
          <w:sz w:val="20"/>
          <w:szCs w:val="20"/>
          <w:color w:val="auto"/>
        </w:rPr>
      </w:pPr>
      <w:r>
        <w:rPr>
          <w:rFonts w:ascii="Arial" w:cs="Arial" w:eastAsia="Arial" w:hAnsi="Arial"/>
          <w:sz w:val="16"/>
          <w:szCs w:val="16"/>
          <w:color w:val="auto"/>
        </w:rPr>
        <w:t>We have accrued what we believe to be an adequate amount for this matter, which amounts are classified as Business reorganization within Accrued expenses and other current liabilities in our Consolidated Balance Sheets (see Note 20 - Business Reorganization). We do not believe that the ultimate outcome of such litigation, even if in excess of our current accrual, will have a material adverse effect on our business, financial condition or results of operations.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14.  INCOME TAXES</w:t>
      </w:r>
    </w:p>
    <w:p>
      <w:pPr>
        <w:spacing w:after="0" w:line="14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December 22, 2017, the U.S. enacted comprehensive tax legislation commonly referred to as the Tax Cuts and Jobs Act (herein referred to as the "Act”). The Act makes broad and complex changes to the U.S. tax code that could materially affect us. The Act reduces the U.S. federal corporate income tax rate from 35% to 21%, effective January 1, 2018 and requires companies to pay a one-time transition tax on the previously untaxed earnings of certain foreign subsidiaries. In addition, the Act makes other changes that may affect us, beginning April 1, 2018. These changes include but are not limited to (1) a Base Erosion Anti-abuse Tax (BEAT), which is a new minimum tax, (2) generally eliminating U.S. federal income taxes on dividends from foreign subsidiaries, (3) a new provision that taxes global intangible low-taxed income (GILTI), (4) the repeal of the domestic production activity deduction, and (5) other base broadening provisions.</w:t>
      </w: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20"/>
          </w:cols>
          <w:pgMar w:left="240" w:top="719" w:right="239" w:bottom="1440" w:gutter="0" w:footer="0" w:header="0"/>
        </w:sectPr>
      </w:pPr>
    </w:p>
    <w:bookmarkStart w:id="79" w:name="page80"/>
    <w:bookmarkEnd w:id="79"/>
    <w:p>
      <w:pPr>
        <w:jc w:val="both"/>
        <w:spacing w:after="0" w:line="273" w:lineRule="auto"/>
        <w:rPr>
          <w:sz w:val="20"/>
          <w:szCs w:val="20"/>
          <w:color w:val="auto"/>
        </w:rPr>
      </w:pPr>
      <w:r>
        <w:rPr>
          <w:rFonts w:ascii="Arial" w:cs="Arial" w:eastAsia="Arial" w:hAnsi="Arial"/>
          <w:sz w:val="17"/>
          <w:szCs w:val="17"/>
          <w:color w:val="auto"/>
        </w:rPr>
        <w:t>We recorded an estimated increase to income tax expense of $18,078 related to the one-time transition tax on the previously untaxed earnings of certain foreign subsidiaries as a result of the Act. The estimated increase was a result of a transition tax of $26,649, offset by an increased benefit from domestic production deductions and tax credits. In addition, as a result of the decrease in the U.S. federal corporate income tax rate from 35% to 21%, we recorded a decrease to net deferred tax assets of $47,677, and corresponding decrease to valuation allowance of $39,769 after taking into account a portion of the deferred tax liability from indefinite lived intangibles as a source of income against deferred tax assets, resulting in a tax benefit of $7,908. The re-measurement of the deferred tax liability relating to indefinite lived intangibles, due to the rate change, resulted in a tax benefit of $6,202.</w:t>
      </w:r>
    </w:p>
    <w:p>
      <w:pPr>
        <w:spacing w:after="0" w:line="17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We are currently evaluating the potential impact of the Act, and the amounts recorded represent provisional estimates for certain identified income tax effects for which the accounting is incomplete but a reasonable estimate can be determined, in accordance with Staff Accounting Bulletin No. 118 (SAB 118). Further analysis is required to review historical practices used to calculate the untaxed earnings of certain foreign subsidiaries and additional time to evaluate the complexities of the new tax law along with additional interpretative guidance that may be issued. The impact of the Act may differ from these estimates, possibly materially, due to changes in interpretations and assumptions we have made, guidance that may be issued, and actions we may take as a result of the Act. We expect to continue to analyze the Act and its impact and expect to record any adjustments to provisional estimates no later than the third quarter of fiscal 2019.</w:t>
      </w:r>
    </w:p>
    <w:p>
      <w:pPr>
        <w:spacing w:after="0" w:line="108" w:lineRule="exact"/>
        <w:rPr>
          <w:sz w:val="20"/>
          <w:szCs w:val="20"/>
          <w:color w:val="auto"/>
        </w:rPr>
      </w:pPr>
    </w:p>
    <w:p>
      <w:pPr>
        <w:spacing w:after="0"/>
        <w:rPr>
          <w:sz w:val="20"/>
          <w:szCs w:val="20"/>
          <w:color w:val="auto"/>
        </w:rPr>
      </w:pPr>
      <w:r>
        <w:rPr>
          <w:rFonts w:ascii="Arial" w:cs="Arial" w:eastAsia="Arial" w:hAnsi="Arial"/>
          <w:sz w:val="18"/>
          <w:szCs w:val="18"/>
          <w:color w:val="auto"/>
        </w:rPr>
        <w:t>Components of income (loss) before income taxes are as follows: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8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2060" w:type="dxa"/>
            <w:vAlign w:val="bottom"/>
            <w:tcBorders>
              <w:bottom w:val="single" w:sz="8" w:color="auto"/>
            </w:tcBorders>
            <w:gridSpan w:val="6"/>
          </w:tcPr>
          <w:p>
            <w:pPr>
              <w:jc w:val="center"/>
              <w:ind w:right="170"/>
              <w:spacing w:after="0"/>
              <w:rPr>
                <w:sz w:val="20"/>
                <w:szCs w:val="20"/>
                <w:color w:val="auto"/>
              </w:rPr>
            </w:pPr>
            <w:r>
              <w:rPr>
                <w:rFonts w:ascii="Arial" w:cs="Arial" w:eastAsia="Arial" w:hAnsi="Arial"/>
                <w:sz w:val="14"/>
                <w:szCs w:val="14"/>
                <w:b w:val="1"/>
                <w:bCs w:val="1"/>
                <w:color w:val="auto"/>
                <w:w w:val="95"/>
              </w:rPr>
              <w:t>Fiscal Year Ended March 31,</w:t>
            </w:r>
          </w:p>
        </w:tc>
        <w:tc>
          <w:tcPr>
            <w:tcW w:w="1040" w:type="dxa"/>
            <w:vAlign w:val="bottom"/>
            <w:tcBorders>
              <w:bottom w:val="single" w:sz="8" w:color="auto"/>
            </w:tcBorders>
          </w:tcPr>
          <w:p>
            <w:pPr>
              <w:spacing w:after="0"/>
              <w:rPr>
                <w:sz w:val="16"/>
                <w:szCs w:val="16"/>
                <w:color w:val="auto"/>
              </w:rPr>
            </w:pPr>
          </w:p>
        </w:tc>
      </w:tr>
      <w:tr>
        <w:trPr>
          <w:trHeight w:val="264"/>
        </w:trPr>
        <w:tc>
          <w:tcPr>
            <w:tcW w:w="6860" w:type="dxa"/>
            <w:vAlign w:val="bottom"/>
            <w:tcBorders>
              <w:bottom w:val="single" w:sz="8" w:color="auto"/>
            </w:tcBorders>
          </w:tcPr>
          <w:p>
            <w:pPr>
              <w:spacing w:after="0"/>
              <w:rPr>
                <w:sz w:val="22"/>
                <w:szCs w:val="22"/>
                <w:color w:val="auto"/>
              </w:rPr>
            </w:pPr>
          </w:p>
        </w:tc>
        <w:tc>
          <w:tcPr>
            <w:tcW w:w="14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13"/>
              <w:spacing w:after="0"/>
              <w:rPr>
                <w:sz w:val="20"/>
                <w:szCs w:val="20"/>
                <w:color w:val="auto"/>
              </w:rPr>
            </w:pPr>
            <w:r>
              <w:rPr>
                <w:rFonts w:ascii="Arial" w:cs="Arial" w:eastAsia="Arial" w:hAnsi="Arial"/>
                <w:sz w:val="14"/>
                <w:szCs w:val="14"/>
                <w:b w:val="1"/>
                <w:bCs w:val="1"/>
                <w:color w:val="auto"/>
              </w:rPr>
              <w:t>2018</w:t>
            </w:r>
          </w:p>
        </w:tc>
        <w:tc>
          <w:tcPr>
            <w:tcW w:w="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center"/>
              <w:ind w:right="273"/>
              <w:spacing w:after="0"/>
              <w:rPr>
                <w:sz w:val="20"/>
                <w:szCs w:val="20"/>
                <w:color w:val="auto"/>
              </w:rPr>
            </w:pPr>
            <w:r>
              <w:rPr>
                <w:rFonts w:ascii="Arial" w:cs="Arial" w:eastAsia="Arial" w:hAnsi="Arial"/>
                <w:sz w:val="14"/>
                <w:szCs w:val="14"/>
                <w:b w:val="1"/>
                <w:bCs w:val="1"/>
                <w:color w:val="auto"/>
                <w:w w:val="96"/>
              </w:rPr>
              <w:t>2017</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2016</w:t>
            </w:r>
          </w:p>
        </w:tc>
      </w:tr>
      <w:tr>
        <w:trPr>
          <w:trHeight w:val="250"/>
        </w:trPr>
        <w:tc>
          <w:tcPr>
            <w:tcW w:w="7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Domestic</w:t>
            </w: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136,239</w:t>
            </w:r>
          </w:p>
        </w:tc>
        <w:tc>
          <w:tcPr>
            <w:tcW w:w="52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86,050</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(94,174)</w:t>
            </w:r>
          </w:p>
        </w:tc>
      </w:tr>
      <w:tr>
        <w:trPr>
          <w:trHeight w:val="243"/>
        </w:trPr>
        <w:tc>
          <w:tcPr>
            <w:tcW w:w="7000" w:type="dxa"/>
            <w:vAlign w:val="bottom"/>
            <w:gridSpan w:val="2"/>
          </w:tcPr>
          <w:p>
            <w:pPr>
              <w:ind w:left="40"/>
              <w:spacing w:after="0"/>
              <w:rPr>
                <w:sz w:val="20"/>
                <w:szCs w:val="20"/>
                <w:color w:val="auto"/>
              </w:rPr>
            </w:pPr>
            <w:r>
              <w:rPr>
                <w:rFonts w:ascii="Arial" w:cs="Arial" w:eastAsia="Arial" w:hAnsi="Arial"/>
                <w:sz w:val="18"/>
                <w:szCs w:val="18"/>
                <w:color w:val="auto"/>
              </w:rPr>
              <w:t>Foreign</w:t>
            </w:r>
          </w:p>
        </w:tc>
        <w:tc>
          <w:tcPr>
            <w:tcW w:w="32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386</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(9,085)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55,824</w:t>
            </w:r>
          </w:p>
        </w:tc>
      </w:tr>
      <w:tr>
        <w:trPr>
          <w:trHeight w:val="27"/>
        </w:trPr>
        <w:tc>
          <w:tcPr>
            <w:tcW w:w="686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9"/>
        </w:trPr>
        <w:tc>
          <w:tcPr>
            <w:tcW w:w="7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w:t>
            </w: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136,625</w:t>
            </w:r>
          </w:p>
        </w:tc>
        <w:tc>
          <w:tcPr>
            <w:tcW w:w="52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76,965</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(38,350)</w:t>
            </w:r>
          </w:p>
        </w:tc>
      </w:tr>
      <w:tr>
        <w:trPr>
          <w:trHeight w:val="20"/>
        </w:trPr>
        <w:tc>
          <w:tcPr>
            <w:tcW w:w="68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r>
        <w:trPr>
          <w:trHeight w:val="332"/>
        </w:trPr>
        <w:tc>
          <w:tcPr>
            <w:tcW w:w="7000" w:type="dxa"/>
            <w:vAlign w:val="bottom"/>
            <w:gridSpan w:val="2"/>
          </w:tcPr>
          <w:p>
            <w:pPr>
              <w:spacing w:after="0"/>
              <w:rPr>
                <w:sz w:val="20"/>
                <w:szCs w:val="20"/>
                <w:color w:val="auto"/>
              </w:rPr>
            </w:pPr>
            <w:r>
              <w:rPr>
                <w:rFonts w:ascii="Arial" w:cs="Arial" w:eastAsia="Arial" w:hAnsi="Arial"/>
                <w:sz w:val="18"/>
                <w:szCs w:val="18"/>
                <w:color w:val="auto"/>
              </w:rPr>
              <w:t>Provision (benefit from) for current and deferred income taxes consists of the following:</w:t>
            </w:r>
          </w:p>
        </w:tc>
        <w:tc>
          <w:tcPr>
            <w:tcW w:w="3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r>
      <w:tr>
        <w:trPr>
          <w:trHeight w:val="534"/>
        </w:trPr>
        <w:tc>
          <w:tcPr>
            <w:tcW w:w="6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gridSpan w:val="6"/>
          </w:tcPr>
          <w:p>
            <w:pPr>
              <w:jc w:val="center"/>
              <w:ind w:right="170"/>
              <w:spacing w:after="0"/>
              <w:rPr>
                <w:sz w:val="20"/>
                <w:szCs w:val="20"/>
                <w:color w:val="auto"/>
              </w:rPr>
            </w:pPr>
            <w:r>
              <w:rPr>
                <w:rFonts w:ascii="Arial" w:cs="Arial" w:eastAsia="Arial" w:hAnsi="Arial"/>
                <w:sz w:val="14"/>
                <w:szCs w:val="14"/>
                <w:b w:val="1"/>
                <w:bCs w:val="1"/>
                <w:color w:val="auto"/>
                <w:w w:val="95"/>
              </w:rPr>
              <w:t>Fiscal Year Ended March 31,</w:t>
            </w:r>
          </w:p>
        </w:tc>
        <w:tc>
          <w:tcPr>
            <w:tcW w:w="1040" w:type="dxa"/>
            <w:vAlign w:val="bottom"/>
            <w:tcBorders>
              <w:bottom w:val="single" w:sz="8" w:color="auto"/>
            </w:tcBorders>
          </w:tcPr>
          <w:p>
            <w:pPr>
              <w:spacing w:after="0"/>
              <w:rPr>
                <w:sz w:val="24"/>
                <w:szCs w:val="24"/>
                <w:color w:val="auto"/>
              </w:rPr>
            </w:pPr>
          </w:p>
        </w:tc>
      </w:tr>
      <w:tr>
        <w:trPr>
          <w:trHeight w:val="264"/>
        </w:trPr>
        <w:tc>
          <w:tcPr>
            <w:tcW w:w="6860" w:type="dxa"/>
            <w:vAlign w:val="bottom"/>
            <w:tcBorders>
              <w:bottom w:val="single" w:sz="8" w:color="auto"/>
            </w:tcBorders>
          </w:tcPr>
          <w:p>
            <w:pPr>
              <w:spacing w:after="0"/>
              <w:rPr>
                <w:sz w:val="22"/>
                <w:szCs w:val="22"/>
                <w:color w:val="auto"/>
              </w:rPr>
            </w:pPr>
          </w:p>
        </w:tc>
        <w:tc>
          <w:tcPr>
            <w:tcW w:w="14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13"/>
              <w:spacing w:after="0"/>
              <w:rPr>
                <w:sz w:val="20"/>
                <w:szCs w:val="20"/>
                <w:color w:val="auto"/>
              </w:rPr>
            </w:pPr>
            <w:r>
              <w:rPr>
                <w:rFonts w:ascii="Arial" w:cs="Arial" w:eastAsia="Arial" w:hAnsi="Arial"/>
                <w:sz w:val="14"/>
                <w:szCs w:val="14"/>
                <w:b w:val="1"/>
                <w:bCs w:val="1"/>
                <w:color w:val="auto"/>
              </w:rPr>
              <w:t>2018</w:t>
            </w:r>
          </w:p>
        </w:tc>
        <w:tc>
          <w:tcPr>
            <w:tcW w:w="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center"/>
              <w:ind w:right="273"/>
              <w:spacing w:after="0"/>
              <w:rPr>
                <w:sz w:val="20"/>
                <w:szCs w:val="20"/>
                <w:color w:val="auto"/>
              </w:rPr>
            </w:pPr>
            <w:r>
              <w:rPr>
                <w:rFonts w:ascii="Arial" w:cs="Arial" w:eastAsia="Arial" w:hAnsi="Arial"/>
                <w:sz w:val="14"/>
                <w:szCs w:val="14"/>
                <w:b w:val="1"/>
                <w:bCs w:val="1"/>
                <w:color w:val="auto"/>
                <w:w w:val="96"/>
              </w:rPr>
              <w:t>2017</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2016</w:t>
            </w:r>
          </w:p>
        </w:tc>
      </w:tr>
      <w:tr>
        <w:trPr>
          <w:trHeight w:val="250"/>
        </w:trPr>
        <w:tc>
          <w:tcPr>
            <w:tcW w:w="7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Current:</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spacing w:after="0"/>
              <w:rPr>
                <w:sz w:val="21"/>
                <w:szCs w:val="21"/>
                <w:color w:val="auto"/>
              </w:rPr>
            </w:pP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r>
      <w:tr>
        <w:trPr>
          <w:trHeight w:val="243"/>
        </w:trPr>
        <w:tc>
          <w:tcPr>
            <w:tcW w:w="7000" w:type="dxa"/>
            <w:vAlign w:val="bottom"/>
            <w:gridSpan w:val="2"/>
          </w:tcPr>
          <w:p>
            <w:pPr>
              <w:ind w:left="180"/>
              <w:spacing w:after="0"/>
              <w:rPr>
                <w:sz w:val="20"/>
                <w:szCs w:val="20"/>
                <w:color w:val="auto"/>
              </w:rPr>
            </w:pPr>
            <w:r>
              <w:rPr>
                <w:rFonts w:ascii="Arial" w:cs="Arial" w:eastAsia="Arial" w:hAnsi="Arial"/>
                <w:sz w:val="18"/>
                <w:szCs w:val="18"/>
                <w:color w:val="auto"/>
              </w:rPr>
              <w:t>U.S. federal</w:t>
            </w:r>
          </w:p>
        </w:tc>
        <w:tc>
          <w:tcPr>
            <w:tcW w:w="320" w:type="dxa"/>
            <w:vAlign w:val="bottom"/>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(7,327)</w:t>
            </w:r>
          </w:p>
        </w:tc>
        <w:tc>
          <w:tcPr>
            <w:tcW w:w="52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19,271</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792</w:t>
            </w:r>
          </w:p>
        </w:tc>
      </w:tr>
      <w:tr>
        <w:trPr>
          <w:trHeight w:val="27"/>
        </w:trPr>
        <w:tc>
          <w:tcPr>
            <w:tcW w:w="700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7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U.S. state and local</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(1,266)</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2,521</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938</w:t>
            </w:r>
          </w:p>
        </w:tc>
      </w:tr>
      <w:tr>
        <w:trPr>
          <w:trHeight w:val="243"/>
        </w:trPr>
        <w:tc>
          <w:tcPr>
            <w:tcW w:w="7000" w:type="dxa"/>
            <w:vAlign w:val="bottom"/>
            <w:gridSpan w:val="2"/>
          </w:tcPr>
          <w:p>
            <w:pPr>
              <w:ind w:left="180"/>
              <w:spacing w:after="0"/>
              <w:rPr>
                <w:sz w:val="20"/>
                <w:szCs w:val="20"/>
                <w:color w:val="auto"/>
              </w:rPr>
            </w:pPr>
            <w:r>
              <w:rPr>
                <w:rFonts w:ascii="Arial" w:cs="Arial" w:eastAsia="Arial" w:hAnsi="Arial"/>
                <w:sz w:val="18"/>
                <w:szCs w:val="18"/>
                <w:color w:val="auto"/>
              </w:rPr>
              <w:t>Foreign</w:t>
            </w:r>
          </w:p>
        </w:tc>
        <w:tc>
          <w:tcPr>
            <w:tcW w:w="32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4,208</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(13,012)</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(31,508)</w:t>
            </w:r>
          </w:p>
        </w:tc>
      </w:tr>
      <w:tr>
        <w:trPr>
          <w:trHeight w:val="27"/>
        </w:trPr>
        <w:tc>
          <w:tcPr>
            <w:tcW w:w="686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44"/>
        </w:trPr>
        <w:tc>
          <w:tcPr>
            <w:tcW w:w="7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current income taxes</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(4,385)</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8,780</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(29,778)</w:t>
            </w:r>
          </w:p>
        </w:tc>
      </w:tr>
      <w:tr>
        <w:trPr>
          <w:trHeight w:val="243"/>
        </w:trPr>
        <w:tc>
          <w:tcPr>
            <w:tcW w:w="7000" w:type="dxa"/>
            <w:vAlign w:val="bottom"/>
            <w:gridSpan w:val="2"/>
          </w:tcPr>
          <w:p>
            <w:pPr>
              <w:ind w:left="40"/>
              <w:spacing w:after="0"/>
              <w:rPr>
                <w:sz w:val="20"/>
                <w:szCs w:val="20"/>
                <w:color w:val="auto"/>
              </w:rPr>
            </w:pPr>
            <w:r>
              <w:rPr>
                <w:rFonts w:ascii="Arial" w:cs="Arial" w:eastAsia="Arial" w:hAnsi="Arial"/>
                <w:sz w:val="18"/>
                <w:szCs w:val="18"/>
                <w:color w:val="auto"/>
              </w:rPr>
              <w:t>Deferred:</w:t>
            </w:r>
          </w:p>
        </w:tc>
        <w:tc>
          <w:tcPr>
            <w:tcW w:w="3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spacing w:after="0"/>
              <w:rPr>
                <w:sz w:val="21"/>
                <w:szCs w:val="21"/>
                <w:color w:val="auto"/>
              </w:rPr>
            </w:pPr>
          </w:p>
        </w:tc>
      </w:tr>
      <w:tr>
        <w:trPr>
          <w:trHeight w:val="27"/>
        </w:trPr>
        <w:tc>
          <w:tcPr>
            <w:tcW w:w="700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7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U.S. federal</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(13,530)</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969</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1,211</w:t>
            </w:r>
          </w:p>
        </w:tc>
      </w:tr>
      <w:tr>
        <w:trPr>
          <w:trHeight w:val="243"/>
        </w:trPr>
        <w:tc>
          <w:tcPr>
            <w:tcW w:w="7000" w:type="dxa"/>
            <w:vAlign w:val="bottom"/>
            <w:gridSpan w:val="2"/>
          </w:tcPr>
          <w:p>
            <w:pPr>
              <w:ind w:left="180"/>
              <w:spacing w:after="0"/>
              <w:rPr>
                <w:sz w:val="20"/>
                <w:szCs w:val="20"/>
                <w:color w:val="auto"/>
              </w:rPr>
            </w:pPr>
            <w:r>
              <w:rPr>
                <w:rFonts w:ascii="Arial" w:cs="Arial" w:eastAsia="Arial" w:hAnsi="Arial"/>
                <w:sz w:val="18"/>
                <w:szCs w:val="18"/>
                <w:color w:val="auto"/>
              </w:rPr>
              <w:t>U.S. state and local</w:t>
            </w:r>
          </w:p>
        </w:tc>
        <w:tc>
          <w:tcPr>
            <w:tcW w:w="32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195</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2,395</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(231)</w:t>
            </w:r>
          </w:p>
        </w:tc>
      </w:tr>
      <w:tr>
        <w:trPr>
          <w:trHeight w:val="27"/>
        </w:trPr>
        <w:tc>
          <w:tcPr>
            <w:tcW w:w="7000" w:type="dxa"/>
            <w:vAlign w:val="bottom"/>
            <w:gridSpan w:val="2"/>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7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Foreign</w:t>
            </w:r>
          </w:p>
        </w:tc>
        <w:tc>
          <w:tcPr>
            <w:tcW w:w="3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(19,188)</w:t>
            </w:r>
          </w:p>
        </w:tc>
        <w:tc>
          <w:tcPr>
            <w:tcW w:w="4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(2,482)</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(1,250)</w:t>
            </w:r>
          </w:p>
        </w:tc>
      </w:tr>
      <w:tr>
        <w:trPr>
          <w:trHeight w:val="237"/>
        </w:trPr>
        <w:tc>
          <w:tcPr>
            <w:tcW w:w="686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deferred income taxes</w:t>
            </w:r>
          </w:p>
        </w:tc>
        <w:tc>
          <w:tcPr>
            <w:tcW w:w="14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rPr>
              <w:t>(32,523)</w:t>
            </w:r>
          </w:p>
        </w:tc>
        <w:tc>
          <w:tcPr>
            <w:tcW w:w="4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110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882</w:t>
            </w:r>
          </w:p>
        </w:tc>
        <w:tc>
          <w:tcPr>
            <w:tcW w:w="12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(270)</w:t>
            </w:r>
          </w:p>
        </w:tc>
      </w:tr>
      <w:tr>
        <w:trPr>
          <w:trHeight w:val="27"/>
        </w:trPr>
        <w:tc>
          <w:tcPr>
            <w:tcW w:w="686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9"/>
        </w:trPr>
        <w:tc>
          <w:tcPr>
            <w:tcW w:w="7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Provision (benefit from) for income taxes</w:t>
            </w: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(36,908)</w:t>
            </w:r>
          </w:p>
        </w:tc>
        <w:tc>
          <w:tcPr>
            <w:tcW w:w="52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9,662</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(30,048)</w:t>
            </w:r>
          </w:p>
        </w:tc>
      </w:tr>
      <w:tr>
        <w:trPr>
          <w:trHeight w:val="20"/>
        </w:trPr>
        <w:tc>
          <w:tcPr>
            <w:tcW w:w="68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r>
        <w:trPr>
          <w:trHeight w:val="440"/>
        </w:trPr>
        <w:tc>
          <w:tcPr>
            <w:tcW w:w="6860" w:type="dxa"/>
            <w:vAlign w:val="bottom"/>
          </w:tcPr>
          <w:p>
            <w:pPr>
              <w:ind w:left="5620"/>
              <w:spacing w:after="0"/>
              <w:rPr>
                <w:sz w:val="20"/>
                <w:szCs w:val="20"/>
                <w:color w:val="auto"/>
              </w:rPr>
            </w:pPr>
            <w:r>
              <w:rPr>
                <w:rFonts w:ascii="Arial" w:cs="Arial" w:eastAsia="Arial" w:hAnsi="Arial"/>
                <w:sz w:val="18"/>
                <w:szCs w:val="18"/>
                <w:color w:val="auto"/>
              </w:rPr>
              <w:t>78</w:t>
            </w:r>
          </w:p>
        </w:tc>
        <w:tc>
          <w:tcPr>
            <w:tcW w:w="1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40" w:type="dxa"/>
            <w:vAlign w:val="bottom"/>
          </w:tcPr>
          <w:p>
            <w:pPr>
              <w:spacing w:after="0"/>
              <w:rPr>
                <w:sz w:val="24"/>
                <w:szCs w:val="24"/>
                <w:color w:val="auto"/>
              </w:rPr>
            </w:pPr>
          </w:p>
        </w:tc>
      </w:tr>
    </w:tbl>
    <w:p>
      <w:pPr>
        <w:sectPr>
          <w:pgSz w:w="11900" w:h="16838" w:orient="portrait"/>
          <w:cols w:equalWidth="0" w:num="1">
            <w:col w:w="11420"/>
          </w:cols>
          <w:pgMar w:left="240" w:top="584" w:right="239" w:bottom="1440" w:gutter="0" w:footer="0" w:header="0"/>
        </w:sectPr>
      </w:pPr>
    </w:p>
    <w:bookmarkStart w:id="80" w:name="page81"/>
    <w:bookmarkEnd w:id="80"/>
    <w:p>
      <w:pPr>
        <w:spacing w:after="0"/>
        <w:rPr>
          <w:sz w:val="20"/>
          <w:szCs w:val="20"/>
          <w:color w:val="auto"/>
        </w:rPr>
      </w:pPr>
      <w:r>
        <w:rPr>
          <w:rFonts w:ascii="Arial" w:cs="Arial" w:eastAsia="Arial" w:hAnsi="Arial"/>
          <w:sz w:val="18"/>
          <w:szCs w:val="18"/>
          <w:color w:val="auto"/>
        </w:rPr>
        <w:t>A reconciliation of our effective tax rate to the U.S. statutory federal income tax rate is as follows:</w:t>
      </w:r>
    </w:p>
    <w:p>
      <w:pPr>
        <w:spacing w:after="0" w:line="298" w:lineRule="exact"/>
        <w:rPr>
          <w:sz w:val="20"/>
          <w:szCs w:val="20"/>
          <w:color w:val="auto"/>
        </w:rPr>
      </w:pPr>
    </w:p>
    <w:p>
      <w:pPr>
        <w:ind w:left="8500"/>
        <w:spacing w:after="0"/>
        <w:rPr>
          <w:sz w:val="20"/>
          <w:szCs w:val="20"/>
          <w:color w:val="auto"/>
        </w:rPr>
      </w:pPr>
      <w:r>
        <w:rPr>
          <w:rFonts w:ascii="Arial" w:cs="Arial" w:eastAsia="Arial" w:hAnsi="Arial"/>
          <w:sz w:val="14"/>
          <w:szCs w:val="14"/>
          <w:b w:val="1"/>
          <w:bCs w:val="1"/>
          <w:color w:val="auto"/>
        </w:rPr>
        <w:t>Fiscal Year Ended</w:t>
      </w:r>
    </w:p>
    <w:p>
      <w:pPr>
        <w:spacing w:after="0" w:line="4" w:lineRule="exact"/>
        <w:rPr>
          <w:sz w:val="20"/>
          <w:szCs w:val="20"/>
          <w:color w:val="auto"/>
        </w:rPr>
      </w:pPr>
    </w:p>
    <w:p>
      <w:pPr>
        <w:ind w:left="8760"/>
        <w:spacing w:after="0"/>
        <w:rPr>
          <w:sz w:val="20"/>
          <w:szCs w:val="20"/>
          <w:color w:val="auto"/>
        </w:rPr>
      </w:pPr>
      <w:r>
        <w:rPr>
          <w:rFonts w:ascii="Arial" w:cs="Arial" w:eastAsia="Arial" w:hAnsi="Arial"/>
          <w:sz w:val="14"/>
          <w:szCs w:val="14"/>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4250055</wp:posOffset>
            </wp:positionH>
            <wp:positionV relativeFrom="paragraph">
              <wp:posOffset>13335</wp:posOffset>
            </wp:positionV>
            <wp:extent cx="3001645"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1">
                      <a:extLst>
                        <a:ext uri="{28A0092B-C50C-407E-A947-70E740481C1C}"/>
                      </a:extLst>
                    </a:blip>
                    <a:srcRect/>
                    <a:stretch>
                      <a:fillRect/>
                    </a:stretch>
                  </pic:blipFill>
                  <pic:spPr bwMode="auto">
                    <a:xfrm>
                      <a:off x="0" y="0"/>
                      <a:ext cx="3001645" cy="8890"/>
                    </a:xfrm>
                    <a:prstGeom prst="rect">
                      <a:avLst/>
                    </a:prstGeom>
                    <a:noFill/>
                  </pic:spPr>
                </pic:pic>
              </a:graphicData>
            </a:graphic>
          </wp:anchor>
        </w:drawing>
      </w:r>
    </w:p>
    <w:p>
      <w:pPr>
        <w:spacing w:after="0" w:line="87" w:lineRule="exact"/>
        <w:rPr>
          <w:sz w:val="20"/>
          <w:szCs w:val="20"/>
          <w:color w:val="auto"/>
        </w:rPr>
      </w:pPr>
    </w:p>
    <w:p>
      <w:pPr>
        <w:jc w:val="both"/>
        <w:ind w:left="7300"/>
        <w:spacing w:after="0"/>
        <w:tabs>
          <w:tab w:leader="none" w:pos="8900" w:val="left"/>
          <w:tab w:leader="none" w:pos="10520" w:val="left"/>
        </w:tabs>
        <w:rPr>
          <w:sz w:val="20"/>
          <w:szCs w:val="20"/>
          <w:color w:val="auto"/>
        </w:rPr>
      </w:pPr>
      <w:r>
        <w:rPr>
          <w:rFonts w:ascii="Arial" w:cs="Arial" w:eastAsia="Arial" w:hAnsi="Arial"/>
          <w:sz w:val="14"/>
          <w:szCs w:val="14"/>
          <w:b w:val="1"/>
          <w:bCs w:val="1"/>
          <w:color w:val="auto"/>
        </w:rPr>
        <w:t>2018</w:t>
      </w:r>
      <w:r>
        <w:rPr>
          <w:sz w:val="20"/>
          <w:szCs w:val="20"/>
          <w:color w:val="auto"/>
        </w:rPr>
        <w:tab/>
      </w:r>
      <w:r>
        <w:rPr>
          <w:rFonts w:ascii="Arial" w:cs="Arial" w:eastAsia="Arial" w:hAnsi="Arial"/>
          <w:sz w:val="14"/>
          <w:szCs w:val="14"/>
          <w:b w:val="1"/>
          <w:bCs w:val="1"/>
          <w:color w:val="auto"/>
        </w:rPr>
        <w:t>2017</w:t>
      </w:r>
      <w:r>
        <w:rPr>
          <w:sz w:val="20"/>
          <w:szCs w:val="20"/>
          <w:color w:val="auto"/>
        </w:rPr>
        <w:tab/>
      </w:r>
      <w:r>
        <w:rPr>
          <w:rFonts w:ascii="Arial" w:cs="Arial" w:eastAsia="Arial" w:hAnsi="Arial"/>
          <w:sz w:val="13"/>
          <w:szCs w:val="13"/>
          <w:b w:val="1"/>
          <w:bCs w:val="1"/>
          <w:color w:val="auto"/>
        </w:rPr>
        <w:t>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1803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2">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ectPr>
          <w:pgSz w:w="11900" w:h="16838" w:orient="portrait"/>
          <w:cols w:equalWidth="0" w:num="1">
            <w:col w:w="11420"/>
          </w:cols>
          <w:pgMar w:left="240" w:top="719" w:right="239" w:bottom="1440" w:gutter="0" w:footer="0" w:header="0"/>
        </w:sectPr>
      </w:pP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U.S. federal statutory rate</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State and local taxes, net of U.S. federal benefit</w:t>
      </w:r>
    </w:p>
    <w:p>
      <w:pPr>
        <w:spacing w:after="0" w:line="62" w:lineRule="exact"/>
        <w:rPr>
          <w:sz w:val="20"/>
          <w:szCs w:val="20"/>
          <w:color w:val="auto"/>
        </w:rPr>
      </w:pPr>
    </w:p>
    <w:p>
      <w:pPr>
        <w:ind w:left="40"/>
        <w:spacing w:after="0"/>
        <w:rPr>
          <w:sz w:val="20"/>
          <w:szCs w:val="20"/>
          <w:color w:val="auto"/>
        </w:rPr>
      </w:pPr>
      <w:r>
        <w:rPr>
          <w:rFonts w:ascii="Arial" w:cs="Arial" w:eastAsia="Arial" w:hAnsi="Arial"/>
          <w:sz w:val="18"/>
          <w:szCs w:val="18"/>
          <w:color w:val="auto"/>
        </w:rPr>
        <w:t>Foreign tax rate differential</w:t>
      </w:r>
      <w:r>
        <w:rPr>
          <w:rFonts w:ascii="Arial" w:cs="Arial" w:eastAsia="Arial" w:hAnsi="Arial"/>
          <w:sz w:val="25"/>
          <w:szCs w:val="25"/>
          <w:color w:val="auto"/>
          <w:vertAlign w:val="superscript"/>
        </w:rPr>
        <w:t>(1)</w:t>
      </w:r>
    </w:p>
    <w:p>
      <w:pPr>
        <w:ind w:left="40"/>
        <w:spacing w:after="0"/>
        <w:rPr>
          <w:sz w:val="20"/>
          <w:szCs w:val="20"/>
          <w:color w:val="auto"/>
        </w:rPr>
      </w:pPr>
      <w:r>
        <w:rPr>
          <w:rFonts w:ascii="Arial" w:cs="Arial" w:eastAsia="Arial" w:hAnsi="Arial"/>
          <w:sz w:val="18"/>
          <w:szCs w:val="18"/>
          <w:color w:val="auto"/>
        </w:rPr>
        <w:t>Foreign earnings</w:t>
      </w:r>
    </w:p>
    <w:p>
      <w:pPr>
        <w:spacing w:after="0" w:line="40" w:lineRule="exact"/>
        <w:rPr>
          <w:sz w:val="20"/>
          <w:szCs w:val="20"/>
          <w:color w:val="auto"/>
        </w:rPr>
      </w:pPr>
    </w:p>
    <w:p>
      <w:pPr>
        <w:ind w:left="40"/>
        <w:spacing w:after="0"/>
        <w:rPr>
          <w:sz w:val="20"/>
          <w:szCs w:val="20"/>
          <w:color w:val="auto"/>
        </w:rPr>
      </w:pPr>
      <w:r>
        <w:rPr>
          <w:rFonts w:ascii="Arial" w:cs="Arial" w:eastAsia="Arial" w:hAnsi="Arial"/>
          <w:sz w:val="18"/>
          <w:szCs w:val="18"/>
          <w:color w:val="auto"/>
        </w:rPr>
        <w:t xml:space="preserve">Tax credits </w:t>
      </w:r>
      <w:r>
        <w:rPr>
          <w:rFonts w:ascii="Arial" w:cs="Arial" w:eastAsia="Arial" w:hAnsi="Arial"/>
          <w:sz w:val="25"/>
          <w:szCs w:val="25"/>
          <w:color w:val="auto"/>
          <w:vertAlign w:val="superscript"/>
        </w:rPr>
        <w:t>(2)</w:t>
      </w:r>
    </w:p>
    <w:p>
      <w:pPr>
        <w:ind w:left="40"/>
        <w:spacing w:after="0"/>
        <w:rPr>
          <w:sz w:val="20"/>
          <w:szCs w:val="20"/>
          <w:color w:val="auto"/>
        </w:rPr>
      </w:pPr>
      <w:r>
        <w:rPr>
          <w:rFonts w:ascii="Arial" w:cs="Arial" w:eastAsia="Arial" w:hAnsi="Arial"/>
          <w:sz w:val="15"/>
          <w:szCs w:val="15"/>
          <w:color w:val="auto"/>
        </w:rPr>
        <w:t xml:space="preserve">Excess tax benefits from stock-based compensation </w:t>
      </w:r>
      <w:r>
        <w:rPr>
          <w:rFonts w:ascii="Arial" w:cs="Arial" w:eastAsia="Arial" w:hAnsi="Arial"/>
          <w:sz w:val="21"/>
          <w:szCs w:val="21"/>
          <w:color w:val="auto"/>
          <w:vertAlign w:val="superscript"/>
        </w:rPr>
        <w:t>(3)</w:t>
      </w:r>
    </w:p>
    <w:p>
      <w:pPr>
        <w:spacing w:after="0" w:line="17" w:lineRule="exact"/>
        <w:rPr>
          <w:sz w:val="20"/>
          <w:szCs w:val="20"/>
          <w:color w:val="auto"/>
        </w:rPr>
      </w:pPr>
    </w:p>
    <w:p>
      <w:pPr>
        <w:ind w:left="40"/>
        <w:spacing w:after="0"/>
        <w:rPr>
          <w:sz w:val="20"/>
          <w:szCs w:val="20"/>
          <w:color w:val="auto"/>
        </w:rPr>
      </w:pPr>
      <w:r>
        <w:rPr>
          <w:rFonts w:ascii="Arial" w:cs="Arial" w:eastAsia="Arial" w:hAnsi="Arial"/>
          <w:sz w:val="18"/>
          <w:szCs w:val="18"/>
          <w:color w:val="auto"/>
        </w:rPr>
        <w:t xml:space="preserve">One-time transition tax </w:t>
      </w:r>
      <w:r>
        <w:rPr>
          <w:rFonts w:ascii="Arial" w:cs="Arial" w:eastAsia="Arial" w:hAnsi="Arial"/>
          <w:sz w:val="25"/>
          <w:szCs w:val="25"/>
          <w:color w:val="auto"/>
          <w:vertAlign w:val="superscript"/>
        </w:rPr>
        <w:t>(4)</w:t>
      </w:r>
    </w:p>
    <w:p>
      <w:pPr>
        <w:ind w:left="40"/>
        <w:spacing w:after="0"/>
        <w:rPr>
          <w:sz w:val="20"/>
          <w:szCs w:val="20"/>
          <w:color w:val="auto"/>
        </w:rPr>
      </w:pPr>
      <w:r>
        <w:rPr>
          <w:rFonts w:ascii="Arial" w:cs="Arial" w:eastAsia="Arial" w:hAnsi="Arial"/>
          <w:sz w:val="18"/>
          <w:szCs w:val="18"/>
          <w:color w:val="auto"/>
        </w:rPr>
        <w:t>Domestic production deduction</w:t>
      </w:r>
    </w:p>
    <w:p>
      <w:pPr>
        <w:spacing w:after="0" w:line="46" w:lineRule="exact"/>
        <w:rPr>
          <w:sz w:val="20"/>
          <w:szCs w:val="20"/>
          <w:color w:val="auto"/>
        </w:rPr>
      </w:pPr>
    </w:p>
    <w:p>
      <w:pPr>
        <w:ind w:left="40"/>
        <w:spacing w:after="0"/>
        <w:rPr>
          <w:sz w:val="20"/>
          <w:szCs w:val="20"/>
          <w:color w:val="auto"/>
        </w:rPr>
      </w:pPr>
      <w:r>
        <w:rPr>
          <w:rFonts w:ascii="Arial" w:cs="Arial" w:eastAsia="Arial" w:hAnsi="Arial"/>
          <w:sz w:val="18"/>
          <w:szCs w:val="18"/>
          <w:color w:val="auto"/>
        </w:rPr>
        <w:t xml:space="preserve">Valuation allowance—domestic </w:t>
      </w:r>
      <w:r>
        <w:rPr>
          <w:rFonts w:ascii="Arial" w:cs="Arial" w:eastAsia="Arial" w:hAnsi="Arial"/>
          <w:sz w:val="25"/>
          <w:szCs w:val="25"/>
          <w:color w:val="auto"/>
          <w:vertAlign w:val="superscript"/>
        </w:rPr>
        <w:t>(5)</w:t>
      </w:r>
    </w:p>
    <w:p>
      <w:pPr>
        <w:ind w:left="40"/>
        <w:spacing w:after="0"/>
        <w:rPr>
          <w:sz w:val="20"/>
          <w:szCs w:val="20"/>
          <w:color w:val="auto"/>
        </w:rPr>
      </w:pPr>
      <w:r>
        <w:rPr>
          <w:rFonts w:ascii="Arial" w:cs="Arial" w:eastAsia="Arial" w:hAnsi="Arial"/>
          <w:sz w:val="18"/>
          <w:szCs w:val="18"/>
          <w:color w:val="auto"/>
        </w:rPr>
        <w:t>Valuation allowance—foreign</w:t>
      </w:r>
    </w:p>
    <w:p>
      <w:pPr>
        <w:spacing w:after="0" w:line="47"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Change in reserves</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Other</w:t>
      </w:r>
    </w:p>
    <w:p>
      <w:pPr>
        <w:spacing w:after="0" w:line="77" w:lineRule="exact"/>
        <w:rPr>
          <w:sz w:val="20"/>
          <w:szCs w:val="20"/>
          <w:color w:val="auto"/>
        </w:rPr>
      </w:pPr>
    </w:p>
    <w:p>
      <w:pPr>
        <w:ind w:left="40"/>
        <w:spacing w:after="0"/>
        <w:rPr>
          <w:sz w:val="20"/>
          <w:szCs w:val="20"/>
          <w:color w:val="auto"/>
        </w:rPr>
      </w:pPr>
      <w:r>
        <w:rPr>
          <w:rFonts w:ascii="Arial" w:cs="Arial" w:eastAsia="Arial" w:hAnsi="Arial"/>
          <w:sz w:val="18"/>
          <w:szCs w:val="18"/>
          <w:color w:val="auto"/>
        </w:rPr>
        <w:t>Effective tax rate</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4"/>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31.6 %</w:t>
            </w:r>
          </w:p>
        </w:tc>
        <w:tc>
          <w:tcPr>
            <w:tcW w:w="100" w:type="dxa"/>
            <w:vAlign w:val="bottom"/>
          </w:tcPr>
          <w:p>
            <w:pPr>
              <w:spacing w:after="0"/>
              <w:rPr>
                <w:sz w:val="20"/>
                <w:szCs w:val="20"/>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35.0 %</w:t>
            </w:r>
          </w:p>
        </w:tc>
        <w:tc>
          <w:tcPr>
            <w:tcW w:w="100" w:type="dxa"/>
            <w:vAlign w:val="bottom"/>
          </w:tcPr>
          <w:p>
            <w:pPr>
              <w:spacing w:after="0"/>
              <w:rPr>
                <w:sz w:val="20"/>
                <w:szCs w:val="20"/>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35.0 %</w:t>
            </w:r>
          </w:p>
        </w:tc>
      </w:tr>
      <w:tr>
        <w:trPr>
          <w:trHeight w:val="270"/>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0.5 %</w:t>
            </w:r>
          </w:p>
        </w:tc>
        <w:tc>
          <w:tcPr>
            <w:tcW w:w="10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4.9 %</w:t>
            </w:r>
          </w:p>
        </w:tc>
        <w:tc>
          <w:tcPr>
            <w:tcW w:w="100" w:type="dxa"/>
            <w:vAlign w:val="bottom"/>
          </w:tcPr>
          <w:p>
            <w:pPr>
              <w:spacing w:after="0"/>
              <w:rPr>
                <w:sz w:val="23"/>
                <w:szCs w:val="23"/>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1.6 %</w:t>
            </w:r>
          </w:p>
        </w:tc>
      </w:tr>
      <w:tr>
        <w:trPr>
          <w:trHeight w:val="270"/>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(6.9)%</w:t>
            </w:r>
          </w:p>
        </w:tc>
        <w:tc>
          <w:tcPr>
            <w:tcW w:w="10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(1.4)%</w:t>
            </w:r>
          </w:p>
        </w:tc>
        <w:tc>
          <w:tcPr>
            <w:tcW w:w="100" w:type="dxa"/>
            <w:vAlign w:val="bottom"/>
          </w:tcPr>
          <w:p>
            <w:pPr>
              <w:spacing w:after="0"/>
              <w:rPr>
                <w:sz w:val="23"/>
                <w:szCs w:val="23"/>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25.8 %</w:t>
            </w:r>
          </w:p>
        </w:tc>
      </w:tr>
      <w:tr>
        <w:trPr>
          <w:trHeight w:val="270"/>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1.2 %</w:t>
            </w:r>
          </w:p>
        </w:tc>
        <w:tc>
          <w:tcPr>
            <w:tcW w:w="10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5.5 %</w:t>
            </w:r>
          </w:p>
        </w:tc>
        <w:tc>
          <w:tcPr>
            <w:tcW w:w="100" w:type="dxa"/>
            <w:vAlign w:val="bottom"/>
          </w:tcPr>
          <w:p>
            <w:pPr>
              <w:spacing w:after="0"/>
              <w:rPr>
                <w:sz w:val="23"/>
                <w:szCs w:val="23"/>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270"/>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(16.5)%</w:t>
            </w:r>
          </w:p>
        </w:tc>
        <w:tc>
          <w:tcPr>
            <w:tcW w:w="10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(45.8)%</w:t>
            </w:r>
          </w:p>
        </w:tc>
        <w:tc>
          <w:tcPr>
            <w:tcW w:w="100" w:type="dxa"/>
            <w:vAlign w:val="bottom"/>
          </w:tcPr>
          <w:p>
            <w:pPr>
              <w:spacing w:after="0"/>
              <w:rPr>
                <w:sz w:val="23"/>
                <w:szCs w:val="23"/>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98.7 %</w:t>
            </w:r>
          </w:p>
        </w:tc>
      </w:tr>
      <w:tr>
        <w:trPr>
          <w:trHeight w:val="270"/>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(38.9)%</w:t>
            </w:r>
          </w:p>
        </w:tc>
        <w:tc>
          <w:tcPr>
            <w:tcW w:w="100" w:type="dxa"/>
            <w:vAlign w:val="bottom"/>
          </w:tcPr>
          <w:p>
            <w:pPr>
              <w:spacing w:after="0"/>
              <w:rPr>
                <w:sz w:val="23"/>
                <w:szCs w:val="23"/>
                <w:color w:val="auto"/>
              </w:rPr>
            </w:pPr>
          </w:p>
        </w:tc>
        <w:tc>
          <w:tcPr>
            <w:tcW w:w="16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150"/>
              <w:spacing w:after="0"/>
              <w:rPr>
                <w:sz w:val="20"/>
                <w:szCs w:val="20"/>
                <w:color w:val="auto"/>
              </w:rPr>
            </w:pPr>
            <w:r>
              <w:rPr>
                <w:rFonts w:ascii="Arial" w:cs="Arial" w:eastAsia="Arial" w:hAnsi="Arial"/>
                <w:sz w:val="18"/>
                <w:szCs w:val="18"/>
                <w:color w:val="auto"/>
              </w:rPr>
              <w:t>—</w:t>
            </w:r>
          </w:p>
        </w:tc>
      </w:tr>
      <w:tr>
        <w:trPr>
          <w:trHeight w:val="270"/>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19.5 %</w:t>
            </w:r>
          </w:p>
        </w:tc>
        <w:tc>
          <w:tcPr>
            <w:tcW w:w="100" w:type="dxa"/>
            <w:vAlign w:val="bottom"/>
          </w:tcPr>
          <w:p>
            <w:pPr>
              <w:spacing w:after="0"/>
              <w:rPr>
                <w:sz w:val="23"/>
                <w:szCs w:val="23"/>
                <w:color w:val="auto"/>
              </w:rPr>
            </w:pPr>
          </w:p>
        </w:tc>
        <w:tc>
          <w:tcPr>
            <w:tcW w:w="168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460" w:type="dxa"/>
            <w:vAlign w:val="bottom"/>
          </w:tcPr>
          <w:p>
            <w:pPr>
              <w:jc w:val="right"/>
              <w:ind w:right="150"/>
              <w:spacing w:after="0"/>
              <w:rPr>
                <w:sz w:val="20"/>
                <w:szCs w:val="20"/>
                <w:color w:val="auto"/>
              </w:rPr>
            </w:pPr>
            <w:r>
              <w:rPr>
                <w:rFonts w:ascii="Arial" w:cs="Arial" w:eastAsia="Arial" w:hAnsi="Arial"/>
                <w:sz w:val="18"/>
                <w:szCs w:val="18"/>
                <w:color w:val="auto"/>
              </w:rPr>
              <w:t>—</w:t>
            </w:r>
          </w:p>
        </w:tc>
      </w:tr>
      <w:tr>
        <w:trPr>
          <w:trHeight w:val="270"/>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(2.8)%</w:t>
            </w:r>
          </w:p>
        </w:tc>
        <w:tc>
          <w:tcPr>
            <w:tcW w:w="10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(2.5)%</w:t>
            </w:r>
          </w:p>
        </w:tc>
        <w:tc>
          <w:tcPr>
            <w:tcW w:w="100" w:type="dxa"/>
            <w:vAlign w:val="bottom"/>
          </w:tcPr>
          <w:p>
            <w:pPr>
              <w:spacing w:after="0"/>
              <w:rPr>
                <w:sz w:val="23"/>
                <w:szCs w:val="23"/>
                <w:color w:val="auto"/>
              </w:rPr>
            </w:pPr>
          </w:p>
        </w:tc>
        <w:tc>
          <w:tcPr>
            <w:tcW w:w="1460" w:type="dxa"/>
            <w:vAlign w:val="bottom"/>
          </w:tcPr>
          <w:p>
            <w:pPr>
              <w:jc w:val="right"/>
              <w:ind w:right="150"/>
              <w:spacing w:after="0"/>
              <w:rPr>
                <w:sz w:val="20"/>
                <w:szCs w:val="20"/>
                <w:color w:val="auto"/>
              </w:rPr>
            </w:pPr>
            <w:r>
              <w:rPr>
                <w:rFonts w:ascii="Arial" w:cs="Arial" w:eastAsia="Arial" w:hAnsi="Arial"/>
                <w:sz w:val="18"/>
                <w:szCs w:val="18"/>
                <w:color w:val="auto"/>
              </w:rPr>
              <w:t>—</w:t>
            </w:r>
          </w:p>
        </w:tc>
      </w:tr>
      <w:tr>
        <w:trPr>
          <w:trHeight w:val="270"/>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(0.5)%</w:t>
            </w:r>
          </w:p>
        </w:tc>
        <w:tc>
          <w:tcPr>
            <w:tcW w:w="10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10.1 %</w:t>
            </w:r>
          </w:p>
        </w:tc>
        <w:tc>
          <w:tcPr>
            <w:tcW w:w="100" w:type="dxa"/>
            <w:vAlign w:val="bottom"/>
          </w:tcPr>
          <w:p>
            <w:pPr>
              <w:spacing w:after="0"/>
              <w:rPr>
                <w:sz w:val="23"/>
                <w:szCs w:val="23"/>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(77.8)%</w:t>
            </w:r>
          </w:p>
        </w:tc>
      </w:tr>
      <w:tr>
        <w:trPr>
          <w:trHeight w:val="270"/>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(2.5)%</w:t>
            </w:r>
          </w:p>
        </w:tc>
        <w:tc>
          <w:tcPr>
            <w:tcW w:w="10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0.1 %</w:t>
            </w:r>
          </w:p>
        </w:tc>
        <w:tc>
          <w:tcPr>
            <w:tcW w:w="100" w:type="dxa"/>
            <w:vAlign w:val="bottom"/>
          </w:tcPr>
          <w:p>
            <w:pPr>
              <w:spacing w:after="0"/>
              <w:rPr>
                <w:sz w:val="23"/>
                <w:szCs w:val="23"/>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10.4 %</w:t>
            </w:r>
          </w:p>
        </w:tc>
      </w:tr>
      <w:tr>
        <w:trPr>
          <w:trHeight w:val="270"/>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(11.0)%</w:t>
            </w:r>
          </w:p>
        </w:tc>
        <w:tc>
          <w:tcPr>
            <w:tcW w:w="10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2.9 %</w:t>
            </w:r>
          </w:p>
        </w:tc>
        <w:tc>
          <w:tcPr>
            <w:tcW w:w="100" w:type="dxa"/>
            <w:vAlign w:val="bottom"/>
          </w:tcPr>
          <w:p>
            <w:pPr>
              <w:spacing w:after="0"/>
              <w:rPr>
                <w:sz w:val="23"/>
                <w:szCs w:val="23"/>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(7.0)%</w:t>
            </w:r>
          </w:p>
        </w:tc>
      </w:tr>
      <w:tr>
        <w:trPr>
          <w:trHeight w:val="270"/>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(0.7)%</w:t>
            </w:r>
          </w:p>
        </w:tc>
        <w:tc>
          <w:tcPr>
            <w:tcW w:w="100" w:type="dxa"/>
            <w:vAlign w:val="bottom"/>
          </w:tcPr>
          <w:p>
            <w:pPr>
              <w:spacing w:after="0"/>
              <w:rPr>
                <w:sz w:val="23"/>
                <w:szCs w:val="23"/>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3.7 %</w:t>
            </w:r>
          </w:p>
        </w:tc>
        <w:tc>
          <w:tcPr>
            <w:tcW w:w="100" w:type="dxa"/>
            <w:vAlign w:val="bottom"/>
          </w:tcPr>
          <w:p>
            <w:pPr>
              <w:spacing w:after="0"/>
              <w:rPr>
                <w:sz w:val="23"/>
                <w:szCs w:val="23"/>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(4.6)%</w:t>
            </w:r>
          </w:p>
        </w:tc>
      </w:tr>
      <w:tr>
        <w:trPr>
          <w:trHeight w:val="27"/>
        </w:trPr>
        <w:tc>
          <w:tcPr>
            <w:tcW w:w="14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60" w:type="dxa"/>
            <w:vAlign w:val="bottom"/>
            <w:tcBorders>
              <w:bottom w:val="single" w:sz="8" w:color="auto"/>
            </w:tcBorders>
          </w:tcPr>
          <w:p>
            <w:pPr>
              <w:spacing w:after="0"/>
              <w:rPr>
                <w:sz w:val="2"/>
                <w:szCs w:val="2"/>
                <w:color w:val="auto"/>
              </w:rPr>
            </w:pPr>
          </w:p>
        </w:tc>
      </w:tr>
      <w:tr>
        <w:trPr>
          <w:trHeight w:val="237"/>
        </w:trPr>
        <w:tc>
          <w:tcPr>
            <w:tcW w:w="1480" w:type="dxa"/>
            <w:vAlign w:val="bottom"/>
          </w:tcPr>
          <w:p>
            <w:pPr>
              <w:jc w:val="right"/>
              <w:spacing w:after="0"/>
              <w:rPr>
                <w:sz w:val="20"/>
                <w:szCs w:val="20"/>
                <w:color w:val="auto"/>
              </w:rPr>
            </w:pPr>
            <w:r>
              <w:rPr>
                <w:rFonts w:ascii="Arial" w:cs="Arial" w:eastAsia="Arial" w:hAnsi="Arial"/>
                <w:sz w:val="18"/>
                <w:szCs w:val="18"/>
                <w:b w:val="1"/>
                <w:bCs w:val="1"/>
                <w:color w:val="auto"/>
              </w:rPr>
              <w:t>(27.0)%</w:t>
            </w:r>
          </w:p>
        </w:tc>
        <w:tc>
          <w:tcPr>
            <w:tcW w:w="100" w:type="dxa"/>
            <w:vAlign w:val="bottom"/>
          </w:tcPr>
          <w:p>
            <w:pPr>
              <w:spacing w:after="0"/>
              <w:rPr>
                <w:sz w:val="20"/>
                <w:szCs w:val="20"/>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12.5 %</w:t>
            </w:r>
          </w:p>
        </w:tc>
        <w:tc>
          <w:tcPr>
            <w:tcW w:w="100" w:type="dxa"/>
            <w:vAlign w:val="bottom"/>
          </w:tcPr>
          <w:p>
            <w:pPr>
              <w:spacing w:after="0"/>
              <w:rPr>
                <w:sz w:val="20"/>
                <w:szCs w:val="20"/>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78.4 %</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-4248785</wp:posOffset>
            </wp:positionH>
            <wp:positionV relativeFrom="paragraph">
              <wp:posOffset>-1877695</wp:posOffset>
            </wp:positionV>
            <wp:extent cx="7246620"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-4248785</wp:posOffset>
            </wp:positionH>
            <wp:positionV relativeFrom="paragraph">
              <wp:posOffset>-1534160</wp:posOffset>
            </wp:positionV>
            <wp:extent cx="724662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-4248785</wp:posOffset>
            </wp:positionH>
            <wp:positionV relativeFrom="paragraph">
              <wp:posOffset>-1191260</wp:posOffset>
            </wp:positionV>
            <wp:extent cx="7246620"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-4248785</wp:posOffset>
            </wp:positionH>
            <wp:positionV relativeFrom="paragraph">
              <wp:posOffset>-848360</wp:posOffset>
            </wp:positionV>
            <wp:extent cx="7246620"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-4248785</wp:posOffset>
            </wp:positionH>
            <wp:positionV relativeFrom="paragraph">
              <wp:posOffset>-505460</wp:posOffset>
            </wp:positionV>
            <wp:extent cx="7246620" cy="1714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drawing>
          <wp:anchor simplePos="0" relativeHeight="251657728" behindDoc="1" locked="0" layoutInCell="0" allowOverlap="1">
            <wp:simplePos x="0" y="0"/>
            <wp:positionH relativeFrom="column">
              <wp:posOffset>-4248785</wp:posOffset>
            </wp:positionH>
            <wp:positionV relativeFrom="paragraph">
              <wp:posOffset>-162560</wp:posOffset>
            </wp:positionV>
            <wp:extent cx="7246620" cy="18859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8">
                      <a:extLst>
                        <a:ext uri="{28A0092B-C50C-407E-A947-70E740481C1C}"/>
                      </a:extLst>
                    </a:blip>
                    <a:srcRect/>
                    <a:stretch>
                      <a:fillRect/>
                    </a:stretch>
                  </pic:blipFill>
                  <pic:spPr bwMode="auto">
                    <a:xfrm>
                      <a:off x="0" y="0"/>
                      <a:ext cx="7246620" cy="188595"/>
                    </a:xfrm>
                    <a:prstGeom prst="rect">
                      <a:avLst/>
                    </a:prstGeom>
                    <a:noFill/>
                  </pic:spPr>
                </pic:pic>
              </a:graphicData>
            </a:graphic>
          </wp:anchor>
        </w:drawing>
      </w:r>
    </w:p>
    <w:p>
      <w:pPr>
        <w:spacing w:after="0" w:line="49" w:lineRule="exact"/>
        <w:rPr>
          <w:sz w:val="20"/>
          <w:szCs w:val="20"/>
          <w:color w:val="auto"/>
        </w:rPr>
      </w:pPr>
    </w:p>
    <w:p>
      <w:pPr>
        <w:sectPr>
          <w:pgSz w:w="11900" w:h="16838" w:orient="portrait"/>
          <w:cols w:equalWidth="0" w:num="2">
            <w:col w:w="5980" w:space="720"/>
            <w:col w:w="4720"/>
          </w:cols>
          <w:pgMar w:left="240" w:top="719" w:right="239" w:bottom="1440" w:gutter="0" w:footer="0" w:header="0"/>
          <w:type w:val="continuous"/>
        </w:sectPr>
      </w:pPr>
    </w:p>
    <w:p>
      <w:pPr>
        <w:ind w:right="20" w:firstLine="8"/>
        <w:spacing w:after="0" w:line="250" w:lineRule="auto"/>
        <w:tabs>
          <w:tab w:leader="none" w:pos="211" w:val="left"/>
        </w:tabs>
        <w:numPr>
          <w:ilvl w:val="0"/>
          <w:numId w:val="28"/>
        </w:numPr>
        <w:rPr>
          <w:rFonts w:ascii="Arial" w:cs="Arial" w:eastAsia="Arial" w:hAnsi="Arial"/>
          <w:sz w:val="14"/>
          <w:szCs w:val="14"/>
          <w:color w:val="auto"/>
        </w:rPr>
      </w:pPr>
      <w:r>
        <w:rPr>
          <w:rFonts w:ascii="Arial" w:cs="Arial" w:eastAsia="Arial" w:hAnsi="Arial"/>
          <w:sz w:val="14"/>
          <w:szCs w:val="14"/>
          <w:color w:val="auto"/>
        </w:rPr>
        <w:t>The foreign rate differential in relation to foreign earnings, for all periods presented, are primarily driven by changes in the mix of our foreign earnings and the difference in the foreign versus U.S. income tax rate.</w:t>
      </w:r>
    </w:p>
    <w:p>
      <w:pPr>
        <w:ind w:left="220" w:hanging="212"/>
        <w:spacing w:after="0"/>
        <w:tabs>
          <w:tab w:leader="none" w:pos="2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Tax benefits were recorded for fiscal years ended March 31, 2018, 2017, and 2016 attributable to certain tax credits related to software development activities.</w:t>
      </w:r>
    </w:p>
    <w:p>
      <w:pPr>
        <w:spacing w:after="0" w:line="1" w:lineRule="exact"/>
        <w:rPr>
          <w:rFonts w:ascii="Arial" w:cs="Arial" w:eastAsia="Arial" w:hAnsi="Arial"/>
          <w:sz w:val="14"/>
          <w:szCs w:val="14"/>
          <w:color w:val="auto"/>
        </w:rPr>
      </w:pPr>
    </w:p>
    <w:p>
      <w:pPr>
        <w:ind w:firstLine="8"/>
        <w:spacing w:after="0" w:line="241" w:lineRule="auto"/>
        <w:tabs>
          <w:tab w:leader="none" w:pos="208" w:val="left"/>
        </w:tabs>
        <w:numPr>
          <w:ilvl w:val="0"/>
          <w:numId w:val="28"/>
        </w:numPr>
        <w:rPr>
          <w:rFonts w:ascii="Arial" w:cs="Arial" w:eastAsia="Arial" w:hAnsi="Arial"/>
          <w:sz w:val="14"/>
          <w:szCs w:val="14"/>
          <w:color w:val="auto"/>
        </w:rPr>
      </w:pPr>
      <w:r>
        <w:rPr>
          <w:rFonts w:ascii="Arial" w:cs="Arial" w:eastAsia="Arial" w:hAnsi="Arial"/>
          <w:sz w:val="14"/>
          <w:szCs w:val="14"/>
          <w:color w:val="auto"/>
        </w:rPr>
        <w:t>The accounting for share-based compensation will increase or decrease our effective tax rate based upon the difference between our share-based compensation expense and the deductions taken on our tax return, which depends upon the stock price at the time of employee award vesting</w:t>
      </w:r>
    </w:p>
    <w:p>
      <w:pPr>
        <w:ind w:left="220" w:hanging="212"/>
        <w:spacing w:after="0"/>
        <w:tabs>
          <w:tab w:leader="none" w:pos="2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Represents provisional estimate in accordance with SAB 118, relating to one-time transition tax on previously untaxed earnings of certain foreign subsidiaries per the Act.</w:t>
      </w:r>
    </w:p>
    <w:p>
      <w:pPr>
        <w:spacing w:after="0" w:line="1" w:lineRule="exact"/>
        <w:rPr>
          <w:rFonts w:ascii="Arial" w:cs="Arial" w:eastAsia="Arial" w:hAnsi="Arial"/>
          <w:sz w:val="14"/>
          <w:szCs w:val="14"/>
          <w:color w:val="auto"/>
        </w:rPr>
      </w:pPr>
    </w:p>
    <w:p>
      <w:pPr>
        <w:ind w:left="220" w:hanging="212"/>
        <w:spacing w:after="0"/>
        <w:tabs>
          <w:tab w:leader="none" w:pos="220" w:val="left"/>
        </w:tabs>
        <w:numPr>
          <w:ilvl w:val="0"/>
          <w:numId w:val="28"/>
        </w:numPr>
        <w:rPr>
          <w:rFonts w:ascii="Arial" w:cs="Arial" w:eastAsia="Arial" w:hAnsi="Arial"/>
          <w:sz w:val="14"/>
          <w:szCs w:val="14"/>
          <w:color w:val="auto"/>
        </w:rPr>
      </w:pPr>
      <w:r>
        <w:rPr>
          <w:rFonts w:ascii="Arial" w:cs="Arial" w:eastAsia="Arial" w:hAnsi="Arial"/>
          <w:sz w:val="14"/>
          <w:szCs w:val="14"/>
          <w:color w:val="auto"/>
        </w:rPr>
        <w:t>The change in domestic valuation allowance includes tax benefits recognized as a result of the Act from indefinite lived intangibles.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-723265</wp:posOffset>
            </wp:positionV>
            <wp:extent cx="72466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color w:val="auto"/>
        </w:rPr>
        <w:t>The effects of temporary differences that gave rise to our deferred tax assets and liabilities were as follows: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600" w:type="dxa"/>
            <w:vAlign w:val="bottom"/>
            <w:tcBorders>
              <w:bottom w:val="single" w:sz="8" w:color="auto"/>
            </w:tcBorders>
            <w:gridSpan w:val="3"/>
          </w:tcPr>
          <w:p>
            <w:pPr>
              <w:jc w:val="right"/>
              <w:ind w:right="50"/>
              <w:spacing w:after="0"/>
              <w:rPr>
                <w:sz w:val="20"/>
                <w:szCs w:val="20"/>
                <w:color w:val="auto"/>
              </w:rPr>
            </w:pPr>
            <w:r>
              <w:rPr>
                <w:rFonts w:ascii="Arial" w:cs="Arial" w:eastAsia="Arial" w:hAnsi="Arial"/>
                <w:sz w:val="14"/>
                <w:szCs w:val="14"/>
                <w:b w:val="1"/>
                <w:bCs w:val="1"/>
                <w:color w:val="auto"/>
              </w:rPr>
              <w:t>March 31,</w:t>
            </w:r>
          </w:p>
        </w:tc>
        <w:tc>
          <w:tcPr>
            <w:tcW w:w="1020" w:type="dxa"/>
            <w:vAlign w:val="bottom"/>
            <w:tcBorders>
              <w:bottom w:val="single" w:sz="8" w:color="auto"/>
            </w:tcBorders>
          </w:tcPr>
          <w:p>
            <w:pPr>
              <w:spacing w:after="0"/>
              <w:rPr>
                <w:sz w:val="16"/>
                <w:szCs w:val="16"/>
                <w:color w:val="auto"/>
              </w:rPr>
            </w:pPr>
          </w:p>
        </w:tc>
      </w:tr>
      <w:tr>
        <w:trPr>
          <w:trHeight w:val="264"/>
        </w:trPr>
        <w:tc>
          <w:tcPr>
            <w:tcW w:w="83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52"/>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4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r>
      <w:tr>
        <w:trPr>
          <w:trHeight w:val="250"/>
        </w:trPr>
        <w:tc>
          <w:tcPr>
            <w:tcW w:w="84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Deferred tax assets:</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spacing w:after="0"/>
              <w:rPr>
                <w:sz w:val="21"/>
                <w:szCs w:val="21"/>
                <w:color w:val="auto"/>
              </w:rPr>
            </w:pPr>
          </w:p>
        </w:tc>
      </w:tr>
      <w:tr>
        <w:trPr>
          <w:trHeight w:val="243"/>
        </w:trPr>
        <w:tc>
          <w:tcPr>
            <w:tcW w:w="8460" w:type="dxa"/>
            <w:vAlign w:val="bottom"/>
            <w:gridSpan w:val="2"/>
          </w:tcPr>
          <w:p>
            <w:pPr>
              <w:ind w:left="180"/>
              <w:spacing w:after="0"/>
              <w:rPr>
                <w:sz w:val="20"/>
                <w:szCs w:val="20"/>
                <w:color w:val="auto"/>
              </w:rPr>
            </w:pPr>
            <w:r>
              <w:rPr>
                <w:rFonts w:ascii="Arial" w:cs="Arial" w:eastAsia="Arial" w:hAnsi="Arial"/>
                <w:sz w:val="18"/>
                <w:szCs w:val="18"/>
                <w:color w:val="auto"/>
              </w:rPr>
              <w:t>Accrued compensation expense</w:t>
            </w:r>
          </w:p>
        </w:tc>
        <w:tc>
          <w:tcPr>
            <w:tcW w:w="340" w:type="dxa"/>
            <w:vAlign w:val="bottom"/>
          </w:tcPr>
          <w:p>
            <w:pPr>
              <w:jc w:val="right"/>
              <w:ind w:right="130"/>
              <w:spacing w:after="0"/>
              <w:rPr>
                <w:sz w:val="20"/>
                <w:szCs w:val="20"/>
                <w:color w:val="auto"/>
              </w:rPr>
            </w:pPr>
            <w:r>
              <w:rPr>
                <w:rFonts w:ascii="Arial" w:cs="Arial" w:eastAsia="Arial" w:hAnsi="Arial"/>
                <w:sz w:val="18"/>
                <w:szCs w:val="18"/>
                <w:b w:val="1"/>
                <w:bCs w:val="1"/>
                <w:color w:val="auto"/>
                <w:w w:val="99"/>
              </w:rPr>
              <w:t>$</w:t>
            </w:r>
          </w:p>
        </w:tc>
        <w:tc>
          <w:tcPr>
            <w:tcW w:w="1040" w:type="dxa"/>
            <w:vAlign w:val="bottom"/>
          </w:tcPr>
          <w:p>
            <w:pPr>
              <w:jc w:val="right"/>
              <w:ind w:right="12"/>
              <w:spacing w:after="0"/>
              <w:rPr>
                <w:sz w:val="20"/>
                <w:szCs w:val="20"/>
                <w:color w:val="auto"/>
              </w:rPr>
            </w:pPr>
            <w:r>
              <w:rPr>
                <w:rFonts w:ascii="Arial" w:cs="Arial" w:eastAsia="Arial" w:hAnsi="Arial"/>
                <w:sz w:val="18"/>
                <w:szCs w:val="18"/>
                <w:b w:val="1"/>
                <w:bCs w:val="1"/>
                <w:color w:val="auto"/>
              </w:rPr>
              <w:t>94,919</w:t>
            </w:r>
          </w:p>
        </w:tc>
        <w:tc>
          <w:tcPr>
            <w:tcW w:w="100" w:type="dxa"/>
            <w:vAlign w:val="bottom"/>
          </w:tcPr>
          <w:p>
            <w:pPr>
              <w:spacing w:after="0"/>
              <w:rPr>
                <w:sz w:val="21"/>
                <w:szCs w:val="21"/>
                <w:color w:val="auto"/>
              </w:rPr>
            </w:pPr>
          </w:p>
        </w:tc>
        <w:tc>
          <w:tcPr>
            <w:tcW w:w="460" w:type="dxa"/>
            <w:vAlign w:val="bottom"/>
          </w:tcPr>
          <w:p>
            <w:pPr>
              <w:jc w:val="right"/>
              <w:ind w:right="25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131,305</w:t>
            </w:r>
          </w:p>
        </w:tc>
      </w:tr>
      <w:tr>
        <w:trPr>
          <w:trHeight w:val="27"/>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4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Equity-based compensation</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78,293</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25,048</w:t>
            </w:r>
          </w:p>
        </w:tc>
      </w:tr>
      <w:tr>
        <w:trPr>
          <w:trHeight w:val="243"/>
        </w:trPr>
        <w:tc>
          <w:tcPr>
            <w:tcW w:w="8460" w:type="dxa"/>
            <w:vAlign w:val="bottom"/>
            <w:gridSpan w:val="2"/>
          </w:tcPr>
          <w:p>
            <w:pPr>
              <w:ind w:left="180"/>
              <w:spacing w:after="0"/>
              <w:rPr>
                <w:sz w:val="20"/>
                <w:szCs w:val="20"/>
                <w:color w:val="auto"/>
              </w:rPr>
            </w:pPr>
            <w:r>
              <w:rPr>
                <w:rFonts w:ascii="Arial" w:cs="Arial" w:eastAsia="Arial" w:hAnsi="Arial"/>
                <w:sz w:val="18"/>
                <w:szCs w:val="18"/>
                <w:color w:val="auto"/>
              </w:rPr>
              <w:t>Deferred revenue</w:t>
            </w:r>
          </w:p>
        </w:tc>
        <w:tc>
          <w:tcPr>
            <w:tcW w:w="34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b w:val="1"/>
                <w:bCs w:val="1"/>
                <w:color w:val="auto"/>
              </w:rPr>
              <w:t>42,426</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41,977</w:t>
            </w:r>
          </w:p>
        </w:tc>
      </w:tr>
      <w:tr>
        <w:trPr>
          <w:trHeight w:val="27"/>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4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Net operating loss carryforward</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35,378</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20,131</w:t>
            </w:r>
          </w:p>
        </w:tc>
      </w:tr>
      <w:tr>
        <w:trPr>
          <w:trHeight w:val="243"/>
        </w:trPr>
        <w:tc>
          <w:tcPr>
            <w:tcW w:w="8460" w:type="dxa"/>
            <w:vAlign w:val="bottom"/>
            <w:gridSpan w:val="2"/>
          </w:tcPr>
          <w:p>
            <w:pPr>
              <w:ind w:left="180"/>
              <w:spacing w:after="0"/>
              <w:rPr>
                <w:sz w:val="20"/>
                <w:szCs w:val="20"/>
                <w:color w:val="auto"/>
              </w:rPr>
            </w:pPr>
            <w:r>
              <w:rPr>
                <w:rFonts w:ascii="Arial" w:cs="Arial" w:eastAsia="Arial" w:hAnsi="Arial"/>
                <w:sz w:val="18"/>
                <w:szCs w:val="18"/>
                <w:color w:val="auto"/>
              </w:rPr>
              <w:t>Tax credit carryforward</w:t>
            </w:r>
          </w:p>
        </w:tc>
        <w:tc>
          <w:tcPr>
            <w:tcW w:w="34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b w:val="1"/>
                <w:bCs w:val="1"/>
                <w:color w:val="auto"/>
              </w:rPr>
              <w:t>64,175</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52,639</w:t>
            </w:r>
          </w:p>
        </w:tc>
      </w:tr>
      <w:tr>
        <w:trPr>
          <w:trHeight w:val="27"/>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4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Business reorganization</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16,369</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24,103</w:t>
            </w:r>
          </w:p>
        </w:tc>
      </w:tr>
      <w:tr>
        <w:trPr>
          <w:trHeight w:val="243"/>
        </w:trPr>
        <w:tc>
          <w:tcPr>
            <w:tcW w:w="8460" w:type="dxa"/>
            <w:vAlign w:val="bottom"/>
            <w:gridSpan w:val="2"/>
          </w:tcPr>
          <w:p>
            <w:pPr>
              <w:ind w:left="180"/>
              <w:spacing w:after="0"/>
              <w:rPr>
                <w:sz w:val="20"/>
                <w:szCs w:val="20"/>
                <w:color w:val="auto"/>
              </w:rPr>
            </w:pPr>
            <w:r>
              <w:rPr>
                <w:rFonts w:ascii="Arial" w:cs="Arial" w:eastAsia="Arial" w:hAnsi="Arial"/>
                <w:sz w:val="18"/>
                <w:szCs w:val="18"/>
                <w:color w:val="auto"/>
              </w:rPr>
              <w:t>Sales returns and allowances (including bad debt)</w:t>
            </w:r>
          </w:p>
        </w:tc>
        <w:tc>
          <w:tcPr>
            <w:tcW w:w="34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b w:val="1"/>
                <w:bCs w:val="1"/>
                <w:color w:val="auto"/>
              </w:rPr>
              <w:t>575</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3,942</w:t>
            </w:r>
          </w:p>
        </w:tc>
      </w:tr>
      <w:tr>
        <w:trPr>
          <w:trHeight w:val="27"/>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4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Deferred rent</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5,729</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8,865</w:t>
            </w:r>
          </w:p>
        </w:tc>
      </w:tr>
      <w:tr>
        <w:trPr>
          <w:trHeight w:val="243"/>
        </w:trPr>
        <w:tc>
          <w:tcPr>
            <w:tcW w:w="8460" w:type="dxa"/>
            <w:vAlign w:val="bottom"/>
            <w:gridSpan w:val="2"/>
          </w:tcPr>
          <w:p>
            <w:pPr>
              <w:ind w:left="180"/>
              <w:spacing w:after="0"/>
              <w:rPr>
                <w:sz w:val="20"/>
                <w:szCs w:val="20"/>
                <w:color w:val="auto"/>
              </w:rPr>
            </w:pPr>
            <w:r>
              <w:rPr>
                <w:rFonts w:ascii="Arial" w:cs="Arial" w:eastAsia="Arial" w:hAnsi="Arial"/>
                <w:sz w:val="18"/>
                <w:szCs w:val="18"/>
                <w:color w:val="auto"/>
              </w:rPr>
              <w:t>Other</w:t>
            </w:r>
          </w:p>
        </w:tc>
        <w:tc>
          <w:tcPr>
            <w:tcW w:w="340" w:type="dxa"/>
            <w:vAlign w:val="bottom"/>
          </w:tcPr>
          <w:p>
            <w:pPr>
              <w:spacing w:after="0"/>
              <w:rPr>
                <w:sz w:val="21"/>
                <w:szCs w:val="21"/>
                <w:color w:val="auto"/>
              </w:rPr>
            </w:pPr>
          </w:p>
        </w:tc>
        <w:tc>
          <w:tcPr>
            <w:tcW w:w="1040" w:type="dxa"/>
            <w:vAlign w:val="bottom"/>
          </w:tcPr>
          <w:p>
            <w:pPr>
              <w:jc w:val="right"/>
              <w:ind w:right="12"/>
              <w:spacing w:after="0"/>
              <w:rPr>
                <w:sz w:val="20"/>
                <w:szCs w:val="20"/>
                <w:color w:val="auto"/>
              </w:rPr>
            </w:pPr>
            <w:r>
              <w:rPr>
                <w:rFonts w:ascii="Arial" w:cs="Arial" w:eastAsia="Arial" w:hAnsi="Arial"/>
                <w:sz w:val="18"/>
                <w:szCs w:val="18"/>
                <w:b w:val="1"/>
                <w:bCs w:val="1"/>
                <w:color w:val="auto"/>
              </w:rPr>
              <w:t>1,145</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4,045</w:t>
            </w:r>
          </w:p>
        </w:tc>
      </w:tr>
      <w:tr>
        <w:trPr>
          <w:trHeight w:val="27"/>
        </w:trPr>
        <w:tc>
          <w:tcPr>
            <w:tcW w:w="8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44"/>
        </w:trPr>
        <w:tc>
          <w:tcPr>
            <w:tcW w:w="84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Total deferred tax assets</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339,009</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312,055</w:t>
            </w:r>
          </w:p>
        </w:tc>
      </w:tr>
      <w:tr>
        <w:trPr>
          <w:trHeight w:val="243"/>
        </w:trPr>
        <w:tc>
          <w:tcPr>
            <w:tcW w:w="8460" w:type="dxa"/>
            <w:vAlign w:val="bottom"/>
            <w:gridSpan w:val="2"/>
          </w:tcPr>
          <w:p>
            <w:pPr>
              <w:ind w:left="180"/>
              <w:spacing w:after="0"/>
              <w:rPr>
                <w:sz w:val="20"/>
                <w:szCs w:val="20"/>
                <w:color w:val="auto"/>
              </w:rPr>
            </w:pPr>
            <w:r>
              <w:rPr>
                <w:rFonts w:ascii="Arial" w:cs="Arial" w:eastAsia="Arial" w:hAnsi="Arial"/>
                <w:sz w:val="18"/>
                <w:szCs w:val="18"/>
                <w:color w:val="auto"/>
              </w:rPr>
              <w:t>Less: Valuation allowance</w:t>
            </w:r>
          </w:p>
        </w:tc>
        <w:tc>
          <w:tcPr>
            <w:tcW w:w="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(195,640)</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(184,085)</w:t>
            </w:r>
          </w:p>
        </w:tc>
      </w:tr>
      <w:tr>
        <w:trPr>
          <w:trHeight w:val="27"/>
        </w:trPr>
        <w:tc>
          <w:tcPr>
            <w:tcW w:w="8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4"/>
        </w:trPr>
        <w:tc>
          <w:tcPr>
            <w:tcW w:w="84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Net deferred tax assets</w:t>
            </w:r>
          </w:p>
        </w:tc>
        <w:tc>
          <w:tcPr>
            <w:tcW w:w="34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b w:val="1"/>
                <w:bCs w:val="1"/>
                <w:color w:val="auto"/>
              </w:rPr>
              <w:t>143,369</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127,970</w:t>
            </w:r>
          </w:p>
        </w:tc>
      </w:tr>
      <w:tr>
        <w:trPr>
          <w:trHeight w:val="237"/>
        </w:trPr>
        <w:tc>
          <w:tcPr>
            <w:tcW w:w="8340" w:type="dxa"/>
            <w:vAlign w:val="bottom"/>
            <w:tcBorders>
              <w:top w:val="single" w:sz="8" w:color="auto"/>
            </w:tcBorders>
          </w:tcPr>
          <w:p>
            <w:pPr>
              <w:ind w:left="40"/>
              <w:spacing w:after="0"/>
              <w:rPr>
                <w:sz w:val="20"/>
                <w:szCs w:val="20"/>
                <w:color w:val="auto"/>
              </w:rPr>
            </w:pPr>
            <w:r>
              <w:rPr>
                <w:rFonts w:ascii="Arial" w:cs="Arial" w:eastAsia="Arial" w:hAnsi="Arial"/>
                <w:sz w:val="18"/>
                <w:szCs w:val="18"/>
                <w:b w:val="1"/>
                <w:bCs w:val="1"/>
                <w:color w:val="auto"/>
              </w:rPr>
              <w:t>Deferred tax liabilities:</w:t>
            </w:r>
          </w:p>
        </w:tc>
        <w:tc>
          <w:tcPr>
            <w:tcW w:w="120" w:type="dxa"/>
            <w:vAlign w:val="bottom"/>
          </w:tcPr>
          <w:p>
            <w:pPr>
              <w:spacing w:after="0"/>
              <w:rPr>
                <w:sz w:val="20"/>
                <w:szCs w:val="20"/>
                <w:color w:val="auto"/>
              </w:rPr>
            </w:pPr>
          </w:p>
        </w:tc>
        <w:tc>
          <w:tcPr>
            <w:tcW w:w="34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46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r>
      <w:tr>
        <w:trPr>
          <w:trHeight w:val="27"/>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4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Capitalized software and depreciation</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(118,119)</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(120,715)</w:t>
            </w:r>
          </w:p>
        </w:tc>
      </w:tr>
      <w:tr>
        <w:trPr>
          <w:trHeight w:val="243"/>
        </w:trPr>
        <w:tc>
          <w:tcPr>
            <w:tcW w:w="8460" w:type="dxa"/>
            <w:vAlign w:val="bottom"/>
            <w:gridSpan w:val="2"/>
          </w:tcPr>
          <w:p>
            <w:pPr>
              <w:ind w:left="180"/>
              <w:spacing w:after="0"/>
              <w:rPr>
                <w:sz w:val="20"/>
                <w:szCs w:val="20"/>
                <w:color w:val="auto"/>
              </w:rPr>
            </w:pPr>
            <w:r>
              <w:rPr>
                <w:rFonts w:ascii="Arial" w:cs="Arial" w:eastAsia="Arial" w:hAnsi="Arial"/>
                <w:sz w:val="18"/>
                <w:szCs w:val="18"/>
                <w:color w:val="auto"/>
              </w:rPr>
              <w:t>Convertible debt</w:t>
            </w:r>
          </w:p>
        </w:tc>
        <w:tc>
          <w:tcPr>
            <w:tcW w:w="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(13)</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(5,219)</w:t>
            </w:r>
          </w:p>
        </w:tc>
      </w:tr>
      <w:tr>
        <w:trPr>
          <w:trHeight w:val="27"/>
        </w:trPr>
        <w:tc>
          <w:tcPr>
            <w:tcW w:w="83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020" w:type="dxa"/>
            <w:vAlign w:val="bottom"/>
          </w:tcPr>
          <w:p>
            <w:pPr>
              <w:spacing w:after="0"/>
              <w:rPr>
                <w:sz w:val="2"/>
                <w:szCs w:val="2"/>
                <w:color w:val="auto"/>
              </w:rPr>
            </w:pPr>
          </w:p>
        </w:tc>
      </w:tr>
      <w:tr>
        <w:trPr>
          <w:trHeight w:val="250"/>
        </w:trPr>
        <w:tc>
          <w:tcPr>
            <w:tcW w:w="84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Intangible amortization</w:t>
            </w:r>
          </w:p>
        </w:tc>
        <w:tc>
          <w:tcPr>
            <w:tcW w:w="34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(24,651)</w:t>
            </w:r>
          </w:p>
        </w:tc>
        <w:tc>
          <w:tcPr>
            <w:tcW w:w="100" w:type="dxa"/>
            <w:vAlign w:val="bottom"/>
            <w:tcBorders>
              <w:bottom w:val="single" w:sz="8" w:color="CCEEFF"/>
            </w:tcBorders>
            <w:shd w:val="clear" w:color="auto" w:fill="CCEEFF"/>
          </w:tcPr>
          <w:p>
            <w:pPr>
              <w:spacing w:after="0"/>
              <w:rPr>
                <w:sz w:val="21"/>
                <w:szCs w:val="21"/>
                <w:color w:val="auto"/>
              </w:rPr>
            </w:pPr>
          </w:p>
        </w:tc>
        <w:tc>
          <w:tcPr>
            <w:tcW w:w="46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(38,068)</w:t>
            </w:r>
          </w:p>
        </w:tc>
      </w:tr>
      <w:tr>
        <w:trPr>
          <w:trHeight w:val="243"/>
        </w:trPr>
        <w:tc>
          <w:tcPr>
            <w:tcW w:w="8460" w:type="dxa"/>
            <w:vAlign w:val="bottom"/>
            <w:gridSpan w:val="2"/>
          </w:tcPr>
          <w:p>
            <w:pPr>
              <w:ind w:left="180"/>
              <w:spacing w:after="0"/>
              <w:rPr>
                <w:sz w:val="20"/>
                <w:szCs w:val="20"/>
                <w:color w:val="auto"/>
              </w:rPr>
            </w:pPr>
            <w:r>
              <w:rPr>
                <w:rFonts w:ascii="Arial" w:cs="Arial" w:eastAsia="Arial" w:hAnsi="Arial"/>
                <w:sz w:val="18"/>
                <w:szCs w:val="18"/>
                <w:color w:val="auto"/>
              </w:rPr>
              <w:t>Other</w:t>
            </w:r>
          </w:p>
        </w:tc>
        <w:tc>
          <w:tcPr>
            <w:tcW w:w="3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b w:val="1"/>
                <w:bCs w:val="1"/>
                <w:color w:val="auto"/>
              </w:rPr>
              <w:t>(4,534)</w:t>
            </w:r>
          </w:p>
        </w:tc>
        <w:tc>
          <w:tcPr>
            <w:tcW w:w="1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w:t>
            </w:r>
          </w:p>
        </w:tc>
      </w:tr>
      <w:tr>
        <w:trPr>
          <w:trHeight w:val="27"/>
        </w:trPr>
        <w:tc>
          <w:tcPr>
            <w:tcW w:w="83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r>
      <w:tr>
        <w:trPr>
          <w:trHeight w:val="264"/>
        </w:trPr>
        <w:tc>
          <w:tcPr>
            <w:tcW w:w="84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Total deferred tax liabilities</w:t>
            </w:r>
          </w:p>
        </w:tc>
        <w:tc>
          <w:tcPr>
            <w:tcW w:w="34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(147,317)</w:t>
            </w:r>
          </w:p>
        </w:tc>
        <w:tc>
          <w:tcPr>
            <w:tcW w:w="100" w:type="dxa"/>
            <w:vAlign w:val="bottom"/>
            <w:tcBorders>
              <w:bottom w:val="single" w:sz="8" w:color="CCEEFF"/>
            </w:tcBorders>
            <w:shd w:val="clear" w:color="auto" w:fill="CCEEFF"/>
          </w:tcPr>
          <w:p>
            <w:pPr>
              <w:spacing w:after="0"/>
              <w:rPr>
                <w:sz w:val="22"/>
                <w:szCs w:val="22"/>
                <w:color w:val="auto"/>
              </w:rPr>
            </w:pPr>
          </w:p>
        </w:tc>
        <w:tc>
          <w:tcPr>
            <w:tcW w:w="46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(164,002)</w:t>
            </w:r>
          </w:p>
        </w:tc>
      </w:tr>
      <w:tr>
        <w:trPr>
          <w:trHeight w:val="257"/>
        </w:trPr>
        <w:tc>
          <w:tcPr>
            <w:tcW w:w="8340" w:type="dxa"/>
            <w:vAlign w:val="bottom"/>
            <w:tcBorders>
              <w:top w:val="single" w:sz="8" w:color="auto"/>
              <w:bottom w:val="single" w:sz="8" w:color="auto"/>
            </w:tcBorders>
          </w:tcPr>
          <w:p>
            <w:pPr>
              <w:ind w:left="680"/>
              <w:spacing w:after="0"/>
              <w:rPr>
                <w:sz w:val="20"/>
                <w:szCs w:val="20"/>
                <w:color w:val="auto"/>
              </w:rPr>
            </w:pPr>
            <w:r>
              <w:rPr>
                <w:rFonts w:ascii="Arial" w:cs="Arial" w:eastAsia="Arial" w:hAnsi="Arial"/>
                <w:sz w:val="18"/>
                <w:szCs w:val="18"/>
                <w:color w:val="auto"/>
              </w:rPr>
              <w:t>Net deferred tax liability</w:t>
            </w:r>
            <w:r>
              <w:rPr>
                <w:rFonts w:ascii="Arial" w:cs="Arial" w:eastAsia="Arial" w:hAnsi="Arial"/>
                <w:sz w:val="18"/>
                <w:szCs w:val="18"/>
                <w:color w:val="auto"/>
                <w:vertAlign w:val="superscript"/>
              </w:rPr>
              <w:t>(1)</w:t>
            </w:r>
          </w:p>
        </w:tc>
        <w:tc>
          <w:tcPr>
            <w:tcW w:w="120" w:type="dxa"/>
            <w:vAlign w:val="bottom"/>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(3,948)</w:t>
            </w:r>
          </w:p>
        </w:tc>
        <w:tc>
          <w:tcPr>
            <w:tcW w:w="100" w:type="dxa"/>
            <w:vAlign w:val="bottom"/>
          </w:tcPr>
          <w:p>
            <w:pPr>
              <w:spacing w:after="0"/>
              <w:rPr>
                <w:sz w:val="22"/>
                <w:szCs w:val="22"/>
                <w:color w:val="auto"/>
              </w:rPr>
            </w:pPr>
          </w:p>
        </w:tc>
        <w:tc>
          <w:tcPr>
            <w:tcW w:w="46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(36,032)</w:t>
            </w:r>
          </w:p>
        </w:tc>
      </w:tr>
      <w:tr>
        <w:trPr>
          <w:trHeight w:val="20"/>
        </w:trPr>
        <w:tc>
          <w:tcPr>
            <w:tcW w:w="83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r>
    </w:tbl>
    <w:p>
      <w:pPr>
        <w:spacing w:after="0" w:line="89" w:lineRule="exact"/>
        <w:rPr>
          <w:sz w:val="20"/>
          <w:szCs w:val="20"/>
          <w:color w:val="auto"/>
        </w:rPr>
      </w:pPr>
    </w:p>
    <w:p>
      <w:pPr>
        <w:spacing w:after="0"/>
        <w:rPr>
          <w:sz w:val="20"/>
          <w:szCs w:val="20"/>
          <w:color w:val="auto"/>
        </w:rPr>
      </w:pPr>
      <w:r>
        <w:rPr>
          <w:rFonts w:ascii="Arial" w:cs="Arial" w:eastAsia="Arial" w:hAnsi="Arial"/>
          <w:sz w:val="14"/>
          <w:szCs w:val="14"/>
          <w:color w:val="auto"/>
        </w:rPr>
        <w:t>(1) As of March 31, 2018 and 2017, $3,948 and $36,032, respectively, is included in Other long-term liabilities.</w:t>
      </w:r>
    </w:p>
    <w:p>
      <w:pPr>
        <w:sectPr>
          <w:pgSz w:w="11900" w:h="16838" w:orient="portrait"/>
          <w:cols w:equalWidth="0" w:num="1">
            <w:col w:w="11420"/>
          </w:cols>
          <w:pgMar w:left="240" w:top="719" w:right="239" w:bottom="1440" w:gutter="0" w:footer="0" w:header="0"/>
          <w:type w:val="continuous"/>
        </w:sectPr>
      </w:pPr>
    </w:p>
    <w:p>
      <w:pPr>
        <w:spacing w:after="0" w:line="24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79</w:t>
      </w:r>
    </w:p>
    <w:p>
      <w:pPr>
        <w:sectPr>
          <w:pgSz w:w="11900" w:h="16838" w:orient="portrait"/>
          <w:cols w:equalWidth="0" w:num="1">
            <w:col w:w="11420"/>
          </w:cols>
          <w:pgMar w:left="240" w:top="719" w:right="239" w:bottom="1440" w:gutter="0" w:footer="0" w:header="0"/>
          <w:type w:val="continuous"/>
        </w:sectPr>
      </w:pPr>
    </w:p>
    <w:bookmarkStart w:id="81" w:name="page82"/>
    <w:bookmarkEnd w:id="81"/>
    <w:p>
      <w:pPr>
        <w:jc w:val="both"/>
        <w:spacing w:after="0" w:line="264" w:lineRule="auto"/>
        <w:rPr>
          <w:sz w:val="20"/>
          <w:szCs w:val="20"/>
          <w:color w:val="auto"/>
        </w:rPr>
      </w:pPr>
      <w:r>
        <w:rPr>
          <w:rFonts w:ascii="Arial" w:cs="Arial" w:eastAsia="Arial" w:hAnsi="Arial"/>
          <w:sz w:val="18"/>
          <w:szCs w:val="18"/>
          <w:color w:val="auto"/>
        </w:rPr>
        <w:t>The valuation allowance is primarily attributable to deferred tax assets for which no benefit is provided due to uncertainty with respect to their realization. The net deferred tax liability is primarily the result of deferred tax liabilities related to indefinite lived intangibles, which cannot be used to offset deferred tax assets, as well as deferred tax liabilities related to intangibles as a result of the acquisition of Social Point.</w:t>
      </w:r>
    </w:p>
    <w:p>
      <w:pPr>
        <w:spacing w:after="0" w:line="23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At March 31, 2018, we had domestic net operating loss carryforwards totaling $50,136 of which $1,676 will expire in 2022, $21,700 will expire from 2023 to 2027, $22,400 will expire from 2028 to 2037, and $4,321 will expire in 2038. In addition, we had foreign net operating loss carryforwards of $209,238, of which $192,485 will expire from 2020 to 2022, $118 will expire in 2025 to 2026, and the remainder may be carried forward indefinitely.</w:t>
      </w:r>
    </w:p>
    <w:p>
      <w:pPr>
        <w:spacing w:after="0" w:line="22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At March 31, 2018, we had domestic credit carryforwards totaling $183,982, of which $104,474 expire in 2029 to 2038, and the remainder may be carried forward indefinitely.</w:t>
      </w:r>
    </w:p>
    <w:p>
      <w:pPr>
        <w:spacing w:after="0" w:line="224"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The total amount of undistributed earnings of foreign subsidiaries was approximately $314,800 at March 31, 2018 and $162,800 at March 31, 2017. We recorded provisional amounts relating to the one-time transition tax on previously untaxed earnings of certain foreign subsidiaries as per the Act. We are reviewing whether the Act will affect our existing intention to reinvest indefinitely undistributed earnings of our foreign subsidiaries. Accordingly, no provision has been made for foreign withholding taxes or U.S. income taxes which may become payable if undistributed earnings of foreign subsidiaries are repatriated. It is not practicable to estimate the tax liability that would arise if these earnings were remitted.</w:t>
      </w:r>
    </w:p>
    <w:p>
      <w:pPr>
        <w:spacing w:after="0" w:line="22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are regularly audited by domestic and foreign taxing authorities. Audits may result in tax assessments in excess of amounts claimed and the payment of additional taxes. We believe that our tax return positions comply with applicable tax law and that we have adequately provided for reasonably foreseeable assessments of additional taxes. Additionally, we believe that any assessments in excess of the amounts provided for will not have a material adverse effect on the Consolidated Financial Statements. It is possible that settlement of audits or the expiration of the statute of limitations may have an impact on our effective tax rate in future periods.</w:t>
      </w:r>
    </w:p>
    <w:p>
      <w:pPr>
        <w:spacing w:after="0" w:line="242"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We recognize interest and penalties related to uncertain tax positions in the provision for income taxes in our Consolidated Statements of Operations. For the fiscal years ended March 31, 2018, 2017 and 2016, we recognized an increase in interest and penalties of $2,363, $877 and $1,098, respectively. The gross amount of interest and penalties accrued as of March 31, 2018 and 2017 was $6,453 and $4,090, respectively.</w:t>
      </w:r>
    </w:p>
    <w:p>
      <w:pPr>
        <w:spacing w:after="0" w:line="22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As of March 31, 2018 and 2017, we had gross unrecognized tax benefits, including interest and penalties, of $128,510 and $120,198, respectively, of which $22,805 and $36,940, respectively, would affect our effective tax rate if realized.</w:t>
      </w:r>
    </w:p>
    <w:p>
      <w:pPr>
        <w:spacing w:after="0" w:line="22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are no longer subject to audit for U.S. federal income tax returns for periods prior to our fiscal year ended March 31, 2016 and state income tax returns for periods prior to the fiscal year ended March 31, 2013. With few exceptions, we are no longer subject to income tax examinations in non-U.S. jurisdictions for years prior to our fiscal year ended March 31, 2012. U.S. federal taxing authorities have completed examinations of our income tax returns through the fiscal year ended March 31, 2015.</w:t>
      </w:r>
    </w:p>
    <w:p>
      <w:pPr>
        <w:spacing w:after="0" w:line="106" w:lineRule="exact"/>
        <w:rPr>
          <w:sz w:val="20"/>
          <w:szCs w:val="20"/>
          <w:color w:val="auto"/>
        </w:rPr>
      </w:pPr>
    </w:p>
    <w:p>
      <w:pPr>
        <w:jc w:val="both"/>
        <w:spacing w:after="0" w:line="297" w:lineRule="auto"/>
        <w:rPr>
          <w:sz w:val="20"/>
          <w:szCs w:val="20"/>
          <w:color w:val="auto"/>
        </w:rPr>
      </w:pPr>
      <w:r>
        <w:rPr>
          <w:rFonts w:ascii="Arial" w:cs="Arial" w:eastAsia="Arial" w:hAnsi="Arial"/>
          <w:sz w:val="16"/>
          <w:szCs w:val="16"/>
          <w:color w:val="auto"/>
        </w:rPr>
        <w:t>The timing of the resolution of income tax examinations is highly uncertain, and the amounts ultimately paid, if any, upon resolution of the issues raised by the taxing authorities may differ materially from the amounts accrued for each year. Although potential resolution of uncertain tax positions involve multiple tax periods and jurisdictions, it is reasonably possible that a reduction of $8,400 of unrecognized tax benefits may occur within the next 12 months, some of which, depending on the nature of the settlement or expiration of statutes of limitations, may affect the Company’s income tax provision and therefore benefit the resulting effective tax rate. The actual amount could vary significantly depending on the ultimate timing and nature of any settlements.</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color w:val="auto"/>
        </w:rPr>
        <w:t>The aggregate changes to the liability for gross uncertain tax positions, excluding interest and penalties, were as follows: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8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2060" w:type="dxa"/>
            <w:vAlign w:val="bottom"/>
            <w:tcBorders>
              <w:bottom w:val="single" w:sz="8" w:color="auto"/>
            </w:tcBorders>
            <w:gridSpan w:val="6"/>
          </w:tcPr>
          <w:p>
            <w:pPr>
              <w:jc w:val="right"/>
              <w:ind w:right="170"/>
              <w:spacing w:after="0"/>
              <w:rPr>
                <w:sz w:val="20"/>
                <w:szCs w:val="20"/>
                <w:color w:val="auto"/>
              </w:rPr>
            </w:pPr>
            <w:r>
              <w:rPr>
                <w:rFonts w:ascii="Arial" w:cs="Arial" w:eastAsia="Arial" w:hAnsi="Arial"/>
                <w:sz w:val="14"/>
                <w:szCs w:val="14"/>
                <w:b w:val="1"/>
                <w:bCs w:val="1"/>
                <w:color w:val="auto"/>
                <w:w w:val="94"/>
              </w:rPr>
              <w:t>Fiscal Year Ended March 31,</w:t>
            </w:r>
          </w:p>
        </w:tc>
        <w:tc>
          <w:tcPr>
            <w:tcW w:w="1040" w:type="dxa"/>
            <w:vAlign w:val="bottom"/>
            <w:tcBorders>
              <w:bottom w:val="single" w:sz="8" w:color="auto"/>
            </w:tcBorders>
          </w:tcPr>
          <w:p>
            <w:pPr>
              <w:spacing w:after="0"/>
              <w:rPr>
                <w:sz w:val="16"/>
                <w:szCs w:val="16"/>
                <w:color w:val="auto"/>
              </w:rPr>
            </w:pPr>
          </w:p>
        </w:tc>
      </w:tr>
      <w:tr>
        <w:trPr>
          <w:trHeight w:val="264"/>
        </w:trPr>
        <w:tc>
          <w:tcPr>
            <w:tcW w:w="6860" w:type="dxa"/>
            <w:vAlign w:val="bottom"/>
            <w:tcBorders>
              <w:bottom w:val="single" w:sz="8" w:color="auto"/>
            </w:tcBorders>
          </w:tcPr>
          <w:p>
            <w:pPr>
              <w:spacing w:after="0"/>
              <w:rPr>
                <w:sz w:val="22"/>
                <w:szCs w:val="22"/>
                <w:color w:val="auto"/>
              </w:rPr>
            </w:pPr>
          </w:p>
        </w:tc>
        <w:tc>
          <w:tcPr>
            <w:tcW w:w="14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413"/>
              <w:spacing w:after="0"/>
              <w:rPr>
                <w:sz w:val="20"/>
                <w:szCs w:val="20"/>
                <w:color w:val="auto"/>
              </w:rPr>
            </w:pPr>
            <w:r>
              <w:rPr>
                <w:rFonts w:ascii="Arial" w:cs="Arial" w:eastAsia="Arial" w:hAnsi="Arial"/>
                <w:sz w:val="14"/>
                <w:szCs w:val="14"/>
                <w:b w:val="1"/>
                <w:bCs w:val="1"/>
                <w:color w:val="auto"/>
              </w:rPr>
              <w:t>2018</w:t>
            </w:r>
          </w:p>
        </w:tc>
        <w:tc>
          <w:tcPr>
            <w:tcW w:w="4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93"/>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2016</w:t>
            </w:r>
          </w:p>
        </w:tc>
      </w:tr>
      <w:tr>
        <w:trPr>
          <w:trHeight w:val="250"/>
        </w:trPr>
        <w:tc>
          <w:tcPr>
            <w:tcW w:w="7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Balance, beginning of period</w:t>
            </w: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116,085</w:t>
            </w:r>
          </w:p>
        </w:tc>
        <w:tc>
          <w:tcPr>
            <w:tcW w:w="52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52,799</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40,591</w:t>
            </w:r>
          </w:p>
        </w:tc>
      </w:tr>
      <w:tr>
        <w:trPr>
          <w:trHeight w:val="243"/>
        </w:trPr>
        <w:tc>
          <w:tcPr>
            <w:tcW w:w="7000" w:type="dxa"/>
            <w:vAlign w:val="bottom"/>
            <w:gridSpan w:val="2"/>
          </w:tcPr>
          <w:p>
            <w:pPr>
              <w:ind w:left="40"/>
              <w:spacing w:after="0"/>
              <w:rPr>
                <w:sz w:val="20"/>
                <w:szCs w:val="20"/>
                <w:color w:val="auto"/>
              </w:rPr>
            </w:pPr>
            <w:r>
              <w:rPr>
                <w:rFonts w:ascii="Arial" w:cs="Arial" w:eastAsia="Arial" w:hAnsi="Arial"/>
                <w:sz w:val="18"/>
                <w:szCs w:val="18"/>
                <w:color w:val="auto"/>
              </w:rPr>
              <w:t>Additions:</w:t>
            </w:r>
          </w:p>
        </w:tc>
        <w:tc>
          <w:tcPr>
            <w:tcW w:w="3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spacing w:after="0"/>
              <w:rPr>
                <w:sz w:val="21"/>
                <w:szCs w:val="21"/>
                <w:color w:val="auto"/>
              </w:rPr>
            </w:pPr>
          </w:p>
        </w:tc>
      </w:tr>
      <w:tr>
        <w:trPr>
          <w:trHeight w:val="27"/>
        </w:trPr>
        <w:tc>
          <w:tcPr>
            <w:tcW w:w="6860" w:type="dxa"/>
            <w:vAlign w:val="bottom"/>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700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Current year tax positions</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23,007</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65,669</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12,208</w:t>
            </w:r>
          </w:p>
        </w:tc>
      </w:tr>
      <w:tr>
        <w:trPr>
          <w:trHeight w:val="243"/>
        </w:trPr>
        <w:tc>
          <w:tcPr>
            <w:tcW w:w="7000" w:type="dxa"/>
            <w:vAlign w:val="bottom"/>
            <w:gridSpan w:val="2"/>
          </w:tcPr>
          <w:p>
            <w:pPr>
              <w:ind w:left="180"/>
              <w:spacing w:after="0"/>
              <w:rPr>
                <w:sz w:val="20"/>
                <w:szCs w:val="20"/>
                <w:color w:val="auto"/>
              </w:rPr>
            </w:pPr>
            <w:r>
              <w:rPr>
                <w:rFonts w:ascii="Arial" w:cs="Arial" w:eastAsia="Arial" w:hAnsi="Arial"/>
                <w:sz w:val="18"/>
                <w:szCs w:val="18"/>
                <w:color w:val="auto"/>
              </w:rPr>
              <w:t>Prior year tax positions</w:t>
            </w:r>
          </w:p>
        </w:tc>
        <w:tc>
          <w:tcPr>
            <w:tcW w:w="32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7,406</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5,086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6860" w:type="dxa"/>
            <w:vAlign w:val="bottom"/>
          </w:tcPr>
          <w:p>
            <w:pPr>
              <w:spacing w:after="0"/>
              <w:rPr>
                <w:sz w:val="2"/>
                <w:szCs w:val="2"/>
                <w:color w:val="auto"/>
              </w:rPr>
            </w:pPr>
          </w:p>
        </w:tc>
        <w:tc>
          <w:tcPr>
            <w:tcW w:w="14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50"/>
        </w:trPr>
        <w:tc>
          <w:tcPr>
            <w:tcW w:w="7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Reduction of prior year tax positions</w:t>
            </w:r>
          </w:p>
        </w:tc>
        <w:tc>
          <w:tcPr>
            <w:tcW w:w="3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(436)</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r>
      <w:tr>
        <w:trPr>
          <w:trHeight w:val="243"/>
        </w:trPr>
        <w:tc>
          <w:tcPr>
            <w:tcW w:w="7000" w:type="dxa"/>
            <w:vAlign w:val="bottom"/>
            <w:gridSpan w:val="2"/>
          </w:tcPr>
          <w:p>
            <w:pPr>
              <w:ind w:left="40"/>
              <w:spacing w:after="0"/>
              <w:rPr>
                <w:sz w:val="20"/>
                <w:szCs w:val="20"/>
                <w:color w:val="auto"/>
              </w:rPr>
            </w:pPr>
            <w:r>
              <w:rPr>
                <w:rFonts w:ascii="Arial" w:cs="Arial" w:eastAsia="Arial" w:hAnsi="Arial"/>
                <w:sz w:val="18"/>
                <w:szCs w:val="18"/>
                <w:color w:val="auto"/>
              </w:rPr>
              <w:t>Lapse of statute of limitations</w:t>
            </w:r>
          </w:p>
        </w:tc>
        <w:tc>
          <w:tcPr>
            <w:tcW w:w="320" w:type="dxa"/>
            <w:vAlign w:val="bottom"/>
          </w:tcPr>
          <w:p>
            <w:pPr>
              <w:spacing w:after="0"/>
              <w:rPr>
                <w:sz w:val="21"/>
                <w:szCs w:val="21"/>
                <w:color w:val="auto"/>
              </w:rPr>
            </w:pPr>
          </w:p>
        </w:tc>
        <w:tc>
          <w:tcPr>
            <w:tcW w:w="1000" w:type="dxa"/>
            <w:vAlign w:val="bottom"/>
          </w:tcPr>
          <w:p>
            <w:pPr>
              <w:jc w:val="right"/>
              <w:spacing w:after="0"/>
              <w:rPr>
                <w:sz w:val="20"/>
                <w:szCs w:val="20"/>
                <w:color w:val="auto"/>
              </w:rPr>
            </w:pPr>
            <w:r>
              <w:rPr>
                <w:rFonts w:ascii="Arial" w:cs="Arial" w:eastAsia="Arial" w:hAnsi="Arial"/>
                <w:sz w:val="18"/>
                <w:szCs w:val="18"/>
                <w:b w:val="1"/>
                <w:bCs w:val="1"/>
                <w:color w:val="auto"/>
              </w:rPr>
              <w:t>(24,006)</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(7,469)</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3"/>
              <w:spacing w:after="0"/>
              <w:rPr>
                <w:sz w:val="20"/>
                <w:szCs w:val="20"/>
                <w:color w:val="auto"/>
              </w:rPr>
            </w:pPr>
            <w:r>
              <w:rPr>
                <w:rFonts w:ascii="Arial" w:cs="Arial" w:eastAsia="Arial" w:hAnsi="Arial"/>
                <w:sz w:val="18"/>
                <w:szCs w:val="18"/>
                <w:color w:val="auto"/>
              </w:rPr>
              <w:t>—</w:t>
            </w:r>
          </w:p>
        </w:tc>
      </w:tr>
      <w:tr>
        <w:trPr>
          <w:trHeight w:val="27"/>
        </w:trPr>
        <w:tc>
          <w:tcPr>
            <w:tcW w:w="6860" w:type="dxa"/>
            <w:vAlign w:val="bottom"/>
            <w:tcBorders>
              <w:bottom w:val="single" w:sz="8" w:color="auto"/>
            </w:tcBorders>
          </w:tcPr>
          <w:p>
            <w:pPr>
              <w:spacing w:after="0"/>
              <w:rPr>
                <w:sz w:val="2"/>
                <w:szCs w:val="2"/>
                <w:color w:val="auto"/>
              </w:rPr>
            </w:pPr>
          </w:p>
        </w:tc>
        <w:tc>
          <w:tcPr>
            <w:tcW w:w="1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9"/>
        </w:trPr>
        <w:tc>
          <w:tcPr>
            <w:tcW w:w="700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Balance, end of period</w:t>
            </w:r>
          </w:p>
        </w:tc>
        <w:tc>
          <w:tcPr>
            <w:tcW w:w="32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b w:val="1"/>
                <w:bCs w:val="1"/>
                <w:color w:val="auto"/>
                <w:w w:val="7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122,056</w:t>
            </w:r>
          </w:p>
        </w:tc>
        <w:tc>
          <w:tcPr>
            <w:tcW w:w="52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116,085</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52,799</w:t>
            </w:r>
          </w:p>
        </w:tc>
      </w:tr>
      <w:tr>
        <w:trPr>
          <w:trHeight w:val="20"/>
        </w:trPr>
        <w:tc>
          <w:tcPr>
            <w:tcW w:w="68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believe that we have provided for any reasonably foreseeable outcomes related to our tax audits and that any settlement will not have a material adverse effect on our consolidated financial statements. However, there can be no assurances as to the possible outcomes.</w:t>
      </w:r>
    </w:p>
    <w:p>
      <w:pPr>
        <w:sectPr>
          <w:pgSz w:w="11900" w:h="16838" w:orient="portrait"/>
          <w:cols w:equalWidth="0" w:num="1">
            <w:col w:w="11420"/>
          </w:cols>
          <w:pgMar w:left="240" w:top="719" w:right="239" w:bottom="1440" w:gutter="0" w:footer="0" w:header="0"/>
        </w:sect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80</w:t>
      </w:r>
    </w:p>
    <w:p>
      <w:pPr>
        <w:sectPr>
          <w:pgSz w:w="11900" w:h="16838" w:orient="portrait"/>
          <w:cols w:equalWidth="0" w:num="1">
            <w:col w:w="11420"/>
          </w:cols>
          <w:pgMar w:left="240" w:top="719" w:right="239" w:bottom="1440" w:gutter="0" w:footer="0" w:header="0"/>
          <w:type w:val="continuous"/>
        </w:sectPr>
      </w:pPr>
    </w:p>
    <w:bookmarkStart w:id="82" w:name="page83"/>
    <w:bookmarkEnd w:id="82"/>
    <w:p>
      <w:pPr>
        <w:ind w:right="8240" w:firstLine="8"/>
        <w:spacing w:after="0" w:line="599" w:lineRule="auto"/>
        <w:tabs>
          <w:tab w:leader="none" w:pos="360" w:val="left"/>
        </w:tabs>
        <w:numPr>
          <w:ilvl w:val="0"/>
          <w:numId w:val="29"/>
        </w:numPr>
        <w:rPr>
          <w:rFonts w:ascii="Arial" w:cs="Arial" w:eastAsia="Arial" w:hAnsi="Arial"/>
          <w:sz w:val="17"/>
          <w:szCs w:val="17"/>
          <w:b w:val="1"/>
          <w:bCs w:val="1"/>
          <w:color w:val="auto"/>
        </w:rPr>
      </w:pPr>
      <w:r>
        <w:rPr>
          <w:rFonts w:ascii="Arial" w:cs="Arial" w:eastAsia="Arial" w:hAnsi="Arial"/>
          <w:sz w:val="17"/>
          <w:szCs w:val="17"/>
          <w:b w:val="1"/>
          <w:bCs w:val="1"/>
          <w:color w:val="auto"/>
        </w:rPr>
        <w:t>STOCK-BASED COMPENSATION Stock Incentive Plan</w:t>
      </w:r>
    </w:p>
    <w:p>
      <w:pPr>
        <w:spacing w:after="0" w:line="1"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In September 2017, our stockholders approved our 2017 Stock Incentive Plan (the "2017 Plan"). The aggregate number of shares issuable under the 2017 Plan is 7,596, subject to adjustment as set forth in the 2017 Plan, and, as of March 31, 2018, there were approximately 6,329 shares available for issuance. The 2017 Plan is administered by the Compensation Committee of the Board of Directors and allows for awards of restricted stock and other stock-based awards of our common stock to employees and non-employees, including to ZelnickMedia in connection with their contract to provide executive management service to us. Subject to the provisions of the plans, the Board of Directors or any Committee appointed by the Board of Directors, has the authority to determine the individuals to whom the equity awards are to be granted, the number of shares to be covered by each equity award, the vesting period, restrictions, if any, on the equity award and the terms and conditions of the equity award. Upon the vesting of certain stock-based awards, employees have the option to have the Company withhold shares to satisfy the employee's federal and state tax withholding requirements.</w:t>
      </w: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 Expense</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summarizes stock-based compensation expense included in our Consolidated Statements of Operations: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3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2760" w:type="dxa"/>
            <w:vAlign w:val="bottom"/>
            <w:tcBorders>
              <w:bottom w:val="single" w:sz="8" w:color="auto"/>
            </w:tcBorders>
            <w:gridSpan w:val="6"/>
          </w:tcPr>
          <w:p>
            <w:pPr>
              <w:jc w:val="right"/>
              <w:ind w:right="70"/>
              <w:spacing w:after="0"/>
              <w:rPr>
                <w:sz w:val="20"/>
                <w:szCs w:val="20"/>
                <w:color w:val="auto"/>
              </w:rPr>
            </w:pPr>
            <w:r>
              <w:rPr>
                <w:rFonts w:ascii="Arial" w:cs="Arial" w:eastAsia="Arial" w:hAnsi="Arial"/>
                <w:sz w:val="14"/>
                <w:szCs w:val="14"/>
                <w:b w:val="1"/>
                <w:bCs w:val="1"/>
                <w:color w:val="auto"/>
              </w:rPr>
              <w:t>Fiscal Year Ended March 31,</w:t>
            </w:r>
          </w:p>
        </w:tc>
        <w:tc>
          <w:tcPr>
            <w:tcW w:w="920" w:type="dxa"/>
            <w:vAlign w:val="bottom"/>
            <w:tcBorders>
              <w:bottom w:val="single" w:sz="8" w:color="auto"/>
            </w:tcBorders>
          </w:tcPr>
          <w:p>
            <w:pPr>
              <w:spacing w:after="0"/>
              <w:rPr>
                <w:sz w:val="16"/>
                <w:szCs w:val="16"/>
                <w:color w:val="auto"/>
              </w:rPr>
            </w:pPr>
          </w:p>
        </w:tc>
      </w:tr>
      <w:tr>
        <w:trPr>
          <w:trHeight w:val="264"/>
        </w:trPr>
        <w:tc>
          <w:tcPr>
            <w:tcW w:w="73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34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392"/>
              <w:spacing w:after="0"/>
              <w:rPr>
                <w:sz w:val="20"/>
                <w:szCs w:val="20"/>
                <w:color w:val="auto"/>
              </w:rPr>
            </w:pPr>
            <w:r>
              <w:rPr>
                <w:rFonts w:ascii="Arial" w:cs="Arial" w:eastAsia="Arial" w:hAnsi="Arial"/>
                <w:sz w:val="14"/>
                <w:szCs w:val="14"/>
                <w:b w:val="1"/>
                <w:bCs w:val="1"/>
                <w:color w:val="auto"/>
              </w:rPr>
              <w:t>2016</w:t>
            </w:r>
          </w:p>
        </w:tc>
      </w:tr>
      <w:tr>
        <w:trPr>
          <w:trHeight w:val="250"/>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Cost of goods sold</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9"/>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b w:val="1"/>
                <w:bCs w:val="1"/>
                <w:color w:val="auto"/>
              </w:rPr>
              <w:t>24,610</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21,056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15,323</w:t>
            </w:r>
          </w:p>
        </w:tc>
      </w:tr>
      <w:tr>
        <w:trPr>
          <w:trHeight w:val="243"/>
        </w:trPr>
        <w:tc>
          <w:tcPr>
            <w:tcW w:w="7440" w:type="dxa"/>
            <w:vAlign w:val="bottom"/>
            <w:gridSpan w:val="2"/>
          </w:tcPr>
          <w:p>
            <w:pPr>
              <w:ind w:left="40"/>
              <w:spacing w:after="0"/>
              <w:rPr>
                <w:sz w:val="20"/>
                <w:szCs w:val="20"/>
                <w:color w:val="auto"/>
              </w:rPr>
            </w:pPr>
            <w:r>
              <w:rPr>
                <w:rFonts w:ascii="Arial" w:cs="Arial" w:eastAsia="Arial" w:hAnsi="Arial"/>
                <w:sz w:val="18"/>
                <w:szCs w:val="18"/>
                <w:color w:val="auto"/>
              </w:rPr>
              <w:t>Selling and marketing</w:t>
            </w:r>
          </w:p>
        </w:tc>
        <w:tc>
          <w:tcPr>
            <w:tcW w:w="30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b w:val="1"/>
                <w:bCs w:val="1"/>
                <w:color w:val="auto"/>
              </w:rPr>
              <w:t>13,258</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9,963</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12"/>
              <w:spacing w:after="0"/>
              <w:rPr>
                <w:sz w:val="20"/>
                <w:szCs w:val="20"/>
                <w:color w:val="auto"/>
              </w:rPr>
            </w:pPr>
            <w:r>
              <w:rPr>
                <w:rFonts w:ascii="Arial" w:cs="Arial" w:eastAsia="Arial" w:hAnsi="Arial"/>
                <w:sz w:val="18"/>
                <w:szCs w:val="18"/>
                <w:color w:val="auto"/>
              </w:rPr>
              <w:t>9,425</w:t>
            </w:r>
          </w:p>
        </w:tc>
      </w:tr>
      <w:tr>
        <w:trPr>
          <w:trHeight w:val="27"/>
        </w:trPr>
        <w:tc>
          <w:tcPr>
            <w:tcW w:w="7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General and administrative</w:t>
            </w: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b w:val="1"/>
                <w:bCs w:val="1"/>
                <w:color w:val="auto"/>
              </w:rPr>
              <w:t>58,037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42,908</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40,322</w:t>
            </w:r>
          </w:p>
        </w:tc>
      </w:tr>
      <w:tr>
        <w:trPr>
          <w:trHeight w:val="243"/>
        </w:trPr>
        <w:tc>
          <w:tcPr>
            <w:tcW w:w="7440" w:type="dxa"/>
            <w:vAlign w:val="bottom"/>
            <w:gridSpan w:val="2"/>
          </w:tcPr>
          <w:p>
            <w:pPr>
              <w:ind w:left="40"/>
              <w:spacing w:after="0"/>
              <w:rPr>
                <w:sz w:val="20"/>
                <w:szCs w:val="20"/>
                <w:color w:val="auto"/>
              </w:rPr>
            </w:pPr>
            <w:r>
              <w:rPr>
                <w:rFonts w:ascii="Arial" w:cs="Arial" w:eastAsia="Arial" w:hAnsi="Arial"/>
                <w:sz w:val="18"/>
                <w:szCs w:val="18"/>
                <w:color w:val="auto"/>
              </w:rPr>
              <w:t>Research and development</w:t>
            </w:r>
          </w:p>
        </w:tc>
        <w:tc>
          <w:tcPr>
            <w:tcW w:w="300" w:type="dxa"/>
            <w:vAlign w:val="bottom"/>
          </w:tcPr>
          <w:p>
            <w:pPr>
              <w:spacing w:after="0"/>
              <w:rPr>
                <w:sz w:val="21"/>
                <w:szCs w:val="21"/>
                <w:color w:val="auto"/>
              </w:rPr>
            </w:pPr>
          </w:p>
        </w:tc>
        <w:tc>
          <w:tcPr>
            <w:tcW w:w="960" w:type="dxa"/>
            <w:vAlign w:val="bottom"/>
          </w:tcPr>
          <w:p>
            <w:pPr>
              <w:jc w:val="right"/>
              <w:ind w:right="34"/>
              <w:spacing w:after="0"/>
              <w:rPr>
                <w:sz w:val="20"/>
                <w:szCs w:val="20"/>
                <w:color w:val="auto"/>
              </w:rPr>
            </w:pPr>
            <w:r>
              <w:rPr>
                <w:rFonts w:ascii="Arial" w:cs="Arial" w:eastAsia="Arial" w:hAnsi="Arial"/>
                <w:sz w:val="18"/>
                <w:szCs w:val="18"/>
                <w:b w:val="1"/>
                <w:bCs w:val="1"/>
                <w:color w:val="auto"/>
              </w:rPr>
              <w:t>18,020</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960" w:type="dxa"/>
            <w:vAlign w:val="bottom"/>
          </w:tcPr>
          <w:p>
            <w:pPr>
              <w:jc w:val="right"/>
              <w:ind w:right="32"/>
              <w:spacing w:after="0"/>
              <w:rPr>
                <w:sz w:val="20"/>
                <w:szCs w:val="20"/>
                <w:color w:val="auto"/>
              </w:rPr>
            </w:pPr>
            <w:r>
              <w:rPr>
                <w:rFonts w:ascii="Arial" w:cs="Arial" w:eastAsia="Arial" w:hAnsi="Arial"/>
                <w:sz w:val="18"/>
                <w:szCs w:val="18"/>
                <w:color w:val="auto"/>
              </w:rPr>
              <w:t>7,952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20" w:type="dxa"/>
            <w:vAlign w:val="bottom"/>
          </w:tcPr>
          <w:p>
            <w:pPr>
              <w:jc w:val="right"/>
              <w:ind w:right="12"/>
              <w:spacing w:after="0"/>
              <w:rPr>
                <w:sz w:val="20"/>
                <w:szCs w:val="20"/>
                <w:color w:val="auto"/>
              </w:rPr>
            </w:pPr>
            <w:r>
              <w:rPr>
                <w:rFonts w:ascii="Arial" w:cs="Arial" w:eastAsia="Arial" w:hAnsi="Arial"/>
                <w:sz w:val="18"/>
                <w:szCs w:val="18"/>
                <w:color w:val="auto"/>
              </w:rPr>
              <w:t>4,926</w:t>
            </w:r>
          </w:p>
        </w:tc>
      </w:tr>
      <w:tr>
        <w:trPr>
          <w:trHeight w:val="27"/>
        </w:trPr>
        <w:tc>
          <w:tcPr>
            <w:tcW w:w="7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9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70"/>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Business reorganization</w:t>
            </w:r>
          </w:p>
        </w:tc>
        <w:tc>
          <w:tcPr>
            <w:tcW w:w="300" w:type="dxa"/>
            <w:vAlign w:val="bottom"/>
            <w:tcBorders>
              <w:bottom w:val="single" w:sz="8" w:color="CCEEFF"/>
            </w:tcBorders>
            <w:shd w:val="clear" w:color="auto" w:fill="CCEEFF"/>
          </w:tcPr>
          <w:p>
            <w:pPr>
              <w:spacing w:after="0"/>
              <w:rPr>
                <w:sz w:val="23"/>
                <w:szCs w:val="23"/>
                <w:color w:val="auto"/>
              </w:rPr>
            </w:pP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b w:val="1"/>
                <w:bCs w:val="1"/>
                <w:color w:val="auto"/>
              </w:rPr>
              <w:t>2,424</w:t>
            </w:r>
          </w:p>
        </w:tc>
        <w:tc>
          <w:tcPr>
            <w:tcW w:w="10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r>
      <w:tr>
        <w:trPr>
          <w:trHeight w:val="237"/>
        </w:trPr>
        <w:tc>
          <w:tcPr>
            <w:tcW w:w="73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Stock-based compensation expense</w:t>
            </w:r>
          </w:p>
        </w:tc>
        <w:tc>
          <w:tcPr>
            <w:tcW w:w="12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b w:val="1"/>
                <w:bCs w:val="1"/>
                <w:color w:val="auto"/>
                <w:w w:val="99"/>
              </w:rPr>
              <w:t>$</w:t>
            </w:r>
          </w:p>
        </w:tc>
        <w:tc>
          <w:tcPr>
            <w:tcW w:w="9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b w:val="1"/>
                <w:bCs w:val="1"/>
                <w:color w:val="auto"/>
              </w:rPr>
              <w:t>116,349</w:t>
            </w:r>
          </w:p>
        </w:tc>
        <w:tc>
          <w:tcPr>
            <w:tcW w:w="10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top w:val="single" w:sz="8" w:color="auto"/>
            </w:tcBorders>
          </w:tcPr>
          <w:p>
            <w:pPr>
              <w:jc w:val="right"/>
              <w:ind w:right="32"/>
              <w:spacing w:after="0"/>
              <w:rPr>
                <w:sz w:val="20"/>
                <w:szCs w:val="20"/>
                <w:color w:val="auto"/>
              </w:rPr>
            </w:pPr>
            <w:r>
              <w:rPr>
                <w:rFonts w:ascii="Arial" w:cs="Arial" w:eastAsia="Arial" w:hAnsi="Arial"/>
                <w:sz w:val="18"/>
                <w:szCs w:val="18"/>
                <w:color w:val="auto"/>
              </w:rPr>
              <w:t>81,879</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tcBorders>
          </w:tcPr>
          <w:p>
            <w:pPr>
              <w:jc w:val="right"/>
              <w:ind w:right="12"/>
              <w:spacing w:after="0"/>
              <w:rPr>
                <w:sz w:val="20"/>
                <w:szCs w:val="20"/>
                <w:color w:val="auto"/>
              </w:rPr>
            </w:pPr>
            <w:r>
              <w:rPr>
                <w:rFonts w:ascii="Arial" w:cs="Arial" w:eastAsia="Arial" w:hAnsi="Arial"/>
                <w:sz w:val="18"/>
                <w:szCs w:val="18"/>
                <w:color w:val="auto"/>
              </w:rPr>
              <w:t>69,996</w:t>
            </w:r>
          </w:p>
        </w:tc>
      </w:tr>
      <w:tr>
        <w:trPr>
          <w:trHeight w:val="67"/>
        </w:trPr>
        <w:tc>
          <w:tcPr>
            <w:tcW w:w="73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r>
      <w:tr>
        <w:trPr>
          <w:trHeight w:val="256"/>
        </w:trPr>
        <w:tc>
          <w:tcPr>
            <w:tcW w:w="74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Capitalized stock-based compensation expense</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b w:val="1"/>
                <w:bCs w:val="1"/>
                <w:color w:val="auto"/>
                <w:w w:val="99"/>
              </w:rPr>
              <w:t>$</w:t>
            </w:r>
          </w:p>
        </w:tc>
        <w:tc>
          <w:tcPr>
            <w:tcW w:w="9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b w:val="1"/>
                <w:bCs w:val="1"/>
                <w:color w:val="auto"/>
              </w:rPr>
              <w:t>90,914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960" w:type="dxa"/>
            <w:vAlign w:val="bottom"/>
            <w:tcBorders>
              <w:bottom w:val="single" w:sz="8" w:color="CCEEFF"/>
            </w:tcBorders>
            <w:shd w:val="clear" w:color="auto" w:fill="CCEEFF"/>
          </w:tcPr>
          <w:p>
            <w:pPr>
              <w:jc w:val="right"/>
              <w:ind w:right="32"/>
              <w:spacing w:after="0"/>
              <w:rPr>
                <w:sz w:val="20"/>
                <w:szCs w:val="20"/>
                <w:color w:val="auto"/>
              </w:rPr>
            </w:pPr>
            <w:r>
              <w:rPr>
                <w:rFonts w:ascii="Arial" w:cs="Arial" w:eastAsia="Arial" w:hAnsi="Arial"/>
                <w:sz w:val="18"/>
                <w:szCs w:val="18"/>
                <w:color w:val="auto"/>
              </w:rPr>
              <w:t>74,717</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30,367</w:t>
            </w:r>
          </w:p>
        </w:tc>
      </w:tr>
      <w:tr>
        <w:trPr>
          <w:trHeight w:val="20"/>
        </w:trPr>
        <w:tc>
          <w:tcPr>
            <w:tcW w:w="73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r>
      <w:tr>
        <w:trPr>
          <w:trHeight w:val="332"/>
        </w:trPr>
        <w:tc>
          <w:tcPr>
            <w:tcW w:w="7440" w:type="dxa"/>
            <w:vAlign w:val="bottom"/>
            <w:gridSpan w:val="2"/>
          </w:tcPr>
          <w:p>
            <w:pPr>
              <w:spacing w:after="0"/>
              <w:rPr>
                <w:sz w:val="20"/>
                <w:szCs w:val="20"/>
                <w:color w:val="auto"/>
              </w:rPr>
            </w:pPr>
            <w:r>
              <w:rPr>
                <w:rFonts w:ascii="Arial" w:cs="Arial" w:eastAsia="Arial" w:hAnsi="Arial"/>
                <w:sz w:val="18"/>
                <w:szCs w:val="18"/>
                <w:b w:val="1"/>
                <w:bCs w:val="1"/>
                <w:color w:val="auto"/>
              </w:rPr>
              <w:t>Restricted Stock Units</w:t>
            </w: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20" w:type="dxa"/>
            <w:vAlign w:val="bottom"/>
          </w:tcPr>
          <w:p>
            <w:pPr>
              <w:spacing w:after="0"/>
              <w:rPr>
                <w:sz w:val="24"/>
                <w:szCs w:val="24"/>
                <w:color w:val="auto"/>
              </w:rPr>
            </w:pPr>
          </w:p>
        </w:tc>
      </w:tr>
    </w:tbl>
    <w:p>
      <w:pPr>
        <w:spacing w:after="0" w:line="25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Employee Awards</w:t>
      </w:r>
    </w:p>
    <w:p>
      <w:pPr>
        <w:spacing w:after="0" w:line="279" w:lineRule="exact"/>
        <w:rPr>
          <w:sz w:val="20"/>
          <w:szCs w:val="20"/>
          <w:color w:val="auto"/>
        </w:rPr>
      </w:pPr>
    </w:p>
    <w:p>
      <w:pPr>
        <w:jc w:val="both"/>
        <w:ind w:right="20"/>
        <w:spacing w:after="0" w:line="279" w:lineRule="auto"/>
        <w:rPr>
          <w:sz w:val="20"/>
          <w:szCs w:val="20"/>
          <w:color w:val="auto"/>
        </w:rPr>
      </w:pPr>
      <w:r>
        <w:rPr>
          <w:rFonts w:ascii="Arial" w:cs="Arial" w:eastAsia="Arial" w:hAnsi="Arial"/>
          <w:sz w:val="17"/>
          <w:szCs w:val="17"/>
          <w:color w:val="auto"/>
        </w:rPr>
        <w:t>Time-based restricted stock units granted to employees under our stock-based compensation plans generally vest either annually or quarterly over 3 years from the date of grant. Certain restricted stock units granted to key officers, senior-level employees, or key employees vest based on market conditions, primarily related to the performance of the price of our common stock. Certain restricted stock units granted to key officers, senior-level employees, or key employees vest based on performance conditions, primarily related to performance metrics around certain of our titles.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ZelnickMedia Non-Employee Awards</w:t>
      </w:r>
    </w:p>
    <w:p>
      <w:pPr>
        <w:spacing w:after="0" w:line="279" w:lineRule="exact"/>
        <w:rPr>
          <w:sz w:val="20"/>
          <w:szCs w:val="20"/>
          <w:color w:val="auto"/>
        </w:rPr>
      </w:pPr>
    </w:p>
    <w:p>
      <w:pPr>
        <w:spacing w:after="0"/>
        <w:rPr>
          <w:sz w:val="20"/>
          <w:szCs w:val="20"/>
          <w:color w:val="auto"/>
        </w:rPr>
      </w:pPr>
      <w:r>
        <w:rPr>
          <w:rFonts w:ascii="Arial" w:cs="Arial" w:eastAsia="Arial" w:hAnsi="Arial"/>
          <w:sz w:val="16"/>
          <w:szCs w:val="16"/>
          <w:color w:val="auto"/>
        </w:rPr>
        <w:t>In connection with the 2014 Management Agreement, we granted restricted stock units to ZelnickMedia (see Note 2 - Management Agreement) as follows:</w:t>
      </w:r>
    </w:p>
    <w:p>
      <w:pPr>
        <w:spacing w:after="0" w:line="38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93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94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8"/>
              </w:rPr>
              <w:t>Fiscal Year Ended March 31,</w:t>
            </w:r>
          </w:p>
        </w:tc>
      </w:tr>
      <w:tr>
        <w:trPr>
          <w:trHeight w:val="264"/>
        </w:trPr>
        <w:tc>
          <w:tcPr>
            <w:tcW w:w="93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920" w:type="dxa"/>
            <w:vAlign w:val="bottom"/>
            <w:tcBorders>
              <w:bottom w:val="single" w:sz="8" w:color="auto"/>
            </w:tcBorders>
          </w:tcPr>
          <w:p>
            <w:pPr>
              <w:jc w:val="right"/>
              <w:ind w:right="21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CCEEFF"/>
            </w:tcBorders>
          </w:tcPr>
          <w:p>
            <w:pPr>
              <w:spacing w:after="0"/>
              <w:rPr>
                <w:sz w:val="22"/>
                <w:szCs w:val="22"/>
                <w:color w:val="auto"/>
              </w:rPr>
            </w:pPr>
          </w:p>
        </w:tc>
        <w:tc>
          <w:tcPr>
            <w:tcW w:w="900" w:type="dxa"/>
            <w:vAlign w:val="bottom"/>
            <w:tcBorders>
              <w:bottom w:val="single" w:sz="8" w:color="auto"/>
            </w:tcBorders>
          </w:tcPr>
          <w:p>
            <w:pPr>
              <w:jc w:val="right"/>
              <w:ind w:right="213"/>
              <w:spacing w:after="0"/>
              <w:rPr>
                <w:sz w:val="20"/>
                <w:szCs w:val="20"/>
                <w:color w:val="auto"/>
              </w:rPr>
            </w:pPr>
            <w:r>
              <w:rPr>
                <w:rFonts w:ascii="Arial" w:cs="Arial" w:eastAsia="Arial" w:hAnsi="Arial"/>
                <w:sz w:val="14"/>
                <w:szCs w:val="14"/>
                <w:b w:val="1"/>
                <w:bCs w:val="1"/>
                <w:color w:val="auto"/>
              </w:rPr>
              <w:t>2017</w:t>
            </w:r>
          </w:p>
        </w:tc>
      </w:tr>
      <w:tr>
        <w:trPr>
          <w:trHeight w:val="250"/>
        </w:trPr>
        <w:tc>
          <w:tcPr>
            <w:tcW w:w="9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Time-based</w:t>
            </w: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66</w:t>
            </w:r>
          </w:p>
        </w:tc>
        <w:tc>
          <w:tcPr>
            <w:tcW w:w="1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108</w:t>
            </w:r>
          </w:p>
        </w:tc>
      </w:tr>
      <w:tr>
        <w:trPr>
          <w:trHeight w:val="270"/>
        </w:trPr>
        <w:tc>
          <w:tcPr>
            <w:tcW w:w="9480" w:type="dxa"/>
            <w:vAlign w:val="bottom"/>
            <w:gridSpan w:val="2"/>
          </w:tcPr>
          <w:p>
            <w:pPr>
              <w:ind w:left="40"/>
              <w:spacing w:after="0" w:line="270" w:lineRule="exact"/>
              <w:rPr>
                <w:sz w:val="20"/>
                <w:szCs w:val="20"/>
                <w:color w:val="auto"/>
              </w:rPr>
            </w:pPr>
            <w:r>
              <w:rPr>
                <w:rFonts w:ascii="Arial" w:cs="Arial" w:eastAsia="Arial" w:hAnsi="Arial"/>
                <w:sz w:val="18"/>
                <w:szCs w:val="18"/>
                <w:color w:val="auto"/>
              </w:rPr>
              <w:t>Market-based</w:t>
            </w:r>
            <w:r>
              <w:rPr>
                <w:rFonts w:ascii="Arial" w:cs="Arial" w:eastAsia="Arial" w:hAnsi="Arial"/>
                <w:sz w:val="25"/>
                <w:szCs w:val="25"/>
                <w:color w:val="auto"/>
                <w:vertAlign w:val="superscript"/>
              </w:rPr>
              <w:t>(1)</w:t>
            </w:r>
          </w:p>
        </w:tc>
        <w:tc>
          <w:tcPr>
            <w:tcW w:w="920" w:type="dxa"/>
            <w:vAlign w:val="bottom"/>
          </w:tcPr>
          <w:p>
            <w:pPr>
              <w:jc w:val="right"/>
              <w:ind w:right="14"/>
              <w:spacing w:after="0"/>
              <w:rPr>
                <w:sz w:val="20"/>
                <w:szCs w:val="20"/>
                <w:color w:val="auto"/>
              </w:rPr>
            </w:pPr>
            <w:r>
              <w:rPr>
                <w:rFonts w:ascii="Arial" w:cs="Arial" w:eastAsia="Arial" w:hAnsi="Arial"/>
                <w:sz w:val="18"/>
                <w:szCs w:val="18"/>
                <w:b w:val="1"/>
                <w:bCs w:val="1"/>
                <w:color w:val="auto"/>
              </w:rPr>
              <w:t>122</w:t>
            </w:r>
          </w:p>
        </w:tc>
        <w:tc>
          <w:tcPr>
            <w:tcW w:w="120" w:type="dxa"/>
            <w:vAlign w:val="bottom"/>
          </w:tcPr>
          <w:p>
            <w:pPr>
              <w:spacing w:after="0"/>
              <w:rPr>
                <w:sz w:val="23"/>
                <w:szCs w:val="23"/>
                <w:color w:val="auto"/>
              </w:rPr>
            </w:pPr>
          </w:p>
        </w:tc>
        <w:tc>
          <w:tcPr>
            <w:tcW w:w="900" w:type="dxa"/>
            <w:vAlign w:val="bottom"/>
          </w:tcPr>
          <w:p>
            <w:pPr>
              <w:jc w:val="right"/>
              <w:ind w:right="13"/>
              <w:spacing w:after="0"/>
              <w:rPr>
                <w:sz w:val="20"/>
                <w:szCs w:val="20"/>
                <w:color w:val="auto"/>
              </w:rPr>
            </w:pPr>
            <w:r>
              <w:rPr>
                <w:rFonts w:ascii="Arial" w:cs="Arial" w:eastAsia="Arial" w:hAnsi="Arial"/>
                <w:sz w:val="18"/>
                <w:szCs w:val="18"/>
                <w:color w:val="auto"/>
              </w:rPr>
              <w:t>199</w:t>
            </w:r>
          </w:p>
        </w:tc>
      </w:tr>
      <w:tr>
        <w:trPr>
          <w:trHeight w:val="270"/>
        </w:trPr>
        <w:tc>
          <w:tcPr>
            <w:tcW w:w="9480" w:type="dxa"/>
            <w:vAlign w:val="bottom"/>
            <w:gridSpan w:val="2"/>
            <w:shd w:val="clear" w:color="auto" w:fill="CCEEFF"/>
          </w:tcPr>
          <w:p>
            <w:pPr>
              <w:ind w:left="40"/>
              <w:spacing w:after="0" w:line="270" w:lineRule="exact"/>
              <w:rPr>
                <w:sz w:val="20"/>
                <w:szCs w:val="20"/>
                <w:color w:val="auto"/>
              </w:rPr>
            </w:pPr>
            <w:r>
              <w:rPr>
                <w:rFonts w:ascii="Arial" w:cs="Arial" w:eastAsia="Arial" w:hAnsi="Arial"/>
                <w:sz w:val="18"/>
                <w:szCs w:val="18"/>
                <w:color w:val="auto"/>
              </w:rPr>
              <w:t>Performance-based</w:t>
            </w:r>
            <w:r>
              <w:rPr>
                <w:rFonts w:ascii="Arial" w:cs="Arial" w:eastAsia="Arial" w:hAnsi="Arial"/>
                <w:sz w:val="25"/>
                <w:szCs w:val="25"/>
                <w:color w:val="auto"/>
                <w:vertAlign w:val="superscript"/>
              </w:rPr>
              <w:t>(1)</w:t>
            </w:r>
          </w:p>
        </w:tc>
        <w:tc>
          <w:tcPr>
            <w:tcW w:w="920" w:type="dxa"/>
            <w:vAlign w:val="bottom"/>
            <w:shd w:val="clear" w:color="auto" w:fill="CCEEFF"/>
          </w:tcPr>
          <w:p>
            <w:pPr>
              <w:spacing w:after="0"/>
              <w:rPr>
                <w:sz w:val="23"/>
                <w:szCs w:val="23"/>
                <w:color w:val="auto"/>
              </w:rPr>
            </w:pPr>
          </w:p>
        </w:tc>
        <w:tc>
          <w:tcPr>
            <w:tcW w:w="120" w:type="dxa"/>
            <w:vAlign w:val="bottom"/>
            <w:shd w:val="clear" w:color="auto" w:fill="CCEEFF"/>
          </w:tcPr>
          <w:p>
            <w:pPr>
              <w:spacing w:after="0"/>
              <w:rPr>
                <w:sz w:val="23"/>
                <w:szCs w:val="23"/>
                <w:color w:val="auto"/>
              </w:rPr>
            </w:pPr>
          </w:p>
        </w:tc>
        <w:tc>
          <w:tcPr>
            <w:tcW w:w="900" w:type="dxa"/>
            <w:vAlign w:val="bottom"/>
            <w:shd w:val="clear" w:color="auto" w:fill="CCEEFF"/>
          </w:tcPr>
          <w:p>
            <w:pPr>
              <w:spacing w:after="0"/>
              <w:rPr>
                <w:sz w:val="23"/>
                <w:szCs w:val="23"/>
                <w:color w:val="auto"/>
              </w:rPr>
            </w:pPr>
          </w:p>
        </w:tc>
      </w:tr>
      <w:tr>
        <w:trPr>
          <w:trHeight w:val="243"/>
        </w:trPr>
        <w:tc>
          <w:tcPr>
            <w:tcW w:w="9480" w:type="dxa"/>
            <w:vAlign w:val="bottom"/>
            <w:gridSpan w:val="2"/>
          </w:tcPr>
          <w:p>
            <w:pPr>
              <w:ind w:left="180"/>
              <w:spacing w:after="0"/>
              <w:rPr>
                <w:sz w:val="20"/>
                <w:szCs w:val="20"/>
                <w:color w:val="auto"/>
              </w:rPr>
            </w:pPr>
            <w:r>
              <w:rPr>
                <w:rFonts w:ascii="Arial" w:cs="Arial" w:eastAsia="Arial" w:hAnsi="Arial"/>
                <w:sz w:val="18"/>
                <w:szCs w:val="18"/>
                <w:color w:val="auto"/>
              </w:rPr>
              <w:t>New IP</w:t>
            </w:r>
          </w:p>
        </w:tc>
        <w:tc>
          <w:tcPr>
            <w:tcW w:w="920" w:type="dxa"/>
            <w:vAlign w:val="bottom"/>
          </w:tcPr>
          <w:p>
            <w:pPr>
              <w:jc w:val="right"/>
              <w:ind w:right="14"/>
              <w:spacing w:after="0"/>
              <w:rPr>
                <w:sz w:val="20"/>
                <w:szCs w:val="20"/>
                <w:color w:val="auto"/>
              </w:rPr>
            </w:pPr>
            <w:r>
              <w:rPr>
                <w:rFonts w:ascii="Arial" w:cs="Arial" w:eastAsia="Arial" w:hAnsi="Arial"/>
                <w:sz w:val="18"/>
                <w:szCs w:val="18"/>
                <w:b w:val="1"/>
                <w:bCs w:val="1"/>
                <w:color w:val="auto"/>
              </w:rPr>
              <w:t>21</w:t>
            </w:r>
          </w:p>
        </w:tc>
        <w:tc>
          <w:tcPr>
            <w:tcW w:w="120" w:type="dxa"/>
            <w:vAlign w:val="bottom"/>
          </w:tcPr>
          <w:p>
            <w:pPr>
              <w:spacing w:after="0"/>
              <w:rPr>
                <w:sz w:val="21"/>
                <w:szCs w:val="21"/>
                <w:color w:val="auto"/>
              </w:rPr>
            </w:pPr>
          </w:p>
        </w:tc>
        <w:tc>
          <w:tcPr>
            <w:tcW w:w="900" w:type="dxa"/>
            <w:vAlign w:val="bottom"/>
          </w:tcPr>
          <w:p>
            <w:pPr>
              <w:jc w:val="right"/>
              <w:ind w:right="13"/>
              <w:spacing w:after="0"/>
              <w:rPr>
                <w:sz w:val="20"/>
                <w:szCs w:val="20"/>
                <w:color w:val="auto"/>
              </w:rPr>
            </w:pPr>
            <w:r>
              <w:rPr>
                <w:rFonts w:ascii="Arial" w:cs="Arial" w:eastAsia="Arial" w:hAnsi="Arial"/>
                <w:sz w:val="18"/>
                <w:szCs w:val="18"/>
                <w:color w:val="auto"/>
              </w:rPr>
              <w:t>33</w:t>
            </w:r>
          </w:p>
        </w:tc>
      </w:tr>
      <w:tr>
        <w:trPr>
          <w:trHeight w:val="27"/>
        </w:trPr>
        <w:tc>
          <w:tcPr>
            <w:tcW w:w="9360" w:type="dxa"/>
            <w:vAlign w:val="bottom"/>
          </w:tcPr>
          <w:p>
            <w:pPr>
              <w:spacing w:after="0"/>
              <w:rPr>
                <w:sz w:val="2"/>
                <w:szCs w:val="2"/>
                <w:color w:val="auto"/>
              </w:rPr>
            </w:pPr>
          </w:p>
        </w:tc>
        <w:tc>
          <w:tcPr>
            <w:tcW w:w="120" w:type="dxa"/>
            <w:vAlign w:val="bottom"/>
          </w:tcPr>
          <w:p>
            <w:pPr>
              <w:spacing w:after="0"/>
              <w:rPr>
                <w:sz w:val="2"/>
                <w:szCs w:val="2"/>
                <w:color w:val="auto"/>
              </w:rPr>
            </w:pPr>
          </w:p>
        </w:tc>
        <w:tc>
          <w:tcPr>
            <w:tcW w:w="9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70"/>
        </w:trPr>
        <w:tc>
          <w:tcPr>
            <w:tcW w:w="948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Major IP</w:t>
            </w: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20</w:t>
            </w:r>
          </w:p>
        </w:tc>
        <w:tc>
          <w:tcPr>
            <w:tcW w:w="12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33</w:t>
            </w:r>
          </w:p>
        </w:tc>
      </w:tr>
      <w:tr>
        <w:trPr>
          <w:trHeight w:val="237"/>
        </w:trPr>
        <w:tc>
          <w:tcPr>
            <w:tcW w:w="936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Total-Performance-based</w:t>
            </w:r>
          </w:p>
        </w:tc>
        <w:tc>
          <w:tcPr>
            <w:tcW w:w="120" w:type="dxa"/>
            <w:vAlign w:val="bottom"/>
          </w:tcPr>
          <w:p>
            <w:pPr>
              <w:spacing w:after="0"/>
              <w:rPr>
                <w:sz w:val="20"/>
                <w:szCs w:val="20"/>
                <w:color w:val="auto"/>
              </w:rPr>
            </w:pPr>
          </w:p>
        </w:tc>
        <w:tc>
          <w:tcPr>
            <w:tcW w:w="9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b w:val="1"/>
                <w:bCs w:val="1"/>
                <w:color w:val="auto"/>
              </w:rPr>
              <w:t>41</w:t>
            </w:r>
          </w:p>
        </w:tc>
        <w:tc>
          <w:tcPr>
            <w:tcW w:w="120" w:type="dxa"/>
            <w:vAlign w:val="bottom"/>
          </w:tcPr>
          <w:p>
            <w:pPr>
              <w:spacing w:after="0"/>
              <w:rPr>
                <w:sz w:val="20"/>
                <w:szCs w:val="20"/>
                <w:color w:val="auto"/>
              </w:rPr>
            </w:pPr>
          </w:p>
        </w:tc>
        <w:tc>
          <w:tcPr>
            <w:tcW w:w="90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66</w:t>
            </w:r>
          </w:p>
        </w:tc>
      </w:tr>
      <w:tr>
        <w:trPr>
          <w:trHeight w:val="27"/>
        </w:trPr>
        <w:tc>
          <w:tcPr>
            <w:tcW w:w="93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69"/>
        </w:trPr>
        <w:tc>
          <w:tcPr>
            <w:tcW w:w="9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Restricted Stock Units</w:t>
            </w:r>
          </w:p>
        </w:tc>
        <w:tc>
          <w:tcPr>
            <w:tcW w:w="9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b w:val="1"/>
                <w:bCs w:val="1"/>
                <w:color w:val="auto"/>
              </w:rPr>
              <w:t>229</w:t>
            </w:r>
          </w:p>
        </w:tc>
        <w:tc>
          <w:tcPr>
            <w:tcW w:w="12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373</w:t>
            </w:r>
          </w:p>
        </w:tc>
      </w:tr>
      <w:tr>
        <w:trPr>
          <w:trHeight w:val="20"/>
        </w:trPr>
        <w:tc>
          <w:tcPr>
            <w:tcW w:w="93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(1) Represents the maximum number of shares eligible to vest.</w:t>
      </w:r>
    </w:p>
    <w:p>
      <w:pPr>
        <w:spacing w:after="0" w:line="14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Time-based restricted stock units granted in fiscal 2018 are eligible to vest on April 4, 2019, provided that the 2017 Management Agreement has not been terminated prior to such vesting date, and those granted in fiscal 2017 vested on April 2, 2018.</w:t>
      </w:r>
    </w:p>
    <w:p>
      <w:pPr>
        <w:sectPr>
          <w:pgSz w:w="11900" w:h="16838" w:orient="portrait"/>
          <w:cols w:equalWidth="0" w:num="1">
            <w:col w:w="11420"/>
          </w:cols>
          <w:pgMar w:left="240" w:top="715" w:right="239" w:bottom="1440" w:gutter="0" w:footer="0" w:header="0"/>
        </w:sect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81</w:t>
      </w:r>
    </w:p>
    <w:p>
      <w:pPr>
        <w:sectPr>
          <w:pgSz w:w="11900" w:h="16838" w:orient="portrait"/>
          <w:cols w:equalWidth="0" w:num="1">
            <w:col w:w="11420"/>
          </w:cols>
          <w:pgMar w:left="240" w:top="715" w:right="239" w:bottom="1440" w:gutter="0" w:footer="0" w:header="0"/>
          <w:type w:val="continuous"/>
        </w:sectPr>
      </w:pPr>
    </w:p>
    <w:bookmarkStart w:id="83" w:name="page84"/>
    <w:bookmarkEnd w:id="83"/>
    <w:p>
      <w:pPr>
        <w:jc w:val="both"/>
        <w:spacing w:after="0" w:line="291" w:lineRule="auto"/>
        <w:rPr>
          <w:sz w:val="20"/>
          <w:szCs w:val="20"/>
          <w:color w:val="auto"/>
        </w:rPr>
      </w:pPr>
      <w:r>
        <w:rPr>
          <w:rFonts w:ascii="Arial" w:cs="Arial" w:eastAsia="Arial" w:hAnsi="Arial"/>
          <w:sz w:val="16"/>
          <w:szCs w:val="16"/>
          <w:color w:val="auto"/>
        </w:rPr>
        <w:t>Market-based restricted stock units granted in fiscal 2018 are eligible to vest on April 4, 2019, provided that the 2017 Management Agreement has not been terminated prior to such vesting date, and those granted in fiscal 2017 vested on April 2, 2018. Market-based restricted stock units are eligible to vest based on the Company's Total Shareholder Return (as defined in the relevant grant agreement) relative to the Total Shareholder Return (as defined in the relevant grant agreement) of the companies that constitute the NASDAQ Composite Index as of the grant date measured over a two-year period. To earn the target number of market-based restricted stock units (which represents 50% of the number of the market-based restricted stock units set forth in the table above), the Company must perform at the 50th percentile, with the maximum number of market-based restricted stock units earned if the Company performs at the 75th percentile. Each reporting period, we re-measure the fair value of the unvested shares of market-based restricted stock units granted to ZelnickMedia.</w:t>
      </w:r>
    </w:p>
    <w:p>
      <w:pPr>
        <w:spacing w:after="0" w:line="221"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Performance-based restricted stock units granted in fiscal 2018 are eligible to vest on April 4, 2019, provided that the 2017 Management Agreement has not been terminated prior to such vesting date, and those granted in fiscal 2017 vested on April 2, 2018. Performance-based restricted stock units, of which 50% are tied to "New IP" and 50% to "Major IP" (as defined in the relevant grant agreement), are eligible to vest based on the Company's achievement of certain performance metrics (as defined in the relevant grant agreement) of individual product releases of "New IP" or "Major IP" measured over a two-year period. The target number of performance-based restricted stock units that may be earned pursuant to these grants is equal to 50% of the grant amounts set forth in the above table (which represents the maximum number of performance-based restricted stock units that may be earned). Each reporting period, we assess the performance metric and upon achievement of certain thresholds record an expense for the unvested portion of the shares of performance-based restricted stock units. Certain performance metrics, based on unit sales, have been achieved as of March 31, 2018 for the "New IP" and "Major IP" performance-based restricted stock units granted in 2017 and 2016.</w:t>
      </w:r>
    </w:p>
    <w:p>
      <w:pPr>
        <w:spacing w:after="0" w:line="236"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unvested portion of time-based, market-based and performance-based restricted stock units granted pursuant to the 2014 Management Agreement as of March 31, 2018 and 2017 was 602 and 899, respectively. During the fiscal year ended March 31, 2018, 479 restricted stock units previously granted to ZelnickMedia vested and 47 restricted stock units were forfeited by ZelnickMedia.</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Fair Value of Stock-Based Awards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Time-Based Awards</w:t>
      </w:r>
    </w:p>
    <w:p>
      <w:pPr>
        <w:spacing w:after="0" w:line="27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estimated value, based on the closing price of our stock on the grant date, of time-based restricted stock units granted to employees during the fiscal years ended March 31, 2018, 2017 and 2016 was $106.28, $49.43 and $33.74 per share, respectively.</w:t>
      </w:r>
    </w:p>
    <w:p>
      <w:pPr>
        <w:spacing w:after="0" w:line="22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the fiscal years ended March 31, 2018, 2017 and 2016, the estimated value, based on the closing price of our stock on the grant date, of time-based restricted stock awards granted to ZelnickMedia was $78.53, $36.37 and $27.65 per share, respectively.</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Market-Based Awards</w:t>
      </w:r>
    </w:p>
    <w:p>
      <w:pPr>
        <w:spacing w:after="0" w:line="279"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summarizes the weighted-average assumptions used in the Monte Carlo Simulation to estimate the fair value of market-based awards:</w:t>
      </w:r>
    </w:p>
    <w:p>
      <w:pPr>
        <w:spacing w:after="0" w:line="38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0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80" w:type="dxa"/>
            <w:vAlign w:val="bottom"/>
            <w:tcBorders>
              <w:bottom w:val="single" w:sz="8" w:color="auto"/>
            </w:tcBorders>
            <w:gridSpan w:val="5"/>
          </w:tcPr>
          <w:p>
            <w:pPr>
              <w:jc w:val="center"/>
              <w:ind w:right="140"/>
              <w:spacing w:after="0"/>
              <w:rPr>
                <w:sz w:val="20"/>
                <w:szCs w:val="20"/>
                <w:color w:val="auto"/>
              </w:rPr>
            </w:pPr>
            <w:r>
              <w:rPr>
                <w:rFonts w:ascii="Arial" w:cs="Arial" w:eastAsia="Arial" w:hAnsi="Arial"/>
                <w:sz w:val="14"/>
                <w:szCs w:val="14"/>
                <w:b w:val="1"/>
                <w:bCs w:val="1"/>
                <w:color w:val="auto"/>
                <w:w w:val="95"/>
              </w:rPr>
              <w:t>Fiscal Year Ended March 31,</w:t>
            </w:r>
          </w:p>
        </w:tc>
        <w:tc>
          <w:tcPr>
            <w:tcW w:w="12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r>
      <w:tr>
        <w:trPr>
          <w:trHeight w:val="264"/>
        </w:trPr>
        <w:tc>
          <w:tcPr>
            <w:tcW w:w="30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56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rPr>
              <w:t>2018</w:t>
            </w:r>
          </w:p>
        </w:tc>
        <w:tc>
          <w:tcPr>
            <w:tcW w:w="116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52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rPr>
              <w:t>2017</w:t>
            </w:r>
          </w:p>
        </w:tc>
        <w:tc>
          <w:tcPr>
            <w:tcW w:w="1140" w:type="dxa"/>
            <w:vAlign w:val="bottom"/>
            <w:tcBorders>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54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rPr>
              <w:t>2016</w:t>
            </w:r>
          </w:p>
        </w:tc>
        <w:tc>
          <w:tcPr>
            <w:tcW w:w="1140" w:type="dxa"/>
            <w:vAlign w:val="bottom"/>
            <w:tcBorders>
              <w:bottom w:val="single" w:sz="8" w:color="auto"/>
            </w:tcBorders>
          </w:tcPr>
          <w:p>
            <w:pPr>
              <w:spacing w:after="0"/>
              <w:rPr>
                <w:sz w:val="22"/>
                <w:szCs w:val="22"/>
                <w:color w:val="auto"/>
              </w:rPr>
            </w:pPr>
          </w:p>
        </w:tc>
      </w:tr>
      <w:tr>
        <w:trPr>
          <w:trHeight w:val="152"/>
        </w:trPr>
        <w:tc>
          <w:tcPr>
            <w:tcW w:w="30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60" w:type="dxa"/>
            <w:vAlign w:val="bottom"/>
            <w:gridSpan w:val="3"/>
          </w:tcPr>
          <w:p>
            <w:pPr>
              <w:jc w:val="right"/>
              <w:ind w:right="600"/>
              <w:spacing w:after="0" w:line="153" w:lineRule="exact"/>
              <w:rPr>
                <w:sz w:val="20"/>
                <w:szCs w:val="20"/>
                <w:color w:val="auto"/>
              </w:rPr>
            </w:pPr>
            <w:r>
              <w:rPr>
                <w:rFonts w:ascii="Arial" w:cs="Arial" w:eastAsia="Arial" w:hAnsi="Arial"/>
                <w:sz w:val="14"/>
                <w:szCs w:val="14"/>
                <w:b w:val="1"/>
                <w:bCs w:val="1"/>
                <w:color w:val="auto"/>
              </w:rPr>
              <w:t>Employee</w:t>
            </w:r>
          </w:p>
        </w:tc>
        <w:tc>
          <w:tcPr>
            <w:tcW w:w="1280" w:type="dxa"/>
            <w:vAlign w:val="bottom"/>
            <w:gridSpan w:val="2"/>
          </w:tcPr>
          <w:p>
            <w:pPr>
              <w:ind w:left="60"/>
              <w:spacing w:after="0" w:line="153" w:lineRule="exact"/>
              <w:rPr>
                <w:sz w:val="20"/>
                <w:szCs w:val="20"/>
                <w:color w:val="auto"/>
              </w:rPr>
            </w:pPr>
            <w:r>
              <w:rPr>
                <w:rFonts w:ascii="Arial" w:cs="Arial" w:eastAsia="Arial" w:hAnsi="Arial"/>
                <w:sz w:val="14"/>
                <w:szCs w:val="14"/>
                <w:b w:val="1"/>
                <w:bCs w:val="1"/>
                <w:color w:val="auto"/>
              </w:rPr>
              <w:t>Non-Employee</w:t>
            </w:r>
          </w:p>
        </w:tc>
        <w:tc>
          <w:tcPr>
            <w:tcW w:w="1520" w:type="dxa"/>
            <w:vAlign w:val="bottom"/>
            <w:gridSpan w:val="3"/>
          </w:tcPr>
          <w:p>
            <w:pPr>
              <w:ind w:left="320"/>
              <w:spacing w:after="0" w:line="153" w:lineRule="exact"/>
              <w:rPr>
                <w:sz w:val="20"/>
                <w:szCs w:val="20"/>
                <w:color w:val="auto"/>
              </w:rPr>
            </w:pPr>
            <w:r>
              <w:rPr>
                <w:rFonts w:ascii="Arial" w:cs="Arial" w:eastAsia="Arial" w:hAnsi="Arial"/>
                <w:sz w:val="14"/>
                <w:szCs w:val="14"/>
                <w:b w:val="1"/>
                <w:bCs w:val="1"/>
                <w:color w:val="auto"/>
              </w:rPr>
              <w:t>Employee</w:t>
            </w:r>
          </w:p>
        </w:tc>
        <w:tc>
          <w:tcPr>
            <w:tcW w:w="1260" w:type="dxa"/>
            <w:vAlign w:val="bottom"/>
            <w:gridSpan w:val="2"/>
          </w:tcPr>
          <w:p>
            <w:pPr>
              <w:jc w:val="right"/>
              <w:ind w:right="300"/>
              <w:spacing w:after="0" w:line="153" w:lineRule="exact"/>
              <w:rPr>
                <w:sz w:val="20"/>
                <w:szCs w:val="20"/>
                <w:color w:val="auto"/>
              </w:rPr>
            </w:pPr>
            <w:r>
              <w:rPr>
                <w:rFonts w:ascii="Arial" w:cs="Arial" w:eastAsia="Arial" w:hAnsi="Arial"/>
                <w:sz w:val="14"/>
                <w:szCs w:val="14"/>
                <w:b w:val="1"/>
                <w:bCs w:val="1"/>
                <w:color w:val="auto"/>
                <w:w w:val="95"/>
              </w:rPr>
              <w:t>Non-Employee</w:t>
            </w:r>
          </w:p>
        </w:tc>
        <w:tc>
          <w:tcPr>
            <w:tcW w:w="1540" w:type="dxa"/>
            <w:vAlign w:val="bottom"/>
            <w:gridSpan w:val="3"/>
          </w:tcPr>
          <w:p>
            <w:pPr>
              <w:jc w:val="right"/>
              <w:ind w:right="600"/>
              <w:spacing w:after="0" w:line="153" w:lineRule="exact"/>
              <w:rPr>
                <w:sz w:val="20"/>
                <w:szCs w:val="20"/>
                <w:color w:val="auto"/>
              </w:rPr>
            </w:pPr>
            <w:r>
              <w:rPr>
                <w:rFonts w:ascii="Arial" w:cs="Arial" w:eastAsia="Arial" w:hAnsi="Arial"/>
                <w:sz w:val="14"/>
                <w:szCs w:val="14"/>
                <w:b w:val="1"/>
                <w:bCs w:val="1"/>
                <w:color w:val="auto"/>
              </w:rPr>
              <w:t>Employee</w:t>
            </w:r>
          </w:p>
        </w:tc>
        <w:tc>
          <w:tcPr>
            <w:tcW w:w="1140" w:type="dxa"/>
            <w:vAlign w:val="bottom"/>
          </w:tcPr>
          <w:p>
            <w:pPr>
              <w:jc w:val="right"/>
              <w:ind w:right="116"/>
              <w:spacing w:after="0" w:line="153" w:lineRule="exact"/>
              <w:rPr>
                <w:sz w:val="20"/>
                <w:szCs w:val="20"/>
                <w:color w:val="auto"/>
              </w:rPr>
            </w:pPr>
            <w:r>
              <w:rPr>
                <w:rFonts w:ascii="Arial" w:cs="Arial" w:eastAsia="Arial" w:hAnsi="Arial"/>
                <w:sz w:val="14"/>
                <w:szCs w:val="14"/>
                <w:b w:val="1"/>
                <w:bCs w:val="1"/>
                <w:color w:val="auto"/>
                <w:w w:val="93"/>
              </w:rPr>
              <w:t>Non-Employee</w:t>
            </w:r>
          </w:p>
        </w:tc>
      </w:tr>
      <w:tr>
        <w:trPr>
          <w:trHeight w:val="192"/>
        </w:trPr>
        <w:tc>
          <w:tcPr>
            <w:tcW w:w="30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300" w:type="dxa"/>
            <w:vAlign w:val="bottom"/>
            <w:tcBorders>
              <w:bottom w:val="single" w:sz="8" w:color="auto"/>
            </w:tcBorders>
          </w:tcPr>
          <w:p>
            <w:pPr>
              <w:jc w:val="right"/>
              <w:ind w:right="138"/>
              <w:spacing w:after="0"/>
              <w:rPr>
                <w:sz w:val="20"/>
                <w:szCs w:val="20"/>
                <w:color w:val="auto"/>
              </w:rPr>
            </w:pPr>
            <w:r>
              <w:rPr>
                <w:rFonts w:ascii="Arial" w:cs="Arial" w:eastAsia="Arial" w:hAnsi="Arial"/>
                <w:sz w:val="14"/>
                <w:szCs w:val="14"/>
                <w:b w:val="1"/>
                <w:bCs w:val="1"/>
                <w:color w:val="auto"/>
              </w:rPr>
              <w:t>Market-Based</w:t>
            </w: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jc w:val="right"/>
              <w:ind w:right="136"/>
              <w:spacing w:after="0"/>
              <w:rPr>
                <w:sz w:val="20"/>
                <w:szCs w:val="20"/>
                <w:color w:val="auto"/>
              </w:rPr>
            </w:pPr>
            <w:r>
              <w:rPr>
                <w:rFonts w:ascii="Arial" w:cs="Arial" w:eastAsia="Arial" w:hAnsi="Arial"/>
                <w:sz w:val="14"/>
                <w:szCs w:val="14"/>
                <w:b w:val="1"/>
                <w:bCs w:val="1"/>
                <w:color w:val="auto"/>
              </w:rPr>
              <w:t>Market-Based</w:t>
            </w:r>
          </w:p>
        </w:tc>
        <w:tc>
          <w:tcPr>
            <w:tcW w:w="12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right"/>
              <w:ind w:right="119"/>
              <w:spacing w:after="0"/>
              <w:rPr>
                <w:sz w:val="20"/>
                <w:szCs w:val="20"/>
                <w:color w:val="auto"/>
              </w:rPr>
            </w:pPr>
            <w:r>
              <w:rPr>
                <w:rFonts w:ascii="Arial" w:cs="Arial" w:eastAsia="Arial" w:hAnsi="Arial"/>
                <w:sz w:val="14"/>
                <w:szCs w:val="14"/>
                <w:b w:val="1"/>
                <w:bCs w:val="1"/>
                <w:color w:val="auto"/>
              </w:rPr>
              <w:t>Market-Based</w:t>
            </w:r>
          </w:p>
        </w:tc>
        <w:tc>
          <w:tcPr>
            <w:tcW w:w="10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116"/>
              <w:spacing w:after="0"/>
              <w:rPr>
                <w:sz w:val="20"/>
                <w:szCs w:val="20"/>
                <w:color w:val="auto"/>
              </w:rPr>
            </w:pPr>
            <w:r>
              <w:rPr>
                <w:rFonts w:ascii="Arial" w:cs="Arial" w:eastAsia="Arial" w:hAnsi="Arial"/>
                <w:sz w:val="14"/>
                <w:szCs w:val="14"/>
                <w:b w:val="1"/>
                <w:bCs w:val="1"/>
                <w:color w:val="auto"/>
              </w:rPr>
              <w:t>Market-Based</w:t>
            </w:r>
          </w:p>
        </w:tc>
        <w:tc>
          <w:tcPr>
            <w:tcW w:w="120" w:type="dxa"/>
            <w:vAlign w:val="bottom"/>
            <w:tcBorders>
              <w:bottom w:val="single" w:sz="8" w:color="CCEEFF"/>
            </w:tcBorders>
          </w:tcPr>
          <w:p>
            <w:pPr>
              <w:spacing w:after="0"/>
              <w:rPr>
                <w:sz w:val="16"/>
                <w:szCs w:val="16"/>
                <w:color w:val="auto"/>
              </w:rPr>
            </w:pPr>
          </w:p>
        </w:tc>
        <w:tc>
          <w:tcPr>
            <w:tcW w:w="1280" w:type="dxa"/>
            <w:vAlign w:val="bottom"/>
            <w:tcBorders>
              <w:bottom w:val="single" w:sz="8" w:color="auto"/>
            </w:tcBorders>
          </w:tcPr>
          <w:p>
            <w:pPr>
              <w:jc w:val="right"/>
              <w:ind w:right="118"/>
              <w:spacing w:after="0"/>
              <w:rPr>
                <w:sz w:val="20"/>
                <w:szCs w:val="20"/>
                <w:color w:val="auto"/>
              </w:rPr>
            </w:pPr>
            <w:r>
              <w:rPr>
                <w:rFonts w:ascii="Arial" w:cs="Arial" w:eastAsia="Arial" w:hAnsi="Arial"/>
                <w:sz w:val="14"/>
                <w:szCs w:val="14"/>
                <w:b w:val="1"/>
                <w:bCs w:val="1"/>
                <w:color w:val="auto"/>
              </w:rPr>
              <w:t>Market-Based</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jc w:val="right"/>
              <w:ind w:right="116"/>
              <w:spacing w:after="0"/>
              <w:rPr>
                <w:sz w:val="20"/>
                <w:szCs w:val="20"/>
                <w:color w:val="auto"/>
              </w:rPr>
            </w:pPr>
            <w:r>
              <w:rPr>
                <w:rFonts w:ascii="Arial" w:cs="Arial" w:eastAsia="Arial" w:hAnsi="Arial"/>
                <w:sz w:val="14"/>
                <w:szCs w:val="14"/>
                <w:b w:val="1"/>
                <w:bCs w:val="1"/>
                <w:color w:val="auto"/>
              </w:rPr>
              <w:t>Market-Based</w:t>
            </w:r>
          </w:p>
        </w:tc>
      </w:tr>
      <w:tr>
        <w:trPr>
          <w:trHeight w:val="250"/>
        </w:trPr>
        <w:tc>
          <w:tcPr>
            <w:tcW w:w="3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Risk-free interest rate</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2.1%</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0.9%</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0.4%</w:t>
            </w:r>
          </w:p>
        </w:tc>
      </w:tr>
      <w:tr>
        <w:trPr>
          <w:trHeight w:val="243"/>
        </w:trPr>
        <w:tc>
          <w:tcPr>
            <w:tcW w:w="3120" w:type="dxa"/>
            <w:vAlign w:val="bottom"/>
            <w:gridSpan w:val="2"/>
          </w:tcPr>
          <w:p>
            <w:pPr>
              <w:ind w:left="40"/>
              <w:spacing w:after="0"/>
              <w:rPr>
                <w:sz w:val="20"/>
                <w:szCs w:val="20"/>
                <w:color w:val="auto"/>
              </w:rPr>
            </w:pPr>
            <w:r>
              <w:rPr>
                <w:rFonts w:ascii="Arial" w:cs="Arial" w:eastAsia="Arial" w:hAnsi="Arial"/>
                <w:sz w:val="18"/>
                <w:szCs w:val="18"/>
                <w:color w:val="auto"/>
              </w:rPr>
              <w:t>Expected stock price volatility</w:t>
            </w:r>
          </w:p>
        </w:tc>
        <w:tc>
          <w:tcPr>
            <w:tcW w:w="1300" w:type="dxa"/>
            <w:vAlign w:val="bottom"/>
          </w:tcPr>
          <w:p>
            <w:pPr>
              <w:jc w:val="right"/>
              <w:spacing w:after="0"/>
              <w:rPr>
                <w:sz w:val="20"/>
                <w:szCs w:val="20"/>
                <w:color w:val="auto"/>
              </w:rPr>
            </w:pPr>
            <w:r>
              <w:rPr>
                <w:rFonts w:ascii="Arial" w:cs="Arial" w:eastAsia="Arial" w:hAnsi="Arial"/>
                <w:sz w:val="18"/>
                <w:szCs w:val="18"/>
                <w:b w:val="1"/>
                <w:bCs w:val="1"/>
                <w:color w:val="auto"/>
              </w:rPr>
              <w:t>28.4%</w:t>
            </w:r>
          </w:p>
        </w:tc>
        <w:tc>
          <w:tcPr>
            <w:tcW w:w="1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Arial" w:cs="Arial" w:eastAsia="Arial" w:hAnsi="Arial"/>
                <w:sz w:val="18"/>
                <w:szCs w:val="18"/>
                <w:b w:val="1"/>
                <w:bCs w:val="1"/>
                <w:color w:val="auto"/>
              </w:rPr>
              <w:t>35.5%</w:t>
            </w:r>
          </w:p>
        </w:tc>
        <w:tc>
          <w:tcPr>
            <w:tcW w:w="1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31.2%</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30.1%</w:t>
            </w:r>
          </w:p>
        </w:tc>
        <w:tc>
          <w:tcPr>
            <w:tcW w:w="120" w:type="dxa"/>
            <w:vAlign w:val="bottom"/>
          </w:tcPr>
          <w:p>
            <w:pPr>
              <w:spacing w:after="0"/>
              <w:rPr>
                <w:sz w:val="21"/>
                <w:szCs w:val="21"/>
                <w:color w:val="auto"/>
              </w:rPr>
            </w:pPr>
          </w:p>
        </w:tc>
        <w:tc>
          <w:tcPr>
            <w:tcW w:w="1280" w:type="dxa"/>
            <w:vAlign w:val="bottom"/>
          </w:tcPr>
          <w:p>
            <w:pPr>
              <w:jc w:val="right"/>
              <w:spacing w:after="0"/>
              <w:rPr>
                <w:sz w:val="20"/>
                <w:szCs w:val="20"/>
                <w:color w:val="auto"/>
              </w:rPr>
            </w:pPr>
            <w:r>
              <w:rPr>
                <w:rFonts w:ascii="Arial" w:cs="Arial" w:eastAsia="Arial" w:hAnsi="Arial"/>
                <w:sz w:val="18"/>
                <w:szCs w:val="18"/>
                <w:color w:val="auto"/>
              </w:rPr>
              <w:t>33.9%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32.2%</w:t>
            </w:r>
          </w:p>
        </w:tc>
      </w:tr>
      <w:tr>
        <w:trPr>
          <w:trHeight w:val="27"/>
        </w:trPr>
        <w:tc>
          <w:tcPr>
            <w:tcW w:w="30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140" w:type="dxa"/>
            <w:vAlign w:val="bottom"/>
          </w:tcPr>
          <w:p>
            <w:pPr>
              <w:spacing w:after="0"/>
              <w:rPr>
                <w:sz w:val="2"/>
                <w:szCs w:val="2"/>
                <w:color w:val="auto"/>
              </w:rPr>
            </w:pPr>
          </w:p>
        </w:tc>
      </w:tr>
      <w:tr>
        <w:trPr>
          <w:trHeight w:val="250"/>
        </w:trPr>
        <w:tc>
          <w:tcPr>
            <w:tcW w:w="31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Expected service period (years)</w:t>
            </w:r>
          </w:p>
        </w:tc>
        <w:tc>
          <w:tcPr>
            <w:tcW w:w="1300" w:type="dxa"/>
            <w:vAlign w:val="bottom"/>
            <w:tcBorders>
              <w:bottom w:val="single" w:sz="8" w:color="CCEEFF"/>
            </w:tcBorders>
            <w:shd w:val="clear" w:color="auto" w:fill="CCEEFF"/>
          </w:tcPr>
          <w:p>
            <w:pPr>
              <w:jc w:val="right"/>
              <w:ind w:right="138"/>
              <w:spacing w:after="0"/>
              <w:rPr>
                <w:sz w:val="20"/>
                <w:szCs w:val="20"/>
                <w:color w:val="auto"/>
              </w:rPr>
            </w:pPr>
            <w:r>
              <w:rPr>
                <w:rFonts w:ascii="Arial" w:cs="Arial" w:eastAsia="Arial" w:hAnsi="Arial"/>
                <w:sz w:val="18"/>
                <w:szCs w:val="18"/>
                <w:b w:val="1"/>
                <w:bCs w:val="1"/>
                <w:color w:val="auto"/>
              </w:rPr>
              <w:t>1.5</w:t>
            </w:r>
          </w:p>
        </w:tc>
        <w:tc>
          <w:tcPr>
            <w:tcW w:w="12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6"/>
              <w:spacing w:after="0"/>
              <w:rPr>
                <w:sz w:val="20"/>
                <w:szCs w:val="20"/>
                <w:color w:val="auto"/>
              </w:rPr>
            </w:pPr>
            <w:r>
              <w:rPr>
                <w:rFonts w:ascii="Arial" w:cs="Arial" w:eastAsia="Arial" w:hAnsi="Arial"/>
                <w:sz w:val="18"/>
                <w:szCs w:val="18"/>
                <w:b w:val="1"/>
                <w:bCs w:val="1"/>
                <w:color w:val="auto"/>
              </w:rPr>
              <w:t>1.0</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19"/>
              <w:spacing w:after="0"/>
              <w:rPr>
                <w:sz w:val="20"/>
                <w:szCs w:val="20"/>
                <w:color w:val="auto"/>
              </w:rPr>
            </w:pPr>
            <w:r>
              <w:rPr>
                <w:rFonts w:ascii="Arial" w:cs="Arial" w:eastAsia="Arial" w:hAnsi="Arial"/>
                <w:sz w:val="18"/>
                <w:szCs w:val="18"/>
                <w:color w:val="auto"/>
              </w:rPr>
              <w:t>1.5</w:t>
            </w: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8"/>
                <w:szCs w:val="18"/>
                <w:color w:val="auto"/>
              </w:rPr>
              <w:t>1.0</w:t>
            </w:r>
          </w:p>
        </w:tc>
        <w:tc>
          <w:tcPr>
            <w:tcW w:w="120" w:type="dxa"/>
            <w:vAlign w:val="bottom"/>
            <w:tcBorders>
              <w:bottom w:val="single" w:sz="8" w:color="CCEEFF"/>
            </w:tcBorders>
            <w:shd w:val="clear" w:color="auto" w:fill="CCEEFF"/>
          </w:tcPr>
          <w:p>
            <w:pPr>
              <w:spacing w:after="0"/>
              <w:rPr>
                <w:sz w:val="21"/>
                <w:szCs w:val="21"/>
                <w:color w:val="auto"/>
              </w:rPr>
            </w:pPr>
          </w:p>
        </w:tc>
        <w:tc>
          <w:tcPr>
            <w:tcW w:w="1280" w:type="dxa"/>
            <w:vAlign w:val="bottom"/>
            <w:tcBorders>
              <w:bottom w:val="single" w:sz="8" w:color="CCEEFF"/>
            </w:tcBorders>
            <w:shd w:val="clear" w:color="auto" w:fill="CCEEFF"/>
          </w:tcPr>
          <w:p>
            <w:pPr>
              <w:jc w:val="right"/>
              <w:ind w:right="118"/>
              <w:spacing w:after="0"/>
              <w:rPr>
                <w:sz w:val="20"/>
                <w:szCs w:val="20"/>
                <w:color w:val="auto"/>
              </w:rPr>
            </w:pPr>
            <w:r>
              <w:rPr>
                <w:rFonts w:ascii="Arial" w:cs="Arial" w:eastAsia="Arial" w:hAnsi="Arial"/>
                <w:sz w:val="18"/>
                <w:szCs w:val="18"/>
                <w:color w:val="auto"/>
              </w:rPr>
              <w:t>1.9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6"/>
              <w:spacing w:after="0"/>
              <w:rPr>
                <w:sz w:val="20"/>
                <w:szCs w:val="20"/>
                <w:color w:val="auto"/>
              </w:rPr>
            </w:pPr>
            <w:r>
              <w:rPr>
                <w:rFonts w:ascii="Arial" w:cs="Arial" w:eastAsia="Arial" w:hAnsi="Arial"/>
                <w:sz w:val="18"/>
                <w:szCs w:val="18"/>
                <w:color w:val="auto"/>
              </w:rPr>
              <w:t>1.1</w:t>
            </w:r>
          </w:p>
        </w:tc>
      </w:tr>
      <w:tr>
        <w:trPr>
          <w:trHeight w:val="243"/>
        </w:trPr>
        <w:tc>
          <w:tcPr>
            <w:tcW w:w="3120" w:type="dxa"/>
            <w:vAlign w:val="bottom"/>
            <w:gridSpan w:val="2"/>
          </w:tcPr>
          <w:p>
            <w:pPr>
              <w:ind w:left="40"/>
              <w:spacing w:after="0"/>
              <w:rPr>
                <w:sz w:val="20"/>
                <w:szCs w:val="20"/>
                <w:color w:val="auto"/>
              </w:rPr>
            </w:pPr>
            <w:r>
              <w:rPr>
                <w:rFonts w:ascii="Arial" w:cs="Arial" w:eastAsia="Arial" w:hAnsi="Arial"/>
                <w:sz w:val="18"/>
                <w:szCs w:val="18"/>
                <w:color w:val="auto"/>
              </w:rPr>
              <w:t>Dividends</w:t>
            </w:r>
          </w:p>
        </w:tc>
        <w:tc>
          <w:tcPr>
            <w:tcW w:w="1560" w:type="dxa"/>
            <w:vAlign w:val="bottom"/>
            <w:gridSpan w:val="3"/>
          </w:tcPr>
          <w:p>
            <w:pPr>
              <w:jc w:val="right"/>
              <w:ind w:right="480"/>
              <w:spacing w:after="0"/>
              <w:rPr>
                <w:sz w:val="20"/>
                <w:szCs w:val="20"/>
                <w:color w:val="auto"/>
              </w:rPr>
            </w:pPr>
            <w:r>
              <w:rPr>
                <w:rFonts w:ascii="Arial" w:cs="Arial" w:eastAsia="Arial" w:hAnsi="Arial"/>
                <w:sz w:val="18"/>
                <w:szCs w:val="18"/>
                <w:b w:val="1"/>
                <w:bCs w:val="1"/>
                <w:color w:val="auto"/>
              </w:rPr>
              <w:t>None</w:t>
            </w:r>
          </w:p>
        </w:tc>
        <w:tc>
          <w:tcPr>
            <w:tcW w:w="128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rPr>
              <w:t>None</w:t>
            </w:r>
          </w:p>
        </w:tc>
        <w:tc>
          <w:tcPr>
            <w:tcW w:w="1520" w:type="dxa"/>
            <w:vAlign w:val="bottom"/>
            <w:gridSpan w:val="3"/>
          </w:tcPr>
          <w:p>
            <w:pPr>
              <w:jc w:val="right"/>
              <w:ind w:right="440"/>
              <w:spacing w:after="0"/>
              <w:rPr>
                <w:sz w:val="20"/>
                <w:szCs w:val="20"/>
                <w:color w:val="auto"/>
              </w:rPr>
            </w:pPr>
            <w:r>
              <w:rPr>
                <w:rFonts w:ascii="Arial" w:cs="Arial" w:eastAsia="Arial" w:hAnsi="Arial"/>
                <w:sz w:val="18"/>
                <w:szCs w:val="18"/>
                <w:b w:val="1"/>
                <w:bCs w:val="1"/>
                <w:color w:val="auto"/>
              </w:rPr>
              <w:t>None</w:t>
            </w:r>
          </w:p>
        </w:tc>
        <w:tc>
          <w:tcPr>
            <w:tcW w:w="126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rPr>
              <w:t>None</w:t>
            </w:r>
          </w:p>
        </w:tc>
        <w:tc>
          <w:tcPr>
            <w:tcW w:w="1540" w:type="dxa"/>
            <w:vAlign w:val="bottom"/>
            <w:gridSpan w:val="3"/>
          </w:tcPr>
          <w:p>
            <w:pPr>
              <w:jc w:val="right"/>
              <w:ind w:right="460"/>
              <w:spacing w:after="0"/>
              <w:rPr>
                <w:sz w:val="20"/>
                <w:szCs w:val="20"/>
                <w:color w:val="auto"/>
              </w:rPr>
            </w:pPr>
            <w:r>
              <w:rPr>
                <w:rFonts w:ascii="Arial" w:cs="Arial" w:eastAsia="Arial" w:hAnsi="Arial"/>
                <w:sz w:val="18"/>
                <w:szCs w:val="18"/>
                <w:b w:val="1"/>
                <w:bCs w:val="1"/>
                <w:color w:val="auto"/>
              </w:rPr>
              <w:t>None</w:t>
            </w:r>
          </w:p>
        </w:tc>
        <w:tc>
          <w:tcPr>
            <w:tcW w:w="1140" w:type="dxa"/>
            <w:vAlign w:val="bottom"/>
          </w:tcPr>
          <w:p>
            <w:pPr>
              <w:jc w:val="right"/>
              <w:ind w:right="96"/>
              <w:spacing w:after="0"/>
              <w:rPr>
                <w:sz w:val="20"/>
                <w:szCs w:val="20"/>
                <w:color w:val="auto"/>
              </w:rPr>
            </w:pPr>
            <w:r>
              <w:rPr>
                <w:rFonts w:ascii="Arial" w:cs="Arial" w:eastAsia="Arial" w:hAnsi="Arial"/>
                <w:sz w:val="18"/>
                <w:szCs w:val="18"/>
                <w:b w:val="1"/>
                <w:bCs w:val="1"/>
                <w:color w:val="auto"/>
              </w:rPr>
              <w:t>None</w:t>
            </w:r>
          </w:p>
        </w:tc>
      </w:tr>
    </w:tbl>
    <w:p>
      <w:pPr>
        <w:spacing w:after="0" w:line="148"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The estimated value of market-based restricted stock awards granted to employees during the fiscal years ended March 31, 2018, 2017 and 2016 was $141.78, $63.60 and $43.66 per share, respectively. For the fiscal years ended March 31, 2018, 2017 and 2016, the estimated value of the market-based restricted stock awards granted to ZelnickMedia was $185.66, $51.92 and $58.45 per share, respectively.</w:t>
      </w: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Performance-Based Awards</w:t>
      </w:r>
    </w:p>
    <w:p>
      <w:pPr>
        <w:spacing w:after="0" w:line="279"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estimated value of performance-based restricted stock awards granted to employees during the fiscal year ended March 31, 2018 was $102.57. None were granted during the fiscal years ended March 31, 2017 and 2016. For the fiscal years ended March 31, 2018, 2017 and 2016, the estimated value of the performance-based restricted stock awards granted to ZelnickMedia was $97.78, $59.27 and $37.67 per share, respectively.</w:t>
      </w:r>
    </w:p>
    <w:p>
      <w:pPr>
        <w:sectPr>
          <w:pgSz w:w="11900" w:h="16838" w:orient="portrait"/>
          <w:cols w:equalWidth="0" w:num="1">
            <w:col w:w="11420"/>
          </w:cols>
          <w:pgMar w:left="240" w:top="719" w:right="239" w:bottom="1440" w:gutter="0" w:footer="0" w:header="0"/>
        </w:sectPr>
      </w:pPr>
    </w:p>
    <w:p>
      <w:pPr>
        <w:spacing w:after="0" w:line="32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82</w:t>
      </w:r>
    </w:p>
    <w:p>
      <w:pPr>
        <w:sectPr>
          <w:pgSz w:w="11900" w:h="16838" w:orient="portrait"/>
          <w:cols w:equalWidth="0" w:num="1">
            <w:col w:w="11420"/>
          </w:cols>
          <w:pgMar w:left="240" w:top="719" w:right="239" w:bottom="1440" w:gutter="0" w:footer="0" w:header="0"/>
          <w:type w:val="continuous"/>
        </w:sectPr>
      </w:pPr>
    </w:p>
    <w:bookmarkStart w:id="84" w:name="page85"/>
    <w:bookmarkEnd w:id="84"/>
    <w:p>
      <w:pPr>
        <w:spacing w:after="0"/>
        <w:rPr>
          <w:sz w:val="20"/>
          <w:szCs w:val="20"/>
          <w:color w:val="auto"/>
        </w:rPr>
      </w:pPr>
      <w:r>
        <w:rPr>
          <w:rFonts w:ascii="Arial" w:cs="Arial" w:eastAsia="Arial" w:hAnsi="Arial"/>
          <w:sz w:val="18"/>
          <w:szCs w:val="18"/>
          <w:b w:val="1"/>
          <w:bCs w:val="1"/>
          <w:color w:val="auto"/>
        </w:rPr>
        <w:t>Summary of Activity</w:t>
      </w:r>
    </w:p>
    <w:p>
      <w:pPr>
        <w:spacing w:after="0" w:line="283"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The following table summarizes the activity in non-vested restricted stock units to employees and ZelnickMedia under our stock-based compensation plans with performance and market based restricted stock awards presented at 100% of target number of shares that may potentially vest:</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0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340" w:type="dxa"/>
            <w:vAlign w:val="bottom"/>
          </w:tcPr>
          <w:p>
            <w:pPr>
              <w:jc w:val="center"/>
              <w:ind w:right="158"/>
              <w:spacing w:after="0"/>
              <w:rPr>
                <w:sz w:val="20"/>
                <w:szCs w:val="20"/>
                <w:color w:val="auto"/>
              </w:rPr>
            </w:pPr>
            <w:r>
              <w:rPr>
                <w:rFonts w:ascii="Arial" w:cs="Arial" w:eastAsia="Arial" w:hAnsi="Arial"/>
                <w:sz w:val="14"/>
                <w:szCs w:val="14"/>
                <w:b w:val="1"/>
                <w:bCs w:val="1"/>
                <w:color w:val="auto"/>
                <w:w w:val="91"/>
              </w:rPr>
              <w:t>Weighted</w:t>
            </w:r>
          </w:p>
        </w:tc>
        <w:tc>
          <w:tcPr>
            <w:tcW w:w="0" w:type="dxa"/>
            <w:vAlign w:val="bottom"/>
          </w:tcPr>
          <w:p>
            <w:pPr>
              <w:spacing w:after="0"/>
              <w:rPr>
                <w:sz w:val="1"/>
                <w:szCs w:val="1"/>
                <w:color w:val="auto"/>
              </w:rPr>
            </w:pPr>
          </w:p>
        </w:tc>
      </w:tr>
      <w:tr>
        <w:trPr>
          <w:trHeight w:val="149"/>
        </w:trPr>
        <w:tc>
          <w:tcPr>
            <w:tcW w:w="7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700" w:type="dxa"/>
            <w:vAlign w:val="bottom"/>
            <w:vMerge w:val="restart"/>
          </w:tcPr>
          <w:p>
            <w:pPr>
              <w:jc w:val="right"/>
              <w:ind w:right="555"/>
              <w:spacing w:after="0"/>
              <w:rPr>
                <w:sz w:val="20"/>
                <w:szCs w:val="20"/>
                <w:color w:val="auto"/>
              </w:rPr>
            </w:pPr>
            <w:r>
              <w:rPr>
                <w:rFonts w:ascii="Arial" w:cs="Arial" w:eastAsia="Arial" w:hAnsi="Arial"/>
                <w:sz w:val="14"/>
                <w:szCs w:val="14"/>
                <w:b w:val="1"/>
                <w:bCs w:val="1"/>
                <w:color w:val="auto"/>
              </w:rPr>
              <w:t>Shares</w:t>
            </w:r>
          </w:p>
        </w:tc>
        <w:tc>
          <w:tcPr>
            <w:tcW w:w="360" w:type="dxa"/>
            <w:vAlign w:val="bottom"/>
          </w:tcPr>
          <w:p>
            <w:pPr>
              <w:spacing w:after="0"/>
              <w:rPr>
                <w:sz w:val="12"/>
                <w:szCs w:val="12"/>
                <w:color w:val="auto"/>
              </w:rPr>
            </w:pPr>
          </w:p>
        </w:tc>
        <w:tc>
          <w:tcPr>
            <w:tcW w:w="1340" w:type="dxa"/>
            <w:vAlign w:val="bottom"/>
          </w:tcPr>
          <w:p>
            <w:pPr>
              <w:jc w:val="center"/>
              <w:ind w:right="178"/>
              <w:spacing w:after="0" w:line="149" w:lineRule="exact"/>
              <w:rPr>
                <w:sz w:val="20"/>
                <w:szCs w:val="20"/>
                <w:color w:val="auto"/>
              </w:rPr>
            </w:pPr>
            <w:r>
              <w:rPr>
                <w:rFonts w:ascii="Arial" w:cs="Arial" w:eastAsia="Arial" w:hAnsi="Arial"/>
                <w:sz w:val="14"/>
                <w:szCs w:val="14"/>
                <w:b w:val="1"/>
                <w:bCs w:val="1"/>
                <w:color w:val="auto"/>
                <w:w w:val="94"/>
              </w:rPr>
              <w:t>Average Fair</w:t>
            </w:r>
          </w:p>
        </w:tc>
        <w:tc>
          <w:tcPr>
            <w:tcW w:w="0" w:type="dxa"/>
            <w:vAlign w:val="bottom"/>
          </w:tcPr>
          <w:p>
            <w:pPr>
              <w:spacing w:after="0"/>
              <w:rPr>
                <w:sz w:val="1"/>
                <w:szCs w:val="1"/>
                <w:color w:val="auto"/>
              </w:rPr>
            </w:pPr>
          </w:p>
        </w:tc>
      </w:tr>
      <w:tr>
        <w:trPr>
          <w:trHeight w:val="149"/>
        </w:trPr>
        <w:tc>
          <w:tcPr>
            <w:tcW w:w="7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700" w:type="dxa"/>
            <w:vAlign w:val="bottom"/>
            <w:vMerge w:val="continue"/>
          </w:tcPr>
          <w:p>
            <w:pPr>
              <w:spacing w:after="0"/>
              <w:rPr>
                <w:sz w:val="12"/>
                <w:szCs w:val="12"/>
                <w:color w:val="auto"/>
              </w:rPr>
            </w:pPr>
          </w:p>
        </w:tc>
        <w:tc>
          <w:tcPr>
            <w:tcW w:w="360" w:type="dxa"/>
            <w:vAlign w:val="bottom"/>
          </w:tcPr>
          <w:p>
            <w:pPr>
              <w:spacing w:after="0"/>
              <w:rPr>
                <w:sz w:val="12"/>
                <w:szCs w:val="12"/>
                <w:color w:val="auto"/>
              </w:rPr>
            </w:pPr>
          </w:p>
        </w:tc>
        <w:tc>
          <w:tcPr>
            <w:tcW w:w="1340" w:type="dxa"/>
            <w:vAlign w:val="bottom"/>
          </w:tcPr>
          <w:p>
            <w:pPr>
              <w:jc w:val="center"/>
              <w:ind w:right="158"/>
              <w:spacing w:after="0" w:line="149" w:lineRule="exact"/>
              <w:rPr>
                <w:sz w:val="20"/>
                <w:szCs w:val="20"/>
                <w:color w:val="auto"/>
              </w:rPr>
            </w:pPr>
            <w:r>
              <w:rPr>
                <w:rFonts w:ascii="Arial" w:cs="Arial" w:eastAsia="Arial" w:hAnsi="Arial"/>
                <w:sz w:val="14"/>
                <w:szCs w:val="14"/>
                <w:b w:val="1"/>
                <w:bCs w:val="1"/>
                <w:color w:val="auto"/>
                <w:w w:val="92"/>
              </w:rPr>
              <w:t>Value on</w:t>
            </w:r>
          </w:p>
        </w:tc>
        <w:tc>
          <w:tcPr>
            <w:tcW w:w="0" w:type="dxa"/>
            <w:vAlign w:val="bottom"/>
          </w:tcPr>
          <w:p>
            <w:pPr>
              <w:spacing w:after="0"/>
              <w:rPr>
                <w:sz w:val="1"/>
                <w:szCs w:val="1"/>
                <w:color w:val="auto"/>
              </w:rPr>
            </w:pPr>
          </w:p>
        </w:tc>
      </w:tr>
      <w:tr>
        <w:trPr>
          <w:trHeight w:val="192"/>
        </w:trPr>
        <w:tc>
          <w:tcPr>
            <w:tcW w:w="79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700" w:type="dxa"/>
            <w:vAlign w:val="bottom"/>
            <w:tcBorders>
              <w:bottom w:val="single" w:sz="8" w:color="auto"/>
            </w:tcBorders>
          </w:tcPr>
          <w:p>
            <w:pPr>
              <w:jc w:val="right"/>
              <w:ind w:right="335"/>
              <w:spacing w:after="0"/>
              <w:rPr>
                <w:sz w:val="20"/>
                <w:szCs w:val="20"/>
                <w:color w:val="auto"/>
              </w:rPr>
            </w:pPr>
            <w:r>
              <w:rPr>
                <w:rFonts w:ascii="Arial" w:cs="Arial" w:eastAsia="Arial" w:hAnsi="Arial"/>
                <w:sz w:val="14"/>
                <w:szCs w:val="14"/>
                <w:b w:val="1"/>
                <w:bCs w:val="1"/>
                <w:color w:val="auto"/>
              </w:rPr>
              <w:t>(in thousands)</w:t>
            </w:r>
          </w:p>
        </w:tc>
        <w:tc>
          <w:tcPr>
            <w:tcW w:w="3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jc w:val="center"/>
              <w:ind w:right="158"/>
              <w:spacing w:after="0"/>
              <w:rPr>
                <w:sz w:val="20"/>
                <w:szCs w:val="20"/>
                <w:color w:val="auto"/>
              </w:rPr>
            </w:pPr>
            <w:r>
              <w:rPr>
                <w:rFonts w:ascii="Arial" w:cs="Arial" w:eastAsia="Arial" w:hAnsi="Arial"/>
                <w:sz w:val="14"/>
                <w:szCs w:val="14"/>
                <w:b w:val="1"/>
                <w:bCs w:val="1"/>
                <w:color w:val="auto"/>
                <w:w w:val="97"/>
              </w:rPr>
              <w:t>Grant Date</w:t>
            </w:r>
          </w:p>
        </w:tc>
        <w:tc>
          <w:tcPr>
            <w:tcW w:w="0" w:type="dxa"/>
            <w:vAlign w:val="bottom"/>
          </w:tcPr>
          <w:p>
            <w:pPr>
              <w:spacing w:after="0"/>
              <w:rPr>
                <w:sz w:val="1"/>
                <w:szCs w:val="1"/>
                <w:color w:val="auto"/>
              </w:rPr>
            </w:pPr>
          </w:p>
        </w:tc>
      </w:tr>
      <w:tr>
        <w:trPr>
          <w:trHeight w:val="250"/>
        </w:trPr>
        <w:tc>
          <w:tcPr>
            <w:tcW w:w="8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Non-vested restricted stock at March 31, 2017</w:t>
            </w:r>
          </w:p>
        </w:tc>
        <w:tc>
          <w:tcPr>
            <w:tcW w:w="17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4,259</w:t>
            </w:r>
          </w:p>
        </w:tc>
        <w:tc>
          <w:tcPr>
            <w:tcW w:w="3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32.93</w:t>
            </w:r>
          </w:p>
        </w:tc>
        <w:tc>
          <w:tcPr>
            <w:tcW w:w="0" w:type="dxa"/>
            <w:vAlign w:val="bottom"/>
          </w:tcPr>
          <w:p>
            <w:pPr>
              <w:spacing w:after="0"/>
              <w:rPr>
                <w:sz w:val="1"/>
                <w:szCs w:val="1"/>
                <w:color w:val="auto"/>
              </w:rPr>
            </w:pPr>
          </w:p>
        </w:tc>
      </w:tr>
      <w:tr>
        <w:trPr>
          <w:trHeight w:val="243"/>
        </w:trPr>
        <w:tc>
          <w:tcPr>
            <w:tcW w:w="8020" w:type="dxa"/>
            <w:vAlign w:val="bottom"/>
            <w:gridSpan w:val="2"/>
          </w:tcPr>
          <w:p>
            <w:pPr>
              <w:ind w:left="40"/>
              <w:spacing w:after="0"/>
              <w:rPr>
                <w:sz w:val="20"/>
                <w:szCs w:val="20"/>
                <w:color w:val="auto"/>
              </w:rPr>
            </w:pPr>
            <w:r>
              <w:rPr>
                <w:rFonts w:ascii="Arial" w:cs="Arial" w:eastAsia="Arial" w:hAnsi="Arial"/>
                <w:sz w:val="18"/>
                <w:szCs w:val="18"/>
                <w:color w:val="auto"/>
              </w:rPr>
              <w:t>Granted</w:t>
            </w:r>
          </w:p>
        </w:tc>
        <w:tc>
          <w:tcPr>
            <w:tcW w:w="1700" w:type="dxa"/>
            <w:vAlign w:val="bottom"/>
          </w:tcPr>
          <w:p>
            <w:pPr>
              <w:jc w:val="right"/>
              <w:ind w:right="15"/>
              <w:spacing w:after="0"/>
              <w:rPr>
                <w:sz w:val="20"/>
                <w:szCs w:val="20"/>
                <w:color w:val="auto"/>
              </w:rPr>
            </w:pPr>
            <w:r>
              <w:rPr>
                <w:rFonts w:ascii="Arial" w:cs="Arial" w:eastAsia="Arial" w:hAnsi="Arial"/>
                <w:sz w:val="18"/>
                <w:szCs w:val="18"/>
                <w:color w:val="auto"/>
              </w:rPr>
              <w:t>8,039</w:t>
            </w:r>
          </w:p>
        </w:tc>
        <w:tc>
          <w:tcPr>
            <w:tcW w:w="360" w:type="dxa"/>
            <w:vAlign w:val="bottom"/>
          </w:tcPr>
          <w:p>
            <w:pPr>
              <w:spacing w:after="0"/>
              <w:rPr>
                <w:sz w:val="21"/>
                <w:szCs w:val="21"/>
                <w:color w:val="auto"/>
              </w:rPr>
            </w:pPr>
          </w:p>
        </w:tc>
        <w:tc>
          <w:tcPr>
            <w:tcW w:w="1340" w:type="dxa"/>
            <w:vAlign w:val="bottom"/>
          </w:tcPr>
          <w:p>
            <w:pPr>
              <w:jc w:val="right"/>
              <w:ind w:right="18"/>
              <w:spacing w:after="0"/>
              <w:rPr>
                <w:sz w:val="20"/>
                <w:szCs w:val="20"/>
                <w:color w:val="auto"/>
              </w:rPr>
            </w:pPr>
            <w:r>
              <w:rPr>
                <w:rFonts w:ascii="Arial" w:cs="Arial" w:eastAsia="Arial" w:hAnsi="Arial"/>
                <w:sz w:val="18"/>
                <w:szCs w:val="18"/>
                <w:color w:val="auto"/>
              </w:rPr>
              <w:t>101.72</w:t>
            </w:r>
          </w:p>
        </w:tc>
        <w:tc>
          <w:tcPr>
            <w:tcW w:w="0" w:type="dxa"/>
            <w:vAlign w:val="bottom"/>
          </w:tcPr>
          <w:p>
            <w:pPr>
              <w:spacing w:after="0"/>
              <w:rPr>
                <w:sz w:val="1"/>
                <w:szCs w:val="1"/>
                <w:color w:val="auto"/>
              </w:rPr>
            </w:pPr>
          </w:p>
        </w:tc>
      </w:tr>
      <w:tr>
        <w:trPr>
          <w:trHeight w:val="27"/>
        </w:trPr>
        <w:tc>
          <w:tcPr>
            <w:tcW w:w="7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7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3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02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Vested</w:t>
            </w:r>
          </w:p>
        </w:tc>
        <w:tc>
          <w:tcPr>
            <w:tcW w:w="1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(3,272)</w:t>
            </w:r>
          </w:p>
        </w:tc>
        <w:tc>
          <w:tcPr>
            <w:tcW w:w="3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8"/>
              <w:spacing w:after="0"/>
              <w:rPr>
                <w:sz w:val="20"/>
                <w:szCs w:val="20"/>
                <w:color w:val="auto"/>
              </w:rPr>
            </w:pPr>
            <w:r>
              <w:rPr>
                <w:rFonts w:ascii="Arial" w:cs="Arial" w:eastAsia="Arial" w:hAnsi="Arial"/>
                <w:sz w:val="18"/>
                <w:szCs w:val="18"/>
                <w:color w:val="auto"/>
              </w:rPr>
              <w:t>28.67</w:t>
            </w:r>
          </w:p>
        </w:tc>
        <w:tc>
          <w:tcPr>
            <w:tcW w:w="0" w:type="dxa"/>
            <w:vAlign w:val="bottom"/>
          </w:tcPr>
          <w:p>
            <w:pPr>
              <w:spacing w:after="0"/>
              <w:rPr>
                <w:sz w:val="1"/>
                <w:szCs w:val="1"/>
                <w:color w:val="auto"/>
              </w:rPr>
            </w:pPr>
          </w:p>
        </w:tc>
      </w:tr>
      <w:tr>
        <w:trPr>
          <w:trHeight w:val="243"/>
        </w:trPr>
        <w:tc>
          <w:tcPr>
            <w:tcW w:w="8020" w:type="dxa"/>
            <w:vAlign w:val="bottom"/>
            <w:gridSpan w:val="2"/>
          </w:tcPr>
          <w:p>
            <w:pPr>
              <w:ind w:left="40"/>
              <w:spacing w:after="0"/>
              <w:rPr>
                <w:sz w:val="20"/>
                <w:szCs w:val="20"/>
                <w:color w:val="auto"/>
              </w:rPr>
            </w:pPr>
            <w:r>
              <w:rPr>
                <w:rFonts w:ascii="Arial" w:cs="Arial" w:eastAsia="Arial" w:hAnsi="Arial"/>
                <w:sz w:val="18"/>
                <w:szCs w:val="18"/>
                <w:color w:val="auto"/>
              </w:rPr>
              <w:t>Forfeited</w:t>
            </w:r>
          </w:p>
        </w:tc>
        <w:tc>
          <w:tcPr>
            <w:tcW w:w="1700" w:type="dxa"/>
            <w:vAlign w:val="bottom"/>
          </w:tcPr>
          <w:p>
            <w:pPr>
              <w:jc w:val="right"/>
              <w:spacing w:after="0"/>
              <w:rPr>
                <w:sz w:val="20"/>
                <w:szCs w:val="20"/>
                <w:color w:val="auto"/>
              </w:rPr>
            </w:pPr>
            <w:r>
              <w:rPr>
                <w:rFonts w:ascii="Arial" w:cs="Arial" w:eastAsia="Arial" w:hAnsi="Arial"/>
                <w:sz w:val="18"/>
                <w:szCs w:val="18"/>
                <w:color w:val="auto"/>
              </w:rPr>
              <w:t>(1,629)</w:t>
            </w:r>
          </w:p>
        </w:tc>
        <w:tc>
          <w:tcPr>
            <w:tcW w:w="360" w:type="dxa"/>
            <w:vAlign w:val="bottom"/>
          </w:tcPr>
          <w:p>
            <w:pPr>
              <w:spacing w:after="0"/>
              <w:rPr>
                <w:sz w:val="21"/>
                <w:szCs w:val="21"/>
                <w:color w:val="auto"/>
              </w:rPr>
            </w:pPr>
          </w:p>
        </w:tc>
        <w:tc>
          <w:tcPr>
            <w:tcW w:w="1340" w:type="dxa"/>
            <w:vAlign w:val="bottom"/>
          </w:tcPr>
          <w:p>
            <w:pPr>
              <w:jc w:val="right"/>
              <w:ind w:right="18"/>
              <w:spacing w:after="0"/>
              <w:rPr>
                <w:sz w:val="20"/>
                <w:szCs w:val="20"/>
                <w:color w:val="auto"/>
              </w:rPr>
            </w:pPr>
            <w:r>
              <w:rPr>
                <w:rFonts w:ascii="Arial" w:cs="Arial" w:eastAsia="Arial" w:hAnsi="Arial"/>
                <w:sz w:val="18"/>
                <w:szCs w:val="18"/>
                <w:color w:val="auto"/>
              </w:rPr>
              <w:t>107.05</w:t>
            </w:r>
          </w:p>
        </w:tc>
        <w:tc>
          <w:tcPr>
            <w:tcW w:w="0" w:type="dxa"/>
            <w:vAlign w:val="bottom"/>
          </w:tcPr>
          <w:p>
            <w:pPr>
              <w:spacing w:after="0"/>
              <w:rPr>
                <w:sz w:val="1"/>
                <w:szCs w:val="1"/>
                <w:color w:val="auto"/>
              </w:rPr>
            </w:pPr>
          </w:p>
        </w:tc>
      </w:tr>
      <w:tr>
        <w:trPr>
          <w:trHeight w:val="27"/>
        </w:trPr>
        <w:tc>
          <w:tcPr>
            <w:tcW w:w="7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c>
          <w:tcPr>
            <w:tcW w:w="360" w:type="dxa"/>
            <w:vAlign w:val="bottom"/>
            <w:tcBorders>
              <w:bottom w:val="single" w:sz="8" w:color="CCEEFF"/>
            </w:tcBorders>
          </w:tcPr>
          <w:p>
            <w:pPr>
              <w:spacing w:after="0"/>
              <w:rPr>
                <w:sz w:val="2"/>
                <w:szCs w:val="2"/>
                <w:color w:val="auto"/>
              </w:rPr>
            </w:pPr>
          </w:p>
        </w:tc>
        <w:tc>
          <w:tcPr>
            <w:tcW w:w="134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802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Non-vested restricted stock at March 31, 2018</w:t>
            </w:r>
          </w:p>
        </w:tc>
        <w:tc>
          <w:tcPr>
            <w:tcW w:w="1700" w:type="dxa"/>
            <w:vAlign w:val="bottom"/>
            <w:shd w:val="clear" w:color="auto" w:fill="CCEEFF"/>
          </w:tcPr>
          <w:p>
            <w:pPr>
              <w:jc w:val="right"/>
              <w:ind w:right="15"/>
              <w:spacing w:after="0"/>
              <w:rPr>
                <w:sz w:val="20"/>
                <w:szCs w:val="20"/>
                <w:color w:val="auto"/>
              </w:rPr>
            </w:pPr>
            <w:r>
              <w:rPr>
                <w:rFonts w:ascii="Arial" w:cs="Arial" w:eastAsia="Arial" w:hAnsi="Arial"/>
                <w:sz w:val="18"/>
                <w:szCs w:val="18"/>
                <w:color w:val="auto"/>
              </w:rPr>
              <w:t>7,397</w:t>
            </w:r>
          </w:p>
        </w:tc>
        <w:tc>
          <w:tcPr>
            <w:tcW w:w="3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340" w:type="dxa"/>
            <w:vAlign w:val="bottom"/>
            <w:shd w:val="clear" w:color="auto" w:fill="CCEEFF"/>
          </w:tcPr>
          <w:p>
            <w:pPr>
              <w:jc w:val="right"/>
              <w:ind w:right="18"/>
              <w:spacing w:after="0"/>
              <w:rPr>
                <w:sz w:val="20"/>
                <w:szCs w:val="20"/>
                <w:color w:val="auto"/>
              </w:rPr>
            </w:pPr>
            <w:r>
              <w:rPr>
                <w:rFonts w:ascii="Arial" w:cs="Arial" w:eastAsia="Arial" w:hAnsi="Arial"/>
                <w:sz w:val="18"/>
                <w:szCs w:val="18"/>
                <w:color w:val="auto"/>
              </w:rPr>
              <w:t>90.70</w:t>
            </w:r>
          </w:p>
        </w:tc>
        <w:tc>
          <w:tcPr>
            <w:tcW w:w="0" w:type="dxa"/>
            <w:vAlign w:val="bottom"/>
          </w:tcPr>
          <w:p>
            <w:pPr>
              <w:spacing w:after="0"/>
              <w:rPr>
                <w:sz w:val="1"/>
                <w:szCs w:val="1"/>
                <w:color w:val="auto"/>
              </w:rPr>
            </w:pPr>
          </w:p>
        </w:tc>
      </w:tr>
      <w:tr>
        <w:trPr>
          <w:trHeight w:val="20"/>
        </w:trPr>
        <w:tc>
          <w:tcPr>
            <w:tcW w:w="7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During the fiscal year ended March 31, 2018, we reclassified 5,550 of time and performance based restricted stock units as equity award grants. These awards were granted in prior periods and historically accounted for as liability awards as they previously could be settled only in cash and based on a contractually stipulated cash settlement value. However, in September 2017, we received stockholder approval to increase the number of shares of Common Stock for which awards may be granted and therefore now have the ability and intent to settle these awards in stock. As a result, we reclassified $74,707 from Other long-term liabilities to Additional paid-in capital within Stockholders' equity. Additionally, we recognized incremental cost of $112,789 to reflect the difference between the share price at the time of the share authorization and the contractually stipulated cash settlement value. Of these incremental costs, $84,176 was capitalized within Software development costs and licenses, net of current portion; $23,251 was recorded within Software development costs and royalties (a component of cost of goods sold); and $5,361 was recorded within Research and development costs.</w:t>
      </w:r>
    </w:p>
    <w:p>
      <w:pPr>
        <w:spacing w:after="0" w:line="8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maximum number of restricted stock awards that could vest is 512 for performance-based and market-based restricted stock awards granted during the current year. As of March 31, 2018, the maximum number of shares that could vest is 1,399 for performance-based and market-based restricted stock units outstanding. For the fiscal years ended March 31, 2018, 2017 and 2016, the fair values of restricted stock units that vested were $268,570, $137,130 and $123,854, respectively.</w:t>
      </w:r>
    </w:p>
    <w:p>
      <w:pPr>
        <w:spacing w:after="0" w:line="24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During the fiscal year ended March 31, 2018, the forfeiture of awards resulted in the reversal of expense of $17,069 and amounts capitalized as software development costs of $53,779.</w:t>
      </w:r>
    </w:p>
    <w:p>
      <w:pPr>
        <w:spacing w:after="0" w:line="224" w:lineRule="exact"/>
        <w:rPr>
          <w:sz w:val="20"/>
          <w:szCs w:val="20"/>
          <w:color w:val="auto"/>
        </w:rPr>
      </w:pPr>
    </w:p>
    <w:p>
      <w:pPr>
        <w:jc w:val="both"/>
        <w:ind w:right="20"/>
        <w:spacing w:after="0" w:line="308" w:lineRule="auto"/>
        <w:rPr>
          <w:sz w:val="20"/>
          <w:szCs w:val="20"/>
          <w:color w:val="auto"/>
        </w:rPr>
      </w:pPr>
      <w:r>
        <w:rPr>
          <w:rFonts w:ascii="Arial" w:cs="Arial" w:eastAsia="Arial" w:hAnsi="Arial"/>
          <w:sz w:val="17"/>
          <w:szCs w:val="17"/>
          <w:color w:val="auto"/>
        </w:rPr>
        <w:t>As of March 31, 2018, the total future unrecognized compensation cost related to outstanding unvested restricted stock was $640,672 and will be either recognized as compensation expense over a weighted-average period of approximately 3.0 years or capitalized as software development costs.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16.  SHARE REPURCHASE PROGRAM</w:t>
      </w:r>
    </w:p>
    <w:p>
      <w:pPr>
        <w:spacing w:after="0" w:line="283" w:lineRule="exact"/>
        <w:rPr>
          <w:sz w:val="20"/>
          <w:szCs w:val="20"/>
          <w:color w:val="auto"/>
        </w:rPr>
      </w:pPr>
    </w:p>
    <w:p>
      <w:pPr>
        <w:jc w:val="both"/>
        <w:spacing w:after="0" w:line="302" w:lineRule="auto"/>
        <w:rPr>
          <w:sz w:val="20"/>
          <w:szCs w:val="20"/>
          <w:color w:val="auto"/>
        </w:rPr>
      </w:pPr>
      <w:r>
        <w:rPr>
          <w:rFonts w:ascii="Arial" w:cs="Arial" w:eastAsia="Arial" w:hAnsi="Arial"/>
          <w:sz w:val="16"/>
          <w:szCs w:val="16"/>
          <w:color w:val="auto"/>
        </w:rPr>
        <w:t>Our Board of Directors has authorized the repurchase of up to 14,218 shares of our common stock. Under this program we may purchase shares from time to time through a variety of methods, including in the open market or through privately negotiated transactions, in accordance with applicable securities laws. Repurchases are subject to the availability of stock, prevailing market conditions, the trading price of the stock, the Company's financial performance and other conditions. The program does not require us to repurchase shares and may be suspended or discontinued at any time for any reason.</w:t>
      </w:r>
    </w:p>
    <w:p>
      <w:pPr>
        <w:spacing w:after="0" w:line="20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During the fiscal years ended March 31, 2018, 2017, and 2016 we repurchased 1,513, 0, and 954 shares of our common stock in the open market, respectively, for $154,808, $0, and $26,552, respectively, including commissions of $16, $0 and $10, respectively as part of the program. As of March 31, 2018, we had repurchased a total of 6,684 shares of our common stock under the program, and, 7,534 shares of our common stock remained available for repurchase under the share repurchase program.</w:t>
      </w:r>
    </w:p>
    <w:p>
      <w:pPr>
        <w:spacing w:after="0" w:line="241" w:lineRule="exact"/>
        <w:rPr>
          <w:sz w:val="20"/>
          <w:szCs w:val="20"/>
          <w:color w:val="auto"/>
        </w:rPr>
      </w:pPr>
    </w:p>
    <w:p>
      <w:pPr>
        <w:jc w:val="both"/>
        <w:ind w:right="20"/>
        <w:spacing w:after="0" w:line="342" w:lineRule="auto"/>
        <w:rPr>
          <w:sz w:val="20"/>
          <w:szCs w:val="20"/>
          <w:color w:val="auto"/>
        </w:rPr>
      </w:pPr>
      <w:r>
        <w:rPr>
          <w:rFonts w:ascii="Arial" w:cs="Arial" w:eastAsia="Arial" w:hAnsi="Arial"/>
          <w:sz w:val="16"/>
          <w:szCs w:val="16"/>
          <w:color w:val="auto"/>
        </w:rPr>
        <w:t>Subsequent to March 31, 2018, we repurchased an additional 1,597 shares of our common stock in the open market for $153,515, including commissions of $16. After these additional purchases 5,937 shares of our common stock remain available for repurchase under the share repurchase program.</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All of the repurchased shares are classified as Treasury stock in our Consolidated Balance Sheets.</w:t>
      </w:r>
    </w:p>
    <w:p>
      <w:pPr>
        <w:spacing w:after="0" w:line="3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420"/>
          </w:cols>
          <w:pgMar w:left="240" w:top="715" w:right="239" w:bottom="1440" w:gutter="0" w:footer="0" w:header="0"/>
        </w:sectPr>
      </w:pPr>
    </w:p>
    <w:bookmarkStart w:id="85" w:name="page86"/>
    <w:bookmarkEnd w:id="85"/>
    <w:p>
      <w:pPr>
        <w:spacing w:after="0"/>
        <w:rPr>
          <w:sz w:val="20"/>
          <w:szCs w:val="20"/>
          <w:color w:val="auto"/>
        </w:rPr>
      </w:pPr>
      <w:r>
        <w:rPr>
          <w:rFonts w:ascii="Arial" w:cs="Arial" w:eastAsia="Arial" w:hAnsi="Arial"/>
          <w:sz w:val="18"/>
          <w:szCs w:val="18"/>
          <w:b w:val="1"/>
          <w:bCs w:val="1"/>
          <w:color w:val="auto"/>
        </w:rPr>
        <w:t>17.  SEGMENT AND GEOGRAPHIC INFORMATION</w:t>
      </w:r>
    </w:p>
    <w:p>
      <w:pPr>
        <w:spacing w:after="0" w:line="283"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We are a publisher of interactive software games designed for console systems and personal computers, including smart phones and tablets, which are delivered through physical retail, digital download, online platforms and cloud streaming services. Our business consists principally of our Rockstar Games and 2K labels, which represent a single operating segment, the "publishing segment." Our operations involve similar products and customers worldwide. Revenue earned from our publishing segment is primarily derived from the sale of internally developed software titles and software titles developed by third parties. Our publishing segment is based upon our internal organizational structure, the manner in which our operations are managed and the criteria used by our Chief Executive Officer, our Chief Operating Decision Maker ("CODM"), to evaluate performance and allocate resources. We are centrally managed and the CODM primarily uses consolidated financial information supplemented by sales information by product category, major product title and platform to make operational decisions and assess financial performance.</w:t>
      </w:r>
    </w:p>
    <w:p>
      <w:pPr>
        <w:spacing w:after="0" w:line="233" w:lineRule="exact"/>
        <w:rPr>
          <w:sz w:val="20"/>
          <w:szCs w:val="20"/>
          <w:color w:val="auto"/>
        </w:rPr>
      </w:pPr>
    </w:p>
    <w:p>
      <w:pPr>
        <w:spacing w:after="0"/>
        <w:rPr>
          <w:sz w:val="20"/>
          <w:szCs w:val="20"/>
          <w:color w:val="auto"/>
        </w:rPr>
      </w:pPr>
      <w:r>
        <w:rPr>
          <w:rFonts w:ascii="Arial" w:cs="Arial" w:eastAsia="Arial" w:hAnsi="Arial"/>
          <w:sz w:val="18"/>
          <w:szCs w:val="18"/>
          <w:color w:val="auto"/>
        </w:rPr>
        <w:t>We attribute net revenue to geographic regions based on product destination. Net revenue by geographic region was as follows:</w:t>
      </w: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2120" w:type="dxa"/>
            <w:vAlign w:val="bottom"/>
            <w:tcBorders>
              <w:bottom w:val="single" w:sz="8" w:color="auto"/>
            </w:tcBorders>
            <w:gridSpan w:val="6"/>
          </w:tcPr>
          <w:p>
            <w:pPr>
              <w:jc w:val="center"/>
              <w:ind w:right="170"/>
              <w:spacing w:after="0"/>
              <w:rPr>
                <w:sz w:val="20"/>
                <w:szCs w:val="20"/>
                <w:color w:val="auto"/>
              </w:rPr>
            </w:pPr>
            <w:r>
              <w:rPr>
                <w:rFonts w:ascii="Arial" w:cs="Arial" w:eastAsia="Arial" w:hAnsi="Arial"/>
                <w:sz w:val="14"/>
                <w:szCs w:val="14"/>
                <w:b w:val="1"/>
                <w:bCs w:val="1"/>
                <w:color w:val="auto"/>
                <w:w w:val="94"/>
              </w:rPr>
              <w:t>Fiscal Year Ended March 31,</w:t>
            </w:r>
          </w:p>
        </w:tc>
        <w:tc>
          <w:tcPr>
            <w:tcW w:w="1120" w:type="dxa"/>
            <w:vAlign w:val="bottom"/>
            <w:tcBorders>
              <w:bottom w:val="single" w:sz="8" w:color="auto"/>
            </w:tcBorders>
          </w:tcPr>
          <w:p>
            <w:pPr>
              <w:spacing w:after="0"/>
              <w:rPr>
                <w:sz w:val="16"/>
                <w:szCs w:val="16"/>
                <w:color w:val="auto"/>
              </w:rPr>
            </w:pPr>
          </w:p>
        </w:tc>
      </w:tr>
      <w:tr>
        <w:trPr>
          <w:trHeight w:val="264"/>
        </w:trPr>
        <w:tc>
          <w:tcPr>
            <w:tcW w:w="66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Net revenue by geographic region:</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4"/>
              <w:spacing w:after="0"/>
              <w:rPr>
                <w:sz w:val="20"/>
                <w:szCs w:val="20"/>
                <w:color w:val="auto"/>
              </w:rPr>
            </w:pPr>
            <w:r>
              <w:rPr>
                <w:rFonts w:ascii="Arial" w:cs="Arial" w:eastAsia="Arial" w:hAnsi="Arial"/>
                <w:sz w:val="14"/>
                <w:szCs w:val="14"/>
                <w:b w:val="1"/>
                <w:bCs w:val="1"/>
                <w:color w:val="auto"/>
              </w:rPr>
              <w:t>2018</w:t>
            </w:r>
          </w:p>
        </w:tc>
        <w:tc>
          <w:tcPr>
            <w:tcW w:w="8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center"/>
              <w:ind w:right="274"/>
              <w:spacing w:after="0"/>
              <w:rPr>
                <w:sz w:val="20"/>
                <w:szCs w:val="20"/>
                <w:color w:val="auto"/>
              </w:rPr>
            </w:pPr>
            <w:r>
              <w:rPr>
                <w:rFonts w:ascii="Arial" w:cs="Arial" w:eastAsia="Arial" w:hAnsi="Arial"/>
                <w:sz w:val="14"/>
                <w:szCs w:val="14"/>
                <w:b w:val="1"/>
                <w:bCs w:val="1"/>
                <w:color w:val="auto"/>
                <w:w w:val="89"/>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2016</w:t>
            </w:r>
          </w:p>
        </w:tc>
      </w:tr>
      <w:tr>
        <w:trPr>
          <w:trHeight w:val="25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1,052,313</w:t>
            </w:r>
          </w:p>
        </w:tc>
        <w:tc>
          <w:tcPr>
            <w:tcW w:w="54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999,128</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742,963</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Europe</w:t>
            </w:r>
          </w:p>
        </w:tc>
        <w:tc>
          <w:tcPr>
            <w:tcW w:w="3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531,514</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515,696</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449,577</w:t>
            </w:r>
          </w:p>
        </w:tc>
      </w:tr>
      <w:tr>
        <w:trPr>
          <w:trHeight w:val="27"/>
        </w:trPr>
        <w:tc>
          <w:tcPr>
            <w:tcW w:w="6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5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Asia Pacific</w:t>
            </w:r>
          </w:p>
        </w:tc>
        <w:tc>
          <w:tcPr>
            <w:tcW w:w="3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111,223</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157,183</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120,629</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Canada and Latin America</w:t>
            </w:r>
          </w:p>
        </w:tc>
        <w:tc>
          <w:tcPr>
            <w:tcW w:w="3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97,842</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107,741</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100,529</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Total net revenue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1,792,892</w:t>
            </w:r>
          </w:p>
        </w:tc>
        <w:tc>
          <w:tcPr>
            <w:tcW w:w="54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1,779,748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1,413,698</w:t>
            </w:r>
          </w:p>
        </w:tc>
      </w:tr>
      <w:tr>
        <w:trPr>
          <w:trHeight w:val="20"/>
        </w:trPr>
        <w:tc>
          <w:tcPr>
            <w:tcW w:w="6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r>
        <w:trPr>
          <w:trHeight w:val="332"/>
        </w:trPr>
        <w:tc>
          <w:tcPr>
            <w:tcW w:w="6760" w:type="dxa"/>
            <w:vAlign w:val="bottom"/>
            <w:gridSpan w:val="2"/>
          </w:tcPr>
          <w:p>
            <w:pPr>
              <w:spacing w:after="0"/>
              <w:rPr>
                <w:sz w:val="20"/>
                <w:szCs w:val="20"/>
                <w:color w:val="auto"/>
              </w:rPr>
            </w:pPr>
            <w:r>
              <w:rPr>
                <w:rFonts w:ascii="Arial" w:cs="Arial" w:eastAsia="Arial" w:hAnsi="Arial"/>
                <w:sz w:val="18"/>
                <w:szCs w:val="18"/>
                <w:color w:val="auto"/>
              </w:rPr>
              <w:t>Net revenue by product platform was as follows:</w:t>
            </w:r>
          </w:p>
        </w:tc>
        <w:tc>
          <w:tcPr>
            <w:tcW w:w="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534"/>
        </w:trPr>
        <w:tc>
          <w:tcPr>
            <w:tcW w:w="6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120" w:type="dxa"/>
            <w:vAlign w:val="bottom"/>
            <w:tcBorders>
              <w:bottom w:val="single" w:sz="8" w:color="auto"/>
            </w:tcBorders>
            <w:gridSpan w:val="6"/>
          </w:tcPr>
          <w:p>
            <w:pPr>
              <w:jc w:val="center"/>
              <w:ind w:right="170"/>
              <w:spacing w:after="0"/>
              <w:rPr>
                <w:sz w:val="20"/>
                <w:szCs w:val="20"/>
                <w:color w:val="auto"/>
              </w:rPr>
            </w:pPr>
            <w:r>
              <w:rPr>
                <w:rFonts w:ascii="Arial" w:cs="Arial" w:eastAsia="Arial" w:hAnsi="Arial"/>
                <w:sz w:val="14"/>
                <w:szCs w:val="14"/>
                <w:b w:val="1"/>
                <w:bCs w:val="1"/>
                <w:color w:val="auto"/>
                <w:w w:val="94"/>
              </w:rPr>
              <w:t>Fiscal Year Ended March 31,</w:t>
            </w:r>
          </w:p>
        </w:tc>
        <w:tc>
          <w:tcPr>
            <w:tcW w:w="1120" w:type="dxa"/>
            <w:vAlign w:val="bottom"/>
            <w:tcBorders>
              <w:bottom w:val="single" w:sz="8" w:color="auto"/>
            </w:tcBorders>
          </w:tcPr>
          <w:p>
            <w:pPr>
              <w:spacing w:after="0"/>
              <w:rPr>
                <w:sz w:val="24"/>
                <w:szCs w:val="24"/>
                <w:color w:val="auto"/>
              </w:rPr>
            </w:pPr>
          </w:p>
        </w:tc>
      </w:tr>
      <w:tr>
        <w:trPr>
          <w:trHeight w:val="264"/>
        </w:trPr>
        <w:tc>
          <w:tcPr>
            <w:tcW w:w="66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Net revenue by product platform:</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34"/>
              <w:spacing w:after="0"/>
              <w:rPr>
                <w:sz w:val="20"/>
                <w:szCs w:val="20"/>
                <w:color w:val="auto"/>
              </w:rPr>
            </w:pPr>
            <w:r>
              <w:rPr>
                <w:rFonts w:ascii="Arial" w:cs="Arial" w:eastAsia="Arial" w:hAnsi="Arial"/>
                <w:sz w:val="14"/>
                <w:szCs w:val="14"/>
                <w:b w:val="1"/>
                <w:bCs w:val="1"/>
                <w:color w:val="auto"/>
              </w:rPr>
              <w:t>2018</w:t>
            </w:r>
          </w:p>
        </w:tc>
        <w:tc>
          <w:tcPr>
            <w:tcW w:w="8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center"/>
              <w:ind w:right="274"/>
              <w:spacing w:after="0"/>
              <w:rPr>
                <w:sz w:val="20"/>
                <w:szCs w:val="20"/>
                <w:color w:val="auto"/>
              </w:rPr>
            </w:pPr>
            <w:r>
              <w:rPr>
                <w:rFonts w:ascii="Arial" w:cs="Arial" w:eastAsia="Arial" w:hAnsi="Arial"/>
                <w:sz w:val="14"/>
                <w:szCs w:val="14"/>
                <w:b w:val="1"/>
                <w:bCs w:val="1"/>
                <w:color w:val="auto"/>
                <w:w w:val="89"/>
              </w:rPr>
              <w:t>2017</w:t>
            </w:r>
          </w:p>
        </w:tc>
        <w:tc>
          <w:tcPr>
            <w:tcW w:w="10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2016</w:t>
            </w:r>
          </w:p>
        </w:tc>
      </w:tr>
      <w:tr>
        <w:trPr>
          <w:trHeight w:val="250"/>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Console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1,463,306</w:t>
            </w:r>
          </w:p>
        </w:tc>
        <w:tc>
          <w:tcPr>
            <w:tcW w:w="54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1,440,724</w:t>
            </w: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1,167,623</w:t>
            </w:r>
          </w:p>
        </w:tc>
      </w:tr>
      <w:tr>
        <w:trPr>
          <w:trHeight w:val="243"/>
        </w:trPr>
        <w:tc>
          <w:tcPr>
            <w:tcW w:w="6760" w:type="dxa"/>
            <w:vAlign w:val="bottom"/>
            <w:gridSpan w:val="2"/>
          </w:tcPr>
          <w:p>
            <w:pPr>
              <w:ind w:left="40"/>
              <w:spacing w:after="0"/>
              <w:rPr>
                <w:sz w:val="20"/>
                <w:szCs w:val="20"/>
                <w:color w:val="auto"/>
              </w:rPr>
            </w:pPr>
            <w:r>
              <w:rPr>
                <w:rFonts w:ascii="Arial" w:cs="Arial" w:eastAsia="Arial" w:hAnsi="Arial"/>
                <w:sz w:val="18"/>
                <w:szCs w:val="18"/>
                <w:color w:val="auto"/>
              </w:rPr>
              <w:t>PC and other</w:t>
            </w:r>
          </w:p>
        </w:tc>
        <w:tc>
          <w:tcPr>
            <w:tcW w:w="36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b w:val="1"/>
                <w:bCs w:val="1"/>
                <w:color w:val="auto"/>
              </w:rPr>
              <w:t>329,586</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339,024</w:t>
            </w: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246,075</w:t>
            </w:r>
          </w:p>
        </w:tc>
      </w:tr>
      <w:tr>
        <w:trPr>
          <w:trHeight w:val="27"/>
        </w:trPr>
        <w:tc>
          <w:tcPr>
            <w:tcW w:w="66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69"/>
        </w:trPr>
        <w:tc>
          <w:tcPr>
            <w:tcW w:w="67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Total net revenue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1,792,892</w:t>
            </w:r>
          </w:p>
        </w:tc>
        <w:tc>
          <w:tcPr>
            <w:tcW w:w="54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1,779,748</w:t>
            </w:r>
          </w:p>
        </w:tc>
        <w:tc>
          <w:tcPr>
            <w:tcW w:w="100" w:type="dxa"/>
            <w:vAlign w:val="bottom"/>
            <w:tcBorders>
              <w:bottom w:val="single" w:sz="8" w:color="CCEEFF"/>
            </w:tcBorders>
            <w:shd w:val="clear" w:color="auto" w:fill="CCEEFF"/>
          </w:tcPr>
          <w:p>
            <w:pPr>
              <w:spacing w:after="0"/>
              <w:rPr>
                <w:sz w:val="22"/>
                <w:szCs w:val="22"/>
                <w:color w:val="auto"/>
              </w:rPr>
            </w:pP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1,413,698</w:t>
            </w:r>
          </w:p>
        </w:tc>
      </w:tr>
      <w:tr>
        <w:trPr>
          <w:trHeight w:val="20"/>
        </w:trPr>
        <w:tc>
          <w:tcPr>
            <w:tcW w:w="66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r>
    </w:tbl>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Our products are delivered through digital online services (digital download, online platforms and cloud streaming) and physical retail. Net revenue by distribution channel was as follows:</w:t>
      </w:r>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240" w:type="dxa"/>
            <w:vAlign w:val="bottom"/>
          </w:tcPr>
          <w:p>
            <w:pPr>
              <w:spacing w:after="0"/>
              <w:rPr>
                <w:sz w:val="16"/>
                <w:szCs w:val="16"/>
                <w:color w:val="auto"/>
              </w:rPr>
            </w:pPr>
          </w:p>
        </w:tc>
        <w:tc>
          <w:tcPr>
            <w:tcW w:w="24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3060" w:type="dxa"/>
            <w:vAlign w:val="bottom"/>
            <w:tcBorders>
              <w:bottom w:val="single" w:sz="8" w:color="auto"/>
            </w:tcBorders>
            <w:gridSpan w:val="10"/>
          </w:tcPr>
          <w:p>
            <w:pPr>
              <w:jc w:val="right"/>
              <w:ind w:right="270"/>
              <w:spacing w:after="0"/>
              <w:rPr>
                <w:sz w:val="20"/>
                <w:szCs w:val="20"/>
                <w:color w:val="auto"/>
              </w:rPr>
            </w:pPr>
            <w:r>
              <w:rPr>
                <w:rFonts w:ascii="Arial" w:cs="Arial" w:eastAsia="Arial" w:hAnsi="Arial"/>
                <w:sz w:val="14"/>
                <w:szCs w:val="14"/>
                <w:b w:val="1"/>
                <w:bCs w:val="1"/>
                <w:color w:val="auto"/>
              </w:rPr>
              <w:t>Fiscal Year Ended March 31,</w:t>
            </w:r>
          </w:p>
        </w:tc>
        <w:tc>
          <w:tcPr>
            <w:tcW w:w="1060" w:type="dxa"/>
            <w:vAlign w:val="bottom"/>
            <w:tcBorders>
              <w:bottom w:val="single" w:sz="8" w:color="auto"/>
            </w:tcBorders>
          </w:tcPr>
          <w:p>
            <w:pPr>
              <w:spacing w:after="0"/>
              <w:rPr>
                <w:sz w:val="16"/>
                <w:szCs w:val="16"/>
                <w:color w:val="auto"/>
              </w:rPr>
            </w:pPr>
          </w:p>
        </w:tc>
      </w:tr>
      <w:tr>
        <w:trPr>
          <w:trHeight w:val="264"/>
        </w:trPr>
        <w:tc>
          <w:tcPr>
            <w:tcW w:w="42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Net revenue by distribution channel:</w:t>
            </w:r>
          </w:p>
        </w:tc>
        <w:tc>
          <w:tcPr>
            <w:tcW w:w="24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51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2016</w:t>
            </w: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Digital online</w:t>
            </w:r>
          </w:p>
        </w:tc>
        <w:tc>
          <w:tcPr>
            <w:tcW w:w="274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1,130,946</w:t>
            </w:r>
          </w:p>
        </w:tc>
        <w:tc>
          <w:tcPr>
            <w:tcW w:w="100" w:type="dxa"/>
            <w:vAlign w:val="bottom"/>
            <w:tcBorders>
              <w:bottom w:val="single" w:sz="8" w:color="CCEEFF"/>
            </w:tcBorders>
            <w:shd w:val="clear" w:color="auto" w:fill="CCEEFF"/>
          </w:tcPr>
          <w:p>
            <w:pPr>
              <w:spacing w:after="0"/>
              <w:rPr>
                <w:sz w:val="21"/>
                <w:szCs w:val="21"/>
                <w:color w:val="auto"/>
              </w:rPr>
            </w:pPr>
          </w:p>
        </w:tc>
        <w:tc>
          <w:tcPr>
            <w:tcW w:w="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921,734</w:t>
            </w:r>
          </w:p>
        </w:tc>
        <w:tc>
          <w:tcPr>
            <w:tcW w:w="100" w:type="dxa"/>
            <w:vAlign w:val="bottom"/>
            <w:tcBorders>
              <w:bottom w:val="single" w:sz="8" w:color="CCEEFF"/>
            </w:tcBorders>
            <w:shd w:val="clear" w:color="auto" w:fill="CCEEFF"/>
          </w:tcPr>
          <w:p>
            <w:pPr>
              <w:spacing w:after="0"/>
              <w:rPr>
                <w:sz w:val="21"/>
                <w:szCs w:val="21"/>
                <w:color w:val="auto"/>
              </w:rPr>
            </w:pPr>
          </w:p>
        </w:tc>
        <w:tc>
          <w:tcPr>
            <w:tcW w:w="420" w:type="dxa"/>
            <w:vAlign w:val="bottom"/>
            <w:tcBorders>
              <w:bottom w:val="single" w:sz="8" w:color="CCEEFF"/>
            </w:tcBorders>
            <w:gridSpan w:val="2"/>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697,658</w:t>
            </w: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Physical retail and other</w:t>
            </w:r>
          </w:p>
        </w:tc>
        <w:tc>
          <w:tcPr>
            <w:tcW w:w="24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60" w:type="dxa"/>
            <w:vAlign w:val="bottom"/>
          </w:tcPr>
          <w:p>
            <w:pPr>
              <w:jc w:val="right"/>
              <w:ind w:right="15"/>
              <w:spacing w:after="0"/>
              <w:rPr>
                <w:sz w:val="20"/>
                <w:szCs w:val="20"/>
                <w:color w:val="auto"/>
              </w:rPr>
            </w:pPr>
            <w:r>
              <w:rPr>
                <w:rFonts w:ascii="Arial" w:cs="Arial" w:eastAsia="Arial" w:hAnsi="Arial"/>
                <w:sz w:val="18"/>
                <w:szCs w:val="18"/>
                <w:b w:val="1"/>
                <w:bCs w:val="1"/>
                <w:color w:val="auto"/>
              </w:rPr>
              <w:t>661,946</w:t>
            </w:r>
          </w:p>
        </w:tc>
        <w:tc>
          <w:tcPr>
            <w:tcW w:w="1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tcPr>
          <w:p>
            <w:pPr>
              <w:jc w:val="right"/>
              <w:ind w:right="14"/>
              <w:spacing w:after="0"/>
              <w:rPr>
                <w:sz w:val="20"/>
                <w:szCs w:val="20"/>
                <w:color w:val="auto"/>
              </w:rPr>
            </w:pPr>
            <w:r>
              <w:rPr>
                <w:rFonts w:ascii="Arial" w:cs="Arial" w:eastAsia="Arial" w:hAnsi="Arial"/>
                <w:sz w:val="18"/>
                <w:szCs w:val="18"/>
                <w:color w:val="auto"/>
              </w:rPr>
              <w:t>858,014</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716,040</w:t>
            </w:r>
          </w:p>
        </w:tc>
      </w:tr>
      <w:tr>
        <w:trPr>
          <w:trHeight w:val="27"/>
        </w:trPr>
        <w:tc>
          <w:tcPr>
            <w:tcW w:w="424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69"/>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net revenue</w:t>
            </w:r>
          </w:p>
        </w:tc>
        <w:tc>
          <w:tcPr>
            <w:tcW w:w="2740" w:type="dxa"/>
            <w:vAlign w:val="bottom"/>
            <w:tcBorders>
              <w:bottom w:val="single" w:sz="8" w:color="CCEEFF"/>
            </w:tcBorders>
            <w:gridSpan w:val="3"/>
            <w:shd w:val="clear" w:color="auto" w:fill="CCEEFF"/>
          </w:tcPr>
          <w:p>
            <w:pPr>
              <w:jc w:val="right"/>
              <w:ind w:right="100"/>
              <w:spacing w:after="0"/>
              <w:rPr>
                <w:sz w:val="20"/>
                <w:szCs w:val="20"/>
                <w:color w:val="auto"/>
              </w:rPr>
            </w:pPr>
            <w:r>
              <w:rPr>
                <w:rFonts w:ascii="Arial" w:cs="Arial" w:eastAsia="Arial" w:hAnsi="Arial"/>
                <w:sz w:val="18"/>
                <w:szCs w:val="18"/>
                <w:b w:val="1"/>
                <w:bCs w:val="1"/>
                <w:color w:val="auto"/>
              </w:rPr>
              <w:t>$</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96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b w:val="1"/>
                <w:bCs w:val="1"/>
                <w:color w:val="auto"/>
              </w:rPr>
              <w:t>1,792,892</w:t>
            </w:r>
          </w:p>
        </w:tc>
        <w:tc>
          <w:tcPr>
            <w:tcW w:w="100" w:type="dxa"/>
            <w:vAlign w:val="bottom"/>
            <w:tcBorders>
              <w:bottom w:val="single" w:sz="8" w:color="CCEEFF"/>
            </w:tcBorders>
            <w:shd w:val="clear" w:color="auto" w:fill="CCEEFF"/>
          </w:tcPr>
          <w:p>
            <w:pPr>
              <w:spacing w:after="0"/>
              <w:rPr>
                <w:sz w:val="22"/>
                <w:szCs w:val="22"/>
                <w:color w:val="auto"/>
              </w:rPr>
            </w:pPr>
          </w:p>
        </w:tc>
        <w:tc>
          <w:tcPr>
            <w:tcW w:w="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gridSpan w:val="2"/>
            <w:shd w:val="clear" w:color="auto" w:fill="CCEEFF"/>
          </w:tcPr>
          <w:p>
            <w:pPr>
              <w:ind w:left="2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1,779,748</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gridSpan w:val="2"/>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1,413,698</w:t>
            </w:r>
          </w:p>
        </w:tc>
      </w:tr>
      <w:tr>
        <w:trPr>
          <w:trHeight w:val="20"/>
        </w:trPr>
        <w:tc>
          <w:tcPr>
            <w:tcW w:w="4240" w:type="dxa"/>
            <w:vAlign w:val="bottom"/>
            <w:tcBorders>
              <w:top w:val="single" w:sz="8" w:color="auto"/>
              <w:bottom w:val="single" w:sz="8" w:color="auto"/>
            </w:tcBorders>
          </w:tcPr>
          <w:p>
            <w:pPr>
              <w:spacing w:after="0" w:line="20" w:lineRule="exact"/>
              <w:rPr>
                <w:sz w:val="1"/>
                <w:szCs w:val="1"/>
                <w:color w:val="auto"/>
              </w:rPr>
            </w:pPr>
          </w:p>
        </w:tc>
        <w:tc>
          <w:tcPr>
            <w:tcW w:w="24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r>
      <w:tr>
        <w:trPr>
          <w:trHeight w:val="548"/>
        </w:trPr>
        <w:tc>
          <w:tcPr>
            <w:tcW w:w="4240" w:type="dxa"/>
            <w:vAlign w:val="bottom"/>
          </w:tcPr>
          <w:p>
            <w:pPr>
              <w:spacing w:after="0"/>
              <w:rPr>
                <w:sz w:val="20"/>
                <w:szCs w:val="20"/>
                <w:color w:val="auto"/>
              </w:rPr>
            </w:pPr>
            <w:r>
              <w:rPr>
                <w:rFonts w:ascii="Arial" w:cs="Arial" w:eastAsia="Arial" w:hAnsi="Arial"/>
                <w:sz w:val="18"/>
                <w:szCs w:val="18"/>
                <w:b w:val="1"/>
                <w:bCs w:val="1"/>
                <w:color w:val="auto"/>
              </w:rPr>
              <w:t>18.  INTEREST AND OTHER, NET</w:t>
            </w:r>
          </w:p>
        </w:tc>
        <w:tc>
          <w:tcPr>
            <w:tcW w:w="2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534"/>
        </w:trPr>
        <w:tc>
          <w:tcPr>
            <w:tcW w:w="424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9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gridSpan w:val="7"/>
          </w:tcPr>
          <w:p>
            <w:pPr>
              <w:spacing w:after="0"/>
              <w:rPr>
                <w:sz w:val="20"/>
                <w:szCs w:val="20"/>
                <w:color w:val="auto"/>
              </w:rPr>
            </w:pPr>
            <w:r>
              <w:rPr>
                <w:rFonts w:ascii="Arial" w:cs="Arial" w:eastAsia="Arial" w:hAnsi="Arial"/>
                <w:sz w:val="14"/>
                <w:szCs w:val="14"/>
                <w:b w:val="1"/>
                <w:bCs w:val="1"/>
                <w:color w:val="auto"/>
              </w:rPr>
              <w:t>Fiscal Year Ended March 31,</w:t>
            </w:r>
          </w:p>
        </w:tc>
        <w:tc>
          <w:tcPr>
            <w:tcW w:w="1060" w:type="dxa"/>
            <w:vAlign w:val="bottom"/>
            <w:tcBorders>
              <w:bottom w:val="single" w:sz="8" w:color="auto"/>
            </w:tcBorders>
          </w:tcPr>
          <w:p>
            <w:pPr>
              <w:spacing w:after="0"/>
              <w:rPr>
                <w:sz w:val="24"/>
                <w:szCs w:val="24"/>
                <w:color w:val="auto"/>
              </w:rPr>
            </w:pPr>
          </w:p>
        </w:tc>
      </w:tr>
      <w:tr>
        <w:trPr>
          <w:trHeight w:val="264"/>
        </w:trPr>
        <w:tc>
          <w:tcPr>
            <w:tcW w:w="4240" w:type="dxa"/>
            <w:vAlign w:val="bottom"/>
            <w:tcBorders>
              <w:bottom w:val="single" w:sz="8" w:color="auto"/>
            </w:tcBorders>
          </w:tcPr>
          <w:p>
            <w:pPr>
              <w:spacing w:after="0"/>
              <w:rPr>
                <w:sz w:val="22"/>
                <w:szCs w:val="22"/>
                <w:color w:val="auto"/>
              </w:rPr>
            </w:pPr>
          </w:p>
        </w:tc>
        <w:tc>
          <w:tcPr>
            <w:tcW w:w="24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960" w:type="dxa"/>
            <w:vAlign w:val="bottom"/>
            <w:tcBorders>
              <w:bottom w:val="single" w:sz="8" w:color="auto"/>
            </w:tcBorders>
          </w:tcPr>
          <w:p>
            <w:pPr>
              <w:jc w:val="right"/>
              <w:ind w:right="235"/>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22"/>
                <w:szCs w:val="22"/>
                <w:color w:val="auto"/>
              </w:rPr>
            </w:pPr>
          </w:p>
        </w:tc>
        <w:tc>
          <w:tcPr>
            <w:tcW w:w="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jc w:val="right"/>
              <w:ind w:right="354"/>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3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2016</w:t>
            </w:r>
          </w:p>
        </w:tc>
      </w:tr>
      <w:tr>
        <w:trPr>
          <w:trHeight w:val="25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expense, net</w:t>
            </w:r>
          </w:p>
        </w:tc>
        <w:tc>
          <w:tcPr>
            <w:tcW w:w="3060" w:type="dxa"/>
            <w:vAlign w:val="bottom"/>
            <w:tcBorders>
              <w:bottom w:val="single" w:sz="8" w:color="CCEEFF"/>
            </w:tcBorders>
            <w:gridSpan w:val="5"/>
            <w:shd w:val="clear" w:color="auto" w:fill="CCEEFF"/>
          </w:tcPr>
          <w:p>
            <w:pPr>
              <w:jc w:val="right"/>
              <w:spacing w:after="0"/>
              <w:rPr>
                <w:sz w:val="20"/>
                <w:szCs w:val="20"/>
                <w:color w:val="auto"/>
              </w:rPr>
            </w:pPr>
            <w:r>
              <w:rPr>
                <w:rFonts w:ascii="Arial" w:cs="Arial" w:eastAsia="Arial" w:hAnsi="Arial"/>
                <w:sz w:val="18"/>
                <w:szCs w:val="18"/>
                <w:b w:val="1"/>
                <w:bCs w:val="1"/>
                <w:color w:val="auto"/>
              </w:rPr>
              <w:t>$</w:t>
            </w:r>
          </w:p>
        </w:tc>
        <w:tc>
          <w:tcPr>
            <w:tcW w:w="1180" w:type="dxa"/>
            <w:vAlign w:val="bottom"/>
            <w:tcBorders>
              <w:bottom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b w:val="1"/>
                <w:bCs w:val="1"/>
                <w:color w:val="auto"/>
              </w:rPr>
              <w:t>(1,005)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(21,700)</w:t>
            </w:r>
          </w:p>
        </w:tc>
        <w:tc>
          <w:tcPr>
            <w:tcW w:w="420" w:type="dxa"/>
            <w:vAlign w:val="bottom"/>
            <w:tcBorders>
              <w:bottom w:val="single" w:sz="8" w:color="CCEEFF"/>
            </w:tcBorders>
            <w:gridSpan w:val="2"/>
            <w:shd w:val="clear" w:color="auto" w:fill="CCEEFF"/>
          </w:tcPr>
          <w:p>
            <w:pPr>
              <w:jc w:val="right"/>
              <w:ind w:right="90"/>
              <w:spacing w:after="0"/>
              <w:rPr>
                <w:sz w:val="20"/>
                <w:szCs w:val="20"/>
                <w:color w:val="auto"/>
              </w:rPr>
            </w:pPr>
            <w:r>
              <w:rPr>
                <w:rFonts w:ascii="Arial" w:cs="Arial" w:eastAsia="Arial" w:hAnsi="Arial"/>
                <w:sz w:val="18"/>
                <w:szCs w:val="18"/>
                <w:color w:val="auto"/>
              </w:rPr>
              <w:t>$</w:t>
            </w:r>
          </w:p>
        </w:tc>
        <w:tc>
          <w:tcPr>
            <w:tcW w:w="10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(29,239)</w:t>
            </w:r>
          </w:p>
        </w:tc>
      </w:tr>
      <w:tr>
        <w:trPr>
          <w:trHeight w:val="243"/>
        </w:trPr>
        <w:tc>
          <w:tcPr>
            <w:tcW w:w="4240" w:type="dxa"/>
            <w:vAlign w:val="bottom"/>
          </w:tcPr>
          <w:p>
            <w:pPr>
              <w:ind w:left="40"/>
              <w:spacing w:after="0"/>
              <w:rPr>
                <w:sz w:val="20"/>
                <w:szCs w:val="20"/>
                <w:color w:val="auto"/>
              </w:rPr>
            </w:pPr>
            <w:r>
              <w:rPr>
                <w:rFonts w:ascii="Arial" w:cs="Arial" w:eastAsia="Arial" w:hAnsi="Arial"/>
                <w:sz w:val="18"/>
                <w:szCs w:val="18"/>
                <w:color w:val="auto"/>
              </w:rPr>
              <w:t>Foreign currency exchange (loss) gain</w:t>
            </w:r>
          </w:p>
        </w:tc>
        <w:tc>
          <w:tcPr>
            <w:tcW w:w="24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180" w:type="dxa"/>
            <w:vAlign w:val="bottom"/>
            <w:gridSpan w:val="4"/>
          </w:tcPr>
          <w:p>
            <w:pPr>
              <w:jc w:val="right"/>
              <w:spacing w:after="0"/>
              <w:rPr>
                <w:sz w:val="20"/>
                <w:szCs w:val="20"/>
                <w:color w:val="auto"/>
              </w:rPr>
            </w:pPr>
            <w:r>
              <w:rPr>
                <w:rFonts w:ascii="Arial" w:cs="Arial" w:eastAsia="Arial" w:hAnsi="Arial"/>
                <w:sz w:val="18"/>
                <w:szCs w:val="18"/>
                <w:b w:val="1"/>
                <w:bCs w:val="1"/>
                <w:color w:val="auto"/>
              </w:rPr>
              <w:t>(3,038)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00" w:type="dxa"/>
            <w:vAlign w:val="bottom"/>
            <w:gridSpan w:val="2"/>
          </w:tcPr>
          <w:p>
            <w:pPr>
              <w:jc w:val="right"/>
              <w:ind w:right="100"/>
              <w:spacing w:after="0"/>
              <w:rPr>
                <w:sz w:val="20"/>
                <w:szCs w:val="20"/>
                <w:color w:val="auto"/>
              </w:rPr>
            </w:pPr>
            <w:r>
              <w:rPr>
                <w:rFonts w:ascii="Arial" w:cs="Arial" w:eastAsia="Arial" w:hAnsi="Arial"/>
                <w:sz w:val="18"/>
                <w:szCs w:val="18"/>
                <w:color w:val="auto"/>
              </w:rPr>
              <w:t>4,990</w:t>
            </w:r>
          </w:p>
        </w:tc>
        <w:tc>
          <w:tcPr>
            <w:tcW w:w="1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(1,407)</w:t>
            </w:r>
          </w:p>
        </w:tc>
      </w:tr>
      <w:tr>
        <w:trPr>
          <w:trHeight w:val="27"/>
        </w:trPr>
        <w:tc>
          <w:tcPr>
            <w:tcW w:w="4240" w:type="dxa"/>
            <w:vAlign w:val="bottom"/>
          </w:tcPr>
          <w:p>
            <w:pPr>
              <w:spacing w:after="0"/>
              <w:rPr>
                <w:sz w:val="2"/>
                <w:szCs w:val="2"/>
                <w:color w:val="auto"/>
              </w:rPr>
            </w:pPr>
          </w:p>
        </w:tc>
        <w:tc>
          <w:tcPr>
            <w:tcW w:w="2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80" w:type="dxa"/>
            <w:vAlign w:val="bottom"/>
            <w:gridSpan w:val="3"/>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00" w:type="dxa"/>
            <w:vAlign w:val="bottom"/>
            <w:gridSpan w:val="2"/>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70"/>
        </w:trPr>
        <w:tc>
          <w:tcPr>
            <w:tcW w:w="4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240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gridSpan w:val="3"/>
            <w:shd w:val="clear" w:color="auto" w:fill="CCEEFF"/>
          </w:tcPr>
          <w:p>
            <w:pPr>
              <w:jc w:val="right"/>
              <w:ind w:right="20"/>
              <w:spacing w:after="0"/>
              <w:rPr>
                <w:sz w:val="20"/>
                <w:szCs w:val="20"/>
                <w:color w:val="auto"/>
              </w:rPr>
            </w:pPr>
            <w:r>
              <w:rPr>
                <w:rFonts w:ascii="Arial" w:cs="Arial" w:eastAsia="Arial" w:hAnsi="Arial"/>
                <w:sz w:val="18"/>
                <w:szCs w:val="18"/>
                <w:b w:val="1"/>
                <w:bCs w:val="1"/>
                <w:color w:val="auto"/>
              </w:rPr>
              <w:t>5,091</w:t>
            </w:r>
          </w:p>
        </w:tc>
        <w:tc>
          <w:tcPr>
            <w:tcW w:w="1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1,020</w:t>
            </w:r>
          </w:p>
        </w:tc>
        <w:tc>
          <w:tcPr>
            <w:tcW w:w="120" w:type="dxa"/>
            <w:vAlign w:val="bottom"/>
            <w:tcBorders>
              <w:bottom w:val="single" w:sz="8" w:color="CCEEFF"/>
            </w:tcBorders>
            <w:shd w:val="clear" w:color="auto" w:fill="CCEEFF"/>
          </w:tcPr>
          <w:p>
            <w:pPr>
              <w:spacing w:after="0"/>
              <w:rPr>
                <w:sz w:val="23"/>
                <w:szCs w:val="23"/>
                <w:color w:val="auto"/>
              </w:rPr>
            </w:pPr>
          </w:p>
        </w:tc>
        <w:tc>
          <w:tcPr>
            <w:tcW w:w="3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441</w:t>
            </w:r>
          </w:p>
        </w:tc>
      </w:tr>
      <w:tr>
        <w:trPr>
          <w:trHeight w:val="237"/>
        </w:trPr>
        <w:tc>
          <w:tcPr>
            <w:tcW w:w="42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Interest and other, net</w:t>
            </w:r>
          </w:p>
        </w:tc>
        <w:tc>
          <w:tcPr>
            <w:tcW w:w="2740" w:type="dxa"/>
            <w:vAlign w:val="bottom"/>
            <w:tcBorders>
              <w:top w:val="single" w:sz="8" w:color="auto"/>
            </w:tcBorders>
            <w:gridSpan w:val="3"/>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b w:val="1"/>
                <w:bCs w:val="1"/>
                <w:color w:val="auto"/>
                <w:w w:val="99"/>
              </w:rPr>
              <w:t>$</w:t>
            </w:r>
          </w:p>
        </w:tc>
        <w:tc>
          <w:tcPr>
            <w:tcW w:w="1080" w:type="dxa"/>
            <w:vAlign w:val="bottom"/>
            <w:tcBorders>
              <w:top w:val="single" w:sz="8" w:color="auto"/>
            </w:tcBorders>
            <w:gridSpan w:val="3"/>
          </w:tcPr>
          <w:p>
            <w:pPr>
              <w:jc w:val="right"/>
              <w:ind w:right="20"/>
              <w:spacing w:after="0"/>
              <w:rPr>
                <w:sz w:val="20"/>
                <w:szCs w:val="20"/>
                <w:color w:val="auto"/>
              </w:rPr>
            </w:pPr>
            <w:r>
              <w:rPr>
                <w:rFonts w:ascii="Arial" w:cs="Arial" w:eastAsia="Arial" w:hAnsi="Arial"/>
                <w:sz w:val="18"/>
                <w:szCs w:val="18"/>
                <w:b w:val="1"/>
                <w:bCs w:val="1"/>
                <w:color w:val="auto"/>
              </w:rPr>
              <w:t>1,048</w:t>
            </w:r>
          </w:p>
        </w:tc>
        <w:tc>
          <w:tcPr>
            <w:tcW w:w="1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tcBorders>
            <w:gridSpan w:val="2"/>
          </w:tcPr>
          <w:p>
            <w:pPr>
              <w:jc w:val="right"/>
              <w:ind w:right="40"/>
              <w:spacing w:after="0"/>
              <w:rPr>
                <w:sz w:val="20"/>
                <w:szCs w:val="20"/>
                <w:color w:val="auto"/>
              </w:rPr>
            </w:pPr>
            <w:r>
              <w:rPr>
                <w:rFonts w:ascii="Arial" w:cs="Arial" w:eastAsia="Arial" w:hAnsi="Arial"/>
                <w:sz w:val="18"/>
                <w:szCs w:val="18"/>
                <w:color w:val="auto"/>
              </w:rPr>
              <w:t>(15,690)</w:t>
            </w:r>
          </w:p>
        </w:tc>
        <w:tc>
          <w:tcPr>
            <w:tcW w:w="120" w:type="dxa"/>
            <w:vAlign w:val="bottom"/>
          </w:tcPr>
          <w:p>
            <w:pPr>
              <w:spacing w:after="0"/>
              <w:rPr>
                <w:sz w:val="20"/>
                <w:szCs w:val="20"/>
                <w:color w:val="auto"/>
              </w:rPr>
            </w:pPr>
          </w:p>
        </w:tc>
        <w:tc>
          <w:tcPr>
            <w:tcW w:w="3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(30,205)</w:t>
            </w:r>
          </w:p>
        </w:tc>
      </w:tr>
      <w:tr>
        <w:trPr>
          <w:trHeight w:val="27"/>
        </w:trPr>
        <w:tc>
          <w:tcPr>
            <w:tcW w:w="424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r>
      <w:tr>
        <w:trPr>
          <w:trHeight w:val="20"/>
        </w:trPr>
        <w:tc>
          <w:tcPr>
            <w:tcW w:w="4240" w:type="dxa"/>
            <w:vAlign w:val="bottom"/>
            <w:tcBorders>
              <w:bottom w:val="single" w:sz="8" w:color="auto"/>
            </w:tcBorders>
          </w:tcPr>
          <w:p>
            <w:pPr>
              <w:spacing w:after="0" w:line="20" w:lineRule="exact"/>
              <w:rPr>
                <w:sz w:val="1"/>
                <w:szCs w:val="1"/>
                <w:color w:val="auto"/>
              </w:rPr>
            </w:pPr>
          </w:p>
        </w:tc>
        <w:tc>
          <w:tcPr>
            <w:tcW w:w="24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r>
      <w:tr>
        <w:trPr>
          <w:trHeight w:val="656"/>
        </w:trPr>
        <w:tc>
          <w:tcPr>
            <w:tcW w:w="4240" w:type="dxa"/>
            <w:vAlign w:val="bottom"/>
          </w:tcPr>
          <w:p>
            <w:pPr>
              <w:spacing w:after="0"/>
              <w:rPr>
                <w:sz w:val="24"/>
                <w:szCs w:val="24"/>
                <w:color w:val="auto"/>
              </w:rPr>
            </w:pPr>
          </w:p>
        </w:tc>
        <w:tc>
          <w:tcPr>
            <w:tcW w:w="2400" w:type="dxa"/>
            <w:vAlign w:val="bottom"/>
          </w:tcPr>
          <w:p>
            <w:pPr>
              <w:jc w:val="right"/>
              <w:ind w:right="750"/>
              <w:spacing w:after="0"/>
              <w:rPr>
                <w:sz w:val="20"/>
                <w:szCs w:val="20"/>
                <w:color w:val="auto"/>
              </w:rPr>
            </w:pPr>
            <w:r>
              <w:rPr>
                <w:rFonts w:ascii="Arial" w:cs="Arial" w:eastAsia="Arial" w:hAnsi="Arial"/>
                <w:sz w:val="18"/>
                <w:szCs w:val="18"/>
                <w:color w:val="auto"/>
              </w:rPr>
              <w:t>84</w:t>
            </w: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60" w:type="dxa"/>
            <w:vAlign w:val="bottom"/>
          </w:tcPr>
          <w:p>
            <w:pPr>
              <w:spacing w:after="0"/>
              <w:rPr>
                <w:sz w:val="24"/>
                <w:szCs w:val="24"/>
                <w:color w:val="auto"/>
              </w:rPr>
            </w:pPr>
          </w:p>
        </w:tc>
      </w:tr>
    </w:tbl>
    <w:p>
      <w:pPr>
        <w:sectPr>
          <w:pgSz w:w="11900" w:h="16838" w:orient="portrait"/>
          <w:cols w:equalWidth="0" w:num="1">
            <w:col w:w="11420"/>
          </w:cols>
          <w:pgMar w:left="240" w:top="715" w:right="239" w:bottom="1440" w:gutter="0" w:footer="0" w:header="0"/>
        </w:sectPr>
      </w:pPr>
    </w:p>
    <w:bookmarkStart w:id="86" w:name="page87"/>
    <w:bookmarkEnd w:id="86"/>
    <w:p>
      <w:pPr>
        <w:spacing w:after="0"/>
        <w:rPr>
          <w:sz w:val="20"/>
          <w:szCs w:val="20"/>
          <w:color w:val="auto"/>
        </w:rPr>
      </w:pPr>
      <w:r>
        <w:rPr>
          <w:rFonts w:ascii="Arial" w:cs="Arial" w:eastAsia="Arial" w:hAnsi="Arial"/>
          <w:sz w:val="18"/>
          <w:szCs w:val="18"/>
          <w:b w:val="1"/>
          <w:bCs w:val="1"/>
          <w:color w:val="auto"/>
        </w:rPr>
        <w:t>19.  ACCUMULATED OTHER COMPREHENSIVE INCOME (LOSS)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the components of accumulated other comprehensive income (loss):</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20" w:type="dxa"/>
            <w:vAlign w:val="bottom"/>
            <w:gridSpan w:val="3"/>
            <w:vMerge w:val="restart"/>
          </w:tcPr>
          <w:p>
            <w:pPr>
              <w:ind w:left="20"/>
              <w:spacing w:after="0"/>
              <w:rPr>
                <w:sz w:val="20"/>
                <w:szCs w:val="20"/>
                <w:color w:val="auto"/>
              </w:rPr>
            </w:pPr>
            <w:r>
              <w:rPr>
                <w:rFonts w:ascii="Arial" w:cs="Arial" w:eastAsia="Arial" w:hAnsi="Arial"/>
                <w:sz w:val="14"/>
                <w:szCs w:val="14"/>
                <w:b w:val="1"/>
                <w:bCs w:val="1"/>
                <w:color w:val="auto"/>
              </w:rPr>
              <w:t>Unrealized gain</w:t>
            </w:r>
          </w:p>
        </w:tc>
        <w:tc>
          <w:tcPr>
            <w:tcW w:w="2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gridSpan w:val="3"/>
          </w:tcPr>
          <w:p>
            <w:pPr>
              <w:ind w:left="20"/>
              <w:spacing w:after="0"/>
              <w:rPr>
                <w:sz w:val="20"/>
                <w:szCs w:val="20"/>
                <w:color w:val="auto"/>
              </w:rPr>
            </w:pPr>
            <w:r>
              <w:rPr>
                <w:rFonts w:ascii="Arial" w:cs="Arial" w:eastAsia="Arial" w:hAnsi="Arial"/>
                <w:sz w:val="14"/>
                <w:szCs w:val="14"/>
                <w:b w:val="1"/>
                <w:bCs w:val="1"/>
                <w:color w:val="auto"/>
              </w:rPr>
              <w:t>Unrealized gain</w:t>
            </w:r>
          </w:p>
        </w:tc>
        <w:tc>
          <w:tcPr>
            <w:tcW w:w="2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5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Foreign currency</w:t>
            </w:r>
          </w:p>
        </w:tc>
        <w:tc>
          <w:tcPr>
            <w:tcW w:w="1120" w:type="dxa"/>
            <w:vAlign w:val="bottom"/>
            <w:gridSpan w:val="3"/>
            <w:vMerge w:val="continue"/>
          </w:tcPr>
          <w:p>
            <w:pPr>
              <w:spacing w:after="0"/>
              <w:rPr>
                <w:sz w:val="12"/>
                <w:szCs w:val="12"/>
                <w:color w:val="auto"/>
              </w:rPr>
            </w:pPr>
          </w:p>
        </w:tc>
        <w:tc>
          <w:tcPr>
            <w:tcW w:w="1140" w:type="dxa"/>
            <w:vAlign w:val="bottom"/>
            <w:gridSpan w:val="3"/>
            <w:vMerge w:val="restart"/>
          </w:tcPr>
          <w:p>
            <w:pPr>
              <w:ind w:left="40"/>
              <w:spacing w:after="0"/>
              <w:rPr>
                <w:sz w:val="20"/>
                <w:szCs w:val="20"/>
                <w:color w:val="auto"/>
              </w:rPr>
            </w:pPr>
            <w:r>
              <w:rPr>
                <w:rFonts w:ascii="Arial" w:cs="Arial" w:eastAsia="Arial" w:hAnsi="Arial"/>
                <w:sz w:val="14"/>
                <w:szCs w:val="14"/>
                <w:b w:val="1"/>
                <w:bCs w:val="1"/>
                <w:color w:val="auto"/>
              </w:rPr>
              <w:t>Unrealized gain</w:t>
            </w:r>
          </w:p>
        </w:tc>
        <w:tc>
          <w:tcPr>
            <w:tcW w:w="16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5"/>
              </w:rPr>
              <w:t>(loss) on</w:t>
            </w:r>
          </w:p>
        </w:tc>
        <w:tc>
          <w:tcPr>
            <w:tcW w:w="2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60" w:type="dxa"/>
            <w:vAlign w:val="bottom"/>
            <w:gridSpan w:val="3"/>
            <w:vMerge w:val="continue"/>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9"/>
              </w:rPr>
              <w:t>(loss) on</w:t>
            </w:r>
          </w:p>
        </w:tc>
        <w:tc>
          <w:tcPr>
            <w:tcW w:w="1140" w:type="dxa"/>
            <w:vAlign w:val="bottom"/>
            <w:gridSpan w:val="3"/>
            <w:vMerge w:val="continue"/>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3"/>
              </w:rPr>
              <w:t>available-</w:t>
            </w:r>
          </w:p>
        </w:tc>
        <w:tc>
          <w:tcPr>
            <w:tcW w:w="2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56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0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translation</w:t>
            </w:r>
          </w:p>
        </w:tc>
        <w:tc>
          <w:tcPr>
            <w:tcW w:w="120" w:type="dxa"/>
            <w:vAlign w:val="bottom"/>
          </w:tcPr>
          <w:p>
            <w:pPr>
              <w:spacing w:after="0"/>
              <w:rPr>
                <w:sz w:val="12"/>
                <w:szCs w:val="12"/>
                <w:color w:val="auto"/>
              </w:rPr>
            </w:pPr>
          </w:p>
        </w:tc>
        <w:tc>
          <w:tcPr>
            <w:tcW w:w="100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94"/>
              </w:rPr>
              <w:t>derivative</w:t>
            </w:r>
          </w:p>
        </w:tc>
        <w:tc>
          <w:tcPr>
            <w:tcW w:w="1140" w:type="dxa"/>
            <w:vAlign w:val="bottom"/>
            <w:gridSpan w:val="3"/>
          </w:tcPr>
          <w:p>
            <w:pPr>
              <w:ind w:left="60"/>
              <w:spacing w:after="0" w:line="149" w:lineRule="exact"/>
              <w:rPr>
                <w:sz w:val="20"/>
                <w:szCs w:val="20"/>
                <w:color w:val="auto"/>
              </w:rPr>
            </w:pPr>
            <w:r>
              <w:rPr>
                <w:rFonts w:ascii="Arial" w:cs="Arial" w:eastAsia="Arial" w:hAnsi="Arial"/>
                <w:sz w:val="14"/>
                <w:szCs w:val="14"/>
                <w:b w:val="1"/>
                <w:bCs w:val="1"/>
                <w:color w:val="auto"/>
              </w:rPr>
              <w:t>(loss) on cross-</w:t>
            </w:r>
          </w:p>
        </w:tc>
        <w:tc>
          <w:tcPr>
            <w:tcW w:w="160" w:type="dxa"/>
            <w:vAlign w:val="bottom"/>
          </w:tcPr>
          <w:p>
            <w:pPr>
              <w:spacing w:after="0"/>
              <w:rPr>
                <w:sz w:val="12"/>
                <w:szCs w:val="12"/>
                <w:color w:val="auto"/>
              </w:rPr>
            </w:pPr>
          </w:p>
        </w:tc>
        <w:tc>
          <w:tcPr>
            <w:tcW w:w="980" w:type="dxa"/>
            <w:vAlign w:val="bottom"/>
            <w:gridSpan w:val="2"/>
          </w:tcPr>
          <w:p>
            <w:pPr>
              <w:jc w:val="center"/>
              <w:ind w:right="280"/>
              <w:spacing w:after="0" w:line="149" w:lineRule="exact"/>
              <w:rPr>
                <w:sz w:val="20"/>
                <w:szCs w:val="20"/>
                <w:color w:val="auto"/>
              </w:rPr>
            </w:pPr>
            <w:r>
              <w:rPr>
                <w:rFonts w:ascii="Arial" w:cs="Arial" w:eastAsia="Arial" w:hAnsi="Arial"/>
                <w:sz w:val="14"/>
                <w:szCs w:val="14"/>
                <w:b w:val="1"/>
                <w:bCs w:val="1"/>
                <w:color w:val="auto"/>
                <w:w w:val="85"/>
              </w:rPr>
              <w:t>for-sales</w:t>
            </w:r>
          </w:p>
        </w:tc>
        <w:tc>
          <w:tcPr>
            <w:tcW w:w="240" w:type="dxa"/>
            <w:vAlign w:val="bottom"/>
          </w:tcPr>
          <w:p>
            <w:pPr>
              <w:spacing w:after="0"/>
              <w:rPr>
                <w:sz w:val="12"/>
                <w:szCs w:val="12"/>
                <w:color w:val="auto"/>
              </w:rPr>
            </w:pPr>
          </w:p>
        </w:tc>
        <w:tc>
          <w:tcPr>
            <w:tcW w:w="780" w:type="dxa"/>
            <w:vAlign w:val="bottom"/>
            <w:vMerge w:val="restart"/>
          </w:tcPr>
          <w:p>
            <w:pPr>
              <w:jc w:val="right"/>
              <w:ind w:right="272"/>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56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right"/>
              <w:ind w:right="114"/>
              <w:spacing w:after="0"/>
              <w:rPr>
                <w:sz w:val="20"/>
                <w:szCs w:val="20"/>
                <w:color w:val="auto"/>
              </w:rPr>
            </w:pPr>
            <w:r>
              <w:rPr>
                <w:rFonts w:ascii="Arial" w:cs="Arial" w:eastAsia="Arial" w:hAnsi="Arial"/>
                <w:sz w:val="14"/>
                <w:szCs w:val="14"/>
                <w:b w:val="1"/>
                <w:bCs w:val="1"/>
                <w:color w:val="auto"/>
                <w:w w:val="92"/>
              </w:rPr>
              <w:t>adjustments</w:t>
            </w: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92"/>
              </w:rPr>
              <w:t>instruments</w:t>
            </w:r>
          </w:p>
        </w:tc>
        <w:tc>
          <w:tcPr>
            <w:tcW w:w="100" w:type="dxa"/>
            <w:vAlign w:val="bottom"/>
            <w:tcBorders>
              <w:bottom w:val="single" w:sz="8" w:color="CCEEFF"/>
            </w:tcBorders>
          </w:tcPr>
          <w:p>
            <w:pPr>
              <w:spacing w:after="0"/>
              <w:rPr>
                <w:sz w:val="16"/>
                <w:szCs w:val="16"/>
                <w:color w:val="auto"/>
              </w:rPr>
            </w:pPr>
          </w:p>
        </w:tc>
        <w:tc>
          <w:tcPr>
            <w:tcW w:w="104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w w:val="97"/>
              </w:rPr>
              <w:t>currency swap</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center"/>
              <w:ind w:right="76"/>
              <w:spacing w:after="0"/>
              <w:rPr>
                <w:sz w:val="20"/>
                <w:szCs w:val="20"/>
                <w:color w:val="auto"/>
              </w:rPr>
            </w:pPr>
            <w:r>
              <w:rPr>
                <w:rFonts w:ascii="Arial" w:cs="Arial" w:eastAsia="Arial" w:hAnsi="Arial"/>
                <w:sz w:val="14"/>
                <w:szCs w:val="14"/>
                <w:b w:val="1"/>
                <w:bCs w:val="1"/>
                <w:color w:val="auto"/>
                <w:w w:val="88"/>
              </w:rPr>
              <w:t>securities</w:t>
            </w:r>
          </w:p>
        </w:tc>
        <w:tc>
          <w:tcPr>
            <w:tcW w:w="120" w:type="dxa"/>
            <w:vAlign w:val="bottom"/>
            <w:tcBorders>
              <w:bottom w:val="single" w:sz="8" w:color="CCEEFF"/>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7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Balance at March 31, 2016</w:t>
            </w:r>
          </w:p>
        </w:tc>
        <w:tc>
          <w:tcPr>
            <w:tcW w:w="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(38,580)</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600</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w:t>
            </w:r>
          </w:p>
        </w:tc>
        <w:tc>
          <w:tcPr>
            <w:tcW w:w="8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84</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(37,896)</w:t>
            </w:r>
          </w:p>
        </w:tc>
        <w:tc>
          <w:tcPr>
            <w:tcW w:w="0" w:type="dxa"/>
            <w:vAlign w:val="bottom"/>
          </w:tcPr>
          <w:p>
            <w:pPr>
              <w:spacing w:after="0"/>
              <w:rPr>
                <w:sz w:val="1"/>
                <w:szCs w:val="1"/>
                <w:color w:val="auto"/>
              </w:rPr>
            </w:pPr>
          </w:p>
        </w:tc>
      </w:tr>
      <w:tr>
        <w:trPr>
          <w:trHeight w:val="243"/>
        </w:trPr>
        <w:tc>
          <w:tcPr>
            <w:tcW w:w="5740" w:type="dxa"/>
            <w:vAlign w:val="bottom"/>
            <w:gridSpan w:val="2"/>
          </w:tcPr>
          <w:p>
            <w:pPr>
              <w:ind w:left="180"/>
              <w:spacing w:after="0"/>
              <w:rPr>
                <w:sz w:val="20"/>
                <w:szCs w:val="20"/>
                <w:color w:val="auto"/>
              </w:rPr>
            </w:pPr>
            <w:r>
              <w:rPr>
                <w:rFonts w:ascii="Arial" w:cs="Arial" w:eastAsia="Arial" w:hAnsi="Arial"/>
                <w:sz w:val="18"/>
                <w:szCs w:val="18"/>
                <w:color w:val="auto"/>
              </w:rPr>
              <w:t>Other comprehensive (loss) income before reclassifications</w:t>
            </w:r>
          </w:p>
        </w:tc>
        <w:tc>
          <w:tcPr>
            <w:tcW w:w="16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(9,086)</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(169)</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(9,255)</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57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Amounts reclassified from accumulated other comprehensive income</w:t>
            </w:r>
          </w:p>
        </w:tc>
        <w:tc>
          <w:tcPr>
            <w:tcW w:w="160" w:type="dxa"/>
            <w:vAlign w:val="bottom"/>
            <w:shd w:val="clear" w:color="auto" w:fill="CCEEFF"/>
          </w:tcPr>
          <w:p>
            <w:pPr>
              <w:spacing w:after="0"/>
              <w:rPr>
                <w:sz w:val="19"/>
                <w:szCs w:val="19"/>
                <w:color w:val="auto"/>
              </w:rPr>
            </w:pPr>
          </w:p>
        </w:tc>
        <w:tc>
          <w:tcPr>
            <w:tcW w:w="9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7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57"/>
        </w:trPr>
        <w:tc>
          <w:tcPr>
            <w:tcW w:w="5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(loss)</w:t>
            </w:r>
          </w:p>
        </w:tc>
        <w:tc>
          <w:tcPr>
            <w:tcW w:w="16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2"/>
                <w:szCs w:val="22"/>
                <w:color w:val="auto"/>
              </w:rPr>
            </w:pPr>
          </w:p>
        </w:tc>
        <w:tc>
          <w:tcPr>
            <w:tcW w:w="10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9</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37"/>
        </w:trPr>
        <w:tc>
          <w:tcPr>
            <w:tcW w:w="56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Balance at March 31, 2017</w:t>
            </w:r>
          </w:p>
        </w:tc>
        <w:tc>
          <w:tcPr>
            <w:tcW w:w="120" w:type="dxa"/>
            <w:vAlign w:val="bottom"/>
          </w:tcPr>
          <w:p>
            <w:pPr>
              <w:spacing w:after="0"/>
              <w:rPr>
                <w:sz w:val="20"/>
                <w:szCs w:val="20"/>
                <w:color w:val="auto"/>
              </w:rPr>
            </w:pPr>
          </w:p>
        </w:tc>
        <w:tc>
          <w:tcPr>
            <w:tcW w:w="1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(47,666)</w:t>
            </w:r>
          </w:p>
        </w:tc>
        <w:tc>
          <w:tcPr>
            <w:tcW w:w="120" w:type="dxa"/>
            <w:vAlign w:val="bottom"/>
          </w:tcPr>
          <w:p>
            <w:pPr>
              <w:spacing w:after="0"/>
              <w:rPr>
                <w:sz w:val="20"/>
                <w:szCs w:val="20"/>
                <w:color w:val="auto"/>
              </w:rPr>
            </w:pPr>
          </w:p>
        </w:tc>
        <w:tc>
          <w:tcPr>
            <w:tcW w:w="12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tcBorders>
          </w:tcPr>
          <w:p>
            <w:pPr>
              <w:jc w:val="right"/>
              <w:ind w:right="35"/>
              <w:spacing w:after="0"/>
              <w:rPr>
                <w:sz w:val="20"/>
                <w:szCs w:val="20"/>
                <w:color w:val="auto"/>
              </w:rPr>
            </w:pPr>
            <w:r>
              <w:rPr>
                <w:rFonts w:ascii="Arial" w:cs="Arial" w:eastAsia="Arial" w:hAnsi="Arial"/>
                <w:sz w:val="18"/>
                <w:szCs w:val="18"/>
                <w:color w:val="auto"/>
              </w:rPr>
              <w:t>600</w:t>
            </w:r>
          </w:p>
        </w:tc>
        <w:tc>
          <w:tcPr>
            <w:tcW w:w="100" w:type="dxa"/>
            <w:vAlign w:val="bottom"/>
          </w:tcPr>
          <w:p>
            <w:pPr>
              <w:spacing w:after="0"/>
              <w:rPr>
                <w:sz w:val="20"/>
                <w:szCs w:val="20"/>
                <w:color w:val="auto"/>
              </w:rPr>
            </w:pPr>
          </w:p>
        </w:tc>
        <w:tc>
          <w:tcPr>
            <w:tcW w:w="24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160" w:type="dxa"/>
            <w:vAlign w:val="bottom"/>
            <w:tcBorders>
              <w:top w:val="single" w:sz="8" w:color="auto"/>
            </w:tcBorders>
          </w:tcPr>
          <w:p>
            <w:pPr>
              <w:ind w:left="20"/>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(76)</w:t>
            </w:r>
          </w:p>
        </w:tc>
        <w:tc>
          <w:tcPr>
            <w:tcW w:w="12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(47,142)</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Other comprehensive income (loss) before reclassifications</w:t>
            </w:r>
          </w:p>
        </w:tc>
        <w:tc>
          <w:tcPr>
            <w:tcW w:w="1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43,379</w:t>
            </w:r>
          </w:p>
        </w:tc>
        <w:tc>
          <w:tcPr>
            <w:tcW w:w="1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(15,659)</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(1,778)</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25,942</w:t>
            </w:r>
          </w:p>
        </w:tc>
        <w:tc>
          <w:tcPr>
            <w:tcW w:w="0" w:type="dxa"/>
            <w:vAlign w:val="bottom"/>
          </w:tcPr>
          <w:p>
            <w:pPr>
              <w:spacing w:after="0"/>
              <w:rPr>
                <w:sz w:val="1"/>
                <w:szCs w:val="1"/>
                <w:color w:val="auto"/>
              </w:rPr>
            </w:pPr>
          </w:p>
        </w:tc>
      </w:tr>
      <w:tr>
        <w:trPr>
          <w:trHeight w:val="229"/>
        </w:trPr>
        <w:tc>
          <w:tcPr>
            <w:tcW w:w="5740" w:type="dxa"/>
            <w:vAlign w:val="bottom"/>
            <w:gridSpan w:val="2"/>
          </w:tcPr>
          <w:p>
            <w:pPr>
              <w:ind w:left="180"/>
              <w:spacing w:after="0"/>
              <w:rPr>
                <w:sz w:val="20"/>
                <w:szCs w:val="20"/>
                <w:color w:val="auto"/>
              </w:rPr>
            </w:pPr>
            <w:r>
              <w:rPr>
                <w:rFonts w:ascii="Arial" w:cs="Arial" w:eastAsia="Arial" w:hAnsi="Arial"/>
                <w:sz w:val="18"/>
                <w:szCs w:val="18"/>
                <w:color w:val="auto"/>
              </w:rPr>
              <w:t>Amounts reclassified from accumulated other comprehensive income</w:t>
            </w: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740" w:type="dxa"/>
            <w:vAlign w:val="bottom"/>
            <w:gridSpan w:val="2"/>
          </w:tcPr>
          <w:p>
            <w:pPr>
              <w:ind w:left="180"/>
              <w:spacing w:after="0"/>
              <w:rPr>
                <w:sz w:val="20"/>
                <w:szCs w:val="20"/>
                <w:color w:val="auto"/>
              </w:rPr>
            </w:pPr>
            <w:r>
              <w:rPr>
                <w:rFonts w:ascii="Arial" w:cs="Arial" w:eastAsia="Arial" w:hAnsi="Arial"/>
                <w:sz w:val="18"/>
                <w:szCs w:val="18"/>
                <w:color w:val="auto"/>
              </w:rPr>
              <w:t>(loss)</w:t>
            </w:r>
          </w:p>
        </w:tc>
        <w:tc>
          <w:tcPr>
            <w:tcW w:w="160" w:type="dxa"/>
            <w:vAlign w:val="bottom"/>
          </w:tcPr>
          <w:p>
            <w:pPr>
              <w:spacing w:after="0"/>
              <w:rPr>
                <w:sz w:val="20"/>
                <w:szCs w:val="20"/>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800" w:type="dxa"/>
            <w:vAlign w:val="bottom"/>
          </w:tcPr>
          <w:p>
            <w:pPr>
              <w:jc w:val="right"/>
              <w:ind w:right="30"/>
              <w:spacing w:after="0"/>
              <w:rPr>
                <w:sz w:val="20"/>
                <w:szCs w:val="20"/>
                <w:color w:val="auto"/>
              </w:rPr>
            </w:pPr>
            <w:r>
              <w:rPr>
                <w:rFonts w:ascii="Arial" w:cs="Arial" w:eastAsia="Arial" w:hAnsi="Arial"/>
                <w:sz w:val="18"/>
                <w:szCs w:val="18"/>
                <w:color w:val="auto"/>
              </w:rPr>
              <w:t>7,506</w:t>
            </w:r>
          </w:p>
        </w:tc>
        <w:tc>
          <w:tcPr>
            <w:tcW w:w="1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9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0"/>
                <w:szCs w:val="20"/>
                <w:color w:val="auto"/>
              </w:rPr>
            </w:pPr>
          </w:p>
        </w:tc>
        <w:tc>
          <w:tcPr>
            <w:tcW w:w="780" w:type="dxa"/>
            <w:vAlign w:val="bottom"/>
          </w:tcPr>
          <w:p>
            <w:pPr>
              <w:jc w:val="right"/>
              <w:ind w:right="12"/>
              <w:spacing w:after="0"/>
              <w:rPr>
                <w:sz w:val="20"/>
                <w:szCs w:val="20"/>
                <w:color w:val="auto"/>
              </w:rPr>
            </w:pPr>
            <w:r>
              <w:rPr>
                <w:rFonts w:ascii="Arial" w:cs="Arial" w:eastAsia="Arial" w:hAnsi="Arial"/>
                <w:sz w:val="18"/>
                <w:szCs w:val="18"/>
                <w:color w:val="auto"/>
              </w:rPr>
              <w:t>7,506</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74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Tax effect on cross-currency swap</w:t>
            </w:r>
          </w:p>
        </w:tc>
        <w:tc>
          <w:tcPr>
            <w:tcW w:w="16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(2,038)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3"/>
                <w:szCs w:val="23"/>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(2,038)</w:t>
            </w:r>
          </w:p>
        </w:tc>
        <w:tc>
          <w:tcPr>
            <w:tcW w:w="0" w:type="dxa"/>
            <w:vAlign w:val="bottom"/>
          </w:tcPr>
          <w:p>
            <w:pPr>
              <w:spacing w:after="0"/>
              <w:rPr>
                <w:sz w:val="1"/>
                <w:szCs w:val="1"/>
                <w:color w:val="auto"/>
              </w:rPr>
            </w:pPr>
          </w:p>
        </w:tc>
      </w:tr>
      <w:tr>
        <w:trPr>
          <w:trHeight w:val="257"/>
        </w:trPr>
        <w:tc>
          <w:tcPr>
            <w:tcW w:w="56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Balance at March 31, 2018</w:t>
            </w:r>
          </w:p>
        </w:tc>
        <w:tc>
          <w:tcPr>
            <w:tcW w:w="120" w:type="dxa"/>
            <w:vAlign w:val="bottom"/>
          </w:tcPr>
          <w:p>
            <w:pPr>
              <w:spacing w:after="0"/>
              <w:rPr>
                <w:sz w:val="22"/>
                <w:szCs w:val="22"/>
                <w:color w:val="auto"/>
              </w:rPr>
            </w:pPr>
          </w:p>
        </w:tc>
        <w:tc>
          <w:tcPr>
            <w:tcW w:w="1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(4,287)</w:t>
            </w:r>
          </w:p>
        </w:tc>
        <w:tc>
          <w:tcPr>
            <w:tcW w:w="120" w:type="dxa"/>
            <w:vAlign w:val="bottom"/>
          </w:tcPr>
          <w:p>
            <w:pPr>
              <w:spacing w:after="0"/>
              <w:rPr>
                <w:sz w:val="22"/>
                <w:szCs w:val="22"/>
                <w:color w:val="auto"/>
              </w:rPr>
            </w:pPr>
          </w:p>
        </w:tc>
        <w:tc>
          <w:tcPr>
            <w:tcW w:w="12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tcPr>
          <w:p>
            <w:pPr>
              <w:jc w:val="right"/>
              <w:ind w:right="35"/>
              <w:spacing w:after="0"/>
              <w:rPr>
                <w:sz w:val="20"/>
                <w:szCs w:val="20"/>
                <w:color w:val="auto"/>
              </w:rPr>
            </w:pPr>
            <w:r>
              <w:rPr>
                <w:rFonts w:ascii="Arial" w:cs="Arial" w:eastAsia="Arial" w:hAnsi="Arial"/>
                <w:sz w:val="18"/>
                <w:szCs w:val="18"/>
                <w:color w:val="auto"/>
              </w:rPr>
              <w:t>600</w:t>
            </w:r>
          </w:p>
        </w:tc>
        <w:tc>
          <w:tcPr>
            <w:tcW w:w="100" w:type="dxa"/>
            <w:vAlign w:val="bottom"/>
          </w:tcPr>
          <w:p>
            <w:pPr>
              <w:spacing w:after="0"/>
              <w:rPr>
                <w:sz w:val="22"/>
                <w:szCs w:val="22"/>
                <w:color w:val="auto"/>
              </w:rPr>
            </w:pPr>
          </w:p>
        </w:tc>
        <w:tc>
          <w:tcPr>
            <w:tcW w:w="240" w:type="dxa"/>
            <w:vAlign w:val="bottom"/>
            <w:tcBorders>
              <w:top w:val="single" w:sz="8" w:color="auto"/>
              <w:bottom w:val="single" w:sz="8" w:color="auto"/>
            </w:tcBorders>
          </w:tcPr>
          <w:p>
            <w:pPr>
              <w:ind w:left="40"/>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(10,191)</w:t>
            </w:r>
          </w:p>
        </w:tc>
        <w:tc>
          <w:tcPr>
            <w:tcW w:w="100" w:type="dxa"/>
            <w:vAlign w:val="bottom"/>
          </w:tcPr>
          <w:p>
            <w:pPr>
              <w:spacing w:after="0"/>
              <w:rPr>
                <w:sz w:val="22"/>
                <w:szCs w:val="22"/>
                <w:color w:val="auto"/>
              </w:rPr>
            </w:pPr>
          </w:p>
        </w:tc>
        <w:tc>
          <w:tcPr>
            <w:tcW w:w="160" w:type="dxa"/>
            <w:vAlign w:val="bottom"/>
            <w:tcBorders>
              <w:top w:val="single" w:sz="8" w:color="auto"/>
              <w:bottom w:val="single" w:sz="8" w:color="auto"/>
            </w:tcBorders>
          </w:tcPr>
          <w:p>
            <w:pPr>
              <w:ind w:left="20"/>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(1,854)</w:t>
            </w:r>
          </w:p>
        </w:tc>
        <w:tc>
          <w:tcPr>
            <w:tcW w:w="120" w:type="dxa"/>
            <w:vAlign w:val="bottom"/>
          </w:tcPr>
          <w:p>
            <w:pPr>
              <w:spacing w:after="0"/>
              <w:rPr>
                <w:sz w:val="22"/>
                <w:szCs w:val="22"/>
                <w:color w:val="auto"/>
              </w:rPr>
            </w:pP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(15,732)</w:t>
            </w: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20.  BUSINESS REORGANIZATION</w:t>
      </w:r>
    </w:p>
    <w:p>
      <w:pPr>
        <w:spacing w:after="0" w:line="28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In the first quarter of fiscal 2018, we announced and initiated actions to implement a strategic reorganization at one of our labels (the "2018 Plan"). In the fourth quarter of fiscal 2018, we announced and initiated a second phase of the 2018 plan. In connection with both phases of this initiative, we incurred business reorganization expenses of $14,742 during the fiscal year ended March 31, 2018 due primarily to employee separation costs. Through March 31, 2018, we had paid $3,895 related to these reorganization activities. As of March 31, 2018, $6,139 remained accrued for in Accrued expenses and other current liabilities and $4,708 in Other non-current liabilities. Although we may record additional expense or benefit in future periods to true-up estimates, we do not expect to incur additional reorganization in connection with the 2018 Plan.</w:t>
      </w:r>
    </w:p>
    <w:p>
      <w:pPr>
        <w:spacing w:after="0" w:line="233"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fiscal 2016, we announced and initiated actions to implement a strategic reorganization at one of our labels (the "2016 Plan"), including reorganizing one development studio and closing two development studios. During fiscal 2016, we incurred business reorganization expenses of $71,285 due primarily to employee separation costs in connection with this initiative and have not incurred expenses in fiscal 2017 or 2018. Through March 31, 2018 and 2017, we had paid $5,350 related to these reorganization activities. As of March 31, 2018, and 2017, $65,935 remained accrued for in Accrued expenses and other current liabilities. See Note 13 for additional information.</w:t>
      </w:r>
    </w:p>
    <w:p>
      <w:pPr>
        <w:spacing w:after="0" w:line="3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ectPr>
          <w:pgSz w:w="11900" w:h="16838" w:orient="portrait"/>
          <w:cols w:equalWidth="0" w:num="1">
            <w:col w:w="11420"/>
          </w:cols>
          <w:pgMar w:left="240" w:top="715" w:right="239" w:bottom="1440" w:gutter="0" w:footer="0" w:header="0"/>
        </w:sectPr>
      </w:pPr>
    </w:p>
    <w:bookmarkStart w:id="87" w:name="page88"/>
    <w:bookmarkEnd w:id="87"/>
    <w:p>
      <w:pPr>
        <w:spacing w:after="0"/>
        <w:rPr>
          <w:sz w:val="20"/>
          <w:szCs w:val="20"/>
          <w:color w:val="auto"/>
        </w:rPr>
      </w:pPr>
      <w:r>
        <w:rPr>
          <w:rFonts w:ascii="Arial" w:cs="Arial" w:eastAsia="Arial" w:hAnsi="Arial"/>
          <w:sz w:val="18"/>
          <w:szCs w:val="18"/>
          <w:b w:val="1"/>
          <w:bCs w:val="1"/>
          <w:color w:val="auto"/>
        </w:rPr>
        <w:t>21.  SUPPLEMENTARY FINANCIAL INFORMATION</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details of our valuation and qualifying accounts:</w:t>
      </w:r>
    </w:p>
    <w:p>
      <w:pPr>
        <w:spacing w:after="0" w:line="28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7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gridSpan w:val="2"/>
          </w:tcPr>
          <w:p>
            <w:pPr>
              <w:ind w:left="60"/>
              <w:spacing w:after="0"/>
              <w:rPr>
                <w:sz w:val="20"/>
                <w:szCs w:val="20"/>
                <w:color w:val="auto"/>
              </w:rPr>
            </w:pPr>
            <w:r>
              <w:rPr>
                <w:rFonts w:ascii="Arial" w:cs="Arial" w:eastAsia="Arial" w:hAnsi="Arial"/>
                <w:sz w:val="14"/>
                <w:szCs w:val="14"/>
                <w:b w:val="1"/>
                <w:bCs w:val="1"/>
                <w:color w:val="auto"/>
              </w:rPr>
              <w:t>Beginning</w:t>
            </w:r>
          </w:p>
        </w:tc>
        <w:tc>
          <w:tcPr>
            <w:tcW w:w="160" w:type="dxa"/>
            <w:vAlign w:val="bottom"/>
          </w:tcPr>
          <w:p>
            <w:pPr>
              <w:spacing w:after="0"/>
              <w:rPr>
                <w:sz w:val="14"/>
                <w:szCs w:val="14"/>
                <w:color w:val="auto"/>
              </w:rPr>
            </w:pPr>
          </w:p>
        </w:tc>
        <w:tc>
          <w:tcPr>
            <w:tcW w:w="980" w:type="dxa"/>
            <w:vAlign w:val="bottom"/>
            <w:vMerge w:val="restart"/>
          </w:tcPr>
          <w:p>
            <w:pPr>
              <w:jc w:val="right"/>
              <w:ind w:right="131"/>
              <w:spacing w:after="0"/>
              <w:rPr>
                <w:sz w:val="20"/>
                <w:szCs w:val="20"/>
                <w:color w:val="auto"/>
              </w:rPr>
            </w:pPr>
            <w:r>
              <w:rPr>
                <w:rFonts w:ascii="Arial" w:cs="Arial" w:eastAsia="Arial" w:hAnsi="Arial"/>
                <w:sz w:val="14"/>
                <w:szCs w:val="14"/>
                <w:b w:val="1"/>
                <w:bCs w:val="1"/>
                <w:color w:val="auto"/>
                <w:w w:val="99"/>
              </w:rPr>
              <w:t>Additions</w:t>
            </w:r>
            <w:r>
              <w:rPr>
                <w:rFonts w:ascii="Arial" w:cs="Arial" w:eastAsia="Arial" w:hAnsi="Arial"/>
                <w:sz w:val="8"/>
                <w:szCs w:val="8"/>
                <w:b w:val="1"/>
                <w:bCs w:val="1"/>
                <w:color w:val="auto"/>
                <w:w w:val="99"/>
              </w:rPr>
              <w:t>(1)</w:t>
            </w:r>
          </w:p>
        </w:tc>
        <w:tc>
          <w:tcPr>
            <w:tcW w:w="100" w:type="dxa"/>
            <w:vAlign w:val="bottom"/>
            <w:vMerge w:val="restart"/>
          </w:tcPr>
          <w:p>
            <w:pPr>
              <w:spacing w:after="0"/>
              <w:rPr>
                <w:sz w:val="14"/>
                <w:szCs w:val="14"/>
                <w:color w:val="auto"/>
              </w:rPr>
            </w:pPr>
          </w:p>
        </w:tc>
        <w:tc>
          <w:tcPr>
            <w:tcW w:w="140" w:type="dxa"/>
            <w:vAlign w:val="bottom"/>
          </w:tcPr>
          <w:p>
            <w:pPr>
              <w:spacing w:after="0"/>
              <w:rPr>
                <w:sz w:val="14"/>
                <w:szCs w:val="14"/>
                <w:color w:val="auto"/>
              </w:rPr>
            </w:pPr>
          </w:p>
        </w:tc>
        <w:tc>
          <w:tcPr>
            <w:tcW w:w="900" w:type="dxa"/>
            <w:vAlign w:val="bottom"/>
            <w:vMerge w:val="restart"/>
          </w:tcPr>
          <w:p>
            <w:pPr>
              <w:jc w:val="right"/>
              <w:ind w:right="91"/>
              <w:spacing w:after="0"/>
              <w:rPr>
                <w:sz w:val="20"/>
                <w:szCs w:val="20"/>
                <w:color w:val="auto"/>
              </w:rPr>
            </w:pPr>
            <w:r>
              <w:rPr>
                <w:rFonts w:ascii="Arial" w:cs="Arial" w:eastAsia="Arial" w:hAnsi="Arial"/>
                <w:sz w:val="14"/>
                <w:szCs w:val="14"/>
                <w:b w:val="1"/>
                <w:bCs w:val="1"/>
                <w:color w:val="auto"/>
                <w:w w:val="91"/>
              </w:rPr>
              <w:t>Deductions</w:t>
            </w:r>
          </w:p>
        </w:tc>
        <w:tc>
          <w:tcPr>
            <w:tcW w:w="100" w:type="dxa"/>
            <w:vAlign w:val="bottom"/>
            <w:vMerge w:val="restart"/>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vMerge w:val="restart"/>
          </w:tcPr>
          <w:p>
            <w:pPr>
              <w:jc w:val="right"/>
              <w:ind w:right="131"/>
              <w:spacing w:after="0"/>
              <w:rPr>
                <w:sz w:val="20"/>
                <w:szCs w:val="20"/>
                <w:color w:val="auto"/>
              </w:rPr>
            </w:pPr>
            <w:r>
              <w:rPr>
                <w:rFonts w:ascii="Arial" w:cs="Arial" w:eastAsia="Arial" w:hAnsi="Arial"/>
                <w:sz w:val="14"/>
                <w:szCs w:val="14"/>
                <w:b w:val="1"/>
                <w:bCs w:val="1"/>
                <w:color w:val="auto"/>
              </w:rPr>
              <w:t>Other</w:t>
            </w:r>
          </w:p>
        </w:tc>
        <w:tc>
          <w:tcPr>
            <w:tcW w:w="100" w:type="dxa"/>
            <w:vAlign w:val="bottom"/>
            <w:vMerge w:val="restart"/>
          </w:tcPr>
          <w:p>
            <w:pPr>
              <w:spacing w:after="0"/>
              <w:rPr>
                <w:sz w:val="14"/>
                <w:szCs w:val="14"/>
                <w:color w:val="auto"/>
              </w:rPr>
            </w:pPr>
          </w:p>
        </w:tc>
        <w:tc>
          <w:tcPr>
            <w:tcW w:w="220" w:type="dxa"/>
            <w:vAlign w:val="bottom"/>
          </w:tcPr>
          <w:p>
            <w:pPr>
              <w:spacing w:after="0"/>
              <w:rPr>
                <w:sz w:val="14"/>
                <w:szCs w:val="14"/>
                <w:color w:val="auto"/>
              </w:rPr>
            </w:pPr>
          </w:p>
        </w:tc>
        <w:tc>
          <w:tcPr>
            <w:tcW w:w="920" w:type="dxa"/>
            <w:vAlign w:val="bottom"/>
          </w:tcPr>
          <w:p>
            <w:pPr>
              <w:jc w:val="right"/>
              <w:ind w:right="253"/>
              <w:spacing w:after="0"/>
              <w:rPr>
                <w:sz w:val="20"/>
                <w:szCs w:val="20"/>
                <w:color w:val="auto"/>
              </w:rPr>
            </w:pPr>
            <w:r>
              <w:rPr>
                <w:rFonts w:ascii="Arial" w:cs="Arial" w:eastAsia="Arial" w:hAnsi="Arial"/>
                <w:sz w:val="14"/>
                <w:szCs w:val="14"/>
                <w:b w:val="1"/>
                <w:bCs w:val="1"/>
                <w:color w:val="auto"/>
              </w:rPr>
              <w:t>Ending</w:t>
            </w:r>
          </w:p>
        </w:tc>
        <w:tc>
          <w:tcPr>
            <w:tcW w:w="0" w:type="dxa"/>
            <w:vAlign w:val="bottom"/>
          </w:tcPr>
          <w:p>
            <w:pPr>
              <w:spacing w:after="0"/>
              <w:rPr>
                <w:sz w:val="1"/>
                <w:szCs w:val="1"/>
                <w:color w:val="auto"/>
              </w:rPr>
            </w:pPr>
          </w:p>
        </w:tc>
      </w:tr>
      <w:tr>
        <w:trPr>
          <w:trHeight w:val="192"/>
        </w:trPr>
        <w:tc>
          <w:tcPr>
            <w:tcW w:w="572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Balance</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20" w:type="dxa"/>
            <w:vAlign w:val="bottom"/>
            <w:tcBorders>
              <w:bottom w:val="single" w:sz="8" w:color="auto"/>
            </w:tcBorders>
          </w:tcPr>
          <w:p>
            <w:pPr>
              <w:jc w:val="right"/>
              <w:ind w:right="233"/>
              <w:spacing w:after="0"/>
              <w:rPr>
                <w:sz w:val="20"/>
                <w:szCs w:val="20"/>
                <w:color w:val="auto"/>
              </w:rPr>
            </w:pPr>
            <w:r>
              <w:rPr>
                <w:rFonts w:ascii="Arial" w:cs="Arial" w:eastAsia="Arial" w:hAnsi="Arial"/>
                <w:sz w:val="14"/>
                <w:szCs w:val="14"/>
                <w:b w:val="1"/>
                <w:bCs w:val="1"/>
                <w:color w:val="auto"/>
              </w:rPr>
              <w:t>Balance</w:t>
            </w:r>
          </w:p>
        </w:tc>
        <w:tc>
          <w:tcPr>
            <w:tcW w:w="0" w:type="dxa"/>
            <w:vAlign w:val="bottom"/>
          </w:tcPr>
          <w:p>
            <w:pPr>
              <w:spacing w:after="0"/>
              <w:rPr>
                <w:sz w:val="1"/>
                <w:szCs w:val="1"/>
                <w:color w:val="auto"/>
              </w:rPr>
            </w:pPr>
          </w:p>
        </w:tc>
      </w:tr>
      <w:tr>
        <w:trPr>
          <w:trHeight w:val="250"/>
        </w:trPr>
        <w:tc>
          <w:tcPr>
            <w:tcW w:w="5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i w:val="1"/>
                <w:iCs w:val="1"/>
                <w:color w:val="auto"/>
              </w:rPr>
              <w:t>Fiscal Year Ended March 31, 2018</w:t>
            </w:r>
          </w:p>
        </w:tc>
        <w:tc>
          <w:tcPr>
            <w:tcW w:w="1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6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840" w:type="dxa"/>
            <w:vAlign w:val="bottom"/>
            <w:gridSpan w:val="2"/>
          </w:tcPr>
          <w:p>
            <w:pPr>
              <w:ind w:left="40"/>
              <w:spacing w:after="0"/>
              <w:rPr>
                <w:sz w:val="20"/>
                <w:szCs w:val="20"/>
                <w:color w:val="auto"/>
              </w:rPr>
            </w:pPr>
            <w:r>
              <w:rPr>
                <w:rFonts w:ascii="Arial" w:cs="Arial" w:eastAsia="Arial" w:hAnsi="Arial"/>
                <w:sz w:val="18"/>
                <w:szCs w:val="18"/>
                <w:b w:val="1"/>
                <w:bCs w:val="1"/>
                <w:color w:val="auto"/>
              </w:rPr>
              <w:t>Valuation allowance for deferred income taxes</w:t>
            </w:r>
          </w:p>
        </w:tc>
        <w:tc>
          <w:tcPr>
            <w:tcW w:w="160" w:type="dxa"/>
            <w:vAlign w:val="bottom"/>
          </w:tcPr>
          <w:p>
            <w:pPr>
              <w:jc w:val="right"/>
              <w:spacing w:after="0"/>
              <w:rPr>
                <w:sz w:val="20"/>
                <w:szCs w:val="20"/>
                <w:color w:val="auto"/>
              </w:rPr>
            </w:pPr>
            <w:r>
              <w:rPr>
                <w:rFonts w:ascii="Arial" w:cs="Arial" w:eastAsia="Arial" w:hAnsi="Arial"/>
                <w:sz w:val="18"/>
                <w:szCs w:val="18"/>
                <w:b w:val="1"/>
                <w:bCs w:val="1"/>
                <w:color w:val="auto"/>
                <w:w w:val="99"/>
              </w:rPr>
              <w:t>$</w:t>
            </w:r>
          </w:p>
        </w:tc>
        <w:tc>
          <w:tcPr>
            <w:tcW w:w="900" w:type="dxa"/>
            <w:vAlign w:val="bottom"/>
          </w:tcPr>
          <w:p>
            <w:pPr>
              <w:jc w:val="right"/>
              <w:ind w:right="33"/>
              <w:spacing w:after="0"/>
              <w:rPr>
                <w:sz w:val="20"/>
                <w:szCs w:val="20"/>
                <w:color w:val="auto"/>
              </w:rPr>
            </w:pPr>
            <w:r>
              <w:rPr>
                <w:rFonts w:ascii="Arial" w:cs="Arial" w:eastAsia="Arial" w:hAnsi="Arial"/>
                <w:sz w:val="18"/>
                <w:szCs w:val="18"/>
                <w:b w:val="1"/>
                <w:bCs w:val="1"/>
                <w:color w:val="auto"/>
              </w:rPr>
              <w:t>184,085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b w:val="1"/>
                <w:bCs w:val="1"/>
                <w:color w:val="auto"/>
              </w:rPr>
              <w:t>11,555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160" w:type="dxa"/>
            <w:vAlign w:val="bottom"/>
          </w:tcPr>
          <w:p>
            <w:pPr>
              <w:spacing w:after="0"/>
              <w:rPr>
                <w:sz w:val="21"/>
                <w:szCs w:val="21"/>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920" w:type="dxa"/>
            <w:vAlign w:val="bottom"/>
          </w:tcPr>
          <w:p>
            <w:pPr>
              <w:jc w:val="right"/>
              <w:ind w:right="13"/>
              <w:spacing w:after="0"/>
              <w:rPr>
                <w:sz w:val="20"/>
                <w:szCs w:val="20"/>
                <w:color w:val="auto"/>
              </w:rPr>
            </w:pPr>
            <w:r>
              <w:rPr>
                <w:rFonts w:ascii="Arial" w:cs="Arial" w:eastAsia="Arial" w:hAnsi="Arial"/>
                <w:sz w:val="18"/>
                <w:szCs w:val="18"/>
                <w:b w:val="1"/>
                <w:bCs w:val="1"/>
                <w:color w:val="auto"/>
              </w:rPr>
              <w:t>195,640</w:t>
            </w:r>
          </w:p>
        </w:tc>
        <w:tc>
          <w:tcPr>
            <w:tcW w:w="0" w:type="dxa"/>
            <w:vAlign w:val="bottom"/>
          </w:tcPr>
          <w:p>
            <w:pPr>
              <w:spacing w:after="0"/>
              <w:rPr>
                <w:sz w:val="1"/>
                <w:szCs w:val="1"/>
                <w:color w:val="auto"/>
              </w:rPr>
            </w:pPr>
          </w:p>
        </w:tc>
      </w:tr>
      <w:tr>
        <w:trPr>
          <w:trHeight w:val="67"/>
        </w:trPr>
        <w:tc>
          <w:tcPr>
            <w:tcW w:w="57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5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Price protection, sales returns and other allowances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9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b w:val="1"/>
                <w:bCs w:val="1"/>
                <w:color w:val="auto"/>
              </w:rPr>
              <w:t>65,114</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59,674</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(74,936)</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3,191</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b w:val="1"/>
                <w:bCs w:val="1"/>
                <w:color w:val="auto"/>
              </w:rPr>
              <w:t>53,043</w:t>
            </w:r>
          </w:p>
        </w:tc>
        <w:tc>
          <w:tcPr>
            <w:tcW w:w="0" w:type="dxa"/>
            <w:vAlign w:val="bottom"/>
          </w:tcPr>
          <w:p>
            <w:pPr>
              <w:spacing w:after="0"/>
              <w:rPr>
                <w:sz w:val="1"/>
                <w:szCs w:val="1"/>
                <w:color w:val="auto"/>
              </w:rPr>
            </w:pPr>
          </w:p>
        </w:tc>
      </w:tr>
      <w:tr>
        <w:trPr>
          <w:trHeight w:val="243"/>
        </w:trPr>
        <w:tc>
          <w:tcPr>
            <w:tcW w:w="5840" w:type="dxa"/>
            <w:vAlign w:val="bottom"/>
            <w:gridSpan w:val="2"/>
          </w:tcPr>
          <w:p>
            <w:pPr>
              <w:ind w:left="40"/>
              <w:spacing w:after="0"/>
              <w:rPr>
                <w:sz w:val="20"/>
                <w:szCs w:val="20"/>
                <w:color w:val="auto"/>
              </w:rPr>
            </w:pPr>
            <w:r>
              <w:rPr>
                <w:rFonts w:ascii="Arial" w:cs="Arial" w:eastAsia="Arial" w:hAnsi="Arial"/>
                <w:sz w:val="18"/>
                <w:szCs w:val="18"/>
                <w:b w:val="1"/>
                <w:bCs w:val="1"/>
                <w:color w:val="auto"/>
              </w:rPr>
              <w:t>Allowance for doubtful accounts</w:t>
            </w:r>
          </w:p>
        </w:tc>
        <w:tc>
          <w:tcPr>
            <w:tcW w:w="160" w:type="dxa"/>
            <w:vAlign w:val="bottom"/>
          </w:tcPr>
          <w:p>
            <w:pPr>
              <w:spacing w:after="0"/>
              <w:rPr>
                <w:sz w:val="21"/>
                <w:szCs w:val="21"/>
                <w:color w:val="auto"/>
              </w:rPr>
            </w:pPr>
          </w:p>
        </w:tc>
        <w:tc>
          <w:tcPr>
            <w:tcW w:w="900" w:type="dxa"/>
            <w:vAlign w:val="bottom"/>
          </w:tcPr>
          <w:p>
            <w:pPr>
              <w:jc w:val="right"/>
              <w:ind w:right="33"/>
              <w:spacing w:after="0"/>
              <w:rPr>
                <w:sz w:val="20"/>
                <w:szCs w:val="20"/>
                <w:color w:val="auto"/>
              </w:rPr>
            </w:pPr>
            <w:r>
              <w:rPr>
                <w:rFonts w:ascii="Arial" w:cs="Arial" w:eastAsia="Arial" w:hAnsi="Arial"/>
                <w:sz w:val="18"/>
                <w:szCs w:val="18"/>
                <w:b w:val="1"/>
                <w:bCs w:val="1"/>
                <w:color w:val="auto"/>
              </w:rPr>
              <w:t>1,369</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b w:val="1"/>
                <w:bCs w:val="1"/>
                <w:color w:val="auto"/>
              </w:rPr>
              <w:t>(122)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21"/>
                <w:szCs w:val="21"/>
                <w:color w:val="auto"/>
              </w:rPr>
            </w:pPr>
          </w:p>
        </w:tc>
        <w:tc>
          <w:tcPr>
            <w:tcW w:w="920" w:type="dxa"/>
            <w:vAlign w:val="bottom"/>
          </w:tcPr>
          <w:p>
            <w:pPr>
              <w:jc w:val="right"/>
              <w:ind w:right="13"/>
              <w:spacing w:after="0"/>
              <w:rPr>
                <w:sz w:val="20"/>
                <w:szCs w:val="20"/>
                <w:color w:val="auto"/>
              </w:rPr>
            </w:pPr>
            <w:r>
              <w:rPr>
                <w:rFonts w:ascii="Arial" w:cs="Arial" w:eastAsia="Arial" w:hAnsi="Arial"/>
                <w:sz w:val="18"/>
                <w:szCs w:val="18"/>
                <w:b w:val="1"/>
                <w:bCs w:val="1"/>
                <w:color w:val="auto"/>
              </w:rPr>
              <w:t>1,247</w:t>
            </w:r>
          </w:p>
        </w:tc>
        <w:tc>
          <w:tcPr>
            <w:tcW w:w="0" w:type="dxa"/>
            <w:vAlign w:val="bottom"/>
          </w:tcPr>
          <w:p>
            <w:pPr>
              <w:spacing w:after="0"/>
              <w:rPr>
                <w:sz w:val="1"/>
                <w:szCs w:val="1"/>
                <w:color w:val="auto"/>
              </w:rPr>
            </w:pPr>
          </w:p>
        </w:tc>
      </w:tr>
      <w:tr>
        <w:trPr>
          <w:trHeight w:val="27"/>
        </w:trPr>
        <w:tc>
          <w:tcPr>
            <w:tcW w:w="5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b w:val="1"/>
                <w:bCs w:val="1"/>
                <w:color w:val="auto"/>
              </w:rPr>
              <w:t>Total accounts receivable allowances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9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b w:val="1"/>
                <w:bCs w:val="1"/>
                <w:color w:val="auto"/>
              </w:rPr>
              <w:t>66,483</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b w:val="1"/>
                <w:bCs w:val="1"/>
                <w:color w:val="auto"/>
              </w:rPr>
              <w:t>59,674</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(75,058)</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b w:val="1"/>
                <w:bCs w:val="1"/>
                <w:color w:val="auto"/>
                <w:w w:val="99"/>
              </w:rPr>
              <w:t>$</w:t>
            </w:r>
          </w:p>
        </w:tc>
        <w:tc>
          <w:tcPr>
            <w:tcW w:w="6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b w:val="1"/>
                <w:bCs w:val="1"/>
                <w:color w:val="auto"/>
              </w:rPr>
              <w:t>3,191</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b w:val="1"/>
                <w:bCs w:val="1"/>
                <w:color w:val="auto"/>
              </w:rPr>
              <w:t>54,290</w:t>
            </w:r>
          </w:p>
        </w:tc>
        <w:tc>
          <w:tcPr>
            <w:tcW w:w="0" w:type="dxa"/>
            <w:vAlign w:val="bottom"/>
          </w:tcPr>
          <w:p>
            <w:pPr>
              <w:spacing w:after="0"/>
              <w:rPr>
                <w:sz w:val="1"/>
                <w:szCs w:val="1"/>
                <w:color w:val="auto"/>
              </w:rPr>
            </w:pPr>
          </w:p>
        </w:tc>
      </w:tr>
      <w:tr>
        <w:trPr>
          <w:trHeight w:val="20"/>
        </w:trPr>
        <w:tc>
          <w:tcPr>
            <w:tcW w:w="5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840" w:type="dxa"/>
            <w:vAlign w:val="bottom"/>
            <w:gridSpan w:val="2"/>
          </w:tcPr>
          <w:p>
            <w:pPr>
              <w:ind w:left="40"/>
              <w:spacing w:after="0"/>
              <w:rPr>
                <w:sz w:val="20"/>
                <w:szCs w:val="20"/>
                <w:color w:val="auto"/>
              </w:rPr>
            </w:pPr>
            <w:r>
              <w:rPr>
                <w:rFonts w:ascii="Arial" w:cs="Arial" w:eastAsia="Arial" w:hAnsi="Arial"/>
                <w:sz w:val="18"/>
                <w:szCs w:val="18"/>
                <w:i w:val="1"/>
                <w:iCs w:val="1"/>
                <w:color w:val="auto"/>
              </w:rPr>
              <w:t>Fiscal Year Ended March 31, 2017</w:t>
            </w:r>
          </w:p>
        </w:tc>
        <w:tc>
          <w:tcPr>
            <w:tcW w:w="16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5"/>
        </w:trPr>
        <w:tc>
          <w:tcPr>
            <w:tcW w:w="5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Valuation allowance for deferred income taxes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170,574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13,511</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100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184,085</w:t>
            </w:r>
          </w:p>
        </w:tc>
        <w:tc>
          <w:tcPr>
            <w:tcW w:w="0" w:type="dxa"/>
            <w:vAlign w:val="bottom"/>
          </w:tcPr>
          <w:p>
            <w:pPr>
              <w:spacing w:after="0"/>
              <w:rPr>
                <w:sz w:val="1"/>
                <w:szCs w:val="1"/>
                <w:color w:val="auto"/>
              </w:rPr>
            </w:pPr>
          </w:p>
        </w:tc>
      </w:tr>
      <w:tr>
        <w:trPr>
          <w:trHeight w:val="20"/>
        </w:trPr>
        <w:tc>
          <w:tcPr>
            <w:tcW w:w="5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840" w:type="dxa"/>
            <w:vAlign w:val="bottom"/>
            <w:gridSpan w:val="2"/>
          </w:tcPr>
          <w:p>
            <w:pPr>
              <w:ind w:left="40"/>
              <w:spacing w:after="0"/>
              <w:rPr>
                <w:sz w:val="20"/>
                <w:szCs w:val="20"/>
                <w:color w:val="auto"/>
              </w:rPr>
            </w:pPr>
            <w:r>
              <w:rPr>
                <w:rFonts w:ascii="Arial" w:cs="Arial" w:eastAsia="Arial" w:hAnsi="Arial"/>
                <w:sz w:val="18"/>
                <w:szCs w:val="18"/>
                <w:color w:val="auto"/>
              </w:rPr>
              <w:t>Price protection, sales returns and other allowances</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33"/>
              <w:spacing w:after="0"/>
              <w:rPr>
                <w:sz w:val="20"/>
                <w:szCs w:val="20"/>
                <w:color w:val="auto"/>
              </w:rPr>
            </w:pPr>
            <w:r>
              <w:rPr>
                <w:rFonts w:ascii="Arial" w:cs="Arial" w:eastAsia="Arial" w:hAnsi="Arial"/>
                <w:sz w:val="18"/>
                <w:szCs w:val="18"/>
                <w:color w:val="auto"/>
              </w:rPr>
              <w:t>45,153</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127,744</w:t>
            </w:r>
          </w:p>
        </w:tc>
        <w:tc>
          <w:tcPr>
            <w:tcW w:w="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(100,934)</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w w:val="98"/>
              </w:rPr>
              <w:t>(6,849)</w:t>
            </w:r>
          </w:p>
        </w:tc>
        <w:tc>
          <w:tcPr>
            <w:tcW w:w="100" w:type="dxa"/>
            <w:vAlign w:val="bottom"/>
          </w:tcPr>
          <w:p>
            <w:pPr>
              <w:spacing w:after="0"/>
              <w:rPr>
                <w:sz w:val="19"/>
                <w:szCs w:val="19"/>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13"/>
              <w:spacing w:after="0"/>
              <w:rPr>
                <w:sz w:val="20"/>
                <w:szCs w:val="20"/>
                <w:color w:val="auto"/>
              </w:rPr>
            </w:pPr>
            <w:r>
              <w:rPr>
                <w:rFonts w:ascii="Arial" w:cs="Arial" w:eastAsia="Arial" w:hAnsi="Arial"/>
                <w:sz w:val="18"/>
                <w:szCs w:val="18"/>
                <w:color w:val="auto"/>
              </w:rPr>
              <w:t>65,114</w:t>
            </w:r>
          </w:p>
        </w:tc>
        <w:tc>
          <w:tcPr>
            <w:tcW w:w="0" w:type="dxa"/>
            <w:vAlign w:val="bottom"/>
          </w:tcPr>
          <w:p>
            <w:pPr>
              <w:spacing w:after="0"/>
              <w:rPr>
                <w:sz w:val="1"/>
                <w:szCs w:val="1"/>
                <w:color w:val="auto"/>
              </w:rPr>
            </w:pPr>
          </w:p>
        </w:tc>
      </w:tr>
      <w:tr>
        <w:trPr>
          <w:trHeight w:val="27"/>
        </w:trPr>
        <w:tc>
          <w:tcPr>
            <w:tcW w:w="57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Allowance for doubtful accounts</w:t>
            </w:r>
          </w:p>
        </w:tc>
        <w:tc>
          <w:tcPr>
            <w:tcW w:w="16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399</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974</w:t>
            </w:r>
          </w:p>
        </w:tc>
        <w:tc>
          <w:tcPr>
            <w:tcW w:w="100" w:type="dxa"/>
            <w:vAlign w:val="bottom"/>
            <w:tcBorders>
              <w:bottom w:val="single" w:sz="8" w:color="CCEEFF"/>
            </w:tcBorders>
            <w:shd w:val="clear" w:color="auto" w:fill="CCEEFF"/>
          </w:tcPr>
          <w:p>
            <w:pPr>
              <w:spacing w:after="0"/>
              <w:rPr>
                <w:sz w:val="23"/>
                <w:szCs w:val="23"/>
                <w:color w:val="auto"/>
              </w:rPr>
            </w:pPr>
          </w:p>
        </w:tc>
        <w:tc>
          <w:tcPr>
            <w:tcW w:w="14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1,369</w:t>
            </w:r>
          </w:p>
        </w:tc>
        <w:tc>
          <w:tcPr>
            <w:tcW w:w="0" w:type="dxa"/>
            <w:vAlign w:val="bottom"/>
          </w:tcPr>
          <w:p>
            <w:pPr>
              <w:spacing w:after="0"/>
              <w:rPr>
                <w:sz w:val="1"/>
                <w:szCs w:val="1"/>
                <w:color w:val="auto"/>
              </w:rPr>
            </w:pPr>
          </w:p>
        </w:tc>
      </w:tr>
      <w:tr>
        <w:trPr>
          <w:trHeight w:val="237"/>
        </w:trPr>
        <w:tc>
          <w:tcPr>
            <w:tcW w:w="5720" w:type="dxa"/>
            <w:vAlign w:val="bottom"/>
            <w:tcBorders>
              <w:top w:val="single" w:sz="8" w:color="auto"/>
            </w:tcBorders>
          </w:tcPr>
          <w:p>
            <w:pPr>
              <w:ind w:left="40"/>
              <w:spacing w:after="0"/>
              <w:rPr>
                <w:sz w:val="20"/>
                <w:szCs w:val="20"/>
                <w:color w:val="auto"/>
              </w:rPr>
            </w:pPr>
            <w:r>
              <w:rPr>
                <w:rFonts w:ascii="Arial" w:cs="Arial" w:eastAsia="Arial" w:hAnsi="Arial"/>
                <w:sz w:val="18"/>
                <w:szCs w:val="18"/>
                <w:color w:val="auto"/>
              </w:rPr>
              <w:t>Total accounts receivable allowances</w:t>
            </w:r>
          </w:p>
        </w:tc>
        <w:tc>
          <w:tcPr>
            <w:tcW w:w="12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45,552</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128,718</w:t>
            </w:r>
          </w:p>
        </w:tc>
        <w:tc>
          <w:tcPr>
            <w:tcW w:w="100" w:type="dxa"/>
            <w:vAlign w:val="bottom"/>
          </w:tcPr>
          <w:p>
            <w:pPr>
              <w:spacing w:after="0"/>
              <w:rPr>
                <w:sz w:val="20"/>
                <w:szCs w:val="20"/>
                <w:color w:val="auto"/>
              </w:rPr>
            </w:pPr>
          </w:p>
        </w:tc>
        <w:tc>
          <w:tcPr>
            <w:tcW w:w="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(100,938)</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8"/>
              </w:rPr>
              <w:t>(6,849)</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top w:val="single" w:sz="8" w:color="auto"/>
            </w:tcBorders>
          </w:tcPr>
          <w:p>
            <w:pPr>
              <w:jc w:val="right"/>
              <w:ind w:right="13"/>
              <w:spacing w:after="0"/>
              <w:rPr>
                <w:sz w:val="20"/>
                <w:szCs w:val="20"/>
                <w:color w:val="auto"/>
              </w:rPr>
            </w:pPr>
            <w:r>
              <w:rPr>
                <w:rFonts w:ascii="Arial" w:cs="Arial" w:eastAsia="Arial" w:hAnsi="Arial"/>
                <w:sz w:val="18"/>
                <w:szCs w:val="18"/>
                <w:color w:val="auto"/>
              </w:rPr>
              <w:t>66,483</w:t>
            </w:r>
          </w:p>
        </w:tc>
        <w:tc>
          <w:tcPr>
            <w:tcW w:w="0" w:type="dxa"/>
            <w:vAlign w:val="bottom"/>
          </w:tcPr>
          <w:p>
            <w:pPr>
              <w:spacing w:after="0"/>
              <w:rPr>
                <w:sz w:val="1"/>
                <w:szCs w:val="1"/>
                <w:color w:val="auto"/>
              </w:rPr>
            </w:pPr>
          </w:p>
        </w:tc>
      </w:tr>
      <w:tr>
        <w:trPr>
          <w:trHeight w:val="67"/>
        </w:trPr>
        <w:tc>
          <w:tcPr>
            <w:tcW w:w="57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5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i w:val="1"/>
                <w:iCs w:val="1"/>
                <w:color w:val="auto"/>
              </w:rPr>
              <w:t>Fiscal Year Ended March 31, 2016</w:t>
            </w:r>
          </w:p>
        </w:tc>
        <w:tc>
          <w:tcPr>
            <w:tcW w:w="16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9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840" w:type="dxa"/>
            <w:vAlign w:val="bottom"/>
            <w:gridSpan w:val="2"/>
          </w:tcPr>
          <w:p>
            <w:pPr>
              <w:ind w:left="40"/>
              <w:spacing w:after="0"/>
              <w:rPr>
                <w:sz w:val="20"/>
                <w:szCs w:val="20"/>
                <w:color w:val="auto"/>
              </w:rPr>
            </w:pPr>
            <w:r>
              <w:rPr>
                <w:rFonts w:ascii="Arial" w:cs="Arial" w:eastAsia="Arial" w:hAnsi="Arial"/>
                <w:sz w:val="18"/>
                <w:szCs w:val="18"/>
                <w:color w:val="auto"/>
              </w:rPr>
              <w:t>Valuation allowance for deferred income taxes</w:t>
            </w: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Pr>
          <w:p>
            <w:pPr>
              <w:jc w:val="right"/>
              <w:ind w:right="33"/>
              <w:spacing w:after="0"/>
              <w:rPr>
                <w:sz w:val="20"/>
                <w:szCs w:val="20"/>
                <w:color w:val="auto"/>
              </w:rPr>
            </w:pPr>
            <w:r>
              <w:rPr>
                <w:rFonts w:ascii="Arial" w:cs="Arial" w:eastAsia="Arial" w:hAnsi="Arial"/>
                <w:sz w:val="18"/>
                <w:szCs w:val="18"/>
                <w:color w:val="auto"/>
              </w:rPr>
              <w:t>133,468</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980" w:type="dxa"/>
            <w:vAlign w:val="bottom"/>
          </w:tcPr>
          <w:p>
            <w:pPr>
              <w:jc w:val="right"/>
              <w:ind w:right="11"/>
              <w:spacing w:after="0"/>
              <w:rPr>
                <w:sz w:val="20"/>
                <w:szCs w:val="20"/>
                <w:color w:val="auto"/>
              </w:rPr>
            </w:pPr>
            <w:r>
              <w:rPr>
                <w:rFonts w:ascii="Arial" w:cs="Arial" w:eastAsia="Arial" w:hAnsi="Arial"/>
                <w:sz w:val="18"/>
                <w:szCs w:val="18"/>
                <w:color w:val="auto"/>
              </w:rPr>
              <w:t>37,106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Pr>
          <w:p>
            <w:pPr>
              <w:jc w:val="right"/>
              <w:ind w:right="13"/>
              <w:spacing w:after="0"/>
              <w:rPr>
                <w:sz w:val="20"/>
                <w:szCs w:val="20"/>
                <w:color w:val="auto"/>
              </w:rPr>
            </w:pPr>
            <w:r>
              <w:rPr>
                <w:rFonts w:ascii="Arial" w:cs="Arial" w:eastAsia="Arial" w:hAnsi="Arial"/>
                <w:sz w:val="18"/>
                <w:szCs w:val="18"/>
                <w:color w:val="auto"/>
              </w:rPr>
              <w:t>170,574</w:t>
            </w:r>
          </w:p>
        </w:tc>
        <w:tc>
          <w:tcPr>
            <w:tcW w:w="0" w:type="dxa"/>
            <w:vAlign w:val="bottom"/>
          </w:tcPr>
          <w:p>
            <w:pPr>
              <w:spacing w:after="0"/>
              <w:rPr>
                <w:sz w:val="1"/>
                <w:szCs w:val="1"/>
                <w:color w:val="auto"/>
              </w:rPr>
            </w:pPr>
          </w:p>
        </w:tc>
      </w:tr>
      <w:tr>
        <w:trPr>
          <w:trHeight w:val="67"/>
        </w:trPr>
        <w:tc>
          <w:tcPr>
            <w:tcW w:w="57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5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Price protection, sales returns and other allowances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69,305</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64,498</w:t>
            </w:r>
          </w:p>
        </w:tc>
        <w:tc>
          <w:tcPr>
            <w:tcW w:w="10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(86,622)</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8"/>
              </w:rPr>
              <w:t>(2,028)</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45,153</w:t>
            </w:r>
          </w:p>
        </w:tc>
        <w:tc>
          <w:tcPr>
            <w:tcW w:w="0" w:type="dxa"/>
            <w:vAlign w:val="bottom"/>
          </w:tcPr>
          <w:p>
            <w:pPr>
              <w:spacing w:after="0"/>
              <w:rPr>
                <w:sz w:val="1"/>
                <w:szCs w:val="1"/>
                <w:color w:val="auto"/>
              </w:rPr>
            </w:pPr>
          </w:p>
        </w:tc>
      </w:tr>
      <w:tr>
        <w:trPr>
          <w:trHeight w:val="243"/>
        </w:trPr>
        <w:tc>
          <w:tcPr>
            <w:tcW w:w="5840" w:type="dxa"/>
            <w:vAlign w:val="bottom"/>
            <w:gridSpan w:val="2"/>
          </w:tcPr>
          <w:p>
            <w:pPr>
              <w:ind w:left="40"/>
              <w:spacing w:after="0"/>
              <w:rPr>
                <w:sz w:val="20"/>
                <w:szCs w:val="20"/>
                <w:color w:val="auto"/>
              </w:rPr>
            </w:pPr>
            <w:r>
              <w:rPr>
                <w:rFonts w:ascii="Arial" w:cs="Arial" w:eastAsia="Arial" w:hAnsi="Arial"/>
                <w:sz w:val="18"/>
                <w:szCs w:val="18"/>
                <w:color w:val="auto"/>
              </w:rPr>
              <w:t>Allowance for doubtful accounts</w:t>
            </w:r>
          </w:p>
        </w:tc>
        <w:tc>
          <w:tcPr>
            <w:tcW w:w="160" w:type="dxa"/>
            <w:vAlign w:val="bottom"/>
          </w:tcPr>
          <w:p>
            <w:pPr>
              <w:spacing w:after="0"/>
              <w:rPr>
                <w:sz w:val="21"/>
                <w:szCs w:val="21"/>
                <w:color w:val="auto"/>
              </w:rPr>
            </w:pPr>
          </w:p>
        </w:tc>
        <w:tc>
          <w:tcPr>
            <w:tcW w:w="900" w:type="dxa"/>
            <w:vAlign w:val="bottom"/>
          </w:tcPr>
          <w:p>
            <w:pPr>
              <w:jc w:val="right"/>
              <w:ind w:right="33"/>
              <w:spacing w:after="0"/>
              <w:rPr>
                <w:sz w:val="20"/>
                <w:szCs w:val="20"/>
                <w:color w:val="auto"/>
              </w:rPr>
            </w:pPr>
            <w:r>
              <w:rPr>
                <w:rFonts w:ascii="Arial" w:cs="Arial" w:eastAsia="Arial" w:hAnsi="Arial"/>
                <w:sz w:val="18"/>
                <w:szCs w:val="18"/>
                <w:color w:val="auto"/>
              </w:rPr>
              <w:t>1,166</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1"/>
                <w:szCs w:val="21"/>
                <w:color w:val="auto"/>
              </w:rPr>
            </w:pPr>
          </w:p>
        </w:tc>
        <w:tc>
          <w:tcPr>
            <w:tcW w:w="900" w:type="dxa"/>
            <w:vAlign w:val="bottom"/>
          </w:tcPr>
          <w:p>
            <w:pPr>
              <w:jc w:val="right"/>
              <w:spacing w:after="0"/>
              <w:rPr>
                <w:sz w:val="20"/>
                <w:szCs w:val="20"/>
                <w:color w:val="auto"/>
              </w:rPr>
            </w:pPr>
            <w:r>
              <w:rPr>
                <w:rFonts w:ascii="Arial" w:cs="Arial" w:eastAsia="Arial" w:hAnsi="Arial"/>
                <w:sz w:val="18"/>
                <w:szCs w:val="18"/>
                <w:color w:val="auto"/>
              </w:rPr>
              <w:t>(767)</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7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920" w:type="dxa"/>
            <w:vAlign w:val="bottom"/>
          </w:tcPr>
          <w:p>
            <w:pPr>
              <w:jc w:val="right"/>
              <w:ind w:right="13"/>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7"/>
        </w:trPr>
        <w:tc>
          <w:tcPr>
            <w:tcW w:w="5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84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Total accounts receivable allowances</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70,471</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64,498</w:t>
            </w:r>
          </w:p>
        </w:tc>
        <w:tc>
          <w:tcPr>
            <w:tcW w:w="100" w:type="dxa"/>
            <w:vAlign w:val="bottom"/>
            <w:tcBorders>
              <w:bottom w:val="single" w:sz="8" w:color="CCEEFF"/>
            </w:tcBorders>
            <w:shd w:val="clear" w:color="auto" w:fill="CCEEFF"/>
          </w:tcPr>
          <w:p>
            <w:pPr>
              <w:spacing w:after="0"/>
              <w:rPr>
                <w:sz w:val="22"/>
                <w:szCs w:val="22"/>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(87,389)</w:t>
            </w:r>
          </w:p>
        </w:tc>
        <w:tc>
          <w:tcPr>
            <w:tcW w:w="10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8"/>
              </w:rPr>
              <w:t>(2,028)</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2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45,552</w:t>
            </w:r>
          </w:p>
        </w:tc>
        <w:tc>
          <w:tcPr>
            <w:tcW w:w="0" w:type="dxa"/>
            <w:vAlign w:val="bottom"/>
          </w:tcPr>
          <w:p>
            <w:pPr>
              <w:spacing w:after="0"/>
              <w:rPr>
                <w:sz w:val="1"/>
                <w:szCs w:val="1"/>
                <w:color w:val="auto"/>
              </w:rPr>
            </w:pPr>
          </w:p>
        </w:tc>
      </w:tr>
      <w:tr>
        <w:trPr>
          <w:trHeight w:val="20"/>
        </w:trPr>
        <w:tc>
          <w:tcPr>
            <w:tcW w:w="5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180" w:right="140" w:hanging="161"/>
        <w:spacing w:after="0" w:line="227" w:lineRule="auto"/>
        <w:rPr>
          <w:sz w:val="20"/>
          <w:szCs w:val="20"/>
          <w:color w:val="auto"/>
        </w:rPr>
      </w:pPr>
      <w:r>
        <w:rPr>
          <w:rFonts w:ascii="Arial" w:cs="Arial" w:eastAsia="Arial" w:hAnsi="Arial"/>
          <w:sz w:val="24"/>
          <w:szCs w:val="24"/>
          <w:color w:val="auto"/>
          <w:vertAlign w:val="superscript"/>
        </w:rPr>
        <w:t>(1)</w:t>
      </w:r>
      <w:r>
        <w:rPr>
          <w:rFonts w:ascii="Arial" w:cs="Arial" w:eastAsia="Arial" w:hAnsi="Arial"/>
          <w:sz w:val="17"/>
          <w:szCs w:val="17"/>
          <w:color w:val="auto"/>
        </w:rPr>
        <w:t>Includes price protection of $27,088, $65,336 and $36,546; other allowances including rebates, discounts and cooperative advertising of $31,428, $45,850 and $23,073; and sales returns of $1,158, $16,558 and $4,879 for the fiscal years ended March 31, 2018, 2017 and 2016, respectively.</w:t>
      </w:r>
    </w:p>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22.  QUARTERLY FINANCIAL INFORMATION (UNAUDITED)</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tables set forth quarterly supplementary data for each of the years in the two-year period ended March 31, 2018:</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3"/>
          </w:tcPr>
          <w:p>
            <w:pPr>
              <w:jc w:val="right"/>
              <w:ind w:right="90"/>
              <w:spacing w:after="0"/>
              <w:rPr>
                <w:sz w:val="20"/>
                <w:szCs w:val="20"/>
                <w:color w:val="auto"/>
              </w:rPr>
            </w:pPr>
            <w:r>
              <w:rPr>
                <w:rFonts w:ascii="Arial" w:cs="Arial" w:eastAsia="Arial" w:hAnsi="Arial"/>
                <w:sz w:val="14"/>
                <w:szCs w:val="14"/>
                <w:b w:val="1"/>
                <w:bCs w:val="1"/>
                <w:color w:val="auto"/>
              </w:rPr>
              <w:t>Quarter</w:t>
            </w:r>
          </w:p>
        </w:tc>
        <w:tc>
          <w:tcPr>
            <w:tcW w:w="1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r>
      <w:tr>
        <w:trPr>
          <w:trHeight w:val="264"/>
        </w:trPr>
        <w:tc>
          <w:tcPr>
            <w:tcW w:w="50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Fiscal Year Ended March 31, 2018</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First</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434"/>
              <w:spacing w:after="0"/>
              <w:rPr>
                <w:sz w:val="20"/>
                <w:szCs w:val="20"/>
                <w:color w:val="auto"/>
              </w:rPr>
            </w:pPr>
            <w:r>
              <w:rPr>
                <w:rFonts w:ascii="Arial" w:cs="Arial" w:eastAsia="Arial" w:hAnsi="Arial"/>
                <w:sz w:val="14"/>
                <w:szCs w:val="14"/>
                <w:b w:val="1"/>
                <w:bCs w:val="1"/>
                <w:color w:val="auto"/>
              </w:rPr>
              <w:t>Second</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73"/>
              <w:spacing w:after="0"/>
              <w:rPr>
                <w:sz w:val="20"/>
                <w:szCs w:val="20"/>
                <w:color w:val="auto"/>
              </w:rPr>
            </w:pPr>
            <w:r>
              <w:rPr>
                <w:rFonts w:ascii="Arial" w:cs="Arial" w:eastAsia="Arial" w:hAnsi="Arial"/>
                <w:sz w:val="14"/>
                <w:szCs w:val="14"/>
                <w:b w:val="1"/>
                <w:bCs w:val="1"/>
                <w:color w:val="auto"/>
              </w:rPr>
              <w:t>Third</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Fourth</w:t>
            </w: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revenue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418,216</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443,562</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480,840</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450,274</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Gross profit</w:t>
            </w:r>
          </w:p>
        </w:tc>
        <w:tc>
          <w:tcPr>
            <w:tcW w:w="36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223,647</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197,014</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212,857</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261,063</w:t>
            </w: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Income (loss) from operations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50,219</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(11,319)</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8,852</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87,825</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Net income (loss)</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60,276</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(2,736)</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25,140</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90,853</w:t>
            </w: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Earnings per share: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gridSpan w:val="2"/>
          </w:tcPr>
          <w:p>
            <w:pPr>
              <w:ind w:left="180"/>
              <w:spacing w:after="0"/>
              <w:rPr>
                <w:sz w:val="20"/>
                <w:szCs w:val="20"/>
                <w:color w:val="auto"/>
              </w:rPr>
            </w:pPr>
            <w:r>
              <w:rPr>
                <w:rFonts w:ascii="Arial" w:cs="Arial" w:eastAsia="Arial" w:hAnsi="Arial"/>
                <w:sz w:val="18"/>
                <w:szCs w:val="18"/>
                <w:color w:val="auto"/>
              </w:rPr>
              <w:t>Basic earnings (loss) per share</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0.57</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spacing w:after="0"/>
              <w:rPr>
                <w:sz w:val="20"/>
                <w:szCs w:val="20"/>
                <w:color w:val="auto"/>
              </w:rPr>
            </w:pPr>
            <w:r>
              <w:rPr>
                <w:rFonts w:ascii="Arial" w:cs="Arial" w:eastAsia="Arial" w:hAnsi="Arial"/>
                <w:sz w:val="18"/>
                <w:szCs w:val="18"/>
                <w:color w:val="auto"/>
              </w:rPr>
              <w:t>(0.03)</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0.22</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0.80</w:t>
            </w:r>
          </w:p>
        </w:tc>
      </w:tr>
      <w:tr>
        <w:trPr>
          <w:trHeight w:val="27"/>
        </w:trPr>
        <w:tc>
          <w:tcPr>
            <w:tcW w:w="5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160" w:type="dxa"/>
            <w:vAlign w:val="bottom"/>
            <w:tcBorders>
              <w:bottom w:val="single" w:sz="8" w:color="CCEEFF"/>
            </w:tcBorders>
            <w:gridSpan w:val="2"/>
            <w:shd w:val="clear" w:color="auto" w:fill="CCEEFF"/>
          </w:tcPr>
          <w:p>
            <w:pPr>
              <w:ind w:left="180"/>
              <w:spacing w:after="0"/>
              <w:rPr>
                <w:sz w:val="20"/>
                <w:szCs w:val="20"/>
                <w:color w:val="auto"/>
              </w:rPr>
            </w:pPr>
            <w:r>
              <w:rPr>
                <w:rFonts w:ascii="Arial" w:cs="Arial" w:eastAsia="Arial" w:hAnsi="Arial"/>
                <w:sz w:val="18"/>
                <w:szCs w:val="18"/>
                <w:color w:val="auto"/>
              </w:rPr>
              <w:t>Diluted earnings (loss) per share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0.56</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(0.03)</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0.21</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0.77</w:t>
            </w:r>
          </w:p>
        </w:tc>
      </w:tr>
      <w:tr>
        <w:trPr>
          <w:trHeight w:val="534"/>
        </w:trPr>
        <w:tc>
          <w:tcPr>
            <w:tcW w:w="5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40" w:type="dxa"/>
            <w:vAlign w:val="bottom"/>
            <w:tcBorders>
              <w:bottom w:val="single" w:sz="8" w:color="auto"/>
            </w:tcBorders>
            <w:gridSpan w:val="3"/>
          </w:tcPr>
          <w:p>
            <w:pPr>
              <w:jc w:val="right"/>
              <w:ind w:right="90"/>
              <w:spacing w:after="0"/>
              <w:rPr>
                <w:sz w:val="20"/>
                <w:szCs w:val="20"/>
                <w:color w:val="auto"/>
              </w:rPr>
            </w:pPr>
            <w:r>
              <w:rPr>
                <w:rFonts w:ascii="Arial" w:cs="Arial" w:eastAsia="Arial" w:hAnsi="Arial"/>
                <w:sz w:val="14"/>
                <w:szCs w:val="14"/>
                <w:b w:val="1"/>
                <w:bCs w:val="1"/>
                <w:color w:val="auto"/>
              </w:rPr>
              <w:t>Quarter</w:t>
            </w: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r>
      <w:tr>
        <w:trPr>
          <w:trHeight w:val="264"/>
        </w:trPr>
        <w:tc>
          <w:tcPr>
            <w:tcW w:w="50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Fiscal Year Ended March 31, 2017</w:t>
            </w:r>
          </w:p>
        </w:tc>
        <w:tc>
          <w:tcPr>
            <w:tcW w:w="120" w:type="dxa"/>
            <w:vAlign w:val="bottom"/>
            <w:tcBorders>
              <w:bottom w:val="single" w:sz="8" w:color="CCEEFF"/>
            </w:tcBorders>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First</w:t>
            </w:r>
          </w:p>
        </w:tc>
        <w:tc>
          <w:tcPr>
            <w:tcW w:w="12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434"/>
              <w:spacing w:after="0"/>
              <w:rPr>
                <w:sz w:val="20"/>
                <w:szCs w:val="20"/>
                <w:color w:val="auto"/>
              </w:rPr>
            </w:pPr>
            <w:r>
              <w:rPr>
                <w:rFonts w:ascii="Arial" w:cs="Arial" w:eastAsia="Arial" w:hAnsi="Arial"/>
                <w:sz w:val="14"/>
                <w:szCs w:val="14"/>
                <w:b w:val="1"/>
                <w:bCs w:val="1"/>
                <w:color w:val="auto"/>
              </w:rPr>
              <w:t>Second</w:t>
            </w:r>
          </w:p>
        </w:tc>
        <w:tc>
          <w:tcPr>
            <w:tcW w:w="100" w:type="dxa"/>
            <w:vAlign w:val="bottom"/>
            <w:tcBorders>
              <w:bottom w:val="single" w:sz="8" w:color="CCEEFF"/>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473"/>
              <w:spacing w:after="0"/>
              <w:rPr>
                <w:sz w:val="20"/>
                <w:szCs w:val="20"/>
                <w:color w:val="auto"/>
              </w:rPr>
            </w:pPr>
            <w:r>
              <w:rPr>
                <w:rFonts w:ascii="Arial" w:cs="Arial" w:eastAsia="Arial" w:hAnsi="Arial"/>
                <w:sz w:val="14"/>
                <w:szCs w:val="14"/>
                <w:b w:val="1"/>
                <w:bCs w:val="1"/>
                <w:color w:val="auto"/>
              </w:rPr>
              <w:t>Third</w:t>
            </w:r>
          </w:p>
        </w:tc>
        <w:tc>
          <w:tcPr>
            <w:tcW w:w="100" w:type="dxa"/>
            <w:vAlign w:val="bottom"/>
            <w:tcBorders>
              <w:bottom w:val="single" w:sz="8" w:color="CCEEFF"/>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433"/>
              <w:spacing w:after="0"/>
              <w:rPr>
                <w:sz w:val="20"/>
                <w:szCs w:val="20"/>
                <w:color w:val="auto"/>
              </w:rPr>
            </w:pPr>
            <w:r>
              <w:rPr>
                <w:rFonts w:ascii="Arial" w:cs="Arial" w:eastAsia="Arial" w:hAnsi="Arial"/>
                <w:sz w:val="14"/>
                <w:szCs w:val="14"/>
                <w:b w:val="1"/>
                <w:bCs w:val="1"/>
                <w:color w:val="auto"/>
              </w:rPr>
              <w:t>Fourth</w:t>
            </w: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Net revenue</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311,552</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420,167</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476,474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571,555</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Gross profit</w:t>
            </w:r>
          </w:p>
        </w:tc>
        <w:tc>
          <w:tcPr>
            <w:tcW w:w="360" w:type="dxa"/>
            <w:vAlign w:val="bottom"/>
          </w:tcPr>
          <w:p>
            <w:pPr>
              <w:spacing w:after="0"/>
              <w:rPr>
                <w:sz w:val="21"/>
                <w:szCs w:val="21"/>
                <w:color w:val="auto"/>
              </w:rPr>
            </w:pPr>
          </w:p>
        </w:tc>
        <w:tc>
          <w:tcPr>
            <w:tcW w:w="1140" w:type="dxa"/>
            <w:vAlign w:val="bottom"/>
          </w:tcPr>
          <w:p>
            <w:pPr>
              <w:jc w:val="right"/>
              <w:ind w:right="33"/>
              <w:spacing w:after="0"/>
              <w:rPr>
                <w:sz w:val="20"/>
                <w:szCs w:val="20"/>
                <w:color w:val="auto"/>
              </w:rPr>
            </w:pPr>
            <w:r>
              <w:rPr>
                <w:rFonts w:ascii="Arial" w:cs="Arial" w:eastAsia="Arial" w:hAnsi="Arial"/>
                <w:sz w:val="18"/>
                <w:szCs w:val="18"/>
                <w:color w:val="auto"/>
              </w:rPr>
              <w:t>120,171</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214,562</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165,399</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256,657</w:t>
            </w:r>
          </w:p>
        </w:tc>
      </w:tr>
      <w:tr>
        <w:trPr>
          <w:trHeight w:val="27"/>
        </w:trPr>
        <w:tc>
          <w:tcPr>
            <w:tcW w:w="516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(Loss) income from operations</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(38,983)</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47,194</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(28,409)</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111,503</w:t>
            </w:r>
          </w:p>
        </w:tc>
      </w:tr>
      <w:tr>
        <w:trPr>
          <w:trHeight w:val="243"/>
        </w:trPr>
        <w:tc>
          <w:tcPr>
            <w:tcW w:w="5160" w:type="dxa"/>
            <w:vAlign w:val="bottom"/>
            <w:gridSpan w:val="2"/>
          </w:tcPr>
          <w:p>
            <w:pPr>
              <w:ind w:left="40"/>
              <w:spacing w:after="0"/>
              <w:rPr>
                <w:sz w:val="20"/>
                <w:szCs w:val="20"/>
                <w:color w:val="auto"/>
              </w:rPr>
            </w:pPr>
            <w:r>
              <w:rPr>
                <w:rFonts w:ascii="Arial" w:cs="Arial" w:eastAsia="Arial" w:hAnsi="Arial"/>
                <w:sz w:val="18"/>
                <w:szCs w:val="18"/>
                <w:color w:val="auto"/>
              </w:rPr>
              <w:t>Net (loss) income</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(38,567)</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36,432</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(29,842)</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99,280</w:t>
            </w:r>
          </w:p>
        </w:tc>
      </w:tr>
      <w:tr>
        <w:trPr>
          <w:trHeight w:val="27"/>
        </w:trPr>
        <w:tc>
          <w:tcPr>
            <w:tcW w:w="516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50"/>
        </w:trPr>
        <w:tc>
          <w:tcPr>
            <w:tcW w:w="516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(Loss) earnings per share:</w:t>
            </w:r>
          </w:p>
        </w:tc>
        <w:tc>
          <w:tcPr>
            <w:tcW w:w="36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spacing w:after="0"/>
              <w:rPr>
                <w:sz w:val="21"/>
                <w:szCs w:val="21"/>
                <w:color w:val="auto"/>
              </w:rPr>
            </w:pPr>
          </w:p>
        </w:tc>
      </w:tr>
      <w:tr>
        <w:trPr>
          <w:trHeight w:val="243"/>
        </w:trPr>
        <w:tc>
          <w:tcPr>
            <w:tcW w:w="5160" w:type="dxa"/>
            <w:vAlign w:val="bottom"/>
            <w:gridSpan w:val="2"/>
          </w:tcPr>
          <w:p>
            <w:pPr>
              <w:ind w:left="180"/>
              <w:spacing w:after="0"/>
              <w:rPr>
                <w:sz w:val="20"/>
                <w:szCs w:val="20"/>
                <w:color w:val="auto"/>
              </w:rPr>
            </w:pPr>
            <w:r>
              <w:rPr>
                <w:rFonts w:ascii="Arial" w:cs="Arial" w:eastAsia="Arial" w:hAnsi="Arial"/>
                <w:sz w:val="18"/>
                <w:szCs w:val="18"/>
                <w:color w:val="auto"/>
              </w:rPr>
              <w:t>Basic (loss) earnings per share</w:t>
            </w: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(0.46)</w:t>
            </w:r>
          </w:p>
        </w:tc>
        <w:tc>
          <w:tcPr>
            <w:tcW w:w="12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4"/>
              <w:spacing w:after="0"/>
              <w:rPr>
                <w:sz w:val="20"/>
                <w:szCs w:val="20"/>
                <w:color w:val="auto"/>
              </w:rPr>
            </w:pPr>
            <w:r>
              <w:rPr>
                <w:rFonts w:ascii="Arial" w:cs="Arial" w:eastAsia="Arial" w:hAnsi="Arial"/>
                <w:sz w:val="18"/>
                <w:szCs w:val="18"/>
                <w:color w:val="auto"/>
              </w:rPr>
              <w:t>0.42</w:t>
            </w:r>
          </w:p>
        </w:tc>
        <w:tc>
          <w:tcPr>
            <w:tcW w:w="100" w:type="dxa"/>
            <w:vAlign w:val="bottom"/>
          </w:tcPr>
          <w:p>
            <w:pPr>
              <w:spacing w:after="0"/>
              <w:rPr>
                <w:sz w:val="21"/>
                <w:szCs w:val="21"/>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(0.33)</w:t>
            </w:r>
          </w:p>
        </w:tc>
        <w:tc>
          <w:tcPr>
            <w:tcW w:w="100" w:type="dxa"/>
            <w:vAlign w:val="bottom"/>
          </w:tcPr>
          <w:p>
            <w:pPr>
              <w:spacing w:after="0"/>
              <w:rPr>
                <w:sz w:val="21"/>
                <w:szCs w:val="21"/>
                <w:color w:val="auto"/>
              </w:rPr>
            </w:pPr>
          </w:p>
        </w:tc>
        <w:tc>
          <w:tcPr>
            <w:tcW w:w="320" w:type="dxa"/>
            <w:vAlign w:val="bottom"/>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3"/>
              <w:spacing w:after="0"/>
              <w:rPr>
                <w:sz w:val="20"/>
                <w:szCs w:val="20"/>
                <w:color w:val="auto"/>
              </w:rPr>
            </w:pPr>
            <w:r>
              <w:rPr>
                <w:rFonts w:ascii="Arial" w:cs="Arial" w:eastAsia="Arial" w:hAnsi="Arial"/>
                <w:sz w:val="18"/>
                <w:szCs w:val="18"/>
                <w:color w:val="auto"/>
              </w:rPr>
              <w:t>0.97</w:t>
            </w:r>
          </w:p>
        </w:tc>
      </w:tr>
      <w:tr>
        <w:trPr>
          <w:trHeight w:val="27"/>
        </w:trPr>
        <w:tc>
          <w:tcPr>
            <w:tcW w:w="5160" w:type="dxa"/>
            <w:vAlign w:val="bottom"/>
            <w:gridSpan w:val="2"/>
          </w:tcPr>
          <w:p>
            <w:pPr>
              <w:spacing w:after="0"/>
              <w:rPr>
                <w:sz w:val="2"/>
                <w:szCs w:val="2"/>
                <w:color w:val="auto"/>
              </w:rPr>
            </w:pPr>
          </w:p>
        </w:tc>
        <w:tc>
          <w:tcPr>
            <w:tcW w:w="36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160" w:type="dxa"/>
            <w:vAlign w:val="bottom"/>
          </w:tcPr>
          <w:p>
            <w:pPr>
              <w:spacing w:after="0"/>
              <w:rPr>
                <w:sz w:val="2"/>
                <w:szCs w:val="2"/>
                <w:color w:val="auto"/>
              </w:rPr>
            </w:pPr>
          </w:p>
        </w:tc>
      </w:tr>
      <w:tr>
        <w:trPr>
          <w:trHeight w:val="243"/>
        </w:trPr>
        <w:tc>
          <w:tcPr>
            <w:tcW w:w="516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Diluted (loss) earnings per share</w:t>
            </w:r>
          </w:p>
        </w:tc>
        <w:tc>
          <w:tcPr>
            <w:tcW w:w="360" w:type="dxa"/>
            <w:vAlign w:val="bottom"/>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(0.46)</w:t>
            </w:r>
          </w:p>
        </w:tc>
        <w:tc>
          <w:tcPr>
            <w:tcW w:w="12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0.39</w:t>
            </w:r>
          </w:p>
        </w:tc>
        <w:tc>
          <w:tcPr>
            <w:tcW w:w="100" w:type="dxa"/>
            <w:vAlign w:val="bottom"/>
            <w:shd w:val="clear" w:color="auto" w:fill="CCEEFF"/>
          </w:tcPr>
          <w:p>
            <w:pPr>
              <w:spacing w:after="0"/>
              <w:rPr>
                <w:sz w:val="21"/>
                <w:szCs w:val="21"/>
                <w:color w:val="auto"/>
              </w:rPr>
            </w:pPr>
          </w:p>
        </w:tc>
        <w:tc>
          <w:tcPr>
            <w:tcW w:w="3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(0.33)</w:t>
            </w:r>
          </w:p>
        </w:tc>
        <w:tc>
          <w:tcPr>
            <w:tcW w:w="100" w:type="dxa"/>
            <w:vAlign w:val="bottom"/>
            <w:shd w:val="clear" w:color="auto" w:fill="CCEEFF"/>
          </w:tcPr>
          <w:p>
            <w:pPr>
              <w:spacing w:after="0"/>
              <w:rPr>
                <w:sz w:val="21"/>
                <w:szCs w:val="21"/>
                <w:color w:val="auto"/>
              </w:rPr>
            </w:pPr>
          </w:p>
        </w:tc>
        <w:tc>
          <w:tcPr>
            <w:tcW w:w="32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16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0.89</w:t>
            </w:r>
          </w:p>
        </w:tc>
      </w:tr>
      <w:tr>
        <w:trPr>
          <w:trHeight w:val="27"/>
        </w:trPr>
        <w:tc>
          <w:tcPr>
            <w:tcW w:w="50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80" w:type="dxa"/>
            <w:vAlign w:val="bottom"/>
            <w:shd w:val="clear" w:color="auto" w:fill="CCEEFF"/>
          </w:tcPr>
          <w:p>
            <w:pPr>
              <w:spacing w:after="0"/>
              <w:rPr>
                <w:sz w:val="2"/>
                <w:szCs w:val="2"/>
                <w:color w:val="auto"/>
              </w:rPr>
            </w:pPr>
          </w:p>
        </w:tc>
        <w:tc>
          <w:tcPr>
            <w:tcW w:w="110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32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r>
    </w:tbl>
    <w:p>
      <w:pPr>
        <w:spacing w:after="0" w:line="12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Basic and diluted earnings (loss) per share are computed independently for each of the quarters presented. Therefore, the sum of quarterly basic and diluted earnings (loss) per share information may not equal annual basic and diluted earnings per share.</w:t>
      </w:r>
    </w:p>
    <w:p>
      <w:pPr>
        <w:sectPr>
          <w:pgSz w:w="11900" w:h="16838" w:orient="portrait"/>
          <w:cols w:equalWidth="0" w:num="1">
            <w:col w:w="11420"/>
          </w:cols>
          <w:pgMar w:left="240" w:top="715" w:right="239" w:bottom="1440" w:gutter="0" w:footer="0" w:header="0"/>
        </w:sectPr>
      </w:pP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86</w:t>
      </w:r>
    </w:p>
    <w:p>
      <w:pPr>
        <w:sectPr>
          <w:pgSz w:w="11900" w:h="16838" w:orient="portrait"/>
          <w:cols w:equalWidth="0" w:num="1">
            <w:col w:w="11420"/>
          </w:cols>
          <w:pgMar w:left="240" w:top="715" w:right="239" w:bottom="1440" w:gutter="0" w:footer="0" w:header="0"/>
          <w:type w:val="continuous"/>
        </w:sectPr>
      </w:pPr>
    </w:p>
    <w:bookmarkStart w:id="88" w:name="page89"/>
    <w:bookmarkEnd w:id="88"/>
    <w:p>
      <w:pPr>
        <w:spacing w:after="0"/>
        <w:rPr>
          <w:sz w:val="20"/>
          <w:szCs w:val="20"/>
          <w:color w:val="auto"/>
        </w:rPr>
      </w:pPr>
      <w:r>
        <w:rPr>
          <w:rFonts w:ascii="Arial" w:cs="Arial" w:eastAsia="Arial" w:hAnsi="Arial"/>
          <w:sz w:val="18"/>
          <w:szCs w:val="18"/>
          <w:b w:val="1"/>
          <w:bCs w:val="1"/>
          <w:color w:val="auto"/>
        </w:rPr>
        <w:t>23.  ACQUISITIONS</w:t>
      </w:r>
    </w:p>
    <w:p>
      <w:pPr>
        <w:spacing w:after="0" w:line="229"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On January 31, 2017, we completed the acquisition of privately-held Social Point, S.L. (“Social Point”), a Spanish free-to-play mobile game developer, for consideration of $175,000 in cash and the issuance of 1,480 shares of our common stock, plus contingent earn-out consideration of up to an aggregate of $25,900 in cash and shares of our common stock. The cash portion was funded from our cash on hand. Certain of the shares that were issued to continuing employees are subject to transferability restrictions and forfeiture provisions requiring their continued employment subject to certain exceptions over the three-year period following the closing and are therefore considered share-based compensation over the service period.</w:t>
      </w:r>
    </w:p>
    <w:p>
      <w:pPr>
        <w:spacing w:after="0" w:line="17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acquired Social Point to leverage its strong portfolio of technology, assembled workforce, and existing free-to-play mobile games in order to expand and enhance our game offerings, particularly on mobile platforms.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acquisition-date fair value of the consideration transferred totaled $238,736, which consisted of the following:</w:t>
      </w:r>
    </w:p>
    <w:p>
      <w:pPr>
        <w:spacing w:after="0" w:line="383" w:lineRule="exact"/>
        <w:rPr>
          <w:sz w:val="20"/>
          <w:szCs w:val="20"/>
          <w:color w:val="auto"/>
        </w:rPr>
      </w:pPr>
    </w:p>
    <w:tbl>
      <w:tblPr>
        <w:tblLayout w:type="fixed"/>
        <w:tblInd w:w="3500" w:type="dxa"/>
        <w:tblCellMar>
          <w:top w:w="0" w:type="dxa"/>
          <w:left w:w="0" w:type="dxa"/>
          <w:bottom w:w="0" w:type="dxa"/>
          <w:right w:w="0" w:type="dxa"/>
        </w:tblCellMar>
      </w:tblPr>
      <w:tr>
        <w:trPr>
          <w:trHeight w:val="216"/>
        </w:trPr>
        <w:tc>
          <w:tcPr>
            <w:tcW w:w="2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jc w:val="right"/>
              <w:ind w:right="330"/>
              <w:spacing w:after="0"/>
              <w:rPr>
                <w:sz w:val="20"/>
                <w:szCs w:val="20"/>
                <w:color w:val="auto"/>
              </w:rPr>
            </w:pPr>
            <w:r>
              <w:rPr>
                <w:rFonts w:ascii="Arial" w:cs="Arial" w:eastAsia="Arial" w:hAnsi="Arial"/>
                <w:sz w:val="18"/>
                <w:szCs w:val="18"/>
                <w:b w:val="1"/>
                <w:bCs w:val="1"/>
                <w:color w:val="auto"/>
              </w:rPr>
              <w:t>Fair value of</w:t>
            </w:r>
          </w:p>
        </w:tc>
      </w:tr>
      <w:tr>
        <w:trPr>
          <w:trHeight w:val="216"/>
        </w:trPr>
        <w:tc>
          <w:tcPr>
            <w:tcW w:w="26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jc w:val="right"/>
              <w:ind w:right="470"/>
              <w:spacing w:after="0"/>
              <w:rPr>
                <w:sz w:val="20"/>
                <w:szCs w:val="20"/>
                <w:color w:val="auto"/>
              </w:rPr>
            </w:pPr>
            <w:r>
              <w:rPr>
                <w:rFonts w:ascii="Arial" w:cs="Arial" w:eastAsia="Arial" w:hAnsi="Arial"/>
                <w:sz w:val="18"/>
                <w:szCs w:val="18"/>
                <w:b w:val="1"/>
                <w:bCs w:val="1"/>
                <w:color w:val="auto"/>
              </w:rPr>
              <w:t>purchase</w:t>
            </w:r>
          </w:p>
        </w:tc>
      </w:tr>
      <w:tr>
        <w:trPr>
          <w:trHeight w:val="234"/>
        </w:trPr>
        <w:tc>
          <w:tcPr>
            <w:tcW w:w="26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60" w:type="dxa"/>
            <w:vAlign w:val="bottom"/>
          </w:tcPr>
          <w:p>
            <w:pPr>
              <w:jc w:val="right"/>
              <w:ind w:right="310"/>
              <w:spacing w:after="0"/>
              <w:rPr>
                <w:sz w:val="20"/>
                <w:szCs w:val="20"/>
                <w:color w:val="auto"/>
              </w:rPr>
            </w:pPr>
            <w:r>
              <w:rPr>
                <w:rFonts w:ascii="Arial" w:cs="Arial" w:eastAsia="Arial" w:hAnsi="Arial"/>
                <w:sz w:val="18"/>
                <w:szCs w:val="18"/>
                <w:b w:val="1"/>
                <w:bCs w:val="1"/>
                <w:color w:val="auto"/>
                <w:w w:val="96"/>
              </w:rPr>
              <w:t>consideration</w:t>
            </w:r>
          </w:p>
        </w:tc>
      </w:tr>
      <w:tr>
        <w:trPr>
          <w:trHeight w:val="27"/>
        </w:trPr>
        <w:tc>
          <w:tcPr>
            <w:tcW w:w="266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r>
        <w:trPr>
          <w:trHeight w:val="244"/>
        </w:trPr>
        <w:tc>
          <w:tcPr>
            <w:tcW w:w="2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Cash</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175,000</w:t>
            </w:r>
          </w:p>
        </w:tc>
      </w:tr>
      <w:tr>
        <w:trPr>
          <w:trHeight w:val="243"/>
        </w:trPr>
        <w:tc>
          <w:tcPr>
            <w:tcW w:w="2660" w:type="dxa"/>
            <w:vAlign w:val="bottom"/>
          </w:tcPr>
          <w:p>
            <w:pPr>
              <w:ind w:left="20"/>
              <w:spacing w:after="0"/>
              <w:rPr>
                <w:sz w:val="20"/>
                <w:szCs w:val="20"/>
                <w:color w:val="auto"/>
              </w:rPr>
            </w:pPr>
            <w:r>
              <w:rPr>
                <w:rFonts w:ascii="Arial" w:cs="Arial" w:eastAsia="Arial" w:hAnsi="Arial"/>
                <w:sz w:val="18"/>
                <w:szCs w:val="18"/>
                <w:color w:val="auto"/>
                <w:w w:val="94"/>
              </w:rPr>
              <w:t>Common stock (1,071,739 shares)</w:t>
            </w:r>
          </w:p>
        </w:tc>
        <w:tc>
          <w:tcPr>
            <w:tcW w:w="220" w:type="dxa"/>
            <w:vAlign w:val="bottom"/>
          </w:tcPr>
          <w:p>
            <w:pPr>
              <w:spacing w:after="0"/>
              <w:rPr>
                <w:sz w:val="21"/>
                <w:szCs w:val="21"/>
                <w:color w:val="auto"/>
              </w:rPr>
            </w:pPr>
          </w:p>
        </w:tc>
        <w:tc>
          <w:tcPr>
            <w:tcW w:w="1560" w:type="dxa"/>
            <w:vAlign w:val="bottom"/>
          </w:tcPr>
          <w:p>
            <w:pPr>
              <w:jc w:val="right"/>
              <w:spacing w:after="0"/>
              <w:rPr>
                <w:sz w:val="20"/>
                <w:szCs w:val="20"/>
                <w:color w:val="auto"/>
              </w:rPr>
            </w:pPr>
            <w:r>
              <w:rPr>
                <w:rFonts w:ascii="Arial" w:cs="Arial" w:eastAsia="Arial" w:hAnsi="Arial"/>
                <w:sz w:val="18"/>
                <w:szCs w:val="18"/>
                <w:color w:val="auto"/>
              </w:rPr>
              <w:t>57,327</w:t>
            </w:r>
          </w:p>
        </w:tc>
      </w:tr>
      <w:tr>
        <w:trPr>
          <w:trHeight w:val="27"/>
        </w:trPr>
        <w:tc>
          <w:tcPr>
            <w:tcW w:w="26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560" w:type="dxa"/>
            <w:vAlign w:val="bottom"/>
          </w:tcPr>
          <w:p>
            <w:pPr>
              <w:spacing w:after="0"/>
              <w:rPr>
                <w:sz w:val="2"/>
                <w:szCs w:val="2"/>
                <w:color w:val="auto"/>
              </w:rPr>
            </w:pPr>
          </w:p>
        </w:tc>
      </w:tr>
      <w:tr>
        <w:trPr>
          <w:trHeight w:val="270"/>
        </w:trPr>
        <w:tc>
          <w:tcPr>
            <w:tcW w:w="26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Contingent earn-out</w:t>
            </w:r>
          </w:p>
        </w:tc>
        <w:tc>
          <w:tcPr>
            <w:tcW w:w="220" w:type="dxa"/>
            <w:vAlign w:val="bottom"/>
            <w:tcBorders>
              <w:bottom w:val="single" w:sz="8" w:color="CCEEFF"/>
            </w:tcBorders>
            <w:shd w:val="clear" w:color="auto" w:fill="CCEEFF"/>
          </w:tcPr>
          <w:p>
            <w:pPr>
              <w:spacing w:after="0"/>
              <w:rPr>
                <w:sz w:val="23"/>
                <w:szCs w:val="23"/>
                <w:color w:val="auto"/>
              </w:rPr>
            </w:pPr>
          </w:p>
        </w:tc>
        <w:tc>
          <w:tcPr>
            <w:tcW w:w="15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6,409</w:t>
            </w:r>
          </w:p>
        </w:tc>
      </w:tr>
      <w:tr>
        <w:trPr>
          <w:trHeight w:val="257"/>
        </w:trPr>
        <w:tc>
          <w:tcPr>
            <w:tcW w:w="2660" w:type="dxa"/>
            <w:vAlign w:val="bottom"/>
          </w:tcPr>
          <w:p>
            <w:pPr>
              <w:ind w:left="20"/>
              <w:spacing w:after="0"/>
              <w:rPr>
                <w:sz w:val="20"/>
                <w:szCs w:val="20"/>
                <w:color w:val="auto"/>
              </w:rPr>
            </w:pPr>
            <w:r>
              <w:rPr>
                <w:rFonts w:ascii="Arial" w:cs="Arial" w:eastAsia="Arial" w:hAnsi="Arial"/>
                <w:sz w:val="18"/>
                <w:szCs w:val="18"/>
                <w:color w:val="auto"/>
              </w:rPr>
              <w:t>Total</w:t>
            </w: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238,736</w:t>
            </w:r>
          </w:p>
        </w:tc>
      </w:tr>
      <w:tr>
        <w:trPr>
          <w:trHeight w:val="20"/>
        </w:trPr>
        <w:tc>
          <w:tcPr>
            <w:tcW w:w="266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Of the $175,000 cash consideration, $25,000 was contractually deferred and accrued for within Accrued expenses and other current liabilities within our Consolidated Balance Sheets. Subsequent to March 31, 2018 but prior to the issuance of this report on Form 10-K, we finalized the remaining $25,000 payment.</w:t>
      </w:r>
    </w:p>
    <w:p>
      <w:pPr>
        <w:spacing w:after="0" w:line="181"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fair value of the of the purchase consideration attributed to the common shares issued was calculated by using the Take-Two's closing share price on January 30, 2017, as the shares were transferred prior to the opening of the market on January 31, 2017.</w:t>
      </w:r>
    </w:p>
    <w:p>
      <w:pPr>
        <w:spacing w:after="0" w:line="170"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contingent earn-out consideration arrangement requires us to pay up to an aggregate of $25,900 in cash and shares of the Take-Two common stock, if Social Point achieves certain performance measures over the 12 and 24-month periods following the closing. The fair value of the contingent consideration arrangement at the acquisition date was $6,409. We estimated the fair value of the contingent consideration using a Monte Carlo simulation model. This fair value measurement is based on significant inputs not observable in the market and thus represents a Level 3 measurement as defined in ASC 820. (Refer to Note 3.) As of March 31, 2018, the fair value had decreased to $0 as a result of the lower probability of Social Point achieving certain performance measures in the 24-month period following the acquisition.</w:t>
      </w:r>
    </w:p>
    <w:p>
      <w:pPr>
        <w:spacing w:after="0" w:line="193"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summarizes the acquisition date fair value of net tangible and intangible assets acquired, net of liabilities assumed from Social Point.</w:t>
      </w:r>
    </w:p>
    <w:p>
      <w:pPr>
        <w:spacing w:after="0" w:line="179" w:lineRule="exact"/>
        <w:rPr>
          <w:sz w:val="20"/>
          <w:szCs w:val="20"/>
          <w:color w:val="auto"/>
        </w:rPr>
      </w:pPr>
    </w:p>
    <w:tbl>
      <w:tblPr>
        <w:tblLayout w:type="fixed"/>
        <w:tblInd w:w="2340" w:type="dxa"/>
        <w:tblCellMar>
          <w:top w:w="0" w:type="dxa"/>
          <w:left w:w="0" w:type="dxa"/>
          <w:bottom w:w="0" w:type="dxa"/>
          <w:right w:w="0" w:type="dxa"/>
        </w:tblCellMar>
      </w:tblPr>
      <w:tr>
        <w:trPr>
          <w:trHeight w:val="216"/>
        </w:trPr>
        <w:tc>
          <w:tcPr>
            <w:tcW w:w="3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b w:val="1"/>
                <w:bCs w:val="1"/>
                <w:color w:val="auto"/>
                <w:w w:val="91"/>
              </w:rPr>
              <w:t>Weighted</w:t>
            </w:r>
          </w:p>
        </w:tc>
      </w:tr>
      <w:tr>
        <w:trPr>
          <w:trHeight w:val="216"/>
        </w:trPr>
        <w:tc>
          <w:tcPr>
            <w:tcW w:w="30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8"/>
                <w:szCs w:val="18"/>
                <w:b w:val="1"/>
                <w:bCs w:val="1"/>
                <w:color w:val="auto"/>
                <w:w w:val="88"/>
              </w:rPr>
              <w:t>average</w:t>
            </w:r>
          </w:p>
        </w:tc>
      </w:tr>
      <w:tr>
        <w:trPr>
          <w:trHeight w:val="234"/>
        </w:trPr>
        <w:tc>
          <w:tcPr>
            <w:tcW w:w="30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0" w:type="dxa"/>
            <w:vAlign w:val="bottom"/>
          </w:tcPr>
          <w:p>
            <w:pPr>
              <w:jc w:val="right"/>
              <w:ind w:right="370"/>
              <w:spacing w:after="0"/>
              <w:rPr>
                <w:sz w:val="20"/>
                <w:szCs w:val="20"/>
                <w:color w:val="auto"/>
              </w:rPr>
            </w:pPr>
            <w:r>
              <w:rPr>
                <w:rFonts w:ascii="Arial" w:cs="Arial" w:eastAsia="Arial" w:hAnsi="Arial"/>
                <w:sz w:val="18"/>
                <w:szCs w:val="18"/>
                <w:b w:val="1"/>
                <w:bCs w:val="1"/>
                <w:color w:val="auto"/>
              </w:rPr>
              <w:t>Fair value</w:t>
            </w:r>
          </w:p>
        </w:tc>
        <w:tc>
          <w:tcPr>
            <w:tcW w:w="1640" w:type="dxa"/>
            <w:vAlign w:val="bottom"/>
          </w:tcPr>
          <w:p>
            <w:pPr>
              <w:jc w:val="center"/>
              <w:spacing w:after="0"/>
              <w:rPr>
                <w:sz w:val="20"/>
                <w:szCs w:val="20"/>
                <w:color w:val="auto"/>
              </w:rPr>
            </w:pPr>
            <w:r>
              <w:rPr>
                <w:rFonts w:ascii="Arial" w:cs="Arial" w:eastAsia="Arial" w:hAnsi="Arial"/>
                <w:sz w:val="18"/>
                <w:szCs w:val="18"/>
                <w:b w:val="1"/>
                <w:bCs w:val="1"/>
                <w:color w:val="auto"/>
                <w:w w:val="88"/>
              </w:rPr>
              <w:t>useful life</w:t>
            </w:r>
          </w:p>
        </w:tc>
      </w:tr>
      <w:tr>
        <w:trPr>
          <w:trHeight w:val="27"/>
        </w:trPr>
        <w:tc>
          <w:tcPr>
            <w:tcW w:w="3080" w:type="dxa"/>
            <w:vAlign w:val="bottom"/>
            <w:tcBorders>
              <w:bottom w:val="single" w:sz="8" w:color="CCEEFF"/>
            </w:tcBorders>
          </w:tcPr>
          <w:p>
            <w:pPr>
              <w:spacing w:after="0"/>
              <w:rPr>
                <w:sz w:val="2"/>
                <w:szCs w:val="2"/>
                <w:color w:val="auto"/>
              </w:rPr>
            </w:pPr>
          </w:p>
        </w:tc>
        <w:tc>
          <w:tcPr>
            <w:tcW w:w="3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r>
      <w:tr>
        <w:trPr>
          <w:trHeight w:val="244"/>
        </w:trPr>
        <w:tc>
          <w:tcPr>
            <w:tcW w:w="3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w w:val="95"/>
              </w:rPr>
              <w:t>Tangible net assets (liabilities assumed)</w:t>
            </w:r>
          </w:p>
        </w:tc>
        <w:tc>
          <w:tcPr>
            <w:tcW w:w="640" w:type="dxa"/>
            <w:vAlign w:val="bottom"/>
            <w:tcBorders>
              <w:bottom w:val="single" w:sz="8" w:color="CCEEFF"/>
            </w:tcBorders>
            <w:gridSpan w:val="2"/>
            <w:shd w:val="clear" w:color="auto" w:fill="CCEEFF"/>
          </w:tcPr>
          <w:p>
            <w:pPr>
              <w:jc w:val="right"/>
              <w:ind w:right="50"/>
              <w:spacing w:after="0"/>
              <w:rPr>
                <w:sz w:val="20"/>
                <w:szCs w:val="20"/>
                <w:color w:val="auto"/>
              </w:rPr>
            </w:pPr>
            <w:r>
              <w:rPr>
                <w:rFonts w:ascii="Arial" w:cs="Arial" w:eastAsia="Arial" w:hAnsi="Arial"/>
                <w:sz w:val="18"/>
                <w:szCs w:val="18"/>
                <w:color w:val="auto"/>
              </w:rPr>
              <w:t>$</w:t>
            </w:r>
          </w:p>
        </w:tc>
        <w:tc>
          <w:tcPr>
            <w:tcW w:w="14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(20,625)</w:t>
            </w:r>
          </w:p>
        </w:tc>
        <w:tc>
          <w:tcPr>
            <w:tcW w:w="16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9"/>
              </w:rPr>
              <w:t>N/A</w:t>
            </w:r>
          </w:p>
        </w:tc>
      </w:tr>
      <w:tr>
        <w:trPr>
          <w:trHeight w:val="243"/>
        </w:trPr>
        <w:tc>
          <w:tcPr>
            <w:tcW w:w="3080" w:type="dxa"/>
            <w:vAlign w:val="bottom"/>
          </w:tcPr>
          <w:p>
            <w:pPr>
              <w:ind w:left="20"/>
              <w:spacing w:after="0"/>
              <w:rPr>
                <w:sz w:val="20"/>
                <w:szCs w:val="20"/>
                <w:color w:val="auto"/>
              </w:rPr>
            </w:pPr>
            <w:r>
              <w:rPr>
                <w:rFonts w:ascii="Arial" w:cs="Arial" w:eastAsia="Arial" w:hAnsi="Arial"/>
                <w:sz w:val="18"/>
                <w:szCs w:val="18"/>
                <w:color w:val="auto"/>
              </w:rPr>
              <w:t>Intangible Assets</w:t>
            </w:r>
          </w:p>
        </w:tc>
        <w:tc>
          <w:tcPr>
            <w:tcW w:w="3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00" w:type="dxa"/>
            <w:vAlign w:val="bottom"/>
          </w:tcPr>
          <w:p>
            <w:pPr>
              <w:spacing w:after="0"/>
              <w:rPr>
                <w:sz w:val="21"/>
                <w:szCs w:val="21"/>
                <w:color w:val="auto"/>
              </w:rPr>
            </w:pPr>
          </w:p>
        </w:tc>
        <w:tc>
          <w:tcPr>
            <w:tcW w:w="1640" w:type="dxa"/>
            <w:vAlign w:val="bottom"/>
          </w:tcPr>
          <w:p>
            <w:pPr>
              <w:spacing w:after="0"/>
              <w:rPr>
                <w:sz w:val="21"/>
                <w:szCs w:val="21"/>
                <w:color w:val="auto"/>
              </w:rPr>
            </w:pPr>
          </w:p>
        </w:tc>
      </w:tr>
      <w:tr>
        <w:trPr>
          <w:trHeight w:val="27"/>
        </w:trPr>
        <w:tc>
          <w:tcPr>
            <w:tcW w:w="30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50"/>
        </w:trPr>
        <w:tc>
          <w:tcPr>
            <w:tcW w:w="30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Developed game technology</w:t>
            </w:r>
          </w:p>
        </w:tc>
        <w:tc>
          <w:tcPr>
            <w:tcW w:w="3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53,950</w:t>
            </w:r>
          </w:p>
        </w:tc>
        <w:tc>
          <w:tcPr>
            <w:tcW w:w="16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4 years</w:t>
            </w:r>
          </w:p>
        </w:tc>
      </w:tr>
      <w:tr>
        <w:trPr>
          <w:trHeight w:val="243"/>
        </w:trPr>
        <w:tc>
          <w:tcPr>
            <w:tcW w:w="3080" w:type="dxa"/>
            <w:vAlign w:val="bottom"/>
          </w:tcPr>
          <w:p>
            <w:pPr>
              <w:ind w:left="160"/>
              <w:spacing w:after="0"/>
              <w:rPr>
                <w:sz w:val="20"/>
                <w:szCs w:val="20"/>
                <w:color w:val="auto"/>
              </w:rPr>
            </w:pPr>
            <w:r>
              <w:rPr>
                <w:rFonts w:ascii="Arial" w:cs="Arial" w:eastAsia="Arial" w:hAnsi="Arial"/>
                <w:sz w:val="18"/>
                <w:szCs w:val="18"/>
                <w:color w:val="auto"/>
              </w:rPr>
              <w:t>In-process R&amp;D</w:t>
            </w:r>
          </w:p>
        </w:tc>
        <w:tc>
          <w:tcPr>
            <w:tcW w:w="3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14,700</w:t>
            </w:r>
          </w:p>
        </w:tc>
        <w:tc>
          <w:tcPr>
            <w:tcW w:w="1640" w:type="dxa"/>
            <w:vAlign w:val="bottom"/>
          </w:tcPr>
          <w:p>
            <w:pPr>
              <w:jc w:val="center"/>
              <w:spacing w:after="0"/>
              <w:rPr>
                <w:sz w:val="20"/>
                <w:szCs w:val="20"/>
                <w:color w:val="auto"/>
              </w:rPr>
            </w:pPr>
            <w:r>
              <w:rPr>
                <w:rFonts w:ascii="Arial" w:cs="Arial" w:eastAsia="Arial" w:hAnsi="Arial"/>
                <w:sz w:val="18"/>
                <w:szCs w:val="18"/>
                <w:color w:val="auto"/>
              </w:rPr>
              <w:t>N/A</w:t>
            </w:r>
          </w:p>
        </w:tc>
      </w:tr>
      <w:tr>
        <w:trPr>
          <w:trHeight w:val="27"/>
        </w:trPr>
        <w:tc>
          <w:tcPr>
            <w:tcW w:w="30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50"/>
        </w:trPr>
        <w:tc>
          <w:tcPr>
            <w:tcW w:w="30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Analytics technology</w:t>
            </w:r>
          </w:p>
        </w:tc>
        <w:tc>
          <w:tcPr>
            <w:tcW w:w="3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29,700</w:t>
            </w:r>
          </w:p>
        </w:tc>
        <w:tc>
          <w:tcPr>
            <w:tcW w:w="16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5 years</w:t>
            </w:r>
          </w:p>
        </w:tc>
      </w:tr>
      <w:tr>
        <w:trPr>
          <w:trHeight w:val="243"/>
        </w:trPr>
        <w:tc>
          <w:tcPr>
            <w:tcW w:w="3080" w:type="dxa"/>
            <w:vAlign w:val="bottom"/>
          </w:tcPr>
          <w:p>
            <w:pPr>
              <w:ind w:left="160"/>
              <w:spacing w:after="0"/>
              <w:rPr>
                <w:sz w:val="20"/>
                <w:szCs w:val="20"/>
                <w:color w:val="auto"/>
              </w:rPr>
            </w:pPr>
            <w:r>
              <w:rPr>
                <w:rFonts w:ascii="Arial" w:cs="Arial" w:eastAsia="Arial" w:hAnsi="Arial"/>
                <w:sz w:val="18"/>
                <w:szCs w:val="18"/>
                <w:color w:val="auto"/>
              </w:rPr>
              <w:t>User base</w:t>
            </w:r>
          </w:p>
        </w:tc>
        <w:tc>
          <w:tcPr>
            <w:tcW w:w="3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9,000</w:t>
            </w:r>
          </w:p>
        </w:tc>
        <w:tc>
          <w:tcPr>
            <w:tcW w:w="1640" w:type="dxa"/>
            <w:vAlign w:val="bottom"/>
          </w:tcPr>
          <w:p>
            <w:pPr>
              <w:jc w:val="center"/>
              <w:spacing w:after="0"/>
              <w:rPr>
                <w:sz w:val="20"/>
                <w:szCs w:val="20"/>
                <w:color w:val="auto"/>
              </w:rPr>
            </w:pPr>
            <w:r>
              <w:rPr>
                <w:rFonts w:ascii="Arial" w:cs="Arial" w:eastAsia="Arial" w:hAnsi="Arial"/>
                <w:sz w:val="18"/>
                <w:szCs w:val="18"/>
                <w:color w:val="auto"/>
                <w:w w:val="87"/>
              </w:rPr>
              <w:t>1 year</w:t>
            </w:r>
          </w:p>
        </w:tc>
      </w:tr>
      <w:tr>
        <w:trPr>
          <w:trHeight w:val="27"/>
        </w:trPr>
        <w:tc>
          <w:tcPr>
            <w:tcW w:w="3080" w:type="dxa"/>
            <w:vAlign w:val="bottom"/>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00" w:type="dxa"/>
            <w:vAlign w:val="bottom"/>
          </w:tcPr>
          <w:p>
            <w:pPr>
              <w:spacing w:after="0"/>
              <w:rPr>
                <w:sz w:val="2"/>
                <w:szCs w:val="2"/>
                <w:color w:val="auto"/>
              </w:rPr>
            </w:pPr>
          </w:p>
        </w:tc>
        <w:tc>
          <w:tcPr>
            <w:tcW w:w="1640" w:type="dxa"/>
            <w:vAlign w:val="bottom"/>
          </w:tcPr>
          <w:p>
            <w:pPr>
              <w:spacing w:after="0"/>
              <w:rPr>
                <w:sz w:val="2"/>
                <w:szCs w:val="2"/>
                <w:color w:val="auto"/>
              </w:rPr>
            </w:pPr>
          </w:p>
        </w:tc>
      </w:tr>
      <w:tr>
        <w:trPr>
          <w:trHeight w:val="250"/>
        </w:trPr>
        <w:tc>
          <w:tcPr>
            <w:tcW w:w="3080" w:type="dxa"/>
            <w:vAlign w:val="bottom"/>
            <w:tcBorders>
              <w:bottom w:val="single" w:sz="8" w:color="CCEEFF"/>
            </w:tcBorders>
            <w:shd w:val="clear" w:color="auto" w:fill="CCEEFF"/>
          </w:tcPr>
          <w:p>
            <w:pPr>
              <w:ind w:left="160"/>
              <w:spacing w:after="0"/>
              <w:rPr>
                <w:sz w:val="20"/>
                <w:szCs w:val="20"/>
                <w:color w:val="auto"/>
              </w:rPr>
            </w:pPr>
            <w:r>
              <w:rPr>
                <w:rFonts w:ascii="Arial" w:cs="Arial" w:eastAsia="Arial" w:hAnsi="Arial"/>
                <w:sz w:val="18"/>
                <w:szCs w:val="18"/>
                <w:color w:val="auto"/>
              </w:rPr>
              <w:t>Branding and trade names</w:t>
            </w:r>
          </w:p>
        </w:tc>
        <w:tc>
          <w:tcPr>
            <w:tcW w:w="38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4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4,200</w:t>
            </w:r>
          </w:p>
        </w:tc>
        <w:tc>
          <w:tcPr>
            <w:tcW w:w="164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88"/>
              </w:rPr>
              <w:t>9 years</w:t>
            </w:r>
          </w:p>
        </w:tc>
      </w:tr>
      <w:tr>
        <w:trPr>
          <w:trHeight w:val="243"/>
        </w:trPr>
        <w:tc>
          <w:tcPr>
            <w:tcW w:w="3080" w:type="dxa"/>
            <w:vAlign w:val="bottom"/>
          </w:tcPr>
          <w:p>
            <w:pPr>
              <w:ind w:left="160"/>
              <w:spacing w:after="0"/>
              <w:rPr>
                <w:sz w:val="20"/>
                <w:szCs w:val="20"/>
                <w:color w:val="auto"/>
              </w:rPr>
            </w:pPr>
            <w:r>
              <w:rPr>
                <w:rFonts w:ascii="Arial" w:cs="Arial" w:eastAsia="Arial" w:hAnsi="Arial"/>
                <w:sz w:val="18"/>
                <w:szCs w:val="18"/>
                <w:color w:val="auto"/>
              </w:rPr>
              <w:t>Goodwill</w:t>
            </w:r>
          </w:p>
        </w:tc>
        <w:tc>
          <w:tcPr>
            <w:tcW w:w="38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400" w:type="dxa"/>
            <w:vAlign w:val="bottom"/>
          </w:tcPr>
          <w:p>
            <w:pPr>
              <w:jc w:val="right"/>
              <w:ind w:right="10"/>
              <w:spacing w:after="0"/>
              <w:rPr>
                <w:sz w:val="20"/>
                <w:szCs w:val="20"/>
                <w:color w:val="auto"/>
              </w:rPr>
            </w:pPr>
            <w:r>
              <w:rPr>
                <w:rFonts w:ascii="Arial" w:cs="Arial" w:eastAsia="Arial" w:hAnsi="Arial"/>
                <w:sz w:val="18"/>
                <w:szCs w:val="18"/>
                <w:color w:val="auto"/>
              </w:rPr>
              <w:t>147,811</w:t>
            </w:r>
          </w:p>
        </w:tc>
        <w:tc>
          <w:tcPr>
            <w:tcW w:w="1640" w:type="dxa"/>
            <w:vAlign w:val="bottom"/>
          </w:tcPr>
          <w:p>
            <w:pPr>
              <w:jc w:val="center"/>
              <w:spacing w:after="0"/>
              <w:rPr>
                <w:sz w:val="20"/>
                <w:szCs w:val="20"/>
                <w:color w:val="auto"/>
              </w:rPr>
            </w:pPr>
            <w:r>
              <w:rPr>
                <w:rFonts w:ascii="Arial" w:cs="Arial" w:eastAsia="Arial" w:hAnsi="Arial"/>
                <w:sz w:val="18"/>
                <w:szCs w:val="18"/>
                <w:color w:val="auto"/>
                <w:w w:val="99"/>
              </w:rPr>
              <w:t>N/A</w:t>
            </w:r>
          </w:p>
        </w:tc>
      </w:tr>
      <w:tr>
        <w:trPr>
          <w:trHeight w:val="27"/>
        </w:trPr>
        <w:tc>
          <w:tcPr>
            <w:tcW w:w="3080" w:type="dxa"/>
            <w:vAlign w:val="bottom"/>
            <w:tcBorders>
              <w:bottom w:val="single" w:sz="8" w:color="CCEEFF"/>
            </w:tcBorders>
          </w:tcPr>
          <w:p>
            <w:pPr>
              <w:spacing w:after="0"/>
              <w:rPr>
                <w:sz w:val="2"/>
                <w:szCs w:val="2"/>
                <w:color w:val="auto"/>
              </w:rPr>
            </w:pPr>
          </w:p>
        </w:tc>
        <w:tc>
          <w:tcPr>
            <w:tcW w:w="3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400" w:type="dxa"/>
            <w:vAlign w:val="bottom"/>
            <w:tcBorders>
              <w:bottom w:val="single" w:sz="8" w:color="auto"/>
            </w:tcBorders>
          </w:tcPr>
          <w:p>
            <w:pPr>
              <w:spacing w:after="0"/>
              <w:rPr>
                <w:sz w:val="2"/>
                <w:szCs w:val="2"/>
                <w:color w:val="auto"/>
              </w:rPr>
            </w:pPr>
          </w:p>
        </w:tc>
        <w:tc>
          <w:tcPr>
            <w:tcW w:w="1640" w:type="dxa"/>
            <w:vAlign w:val="bottom"/>
            <w:tcBorders>
              <w:bottom w:val="single" w:sz="8" w:color="CCEEFF"/>
            </w:tcBorders>
          </w:tcPr>
          <w:p>
            <w:pPr>
              <w:spacing w:after="0"/>
              <w:rPr>
                <w:sz w:val="2"/>
                <w:szCs w:val="2"/>
                <w:color w:val="auto"/>
              </w:rPr>
            </w:pPr>
          </w:p>
        </w:tc>
      </w:tr>
      <w:tr>
        <w:trPr>
          <w:trHeight w:val="257"/>
        </w:trPr>
        <w:tc>
          <w:tcPr>
            <w:tcW w:w="30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38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4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238,736</w:t>
            </w:r>
          </w:p>
        </w:tc>
        <w:tc>
          <w:tcPr>
            <w:tcW w:w="1640" w:type="dxa"/>
            <w:vAlign w:val="bottom"/>
            <w:tcBorders>
              <w:bottom w:val="single" w:sz="8" w:color="CCEEFF"/>
            </w:tcBorders>
            <w:shd w:val="clear" w:color="auto" w:fill="CCEEFF"/>
          </w:tcPr>
          <w:p>
            <w:pPr>
              <w:spacing w:after="0"/>
              <w:rPr>
                <w:sz w:val="22"/>
                <w:szCs w:val="22"/>
                <w:color w:val="auto"/>
              </w:rPr>
            </w:pPr>
          </w:p>
        </w:tc>
      </w:tr>
      <w:tr>
        <w:trPr>
          <w:trHeight w:val="20"/>
        </w:trPr>
        <w:tc>
          <w:tcPr>
            <w:tcW w:w="30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r>
      <w:tr>
        <w:trPr>
          <w:trHeight w:val="662"/>
        </w:trPr>
        <w:tc>
          <w:tcPr>
            <w:tcW w:w="3080" w:type="dxa"/>
            <w:vAlign w:val="bottom"/>
          </w:tcPr>
          <w:p>
            <w:pPr>
              <w:spacing w:after="0"/>
              <w:rPr>
                <w:sz w:val="24"/>
                <w:szCs w:val="24"/>
                <w:color w:val="auto"/>
              </w:rPr>
            </w:pPr>
          </w:p>
        </w:tc>
        <w:tc>
          <w:tcPr>
            <w:tcW w:w="640" w:type="dxa"/>
            <w:vAlign w:val="bottom"/>
            <w:gridSpan w:val="2"/>
          </w:tcPr>
          <w:p>
            <w:pPr>
              <w:jc w:val="right"/>
              <w:ind w:right="170"/>
              <w:spacing w:after="0"/>
              <w:rPr>
                <w:sz w:val="20"/>
                <w:szCs w:val="20"/>
                <w:color w:val="auto"/>
              </w:rPr>
            </w:pPr>
            <w:r>
              <w:rPr>
                <w:rFonts w:ascii="Arial" w:cs="Arial" w:eastAsia="Arial" w:hAnsi="Arial"/>
                <w:sz w:val="18"/>
                <w:szCs w:val="18"/>
                <w:color w:val="auto"/>
              </w:rPr>
              <w:t>87</w:t>
            </w:r>
          </w:p>
        </w:tc>
        <w:tc>
          <w:tcPr>
            <w:tcW w:w="1400" w:type="dxa"/>
            <w:vAlign w:val="bottom"/>
          </w:tcPr>
          <w:p>
            <w:pPr>
              <w:spacing w:after="0"/>
              <w:rPr>
                <w:sz w:val="24"/>
                <w:szCs w:val="24"/>
                <w:color w:val="auto"/>
              </w:rPr>
            </w:pPr>
          </w:p>
        </w:tc>
        <w:tc>
          <w:tcPr>
            <w:tcW w:w="1640" w:type="dxa"/>
            <w:vAlign w:val="bottom"/>
          </w:tcPr>
          <w:p>
            <w:pPr>
              <w:spacing w:after="0"/>
              <w:rPr>
                <w:sz w:val="24"/>
                <w:szCs w:val="24"/>
                <w:color w:val="auto"/>
              </w:rPr>
            </w:pPr>
          </w:p>
        </w:tc>
      </w:tr>
    </w:tbl>
    <w:p>
      <w:pPr>
        <w:sectPr>
          <w:pgSz w:w="11900" w:h="16838" w:orient="portrait"/>
          <w:cols w:equalWidth="0" w:num="1">
            <w:col w:w="11420"/>
          </w:cols>
          <w:pgMar w:left="240" w:top="580" w:right="239" w:bottom="1440" w:gutter="0" w:footer="0" w:header="0"/>
        </w:sectPr>
      </w:pPr>
    </w:p>
    <w:bookmarkStart w:id="89" w:name="page90"/>
    <w:bookmarkEnd w:id="89"/>
    <w:p>
      <w:pPr>
        <w:jc w:val="both"/>
        <w:spacing w:after="0" w:line="279" w:lineRule="auto"/>
        <w:rPr>
          <w:sz w:val="20"/>
          <w:szCs w:val="20"/>
          <w:color w:val="auto"/>
        </w:rPr>
      </w:pPr>
      <w:r>
        <w:rPr>
          <w:rFonts w:ascii="Arial" w:cs="Arial" w:eastAsia="Arial" w:hAnsi="Arial"/>
          <w:sz w:val="17"/>
          <w:szCs w:val="17"/>
          <w:color w:val="auto"/>
        </w:rPr>
        <w:t>Goodwill, which is not deductible for U.S. income tax purposes, represents the excess of the purchase price over the fair value of the net tangible and intangible assets acquired, and is primarily attributable to the assembled workforce of the acquired business and expected synergies at the time of the acquisition. During the fiscal year ended March 31, 2018, we recorded adjustments to finalize the purchase accounting for the Social Point acquisition, which resulted in a net increase in Goodwill of $4,245 and a corresponding decrease in Tangible net liabilities assumed.</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recognized $1,915 of acquisition related costs that were expensed in the fiscal year ended March 31, 2017. These costs were included in our Consolidated Statement of Operations within General and administrative expenses.</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88</w:t>
      </w:r>
    </w:p>
    <w:p>
      <w:pPr>
        <w:sectPr>
          <w:pgSz w:w="11900" w:h="16838" w:orient="portrait"/>
          <w:cols w:equalWidth="0" w:num="1">
            <w:col w:w="11420"/>
          </w:cols>
          <w:pgMar w:left="240" w:top="584" w:right="239" w:bottom="1440" w:gutter="0" w:footer="0" w:header="0"/>
        </w:sectPr>
      </w:pPr>
    </w:p>
    <w:bookmarkStart w:id="90" w:name="page91"/>
    <w:bookmarkEnd w:id="90"/>
    <w:p>
      <w:pPr>
        <w:jc w:val="center"/>
        <w:spacing w:after="0"/>
        <w:rPr>
          <w:sz w:val="20"/>
          <w:szCs w:val="20"/>
          <w:color w:val="auto"/>
        </w:rPr>
      </w:pPr>
      <w:r>
        <w:rPr>
          <w:rFonts w:ascii="Arial" w:cs="Arial" w:eastAsia="Arial" w:hAnsi="Arial"/>
          <w:sz w:val="18"/>
          <w:szCs w:val="18"/>
          <w:b w:val="1"/>
          <w:bCs w:val="1"/>
          <w:color w:val="auto"/>
        </w:rPr>
        <w:t>SIGNATURES</w:t>
      </w:r>
    </w:p>
    <w:p>
      <w:pPr>
        <w:spacing w:after="0" w:line="28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247" w:lineRule="exact"/>
        <w:rPr>
          <w:sz w:val="20"/>
          <w:szCs w:val="20"/>
          <w:color w:val="auto"/>
        </w:rPr>
      </w:pPr>
    </w:p>
    <w:p>
      <w:pPr>
        <w:ind w:left="5240"/>
        <w:spacing w:after="0"/>
        <w:rPr>
          <w:sz w:val="20"/>
          <w:szCs w:val="20"/>
          <w:color w:val="auto"/>
        </w:rPr>
      </w:pPr>
      <w:r>
        <w:rPr>
          <w:rFonts w:ascii="Arial" w:cs="Arial" w:eastAsia="Arial" w:hAnsi="Arial"/>
          <w:sz w:val="18"/>
          <w:szCs w:val="18"/>
          <w:b w:val="1"/>
          <w:bCs w:val="1"/>
          <w:color w:val="auto"/>
        </w:rPr>
        <w:t>TAKE-TWO INTERACTIVE SOFTWARE, INC.</w:t>
      </w:r>
    </w:p>
    <w:p>
      <w:pPr>
        <w:spacing w:after="0" w:line="67" w:lineRule="exact"/>
        <w:rPr>
          <w:sz w:val="20"/>
          <w:szCs w:val="20"/>
          <w:color w:val="auto"/>
        </w:rPr>
      </w:pPr>
    </w:p>
    <w:p>
      <w:pPr>
        <w:ind w:left="5240"/>
        <w:spacing w:after="0"/>
        <w:tabs>
          <w:tab w:leader="none" w:pos="56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3581400</wp:posOffset>
            </wp:positionH>
            <wp:positionV relativeFrom="paragraph">
              <wp:posOffset>31750</wp:posOffset>
            </wp:positionV>
            <wp:extent cx="2272665"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0">
                      <a:extLst>
                        <a:ext uri="{28A0092B-C50C-407E-A947-70E740481C1C}"/>
                      </a:extLst>
                    </a:blip>
                    <a:srcRect/>
                    <a:stretch>
                      <a:fillRect/>
                    </a:stretch>
                  </pic:blipFill>
                  <pic:spPr bwMode="auto">
                    <a:xfrm>
                      <a:off x="0" y="0"/>
                      <a:ext cx="2272665" cy="8890"/>
                    </a:xfrm>
                    <a:prstGeom prst="rect">
                      <a:avLst/>
                    </a:prstGeom>
                    <a:noFill/>
                  </pic:spPr>
                </pic:pic>
              </a:graphicData>
            </a:graphic>
          </wp:anchor>
        </w:drawing>
      </w:r>
    </w:p>
    <w:p>
      <w:pPr>
        <w:spacing w:after="0" w:line="57"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Strauss Zelnick</w:t>
      </w:r>
    </w:p>
    <w:p>
      <w:pPr>
        <w:spacing w:after="0" w:line="23"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Chairman and Chief Executive Officer</w:t>
      </w:r>
    </w:p>
    <w:p>
      <w:pPr>
        <w:spacing w:after="0" w:line="49" w:lineRule="exact"/>
        <w:rPr>
          <w:sz w:val="20"/>
          <w:szCs w:val="20"/>
          <w:color w:val="auto"/>
        </w:rPr>
      </w:pPr>
    </w:p>
    <w:p>
      <w:pPr>
        <w:ind w:left="40"/>
        <w:spacing w:after="0"/>
        <w:rPr>
          <w:sz w:val="20"/>
          <w:szCs w:val="20"/>
          <w:color w:val="auto"/>
        </w:rPr>
      </w:pPr>
      <w:r>
        <w:rPr>
          <w:rFonts w:ascii="Arial" w:cs="Arial" w:eastAsia="Arial" w:hAnsi="Arial"/>
          <w:sz w:val="18"/>
          <w:szCs w:val="18"/>
          <w:color w:val="auto"/>
        </w:rPr>
        <w:t>May 16, 2018</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283"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Each individual whose signature appears below constitutes and appoints Strauss Zelnick and Lainie Goldstein and each of them, his or her true and lawful attorneys-in-fact and agents with full power of substitution, for him or her and in his or her name, place and stead, in any and all capacities, to sign any and all amendments to this Annual Report on Form 10-K, and to file the same, with all exhibits thereto and all documents in connection therewith, with the Securities and Exchange Commission, granting unto said attorneys-in-fact and agents, and each of them, full power and authority to do and perform each and every act and thing requisite and necessary to be done in and about the premises, as fully to all intents and purposes as he or she might or could do in person, hereby ratifying and confirming all that said attorneys-in-fact and agents or any of them, or his, her or their substitute or substitutes, may lawfully do or cause to be done or by virtue hereof.</w:t>
      </w:r>
    </w:p>
    <w:p>
      <w:pPr>
        <w:spacing w:after="0" w:line="243"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in the capacities and on the date indicated.</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Signature</w:t>
            </w:r>
          </w:p>
        </w:tc>
        <w:tc>
          <w:tcPr>
            <w:tcW w:w="120" w:type="dxa"/>
            <w:vAlign w:val="bottom"/>
          </w:tcPr>
          <w:p>
            <w:pPr>
              <w:spacing w:after="0"/>
              <w:rPr>
                <w:sz w:val="16"/>
                <w:szCs w:val="16"/>
                <w:color w:val="auto"/>
              </w:rPr>
            </w:pPr>
          </w:p>
        </w:tc>
        <w:tc>
          <w:tcPr>
            <w:tcW w:w="4240" w:type="dxa"/>
            <w:vAlign w:val="bottom"/>
            <w:tcBorders>
              <w:bottom w:val="single" w:sz="8" w:color="auto"/>
            </w:tcBorders>
          </w:tcPr>
          <w:p>
            <w:pPr>
              <w:ind w:left="1980"/>
              <w:spacing w:after="0"/>
              <w:rPr>
                <w:sz w:val="20"/>
                <w:szCs w:val="20"/>
                <w:color w:val="auto"/>
              </w:rPr>
            </w:pPr>
            <w:r>
              <w:rPr>
                <w:rFonts w:ascii="Arial" w:cs="Arial" w:eastAsia="Arial" w:hAnsi="Arial"/>
                <w:sz w:val="14"/>
                <w:szCs w:val="14"/>
                <w:b w:val="1"/>
                <w:bCs w:val="1"/>
                <w:color w:val="auto"/>
              </w:rPr>
              <w:t>Title</w:t>
            </w:r>
          </w:p>
        </w:tc>
        <w:tc>
          <w:tcPr>
            <w:tcW w:w="100" w:type="dxa"/>
            <w:vAlign w:val="bottom"/>
          </w:tcPr>
          <w:p>
            <w:pPr>
              <w:spacing w:after="0"/>
              <w:rPr>
                <w:sz w:val="16"/>
                <w:szCs w:val="16"/>
                <w:color w:val="auto"/>
              </w:rPr>
            </w:pPr>
          </w:p>
        </w:tc>
        <w:tc>
          <w:tcPr>
            <w:tcW w:w="2960" w:type="dxa"/>
            <w:vAlign w:val="bottom"/>
            <w:tcBorders>
              <w:bottom w:val="single" w:sz="8" w:color="auto"/>
            </w:tcBorders>
          </w:tcPr>
          <w:p>
            <w:pPr>
              <w:ind w:left="1340"/>
              <w:spacing w:after="0"/>
              <w:rPr>
                <w:sz w:val="20"/>
                <w:szCs w:val="20"/>
                <w:color w:val="auto"/>
              </w:rPr>
            </w:pPr>
            <w:r>
              <w:rPr>
                <w:rFonts w:ascii="Arial" w:cs="Arial" w:eastAsia="Arial" w:hAnsi="Arial"/>
                <w:sz w:val="14"/>
                <w:szCs w:val="14"/>
                <w:b w:val="1"/>
                <w:bCs w:val="1"/>
                <w:color w:val="auto"/>
              </w:rPr>
              <w:t>Date</w:t>
            </w:r>
          </w:p>
        </w:tc>
        <w:tc>
          <w:tcPr>
            <w:tcW w:w="0" w:type="dxa"/>
            <w:vAlign w:val="bottom"/>
          </w:tcPr>
          <w:p>
            <w:pPr>
              <w:spacing w:after="0"/>
              <w:rPr>
                <w:sz w:val="1"/>
                <w:szCs w:val="1"/>
                <w:color w:val="auto"/>
              </w:rPr>
            </w:pPr>
          </w:p>
        </w:tc>
      </w:tr>
      <w:tr>
        <w:trPr>
          <w:trHeight w:val="243"/>
        </w:trPr>
        <w:tc>
          <w:tcPr>
            <w:tcW w:w="4000" w:type="dxa"/>
            <w:vAlign w:val="bottom"/>
          </w:tcPr>
          <w:p>
            <w:pPr>
              <w:ind w:left="40"/>
              <w:spacing w:after="0"/>
              <w:rPr>
                <w:sz w:val="20"/>
                <w:szCs w:val="20"/>
                <w:color w:val="auto"/>
              </w:rPr>
            </w:pPr>
            <w:r>
              <w:rPr>
                <w:rFonts w:ascii="Arial" w:cs="Arial" w:eastAsia="Arial" w:hAnsi="Arial"/>
                <w:sz w:val="18"/>
                <w:szCs w:val="18"/>
                <w:color w:val="auto"/>
              </w:rPr>
              <w:t>/s/ STRAUSS ZELNICK</w:t>
            </w:r>
          </w:p>
        </w:tc>
        <w:tc>
          <w:tcPr>
            <w:tcW w:w="120" w:type="dxa"/>
            <w:vAlign w:val="bottom"/>
          </w:tcPr>
          <w:p>
            <w:pPr>
              <w:spacing w:after="0"/>
              <w:rPr>
                <w:sz w:val="21"/>
                <w:szCs w:val="21"/>
                <w:color w:val="auto"/>
              </w:rPr>
            </w:pPr>
          </w:p>
        </w:tc>
        <w:tc>
          <w:tcPr>
            <w:tcW w:w="4340" w:type="dxa"/>
            <w:vAlign w:val="bottom"/>
            <w:gridSpan w:val="2"/>
            <w:vMerge w:val="restart"/>
          </w:tcPr>
          <w:p>
            <w:pPr>
              <w:ind w:left="40"/>
              <w:spacing w:after="0"/>
              <w:rPr>
                <w:sz w:val="20"/>
                <w:szCs w:val="20"/>
                <w:color w:val="auto"/>
              </w:rPr>
            </w:pPr>
            <w:r>
              <w:rPr>
                <w:rFonts w:ascii="Arial" w:cs="Arial" w:eastAsia="Arial" w:hAnsi="Arial"/>
                <w:sz w:val="18"/>
                <w:szCs w:val="18"/>
                <w:color w:val="auto"/>
              </w:rPr>
              <w:t>Chairman and Chief Executive Officer (Principal</w:t>
            </w:r>
          </w:p>
        </w:tc>
        <w:tc>
          <w:tcPr>
            <w:tcW w:w="29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4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340" w:type="dxa"/>
            <w:vAlign w:val="bottom"/>
            <w:gridSpan w:val="2"/>
            <w:vMerge w:val="continue"/>
          </w:tcPr>
          <w:p>
            <w:pPr>
              <w:spacing w:after="0"/>
              <w:rPr>
                <w:sz w:val="2"/>
                <w:szCs w:val="2"/>
                <w:color w:val="auto"/>
              </w:rPr>
            </w:pPr>
          </w:p>
        </w:tc>
        <w:tc>
          <w:tcPr>
            <w:tcW w:w="29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00" w:type="dxa"/>
            <w:vAlign w:val="bottom"/>
          </w:tcPr>
          <w:p>
            <w:pPr>
              <w:ind w:left="40"/>
              <w:spacing w:after="0"/>
              <w:rPr>
                <w:sz w:val="20"/>
                <w:szCs w:val="20"/>
                <w:color w:val="auto"/>
              </w:rPr>
            </w:pPr>
            <w:r>
              <w:rPr>
                <w:rFonts w:ascii="Arial" w:cs="Arial" w:eastAsia="Arial" w:hAnsi="Arial"/>
                <w:sz w:val="18"/>
                <w:szCs w:val="18"/>
                <w:color w:val="auto"/>
              </w:rPr>
              <w:t>Strauss Zelnick</w:t>
            </w:r>
          </w:p>
        </w:tc>
        <w:tc>
          <w:tcPr>
            <w:tcW w:w="120" w:type="dxa"/>
            <w:vAlign w:val="bottom"/>
          </w:tcPr>
          <w:p>
            <w:pPr>
              <w:spacing w:after="0"/>
              <w:rPr>
                <w:sz w:val="20"/>
                <w:szCs w:val="20"/>
                <w:color w:val="auto"/>
              </w:rPr>
            </w:pPr>
          </w:p>
        </w:tc>
        <w:tc>
          <w:tcPr>
            <w:tcW w:w="4340" w:type="dxa"/>
            <w:vAlign w:val="bottom"/>
            <w:gridSpan w:val="2"/>
          </w:tcPr>
          <w:p>
            <w:pPr>
              <w:ind w:left="40"/>
              <w:spacing w:after="0"/>
              <w:rPr>
                <w:sz w:val="20"/>
                <w:szCs w:val="20"/>
                <w:color w:val="auto"/>
              </w:rPr>
            </w:pPr>
            <w:r>
              <w:rPr>
                <w:rFonts w:ascii="Arial" w:cs="Arial" w:eastAsia="Arial" w:hAnsi="Arial"/>
                <w:sz w:val="18"/>
                <w:szCs w:val="18"/>
                <w:color w:val="auto"/>
              </w:rPr>
              <w:t>Executive Officer)</w:t>
            </w:r>
          </w:p>
        </w:tc>
        <w:tc>
          <w:tcPr>
            <w:tcW w:w="2960" w:type="dxa"/>
            <w:vAlign w:val="bottom"/>
          </w:tcPr>
          <w:p>
            <w:pPr>
              <w:ind w:left="20"/>
              <w:spacing w:after="0"/>
              <w:rPr>
                <w:sz w:val="20"/>
                <w:szCs w:val="20"/>
                <w:color w:val="auto"/>
              </w:rPr>
            </w:pPr>
            <w:r>
              <w:rPr>
                <w:rFonts w:ascii="Arial" w:cs="Arial" w:eastAsia="Arial" w:hAnsi="Arial"/>
                <w:sz w:val="18"/>
                <w:szCs w:val="18"/>
                <w:color w:val="auto"/>
              </w:rPr>
              <w:t>May 16, 2018</w:t>
            </w:r>
          </w:p>
        </w:tc>
        <w:tc>
          <w:tcPr>
            <w:tcW w:w="0" w:type="dxa"/>
            <w:vAlign w:val="bottom"/>
          </w:tcPr>
          <w:p>
            <w:pPr>
              <w:spacing w:after="0"/>
              <w:rPr>
                <w:sz w:val="1"/>
                <w:szCs w:val="1"/>
                <w:color w:val="auto"/>
              </w:rPr>
            </w:pPr>
          </w:p>
        </w:tc>
      </w:tr>
      <w:tr>
        <w:trPr>
          <w:trHeight w:val="270"/>
        </w:trPr>
        <w:tc>
          <w:tcPr>
            <w:tcW w:w="4000" w:type="dxa"/>
            <w:vAlign w:val="bottom"/>
          </w:tcPr>
          <w:p>
            <w:pPr>
              <w:ind w:left="40"/>
              <w:spacing w:after="0"/>
              <w:rPr>
                <w:sz w:val="20"/>
                <w:szCs w:val="20"/>
                <w:color w:val="auto"/>
              </w:rPr>
            </w:pPr>
            <w:r>
              <w:rPr>
                <w:rFonts w:ascii="Arial" w:cs="Arial" w:eastAsia="Arial" w:hAnsi="Arial"/>
                <w:sz w:val="18"/>
                <w:szCs w:val="18"/>
                <w:color w:val="auto"/>
              </w:rPr>
              <w:t>/s/ LAINIE GOLDSTEIN</w:t>
            </w:r>
          </w:p>
        </w:tc>
        <w:tc>
          <w:tcPr>
            <w:tcW w:w="120" w:type="dxa"/>
            <w:vAlign w:val="bottom"/>
          </w:tcPr>
          <w:p>
            <w:pPr>
              <w:spacing w:after="0"/>
              <w:rPr>
                <w:sz w:val="23"/>
                <w:szCs w:val="23"/>
                <w:color w:val="auto"/>
              </w:rPr>
            </w:pPr>
          </w:p>
        </w:tc>
        <w:tc>
          <w:tcPr>
            <w:tcW w:w="4340" w:type="dxa"/>
            <w:vAlign w:val="bottom"/>
            <w:gridSpan w:val="2"/>
            <w:vMerge w:val="restart"/>
          </w:tcPr>
          <w:p>
            <w:pPr>
              <w:ind w:left="40"/>
              <w:spacing w:after="0"/>
              <w:rPr>
                <w:sz w:val="20"/>
                <w:szCs w:val="20"/>
                <w:color w:val="auto"/>
              </w:rPr>
            </w:pPr>
            <w:r>
              <w:rPr>
                <w:rFonts w:ascii="Arial" w:cs="Arial" w:eastAsia="Arial" w:hAnsi="Arial"/>
                <w:sz w:val="18"/>
                <w:szCs w:val="18"/>
                <w:color w:val="auto"/>
              </w:rPr>
              <w:t>Chief Financial Officer (Principal Financial and</w:t>
            </w:r>
          </w:p>
        </w:tc>
        <w:tc>
          <w:tcPr>
            <w:tcW w:w="29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4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340" w:type="dxa"/>
            <w:vAlign w:val="bottom"/>
            <w:gridSpan w:val="2"/>
            <w:vMerge w:val="continue"/>
          </w:tcPr>
          <w:p>
            <w:pPr>
              <w:spacing w:after="0"/>
              <w:rPr>
                <w:sz w:val="2"/>
                <w:szCs w:val="2"/>
                <w:color w:val="auto"/>
              </w:rPr>
            </w:pPr>
          </w:p>
        </w:tc>
        <w:tc>
          <w:tcPr>
            <w:tcW w:w="29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00" w:type="dxa"/>
            <w:vAlign w:val="bottom"/>
          </w:tcPr>
          <w:p>
            <w:pPr>
              <w:ind w:left="40"/>
              <w:spacing w:after="0"/>
              <w:rPr>
                <w:sz w:val="20"/>
                <w:szCs w:val="20"/>
                <w:color w:val="auto"/>
              </w:rPr>
            </w:pPr>
            <w:r>
              <w:rPr>
                <w:rFonts w:ascii="Arial" w:cs="Arial" w:eastAsia="Arial" w:hAnsi="Arial"/>
                <w:sz w:val="18"/>
                <w:szCs w:val="18"/>
                <w:color w:val="auto"/>
              </w:rPr>
              <w:t>Lainie Goldstein</w:t>
            </w:r>
          </w:p>
        </w:tc>
        <w:tc>
          <w:tcPr>
            <w:tcW w:w="120" w:type="dxa"/>
            <w:vAlign w:val="bottom"/>
          </w:tcPr>
          <w:p>
            <w:pPr>
              <w:spacing w:after="0"/>
              <w:rPr>
                <w:sz w:val="20"/>
                <w:szCs w:val="20"/>
                <w:color w:val="auto"/>
              </w:rPr>
            </w:pPr>
          </w:p>
        </w:tc>
        <w:tc>
          <w:tcPr>
            <w:tcW w:w="4340" w:type="dxa"/>
            <w:vAlign w:val="bottom"/>
            <w:gridSpan w:val="2"/>
          </w:tcPr>
          <w:p>
            <w:pPr>
              <w:ind w:left="40"/>
              <w:spacing w:after="0"/>
              <w:rPr>
                <w:sz w:val="20"/>
                <w:szCs w:val="20"/>
                <w:color w:val="auto"/>
              </w:rPr>
            </w:pPr>
            <w:r>
              <w:rPr>
                <w:rFonts w:ascii="Arial" w:cs="Arial" w:eastAsia="Arial" w:hAnsi="Arial"/>
                <w:sz w:val="18"/>
                <w:szCs w:val="18"/>
                <w:color w:val="auto"/>
              </w:rPr>
              <w:t>Accounting Officer)</w:t>
            </w:r>
          </w:p>
        </w:tc>
        <w:tc>
          <w:tcPr>
            <w:tcW w:w="2960" w:type="dxa"/>
            <w:vAlign w:val="bottom"/>
          </w:tcPr>
          <w:p>
            <w:pPr>
              <w:ind w:left="20"/>
              <w:spacing w:after="0"/>
              <w:rPr>
                <w:sz w:val="20"/>
                <w:szCs w:val="20"/>
                <w:color w:val="auto"/>
              </w:rPr>
            </w:pPr>
            <w:r>
              <w:rPr>
                <w:rFonts w:ascii="Arial" w:cs="Arial" w:eastAsia="Arial" w:hAnsi="Arial"/>
                <w:sz w:val="18"/>
                <w:szCs w:val="18"/>
                <w:color w:val="auto"/>
              </w:rPr>
              <w:t>May 16, 2018</w:t>
            </w:r>
          </w:p>
        </w:tc>
        <w:tc>
          <w:tcPr>
            <w:tcW w:w="0" w:type="dxa"/>
            <w:vAlign w:val="bottom"/>
          </w:tcPr>
          <w:p>
            <w:pPr>
              <w:spacing w:after="0"/>
              <w:rPr>
                <w:sz w:val="1"/>
                <w:szCs w:val="1"/>
                <w:color w:val="auto"/>
              </w:rPr>
            </w:pPr>
          </w:p>
        </w:tc>
      </w:tr>
      <w:tr>
        <w:trPr>
          <w:trHeight w:val="270"/>
        </w:trPr>
        <w:tc>
          <w:tcPr>
            <w:tcW w:w="4000" w:type="dxa"/>
            <w:vAlign w:val="bottom"/>
          </w:tcPr>
          <w:p>
            <w:pPr>
              <w:ind w:left="40"/>
              <w:spacing w:after="0"/>
              <w:rPr>
                <w:sz w:val="20"/>
                <w:szCs w:val="20"/>
                <w:color w:val="auto"/>
              </w:rPr>
            </w:pPr>
            <w:r>
              <w:rPr>
                <w:rFonts w:ascii="Arial" w:cs="Arial" w:eastAsia="Arial" w:hAnsi="Arial"/>
                <w:sz w:val="18"/>
                <w:szCs w:val="18"/>
                <w:color w:val="auto"/>
              </w:rPr>
              <w:t>/s/ MICHAEL DORNEMANN</w:t>
            </w:r>
          </w:p>
        </w:tc>
        <w:tc>
          <w:tcPr>
            <w:tcW w:w="120" w:type="dxa"/>
            <w:vAlign w:val="bottom"/>
          </w:tcPr>
          <w:p>
            <w:pPr>
              <w:spacing w:after="0"/>
              <w:rPr>
                <w:sz w:val="23"/>
                <w:szCs w:val="23"/>
                <w:color w:val="auto"/>
              </w:rPr>
            </w:pPr>
          </w:p>
        </w:tc>
        <w:tc>
          <w:tcPr>
            <w:tcW w:w="42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9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4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9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00" w:type="dxa"/>
            <w:vAlign w:val="bottom"/>
          </w:tcPr>
          <w:p>
            <w:pPr>
              <w:ind w:left="40"/>
              <w:spacing w:after="0"/>
              <w:rPr>
                <w:sz w:val="20"/>
                <w:szCs w:val="20"/>
                <w:color w:val="auto"/>
              </w:rPr>
            </w:pPr>
            <w:r>
              <w:rPr>
                <w:rFonts w:ascii="Arial" w:cs="Arial" w:eastAsia="Arial" w:hAnsi="Arial"/>
                <w:sz w:val="18"/>
                <w:szCs w:val="18"/>
                <w:color w:val="auto"/>
              </w:rPr>
              <w:t>Michael Dornemann</w:t>
            </w:r>
          </w:p>
        </w:tc>
        <w:tc>
          <w:tcPr>
            <w:tcW w:w="120" w:type="dxa"/>
            <w:vAlign w:val="bottom"/>
          </w:tcPr>
          <w:p>
            <w:pPr>
              <w:spacing w:after="0"/>
              <w:rPr>
                <w:sz w:val="20"/>
                <w:szCs w:val="20"/>
                <w:color w:val="auto"/>
              </w:rPr>
            </w:pPr>
          </w:p>
        </w:tc>
        <w:tc>
          <w:tcPr>
            <w:tcW w:w="4340" w:type="dxa"/>
            <w:vAlign w:val="bottom"/>
            <w:gridSpan w:val="2"/>
          </w:tcPr>
          <w:p>
            <w:pPr>
              <w:ind w:left="40"/>
              <w:spacing w:after="0"/>
              <w:rPr>
                <w:sz w:val="20"/>
                <w:szCs w:val="20"/>
                <w:color w:val="auto"/>
              </w:rPr>
            </w:pPr>
            <w:r>
              <w:rPr>
                <w:rFonts w:ascii="Arial" w:cs="Arial" w:eastAsia="Arial" w:hAnsi="Arial"/>
                <w:sz w:val="18"/>
                <w:szCs w:val="18"/>
                <w:color w:val="auto"/>
              </w:rPr>
              <w:t>Lead Independent Director</w:t>
            </w:r>
          </w:p>
        </w:tc>
        <w:tc>
          <w:tcPr>
            <w:tcW w:w="2960" w:type="dxa"/>
            <w:vAlign w:val="bottom"/>
          </w:tcPr>
          <w:p>
            <w:pPr>
              <w:ind w:left="20"/>
              <w:spacing w:after="0"/>
              <w:rPr>
                <w:sz w:val="20"/>
                <w:szCs w:val="20"/>
                <w:color w:val="auto"/>
              </w:rPr>
            </w:pPr>
            <w:r>
              <w:rPr>
                <w:rFonts w:ascii="Arial" w:cs="Arial" w:eastAsia="Arial" w:hAnsi="Arial"/>
                <w:sz w:val="18"/>
                <w:szCs w:val="18"/>
                <w:color w:val="auto"/>
              </w:rPr>
              <w:t>May 16, 2018</w:t>
            </w:r>
          </w:p>
        </w:tc>
        <w:tc>
          <w:tcPr>
            <w:tcW w:w="0" w:type="dxa"/>
            <w:vAlign w:val="bottom"/>
          </w:tcPr>
          <w:p>
            <w:pPr>
              <w:spacing w:after="0"/>
              <w:rPr>
                <w:sz w:val="1"/>
                <w:szCs w:val="1"/>
                <w:color w:val="auto"/>
              </w:rPr>
            </w:pPr>
          </w:p>
        </w:tc>
      </w:tr>
      <w:tr>
        <w:trPr>
          <w:trHeight w:val="270"/>
        </w:trPr>
        <w:tc>
          <w:tcPr>
            <w:tcW w:w="4000" w:type="dxa"/>
            <w:vAlign w:val="bottom"/>
          </w:tcPr>
          <w:p>
            <w:pPr>
              <w:ind w:left="40"/>
              <w:spacing w:after="0"/>
              <w:rPr>
                <w:sz w:val="20"/>
                <w:szCs w:val="20"/>
                <w:color w:val="auto"/>
              </w:rPr>
            </w:pPr>
            <w:r>
              <w:rPr>
                <w:rFonts w:ascii="Arial" w:cs="Arial" w:eastAsia="Arial" w:hAnsi="Arial"/>
                <w:sz w:val="18"/>
                <w:szCs w:val="18"/>
                <w:color w:val="auto"/>
              </w:rPr>
              <w:t>/s/ J MOSES</w:t>
            </w:r>
          </w:p>
        </w:tc>
        <w:tc>
          <w:tcPr>
            <w:tcW w:w="120" w:type="dxa"/>
            <w:vAlign w:val="bottom"/>
          </w:tcPr>
          <w:p>
            <w:pPr>
              <w:spacing w:after="0"/>
              <w:rPr>
                <w:sz w:val="23"/>
                <w:szCs w:val="23"/>
                <w:color w:val="auto"/>
              </w:rPr>
            </w:pPr>
          </w:p>
        </w:tc>
        <w:tc>
          <w:tcPr>
            <w:tcW w:w="42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9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4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9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00" w:type="dxa"/>
            <w:vAlign w:val="bottom"/>
          </w:tcPr>
          <w:p>
            <w:pPr>
              <w:ind w:left="40"/>
              <w:spacing w:after="0"/>
              <w:rPr>
                <w:sz w:val="20"/>
                <w:szCs w:val="20"/>
                <w:color w:val="auto"/>
              </w:rPr>
            </w:pPr>
            <w:r>
              <w:rPr>
                <w:rFonts w:ascii="Arial" w:cs="Arial" w:eastAsia="Arial" w:hAnsi="Arial"/>
                <w:sz w:val="18"/>
                <w:szCs w:val="18"/>
                <w:color w:val="auto"/>
              </w:rPr>
              <w:t>J Moses</w:t>
            </w:r>
          </w:p>
        </w:tc>
        <w:tc>
          <w:tcPr>
            <w:tcW w:w="120" w:type="dxa"/>
            <w:vAlign w:val="bottom"/>
          </w:tcPr>
          <w:p>
            <w:pPr>
              <w:spacing w:after="0"/>
              <w:rPr>
                <w:sz w:val="20"/>
                <w:szCs w:val="20"/>
                <w:color w:val="auto"/>
              </w:rPr>
            </w:pPr>
          </w:p>
        </w:tc>
        <w:tc>
          <w:tcPr>
            <w:tcW w:w="4340" w:type="dxa"/>
            <w:vAlign w:val="bottom"/>
            <w:gridSpan w:val="2"/>
          </w:tcPr>
          <w:p>
            <w:pPr>
              <w:ind w:left="40"/>
              <w:spacing w:after="0"/>
              <w:rPr>
                <w:sz w:val="20"/>
                <w:szCs w:val="20"/>
                <w:color w:val="auto"/>
              </w:rPr>
            </w:pPr>
            <w:r>
              <w:rPr>
                <w:rFonts w:ascii="Arial" w:cs="Arial" w:eastAsia="Arial" w:hAnsi="Arial"/>
                <w:sz w:val="18"/>
                <w:szCs w:val="18"/>
                <w:color w:val="auto"/>
              </w:rPr>
              <w:t>Director</w:t>
            </w:r>
          </w:p>
        </w:tc>
        <w:tc>
          <w:tcPr>
            <w:tcW w:w="2960" w:type="dxa"/>
            <w:vAlign w:val="bottom"/>
          </w:tcPr>
          <w:p>
            <w:pPr>
              <w:ind w:left="20"/>
              <w:spacing w:after="0"/>
              <w:rPr>
                <w:sz w:val="20"/>
                <w:szCs w:val="20"/>
                <w:color w:val="auto"/>
              </w:rPr>
            </w:pPr>
            <w:r>
              <w:rPr>
                <w:rFonts w:ascii="Arial" w:cs="Arial" w:eastAsia="Arial" w:hAnsi="Arial"/>
                <w:sz w:val="18"/>
                <w:szCs w:val="18"/>
                <w:color w:val="auto"/>
              </w:rPr>
              <w:t>May 16, 2018</w:t>
            </w:r>
          </w:p>
        </w:tc>
        <w:tc>
          <w:tcPr>
            <w:tcW w:w="0" w:type="dxa"/>
            <w:vAlign w:val="bottom"/>
          </w:tcPr>
          <w:p>
            <w:pPr>
              <w:spacing w:after="0"/>
              <w:rPr>
                <w:sz w:val="1"/>
                <w:szCs w:val="1"/>
                <w:color w:val="auto"/>
              </w:rPr>
            </w:pPr>
          </w:p>
        </w:tc>
      </w:tr>
      <w:tr>
        <w:trPr>
          <w:trHeight w:val="270"/>
        </w:trPr>
        <w:tc>
          <w:tcPr>
            <w:tcW w:w="4000" w:type="dxa"/>
            <w:vAlign w:val="bottom"/>
          </w:tcPr>
          <w:p>
            <w:pPr>
              <w:ind w:left="40"/>
              <w:spacing w:after="0"/>
              <w:rPr>
                <w:sz w:val="20"/>
                <w:szCs w:val="20"/>
                <w:color w:val="auto"/>
              </w:rPr>
            </w:pPr>
            <w:r>
              <w:rPr>
                <w:rFonts w:ascii="Arial" w:cs="Arial" w:eastAsia="Arial" w:hAnsi="Arial"/>
                <w:sz w:val="18"/>
                <w:szCs w:val="18"/>
                <w:color w:val="auto"/>
              </w:rPr>
              <w:t>/s/ MICHAEL SHERESKY</w:t>
            </w:r>
          </w:p>
        </w:tc>
        <w:tc>
          <w:tcPr>
            <w:tcW w:w="120" w:type="dxa"/>
            <w:vAlign w:val="bottom"/>
          </w:tcPr>
          <w:p>
            <w:pPr>
              <w:spacing w:after="0"/>
              <w:rPr>
                <w:sz w:val="23"/>
                <w:szCs w:val="23"/>
                <w:color w:val="auto"/>
              </w:rPr>
            </w:pPr>
          </w:p>
        </w:tc>
        <w:tc>
          <w:tcPr>
            <w:tcW w:w="42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9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4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9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00" w:type="dxa"/>
            <w:vAlign w:val="bottom"/>
          </w:tcPr>
          <w:p>
            <w:pPr>
              <w:ind w:left="40"/>
              <w:spacing w:after="0"/>
              <w:rPr>
                <w:sz w:val="20"/>
                <w:szCs w:val="20"/>
                <w:color w:val="auto"/>
              </w:rPr>
            </w:pPr>
            <w:r>
              <w:rPr>
                <w:rFonts w:ascii="Arial" w:cs="Arial" w:eastAsia="Arial" w:hAnsi="Arial"/>
                <w:sz w:val="18"/>
                <w:szCs w:val="18"/>
                <w:color w:val="auto"/>
              </w:rPr>
              <w:t>Michael Sheresky</w:t>
            </w:r>
          </w:p>
        </w:tc>
        <w:tc>
          <w:tcPr>
            <w:tcW w:w="120" w:type="dxa"/>
            <w:vAlign w:val="bottom"/>
          </w:tcPr>
          <w:p>
            <w:pPr>
              <w:spacing w:after="0"/>
              <w:rPr>
                <w:sz w:val="20"/>
                <w:szCs w:val="20"/>
                <w:color w:val="auto"/>
              </w:rPr>
            </w:pPr>
          </w:p>
        </w:tc>
        <w:tc>
          <w:tcPr>
            <w:tcW w:w="4340" w:type="dxa"/>
            <w:vAlign w:val="bottom"/>
            <w:gridSpan w:val="2"/>
          </w:tcPr>
          <w:p>
            <w:pPr>
              <w:ind w:left="40"/>
              <w:spacing w:after="0"/>
              <w:rPr>
                <w:sz w:val="20"/>
                <w:szCs w:val="20"/>
                <w:color w:val="auto"/>
              </w:rPr>
            </w:pPr>
            <w:r>
              <w:rPr>
                <w:rFonts w:ascii="Arial" w:cs="Arial" w:eastAsia="Arial" w:hAnsi="Arial"/>
                <w:sz w:val="18"/>
                <w:szCs w:val="18"/>
                <w:color w:val="auto"/>
              </w:rPr>
              <w:t>Director</w:t>
            </w:r>
          </w:p>
        </w:tc>
        <w:tc>
          <w:tcPr>
            <w:tcW w:w="2960" w:type="dxa"/>
            <w:vAlign w:val="bottom"/>
          </w:tcPr>
          <w:p>
            <w:pPr>
              <w:ind w:left="20"/>
              <w:spacing w:after="0"/>
              <w:rPr>
                <w:sz w:val="20"/>
                <w:szCs w:val="20"/>
                <w:color w:val="auto"/>
              </w:rPr>
            </w:pPr>
            <w:r>
              <w:rPr>
                <w:rFonts w:ascii="Arial" w:cs="Arial" w:eastAsia="Arial" w:hAnsi="Arial"/>
                <w:sz w:val="18"/>
                <w:szCs w:val="18"/>
                <w:color w:val="auto"/>
              </w:rPr>
              <w:t>May 16, 2018</w:t>
            </w:r>
          </w:p>
        </w:tc>
        <w:tc>
          <w:tcPr>
            <w:tcW w:w="0" w:type="dxa"/>
            <w:vAlign w:val="bottom"/>
          </w:tcPr>
          <w:p>
            <w:pPr>
              <w:spacing w:after="0"/>
              <w:rPr>
                <w:sz w:val="1"/>
                <w:szCs w:val="1"/>
                <w:color w:val="auto"/>
              </w:rPr>
            </w:pPr>
          </w:p>
        </w:tc>
      </w:tr>
      <w:tr>
        <w:trPr>
          <w:trHeight w:val="270"/>
        </w:trPr>
        <w:tc>
          <w:tcPr>
            <w:tcW w:w="4000" w:type="dxa"/>
            <w:vAlign w:val="bottom"/>
          </w:tcPr>
          <w:p>
            <w:pPr>
              <w:ind w:left="40"/>
              <w:spacing w:after="0"/>
              <w:rPr>
                <w:sz w:val="20"/>
                <w:szCs w:val="20"/>
                <w:color w:val="auto"/>
              </w:rPr>
            </w:pPr>
            <w:r>
              <w:rPr>
                <w:rFonts w:ascii="Arial" w:cs="Arial" w:eastAsia="Arial" w:hAnsi="Arial"/>
                <w:sz w:val="18"/>
                <w:szCs w:val="18"/>
                <w:color w:val="auto"/>
              </w:rPr>
              <w:t>/s/ LAVERNE SRINIVASAN</w:t>
            </w:r>
          </w:p>
        </w:tc>
        <w:tc>
          <w:tcPr>
            <w:tcW w:w="120" w:type="dxa"/>
            <w:vAlign w:val="bottom"/>
          </w:tcPr>
          <w:p>
            <w:pPr>
              <w:spacing w:after="0"/>
              <w:rPr>
                <w:sz w:val="23"/>
                <w:szCs w:val="23"/>
                <w:color w:val="auto"/>
              </w:rPr>
            </w:pPr>
          </w:p>
        </w:tc>
        <w:tc>
          <w:tcPr>
            <w:tcW w:w="42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9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4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9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00" w:type="dxa"/>
            <w:vAlign w:val="bottom"/>
          </w:tcPr>
          <w:p>
            <w:pPr>
              <w:ind w:left="40"/>
              <w:spacing w:after="0"/>
              <w:rPr>
                <w:sz w:val="20"/>
                <w:szCs w:val="20"/>
                <w:color w:val="auto"/>
              </w:rPr>
            </w:pPr>
            <w:r>
              <w:rPr>
                <w:rFonts w:ascii="Arial" w:cs="Arial" w:eastAsia="Arial" w:hAnsi="Arial"/>
                <w:sz w:val="18"/>
                <w:szCs w:val="18"/>
                <w:color w:val="auto"/>
              </w:rPr>
              <w:t>LaVerne Srinivasan</w:t>
            </w:r>
          </w:p>
        </w:tc>
        <w:tc>
          <w:tcPr>
            <w:tcW w:w="120" w:type="dxa"/>
            <w:vAlign w:val="bottom"/>
          </w:tcPr>
          <w:p>
            <w:pPr>
              <w:spacing w:after="0"/>
              <w:rPr>
                <w:sz w:val="20"/>
                <w:szCs w:val="20"/>
                <w:color w:val="auto"/>
              </w:rPr>
            </w:pPr>
          </w:p>
        </w:tc>
        <w:tc>
          <w:tcPr>
            <w:tcW w:w="4340" w:type="dxa"/>
            <w:vAlign w:val="bottom"/>
            <w:gridSpan w:val="2"/>
          </w:tcPr>
          <w:p>
            <w:pPr>
              <w:ind w:left="40"/>
              <w:spacing w:after="0"/>
              <w:rPr>
                <w:sz w:val="20"/>
                <w:szCs w:val="20"/>
                <w:color w:val="auto"/>
              </w:rPr>
            </w:pPr>
            <w:r>
              <w:rPr>
                <w:rFonts w:ascii="Arial" w:cs="Arial" w:eastAsia="Arial" w:hAnsi="Arial"/>
                <w:sz w:val="18"/>
                <w:szCs w:val="18"/>
                <w:color w:val="auto"/>
              </w:rPr>
              <w:t>Director</w:t>
            </w:r>
          </w:p>
        </w:tc>
        <w:tc>
          <w:tcPr>
            <w:tcW w:w="2960" w:type="dxa"/>
            <w:vAlign w:val="bottom"/>
          </w:tcPr>
          <w:p>
            <w:pPr>
              <w:ind w:left="20"/>
              <w:spacing w:after="0"/>
              <w:rPr>
                <w:sz w:val="20"/>
                <w:szCs w:val="20"/>
                <w:color w:val="auto"/>
              </w:rPr>
            </w:pPr>
            <w:r>
              <w:rPr>
                <w:rFonts w:ascii="Arial" w:cs="Arial" w:eastAsia="Arial" w:hAnsi="Arial"/>
                <w:sz w:val="18"/>
                <w:szCs w:val="18"/>
                <w:color w:val="auto"/>
              </w:rPr>
              <w:t>May 16, 2018</w:t>
            </w:r>
          </w:p>
        </w:tc>
        <w:tc>
          <w:tcPr>
            <w:tcW w:w="0" w:type="dxa"/>
            <w:vAlign w:val="bottom"/>
          </w:tcPr>
          <w:p>
            <w:pPr>
              <w:spacing w:after="0"/>
              <w:rPr>
                <w:sz w:val="1"/>
                <w:szCs w:val="1"/>
                <w:color w:val="auto"/>
              </w:rPr>
            </w:pPr>
          </w:p>
        </w:tc>
      </w:tr>
      <w:tr>
        <w:trPr>
          <w:trHeight w:val="270"/>
        </w:trPr>
        <w:tc>
          <w:tcPr>
            <w:tcW w:w="4000" w:type="dxa"/>
            <w:vAlign w:val="bottom"/>
          </w:tcPr>
          <w:p>
            <w:pPr>
              <w:ind w:left="40"/>
              <w:spacing w:after="0"/>
              <w:rPr>
                <w:sz w:val="20"/>
                <w:szCs w:val="20"/>
                <w:color w:val="auto"/>
              </w:rPr>
            </w:pPr>
            <w:r>
              <w:rPr>
                <w:rFonts w:ascii="Arial" w:cs="Arial" w:eastAsia="Arial" w:hAnsi="Arial"/>
                <w:sz w:val="18"/>
                <w:szCs w:val="18"/>
                <w:color w:val="auto"/>
              </w:rPr>
              <w:t>/s/ SUSAN TOLSON</w:t>
            </w:r>
          </w:p>
        </w:tc>
        <w:tc>
          <w:tcPr>
            <w:tcW w:w="120" w:type="dxa"/>
            <w:vAlign w:val="bottom"/>
          </w:tcPr>
          <w:p>
            <w:pPr>
              <w:spacing w:after="0"/>
              <w:rPr>
                <w:sz w:val="23"/>
                <w:szCs w:val="23"/>
                <w:color w:val="auto"/>
              </w:rPr>
            </w:pPr>
          </w:p>
        </w:tc>
        <w:tc>
          <w:tcPr>
            <w:tcW w:w="42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9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40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42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9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000" w:type="dxa"/>
            <w:vAlign w:val="bottom"/>
          </w:tcPr>
          <w:p>
            <w:pPr>
              <w:ind w:left="40"/>
              <w:spacing w:after="0"/>
              <w:rPr>
                <w:sz w:val="20"/>
                <w:szCs w:val="20"/>
                <w:color w:val="auto"/>
              </w:rPr>
            </w:pPr>
            <w:r>
              <w:rPr>
                <w:rFonts w:ascii="Arial" w:cs="Arial" w:eastAsia="Arial" w:hAnsi="Arial"/>
                <w:sz w:val="18"/>
                <w:szCs w:val="18"/>
                <w:color w:val="auto"/>
              </w:rPr>
              <w:t>Susan Tolson</w:t>
            </w:r>
          </w:p>
        </w:tc>
        <w:tc>
          <w:tcPr>
            <w:tcW w:w="120" w:type="dxa"/>
            <w:vAlign w:val="bottom"/>
          </w:tcPr>
          <w:p>
            <w:pPr>
              <w:spacing w:after="0"/>
              <w:rPr>
                <w:sz w:val="20"/>
                <w:szCs w:val="20"/>
                <w:color w:val="auto"/>
              </w:rPr>
            </w:pPr>
          </w:p>
        </w:tc>
        <w:tc>
          <w:tcPr>
            <w:tcW w:w="4340" w:type="dxa"/>
            <w:vAlign w:val="bottom"/>
            <w:gridSpan w:val="2"/>
          </w:tcPr>
          <w:p>
            <w:pPr>
              <w:ind w:left="40"/>
              <w:spacing w:after="0"/>
              <w:rPr>
                <w:sz w:val="20"/>
                <w:szCs w:val="20"/>
                <w:color w:val="auto"/>
              </w:rPr>
            </w:pPr>
            <w:r>
              <w:rPr>
                <w:rFonts w:ascii="Arial" w:cs="Arial" w:eastAsia="Arial" w:hAnsi="Arial"/>
                <w:sz w:val="18"/>
                <w:szCs w:val="18"/>
                <w:color w:val="auto"/>
              </w:rPr>
              <w:t>Director</w:t>
            </w:r>
          </w:p>
        </w:tc>
        <w:tc>
          <w:tcPr>
            <w:tcW w:w="2960" w:type="dxa"/>
            <w:vAlign w:val="bottom"/>
          </w:tcPr>
          <w:p>
            <w:pPr>
              <w:ind w:left="20"/>
              <w:spacing w:after="0"/>
              <w:rPr>
                <w:sz w:val="20"/>
                <w:szCs w:val="20"/>
                <w:color w:val="auto"/>
              </w:rPr>
            </w:pPr>
            <w:r>
              <w:rPr>
                <w:rFonts w:ascii="Arial" w:cs="Arial" w:eastAsia="Arial" w:hAnsi="Arial"/>
                <w:sz w:val="18"/>
                <w:szCs w:val="18"/>
                <w:color w:val="auto"/>
              </w:rPr>
              <w:t>May 16, 2018</w:t>
            </w:r>
          </w:p>
        </w:tc>
        <w:tc>
          <w:tcPr>
            <w:tcW w:w="0" w:type="dxa"/>
            <w:vAlign w:val="bottom"/>
          </w:tcPr>
          <w:p>
            <w:pPr>
              <w:spacing w:after="0"/>
              <w:rPr>
                <w:sz w:val="1"/>
                <w:szCs w:val="1"/>
                <w:color w:val="auto"/>
              </w:rPr>
            </w:pPr>
          </w:p>
        </w:tc>
      </w:tr>
      <w:tr>
        <w:trPr>
          <w:trHeight w:val="702"/>
        </w:trPr>
        <w:tc>
          <w:tcPr>
            <w:tcW w:w="4000" w:type="dxa"/>
            <w:vAlign w:val="bottom"/>
          </w:tcPr>
          <w:p>
            <w:pPr>
              <w:spacing w:after="0"/>
              <w:rPr>
                <w:sz w:val="24"/>
                <w:szCs w:val="24"/>
                <w:color w:val="auto"/>
              </w:rPr>
            </w:pPr>
          </w:p>
        </w:tc>
        <w:tc>
          <w:tcPr>
            <w:tcW w:w="4360" w:type="dxa"/>
            <w:vAlign w:val="bottom"/>
            <w:gridSpan w:val="2"/>
          </w:tcPr>
          <w:p>
            <w:pPr>
              <w:jc w:val="right"/>
              <w:ind w:right="2472"/>
              <w:spacing w:after="0"/>
              <w:rPr>
                <w:sz w:val="20"/>
                <w:szCs w:val="20"/>
                <w:color w:val="auto"/>
              </w:rPr>
            </w:pPr>
            <w:r>
              <w:rPr>
                <w:rFonts w:ascii="Arial" w:cs="Arial" w:eastAsia="Arial" w:hAnsi="Arial"/>
                <w:sz w:val="18"/>
                <w:szCs w:val="18"/>
                <w:color w:val="auto"/>
              </w:rPr>
              <w:t>89</w:t>
            </w:r>
          </w:p>
        </w:tc>
        <w:tc>
          <w:tcPr>
            <w:tcW w:w="100" w:type="dxa"/>
            <w:vAlign w:val="bottom"/>
          </w:tcPr>
          <w:p>
            <w:pPr>
              <w:spacing w:after="0"/>
              <w:rPr>
                <w:sz w:val="24"/>
                <w:szCs w:val="24"/>
                <w:color w:val="auto"/>
              </w:rPr>
            </w:pPr>
          </w:p>
        </w:tc>
        <w:tc>
          <w:tcPr>
            <w:tcW w:w="29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715" w:right="239" w:bottom="1440" w:gutter="0" w:footer="0" w:header="0"/>
        </w:sectPr>
      </w:pPr>
    </w:p>
    <w:bookmarkStart w:id="91" w:name="page92"/>
    <w:bookmarkEnd w:id="91"/>
    <w:p>
      <w:pPr>
        <w:ind w:right="100" w:firstLine="8"/>
        <w:spacing w:after="0" w:line="281" w:lineRule="auto"/>
        <w:tabs>
          <w:tab w:leader="none" w:pos="392" w:val="left"/>
        </w:tabs>
        <w:numPr>
          <w:ilvl w:val="0"/>
          <w:numId w:val="30"/>
        </w:numPr>
        <w:rPr>
          <w:rFonts w:ascii="Arial" w:cs="Arial" w:eastAsia="Arial" w:hAnsi="Arial"/>
          <w:sz w:val="16"/>
          <w:szCs w:val="16"/>
          <w:b w:val="1"/>
          <w:bCs w:val="1"/>
          <w:color w:val="auto"/>
        </w:rPr>
      </w:pPr>
      <w:r>
        <w:rPr>
          <w:rFonts w:ascii="Arial" w:cs="Arial" w:eastAsia="Arial" w:hAnsi="Arial"/>
          <w:sz w:val="16"/>
          <w:szCs w:val="16"/>
          <w:b w:val="1"/>
          <w:bCs w:val="1"/>
          <w:color w:val="auto"/>
        </w:rPr>
        <w:t>INDICATES MATERIAL THAT WAS OMITTED AND FOR WHICH CONFIDENTIAL TREATMENT WAS REQUESTED. ALL SUCH OMITTED MATERIAL WAS FILED SEPARATELY WITH THE SECURITIES AND EXCHANGE COMMISSION PURSUANT TO THE RULES APPLICABLE TO SUCH CONFIDENTIAL TREATMENT REQUEST.</w:t>
      </w:r>
    </w:p>
    <w:p>
      <w:pPr>
        <w:spacing w:after="0" w:line="344"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10.55</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AMENDMENT NO. 5 TO THE</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XBOX ONE PUBLISHER LICENSE AGREEMENT</w:t>
      </w:r>
    </w:p>
    <w:p>
      <w:pPr>
        <w:spacing w:after="0" w:line="131"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(MIXER INCENTIVE)</w:t>
      </w:r>
    </w:p>
    <w:p>
      <w:pPr>
        <w:spacing w:after="0" w:line="348" w:lineRule="exact"/>
        <w:rPr>
          <w:sz w:val="20"/>
          <w:szCs w:val="20"/>
          <w:color w:val="auto"/>
        </w:rPr>
      </w:pPr>
    </w:p>
    <w:p>
      <w:pPr>
        <w:ind w:right="20"/>
        <w:spacing w:after="0" w:line="260" w:lineRule="auto"/>
        <w:rPr>
          <w:sz w:val="20"/>
          <w:szCs w:val="20"/>
          <w:color w:val="auto"/>
        </w:rPr>
      </w:pPr>
      <w:r>
        <w:rPr>
          <w:rFonts w:ascii="Arial" w:cs="Arial" w:eastAsia="Arial" w:hAnsi="Arial"/>
          <w:sz w:val="22"/>
          <w:szCs w:val="22"/>
          <w:color w:val="auto"/>
        </w:rPr>
        <w:t>This Amendment to the Xbox One Publisher License Agreement (this “Amendment”) is effective as of September 29, 2017 (the “Amendment Effective Date”), by and between Microsoft Corporation, a Washington corporation (“Microsoft”), and Take-Two Interactive Software, Inc. (“Publisher”), and supplements that certain Xbox One Publisher License Agreement between the parties dated as of October 1, 2013, as amended (the “Xbox One PLA”). This Agreement replaces and supersedes the Amendment No. 5 to the Xbox One Publisher License Agreement (Mixer Incentive) between the parties that was effective September 29, 2017 and executed on December 5, 2017.</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RECITALS</w:t>
      </w:r>
    </w:p>
    <w:p>
      <w:pPr>
        <w:spacing w:after="0" w:line="132" w:lineRule="exact"/>
        <w:rPr>
          <w:sz w:val="20"/>
          <w:szCs w:val="20"/>
          <w:color w:val="auto"/>
        </w:rPr>
      </w:pPr>
    </w:p>
    <w:p>
      <w:pPr>
        <w:ind w:left="980" w:right="60" w:hanging="324"/>
        <w:spacing w:after="0" w:line="266" w:lineRule="auto"/>
        <w:tabs>
          <w:tab w:leader="none" w:pos="980" w:val="left"/>
        </w:tabs>
        <w:numPr>
          <w:ilvl w:val="0"/>
          <w:numId w:val="31"/>
        </w:numPr>
        <w:rPr>
          <w:rFonts w:ascii="Arial" w:cs="Arial" w:eastAsia="Arial" w:hAnsi="Arial"/>
          <w:sz w:val="22"/>
          <w:szCs w:val="22"/>
          <w:color w:val="auto"/>
        </w:rPr>
      </w:pPr>
      <w:r>
        <w:rPr>
          <w:rFonts w:ascii="Arial" w:cs="Arial" w:eastAsia="Arial" w:hAnsi="Arial"/>
          <w:sz w:val="22"/>
          <w:szCs w:val="22"/>
          <w:color w:val="auto"/>
        </w:rPr>
        <w:t>Microsoft or its affiliates provide a family of computer game and entertainment systems, including the Xbox One, Xbox One S, Xbox One X and their successors and variants (collectively, “Xbox One”), and an associated proprietary online service (“Xbox Live”).</w:t>
      </w:r>
    </w:p>
    <w:p>
      <w:pPr>
        <w:spacing w:after="0" w:line="104" w:lineRule="exact"/>
        <w:rPr>
          <w:rFonts w:ascii="Arial" w:cs="Arial" w:eastAsia="Arial" w:hAnsi="Arial"/>
          <w:sz w:val="22"/>
          <w:szCs w:val="22"/>
          <w:color w:val="auto"/>
        </w:rPr>
      </w:pPr>
    </w:p>
    <w:p>
      <w:pPr>
        <w:ind w:left="980" w:right="620" w:hanging="324"/>
        <w:spacing w:after="0" w:line="358" w:lineRule="auto"/>
        <w:tabs>
          <w:tab w:leader="none" w:pos="980" w:val="left"/>
        </w:tabs>
        <w:numPr>
          <w:ilvl w:val="0"/>
          <w:numId w:val="31"/>
        </w:numPr>
        <w:rPr>
          <w:rFonts w:ascii="Arial" w:cs="Arial" w:eastAsia="Arial" w:hAnsi="Arial"/>
          <w:sz w:val="19"/>
          <w:szCs w:val="19"/>
          <w:color w:val="auto"/>
        </w:rPr>
      </w:pPr>
      <w:r>
        <w:rPr>
          <w:rFonts w:ascii="Arial" w:cs="Arial" w:eastAsia="Arial" w:hAnsi="Arial"/>
          <w:sz w:val="19"/>
          <w:szCs w:val="19"/>
          <w:color w:val="auto"/>
        </w:rPr>
        <w:t>Publisher is a game developer and publisher of software for computer game and entertainment systems. Publisher intends to develop and/or publish software products for Xbox One on the terms in the Xbox One PLA.</w:t>
      </w:r>
    </w:p>
    <w:p>
      <w:pPr>
        <w:spacing w:after="0" w:line="23" w:lineRule="exact"/>
        <w:rPr>
          <w:rFonts w:ascii="Arial" w:cs="Arial" w:eastAsia="Arial" w:hAnsi="Arial"/>
          <w:sz w:val="19"/>
          <w:szCs w:val="19"/>
          <w:color w:val="auto"/>
        </w:rPr>
      </w:pPr>
    </w:p>
    <w:p>
      <w:pPr>
        <w:ind w:left="980" w:hanging="324"/>
        <w:spacing w:after="0"/>
        <w:tabs>
          <w:tab w:leader="none" w:pos="980" w:val="left"/>
        </w:tabs>
        <w:numPr>
          <w:ilvl w:val="0"/>
          <w:numId w:val="31"/>
        </w:numPr>
        <w:rPr>
          <w:rFonts w:ascii="Arial" w:cs="Arial" w:eastAsia="Arial" w:hAnsi="Arial"/>
          <w:sz w:val="22"/>
          <w:szCs w:val="22"/>
          <w:color w:val="auto"/>
        </w:rPr>
      </w:pPr>
      <w:r>
        <w:rPr>
          <w:rFonts w:ascii="Arial" w:cs="Arial" w:eastAsia="Arial" w:hAnsi="Arial"/>
          <w:sz w:val="22"/>
          <w:szCs w:val="22"/>
          <w:color w:val="auto"/>
        </w:rPr>
        <w:t>The parties now wish to amend certain terms of the Xbox One PLA as set forth below.</w:t>
      </w:r>
    </w:p>
    <w:p>
      <w:pPr>
        <w:spacing w:after="0" w:line="173" w:lineRule="exact"/>
        <w:rPr>
          <w:sz w:val="20"/>
          <w:szCs w:val="20"/>
          <w:color w:val="auto"/>
        </w:rPr>
      </w:pPr>
    </w:p>
    <w:p>
      <w:pPr>
        <w:ind w:right="680" w:firstLine="648"/>
        <w:spacing w:after="0" w:line="277" w:lineRule="auto"/>
        <w:rPr>
          <w:sz w:val="20"/>
          <w:szCs w:val="20"/>
          <w:color w:val="auto"/>
        </w:rPr>
      </w:pPr>
      <w:r>
        <w:rPr>
          <w:rFonts w:ascii="Arial" w:cs="Arial" w:eastAsia="Arial" w:hAnsi="Arial"/>
          <w:sz w:val="18"/>
          <w:szCs w:val="18"/>
          <w:color w:val="auto"/>
        </w:rPr>
        <w:t>Accordingly, for and in consideration of the mutual covenants and conditions contained herein, and for other good and valuable consideration, receipt of which each party hereby acknowledges, Microsoft and Publisher agree as follows:</w:t>
      </w:r>
    </w:p>
    <w:p>
      <w:pPr>
        <w:spacing w:after="0" w:line="108" w:lineRule="exact"/>
        <w:rPr>
          <w:sz w:val="20"/>
          <w:szCs w:val="20"/>
          <w:color w:val="auto"/>
        </w:rPr>
      </w:pPr>
    </w:p>
    <w:p>
      <w:pPr>
        <w:ind w:right="20" w:firstLine="8"/>
        <w:spacing w:after="0" w:line="350" w:lineRule="auto"/>
        <w:tabs>
          <w:tab w:leader="none" w:pos="636" w:val="left"/>
        </w:tabs>
        <w:numPr>
          <w:ilvl w:val="0"/>
          <w:numId w:val="32"/>
        </w:numPr>
        <w:rPr>
          <w:rFonts w:ascii="Arial" w:cs="Arial" w:eastAsia="Arial" w:hAnsi="Arial"/>
          <w:sz w:val="18"/>
          <w:szCs w:val="18"/>
          <w:color w:val="auto"/>
        </w:rPr>
      </w:pPr>
      <w:r>
        <w:rPr>
          <w:rFonts w:ascii="Arial" w:cs="Arial" w:eastAsia="Arial" w:hAnsi="Arial"/>
          <w:sz w:val="18"/>
          <w:szCs w:val="18"/>
          <w:b w:val="1"/>
          <w:bCs w:val="1"/>
          <w:color w:val="auto"/>
        </w:rPr>
        <w:t xml:space="preserve">Definitions. </w:t>
      </w:r>
      <w:r>
        <w:rPr>
          <w:rFonts w:ascii="Arial" w:cs="Arial" w:eastAsia="Arial" w:hAnsi="Arial"/>
          <w:sz w:val="18"/>
          <w:szCs w:val="18"/>
          <w:color w:val="auto"/>
        </w:rPr>
        <w:t>Unless defined in this Amendment, capitalized terms shall have the same meanings as those ascribed to them in the Xbox</w:t>
      </w:r>
      <w:r>
        <w:rPr>
          <w:rFonts w:ascii="Arial" w:cs="Arial" w:eastAsia="Arial" w:hAnsi="Arial"/>
          <w:sz w:val="18"/>
          <w:szCs w:val="18"/>
          <w:b w:val="1"/>
          <w:bCs w:val="1"/>
          <w:color w:val="auto"/>
        </w:rPr>
        <w:t xml:space="preserve"> </w:t>
      </w:r>
      <w:r>
        <w:rPr>
          <w:rFonts w:ascii="Arial" w:cs="Arial" w:eastAsia="Arial" w:hAnsi="Arial"/>
          <w:sz w:val="18"/>
          <w:szCs w:val="18"/>
          <w:color w:val="auto"/>
        </w:rPr>
        <w:t>One PLA. The following definition is hereby deleted and replaced with:</w:t>
      </w:r>
    </w:p>
    <w:p>
      <w:pPr>
        <w:spacing w:after="0" w:line="53" w:lineRule="exact"/>
        <w:rPr>
          <w:sz w:val="20"/>
          <w:szCs w:val="20"/>
          <w:color w:val="auto"/>
        </w:rPr>
      </w:pPr>
    </w:p>
    <w:p>
      <w:pPr>
        <w:ind w:left="660"/>
        <w:spacing w:after="0"/>
        <w:rPr>
          <w:sz w:val="20"/>
          <w:szCs w:val="20"/>
          <w:color w:val="auto"/>
        </w:rPr>
      </w:pPr>
      <w:r>
        <w:rPr>
          <w:rFonts w:ascii="Arial" w:cs="Arial" w:eastAsia="Arial" w:hAnsi="Arial"/>
          <w:sz w:val="22"/>
          <w:szCs w:val="22"/>
          <w:b w:val="1"/>
          <w:bCs w:val="1"/>
          <w:color w:val="auto"/>
        </w:rPr>
        <w:t xml:space="preserve">2.52 “WSP” or “Wholesale Price” </w:t>
      </w:r>
      <w:r>
        <w:rPr>
          <w:rFonts w:ascii="Arial" w:cs="Arial" w:eastAsia="Arial" w:hAnsi="Arial"/>
          <w:sz w:val="22"/>
          <w:szCs w:val="22"/>
          <w:color w:val="auto"/>
        </w:rPr>
        <w:t>means</w:t>
      </w:r>
      <w:r>
        <w:rPr>
          <w:rFonts w:ascii="Arial" w:cs="Arial" w:eastAsia="Arial" w:hAnsi="Arial"/>
          <w:sz w:val="22"/>
          <w:szCs w:val="22"/>
          <w:b w:val="1"/>
          <w:bCs w:val="1"/>
          <w:color w:val="auto"/>
        </w:rPr>
        <w:t xml:space="preserve"> </w:t>
      </w:r>
      <w:r>
        <w:rPr>
          <w:rFonts w:ascii="Arial" w:cs="Arial" w:eastAsia="Arial" w:hAnsi="Arial"/>
          <w:sz w:val="16"/>
          <w:szCs w:val="16"/>
          <w:color w:val="auto"/>
        </w:rPr>
        <w:t>[***]</w:t>
      </w:r>
      <w:r>
        <w:rPr>
          <w:rFonts w:ascii="Arial" w:cs="Arial" w:eastAsia="Arial" w:hAnsi="Arial"/>
          <w:sz w:val="22"/>
          <w:szCs w:val="22"/>
          <w:color w:val="auto"/>
        </w:rPr>
        <w:t>.</w:t>
      </w:r>
    </w:p>
    <w:p>
      <w:pPr>
        <w:spacing w:after="0" w:line="170" w:lineRule="exact"/>
        <w:rPr>
          <w:sz w:val="20"/>
          <w:szCs w:val="20"/>
          <w:color w:val="auto"/>
        </w:rPr>
      </w:pPr>
    </w:p>
    <w:p>
      <w:pPr>
        <w:ind w:right="440" w:firstLine="8"/>
        <w:spacing w:after="0" w:line="318" w:lineRule="auto"/>
        <w:tabs>
          <w:tab w:leader="none" w:pos="330" w:val="left"/>
        </w:tabs>
        <w:numPr>
          <w:ilvl w:val="0"/>
          <w:numId w:val="33"/>
        </w:numPr>
        <w:rPr>
          <w:rFonts w:ascii="Arial" w:cs="Arial" w:eastAsia="Arial" w:hAnsi="Arial"/>
          <w:sz w:val="18"/>
          <w:szCs w:val="18"/>
          <w:color w:val="auto"/>
        </w:rPr>
      </w:pPr>
      <w:r>
        <w:rPr>
          <w:rFonts w:ascii="Arial" w:cs="Arial" w:eastAsia="Arial" w:hAnsi="Arial"/>
          <w:sz w:val="18"/>
          <w:szCs w:val="18"/>
          <w:b w:val="1"/>
          <w:bCs w:val="1"/>
          <w:color w:val="auto"/>
        </w:rPr>
        <w:t xml:space="preserve">Exhibit 1, Section 1 (Table 2). </w:t>
      </w:r>
      <w:r>
        <w:rPr>
          <w:rFonts w:ascii="Arial" w:cs="Arial" w:eastAsia="Arial" w:hAnsi="Arial"/>
          <w:sz w:val="18"/>
          <w:szCs w:val="18"/>
          <w:color w:val="auto"/>
        </w:rPr>
        <w:t>The royalty rates applicable to</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set forth in Table 2 in Exhibit 1, Section 1 shall be replaced with the</w:t>
      </w:r>
      <w:r>
        <w:rPr>
          <w:rFonts w:ascii="Arial" w:cs="Arial" w:eastAsia="Arial" w:hAnsi="Arial"/>
          <w:sz w:val="18"/>
          <w:szCs w:val="18"/>
          <w:b w:val="1"/>
          <w:bCs w:val="1"/>
          <w:color w:val="auto"/>
        </w:rPr>
        <w:t xml:space="preserve"> </w:t>
      </w:r>
      <w:r>
        <w:rPr>
          <w:rFonts w:ascii="Arial" w:cs="Arial" w:eastAsia="Arial" w:hAnsi="Arial"/>
          <w:sz w:val="18"/>
          <w:szCs w:val="18"/>
          <w:color w:val="auto"/>
        </w:rPr>
        <w:t>following:</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1740" w:type="dxa"/>
            <w:vAlign w:val="bottom"/>
          </w:tcPr>
          <w:p>
            <w:pPr>
              <w:spacing w:after="0"/>
              <w:rPr>
                <w:sz w:val="20"/>
                <w:szCs w:val="20"/>
                <w:color w:val="auto"/>
              </w:rPr>
            </w:pPr>
          </w:p>
        </w:tc>
        <w:tc>
          <w:tcPr>
            <w:tcW w:w="300" w:type="dxa"/>
            <w:vAlign w:val="bottom"/>
            <w:tcBorders>
              <w:right w:val="single" w:sz="8" w:color="00000A"/>
            </w:tcBorders>
          </w:tcPr>
          <w:p>
            <w:pPr>
              <w:spacing w:after="0"/>
              <w:rPr>
                <w:sz w:val="20"/>
                <w:szCs w:val="20"/>
                <w:color w:val="auto"/>
              </w:rPr>
            </w:pPr>
          </w:p>
        </w:tc>
        <w:tc>
          <w:tcPr>
            <w:tcW w:w="2520" w:type="dxa"/>
            <w:vAlign w:val="bottom"/>
            <w:tcBorders>
              <w:top w:val="single" w:sz="8" w:color="00000A"/>
              <w:right w:val="single" w:sz="8" w:color="00000A"/>
            </w:tcBorders>
          </w:tcPr>
          <w:p>
            <w:pPr>
              <w:ind w:left="20"/>
              <w:spacing w:after="0"/>
              <w:rPr>
                <w:sz w:val="20"/>
                <w:szCs w:val="20"/>
                <w:color w:val="auto"/>
              </w:rPr>
            </w:pPr>
            <w:r>
              <w:rPr>
                <w:rFonts w:ascii="Arial" w:cs="Arial" w:eastAsia="Arial" w:hAnsi="Arial"/>
                <w:sz w:val="16"/>
                <w:szCs w:val="16"/>
                <w:b w:val="1"/>
                <w:bCs w:val="1"/>
                <w:color w:val="auto"/>
              </w:rPr>
              <w:t>Standard Software Title</w:t>
            </w:r>
          </w:p>
        </w:tc>
        <w:tc>
          <w:tcPr>
            <w:tcW w:w="2140" w:type="dxa"/>
            <w:vAlign w:val="bottom"/>
            <w:tcBorders>
              <w:top w:val="single" w:sz="8" w:color="00000A"/>
              <w:right w:val="single" w:sz="8" w:color="00000A"/>
            </w:tcBorders>
          </w:tcPr>
          <w:p>
            <w:pPr>
              <w:jc w:val="right"/>
              <w:ind w:right="819"/>
              <w:spacing w:after="0"/>
              <w:rPr>
                <w:sz w:val="20"/>
                <w:szCs w:val="20"/>
                <w:color w:val="auto"/>
              </w:rPr>
            </w:pPr>
            <w:r>
              <w:rPr>
                <w:rFonts w:ascii="Arial" w:cs="Arial" w:eastAsia="Arial" w:hAnsi="Arial"/>
                <w:sz w:val="16"/>
                <w:szCs w:val="16"/>
                <w:color w:val="auto"/>
              </w:rPr>
              <w:t>[***]</w:t>
            </w:r>
          </w:p>
        </w:tc>
      </w:tr>
      <w:tr>
        <w:trPr>
          <w:trHeight w:val="33"/>
        </w:trPr>
        <w:tc>
          <w:tcPr>
            <w:tcW w:w="1740" w:type="dxa"/>
            <w:vAlign w:val="bottom"/>
          </w:tcPr>
          <w:p>
            <w:pPr>
              <w:spacing w:after="0"/>
              <w:rPr>
                <w:sz w:val="2"/>
                <w:szCs w:val="2"/>
                <w:color w:val="auto"/>
              </w:rPr>
            </w:pPr>
          </w:p>
        </w:tc>
        <w:tc>
          <w:tcPr>
            <w:tcW w:w="300" w:type="dxa"/>
            <w:vAlign w:val="bottom"/>
            <w:tcBorders>
              <w:right w:val="single" w:sz="8" w:color="00000A"/>
            </w:tcBorders>
          </w:tcPr>
          <w:p>
            <w:pPr>
              <w:spacing w:after="0"/>
              <w:rPr>
                <w:sz w:val="2"/>
                <w:szCs w:val="2"/>
                <w:color w:val="auto"/>
              </w:rPr>
            </w:pPr>
          </w:p>
        </w:tc>
        <w:tc>
          <w:tcPr>
            <w:tcW w:w="2520" w:type="dxa"/>
            <w:vAlign w:val="bottom"/>
            <w:tcBorders>
              <w:bottom w:val="single" w:sz="8" w:color="00000A"/>
              <w:right w:val="single" w:sz="8" w:color="00000A"/>
            </w:tcBorders>
          </w:tcPr>
          <w:p>
            <w:pPr>
              <w:spacing w:after="0"/>
              <w:rPr>
                <w:sz w:val="2"/>
                <w:szCs w:val="2"/>
                <w:color w:val="auto"/>
              </w:rPr>
            </w:pPr>
          </w:p>
        </w:tc>
        <w:tc>
          <w:tcPr>
            <w:tcW w:w="2140" w:type="dxa"/>
            <w:vAlign w:val="bottom"/>
            <w:tcBorders>
              <w:bottom w:val="single" w:sz="8" w:color="00000A"/>
              <w:right w:val="single" w:sz="8" w:color="00000A"/>
            </w:tcBorders>
          </w:tcPr>
          <w:p>
            <w:pPr>
              <w:spacing w:after="0"/>
              <w:rPr>
                <w:sz w:val="2"/>
                <w:szCs w:val="2"/>
                <w:color w:val="auto"/>
              </w:rPr>
            </w:pPr>
          </w:p>
        </w:tc>
      </w:tr>
      <w:tr>
        <w:trPr>
          <w:trHeight w:val="217"/>
        </w:trPr>
        <w:tc>
          <w:tcPr>
            <w:tcW w:w="1740" w:type="dxa"/>
            <w:vAlign w:val="bottom"/>
          </w:tcPr>
          <w:p>
            <w:pPr>
              <w:spacing w:after="0"/>
              <w:rPr>
                <w:sz w:val="18"/>
                <w:szCs w:val="18"/>
                <w:color w:val="auto"/>
              </w:rPr>
            </w:pPr>
          </w:p>
        </w:tc>
        <w:tc>
          <w:tcPr>
            <w:tcW w:w="300" w:type="dxa"/>
            <w:vAlign w:val="bottom"/>
            <w:tcBorders>
              <w:right w:val="single" w:sz="8" w:color="00000A"/>
            </w:tcBorders>
          </w:tcPr>
          <w:p>
            <w:pPr>
              <w:spacing w:after="0"/>
              <w:rPr>
                <w:sz w:val="18"/>
                <w:szCs w:val="18"/>
                <w:color w:val="auto"/>
              </w:rPr>
            </w:pPr>
          </w:p>
        </w:tc>
        <w:tc>
          <w:tcPr>
            <w:tcW w:w="2520" w:type="dxa"/>
            <w:vAlign w:val="bottom"/>
            <w:tcBorders>
              <w:right w:val="single" w:sz="8" w:color="00000A"/>
            </w:tcBorders>
          </w:tcPr>
          <w:p>
            <w:pPr>
              <w:ind w:left="20"/>
              <w:spacing w:after="0"/>
              <w:rPr>
                <w:sz w:val="20"/>
                <w:szCs w:val="20"/>
                <w:color w:val="auto"/>
              </w:rPr>
            </w:pPr>
            <w:r>
              <w:rPr>
                <w:rFonts w:ascii="Arial" w:cs="Arial" w:eastAsia="Arial" w:hAnsi="Arial"/>
                <w:sz w:val="16"/>
                <w:szCs w:val="16"/>
                <w:b w:val="1"/>
                <w:bCs w:val="1"/>
                <w:color w:val="auto"/>
              </w:rPr>
              <w:t>Tier 1</w:t>
            </w:r>
          </w:p>
        </w:tc>
        <w:tc>
          <w:tcPr>
            <w:tcW w:w="2140" w:type="dxa"/>
            <w:vAlign w:val="bottom"/>
            <w:tcBorders>
              <w:right w:val="single" w:sz="8" w:color="00000A"/>
            </w:tcBorders>
          </w:tcPr>
          <w:p>
            <w:pPr>
              <w:jc w:val="right"/>
              <w:ind w:right="819"/>
              <w:spacing w:after="0"/>
              <w:rPr>
                <w:sz w:val="20"/>
                <w:szCs w:val="20"/>
                <w:color w:val="auto"/>
              </w:rPr>
            </w:pPr>
            <w:r>
              <w:rPr>
                <w:rFonts w:ascii="Arial" w:cs="Arial" w:eastAsia="Arial" w:hAnsi="Arial"/>
                <w:sz w:val="16"/>
                <w:szCs w:val="16"/>
                <w:color w:val="auto"/>
              </w:rPr>
              <w:t>[***]</w:t>
            </w:r>
          </w:p>
        </w:tc>
      </w:tr>
      <w:tr>
        <w:trPr>
          <w:trHeight w:val="33"/>
        </w:trPr>
        <w:tc>
          <w:tcPr>
            <w:tcW w:w="1740" w:type="dxa"/>
            <w:vAlign w:val="bottom"/>
          </w:tcPr>
          <w:p>
            <w:pPr>
              <w:spacing w:after="0"/>
              <w:rPr>
                <w:sz w:val="2"/>
                <w:szCs w:val="2"/>
                <w:color w:val="auto"/>
              </w:rPr>
            </w:pPr>
          </w:p>
        </w:tc>
        <w:tc>
          <w:tcPr>
            <w:tcW w:w="300" w:type="dxa"/>
            <w:vAlign w:val="bottom"/>
            <w:tcBorders>
              <w:right w:val="single" w:sz="8" w:color="00000A"/>
            </w:tcBorders>
          </w:tcPr>
          <w:p>
            <w:pPr>
              <w:spacing w:after="0"/>
              <w:rPr>
                <w:sz w:val="2"/>
                <w:szCs w:val="2"/>
                <w:color w:val="auto"/>
              </w:rPr>
            </w:pPr>
          </w:p>
        </w:tc>
        <w:tc>
          <w:tcPr>
            <w:tcW w:w="2520" w:type="dxa"/>
            <w:vAlign w:val="bottom"/>
            <w:tcBorders>
              <w:bottom w:val="single" w:sz="8" w:color="00000A"/>
              <w:right w:val="single" w:sz="8" w:color="00000A"/>
            </w:tcBorders>
          </w:tcPr>
          <w:p>
            <w:pPr>
              <w:spacing w:after="0"/>
              <w:rPr>
                <w:sz w:val="2"/>
                <w:szCs w:val="2"/>
                <w:color w:val="auto"/>
              </w:rPr>
            </w:pPr>
          </w:p>
        </w:tc>
        <w:tc>
          <w:tcPr>
            <w:tcW w:w="2140" w:type="dxa"/>
            <w:vAlign w:val="bottom"/>
            <w:tcBorders>
              <w:bottom w:val="single" w:sz="8" w:color="00000A"/>
              <w:right w:val="single" w:sz="8" w:color="00000A"/>
            </w:tcBorders>
          </w:tcPr>
          <w:p>
            <w:pPr>
              <w:spacing w:after="0"/>
              <w:rPr>
                <w:sz w:val="2"/>
                <w:szCs w:val="2"/>
                <w:color w:val="auto"/>
              </w:rPr>
            </w:pPr>
          </w:p>
        </w:tc>
      </w:tr>
      <w:tr>
        <w:trPr>
          <w:trHeight w:val="217"/>
        </w:trPr>
        <w:tc>
          <w:tcPr>
            <w:tcW w:w="1740" w:type="dxa"/>
            <w:vAlign w:val="bottom"/>
          </w:tcPr>
          <w:p>
            <w:pPr>
              <w:spacing w:after="0"/>
              <w:rPr>
                <w:sz w:val="18"/>
                <w:szCs w:val="18"/>
                <w:color w:val="auto"/>
              </w:rPr>
            </w:pPr>
          </w:p>
        </w:tc>
        <w:tc>
          <w:tcPr>
            <w:tcW w:w="300" w:type="dxa"/>
            <w:vAlign w:val="bottom"/>
            <w:tcBorders>
              <w:right w:val="single" w:sz="8" w:color="00000A"/>
            </w:tcBorders>
          </w:tcPr>
          <w:p>
            <w:pPr>
              <w:spacing w:after="0"/>
              <w:rPr>
                <w:sz w:val="18"/>
                <w:szCs w:val="18"/>
                <w:color w:val="auto"/>
              </w:rPr>
            </w:pPr>
          </w:p>
        </w:tc>
        <w:tc>
          <w:tcPr>
            <w:tcW w:w="2520" w:type="dxa"/>
            <w:vAlign w:val="bottom"/>
            <w:tcBorders>
              <w:right w:val="single" w:sz="8" w:color="00000A"/>
            </w:tcBorders>
          </w:tcPr>
          <w:p>
            <w:pPr>
              <w:ind w:left="20"/>
              <w:spacing w:after="0"/>
              <w:rPr>
                <w:sz w:val="20"/>
                <w:szCs w:val="20"/>
                <w:color w:val="auto"/>
              </w:rPr>
            </w:pPr>
            <w:r>
              <w:rPr>
                <w:rFonts w:ascii="Arial" w:cs="Arial" w:eastAsia="Arial" w:hAnsi="Arial"/>
                <w:sz w:val="16"/>
                <w:szCs w:val="16"/>
                <w:b w:val="1"/>
                <w:bCs w:val="1"/>
                <w:color w:val="auto"/>
              </w:rPr>
              <w:t>Tier 2</w:t>
            </w:r>
          </w:p>
        </w:tc>
        <w:tc>
          <w:tcPr>
            <w:tcW w:w="2140" w:type="dxa"/>
            <w:vAlign w:val="bottom"/>
            <w:tcBorders>
              <w:right w:val="single" w:sz="8" w:color="00000A"/>
            </w:tcBorders>
          </w:tcPr>
          <w:p>
            <w:pPr>
              <w:jc w:val="right"/>
              <w:ind w:right="819"/>
              <w:spacing w:after="0"/>
              <w:rPr>
                <w:sz w:val="20"/>
                <w:szCs w:val="20"/>
                <w:color w:val="auto"/>
              </w:rPr>
            </w:pPr>
            <w:r>
              <w:rPr>
                <w:rFonts w:ascii="Arial" w:cs="Arial" w:eastAsia="Arial" w:hAnsi="Arial"/>
                <w:sz w:val="16"/>
                <w:szCs w:val="16"/>
                <w:color w:val="auto"/>
              </w:rPr>
              <w:t>[***]</w:t>
            </w:r>
          </w:p>
        </w:tc>
      </w:tr>
      <w:tr>
        <w:trPr>
          <w:trHeight w:val="33"/>
        </w:trPr>
        <w:tc>
          <w:tcPr>
            <w:tcW w:w="1740" w:type="dxa"/>
            <w:vAlign w:val="bottom"/>
          </w:tcPr>
          <w:p>
            <w:pPr>
              <w:spacing w:after="0"/>
              <w:rPr>
                <w:sz w:val="2"/>
                <w:szCs w:val="2"/>
                <w:color w:val="auto"/>
              </w:rPr>
            </w:pPr>
          </w:p>
        </w:tc>
        <w:tc>
          <w:tcPr>
            <w:tcW w:w="300" w:type="dxa"/>
            <w:vAlign w:val="bottom"/>
            <w:tcBorders>
              <w:right w:val="single" w:sz="8" w:color="00000A"/>
            </w:tcBorders>
          </w:tcPr>
          <w:p>
            <w:pPr>
              <w:spacing w:after="0"/>
              <w:rPr>
                <w:sz w:val="2"/>
                <w:szCs w:val="2"/>
                <w:color w:val="auto"/>
              </w:rPr>
            </w:pPr>
          </w:p>
        </w:tc>
        <w:tc>
          <w:tcPr>
            <w:tcW w:w="2520" w:type="dxa"/>
            <w:vAlign w:val="bottom"/>
            <w:tcBorders>
              <w:bottom w:val="single" w:sz="8" w:color="00000A"/>
              <w:right w:val="single" w:sz="8" w:color="00000A"/>
            </w:tcBorders>
          </w:tcPr>
          <w:p>
            <w:pPr>
              <w:spacing w:after="0"/>
              <w:rPr>
                <w:sz w:val="2"/>
                <w:szCs w:val="2"/>
                <w:color w:val="auto"/>
              </w:rPr>
            </w:pPr>
          </w:p>
        </w:tc>
        <w:tc>
          <w:tcPr>
            <w:tcW w:w="2140" w:type="dxa"/>
            <w:vAlign w:val="bottom"/>
            <w:tcBorders>
              <w:bottom w:val="single" w:sz="8" w:color="00000A"/>
              <w:right w:val="single" w:sz="8" w:color="00000A"/>
            </w:tcBorders>
          </w:tcPr>
          <w:p>
            <w:pPr>
              <w:spacing w:after="0"/>
              <w:rPr>
                <w:sz w:val="2"/>
                <w:szCs w:val="2"/>
                <w:color w:val="auto"/>
              </w:rPr>
            </w:pPr>
          </w:p>
        </w:tc>
      </w:tr>
      <w:tr>
        <w:trPr>
          <w:trHeight w:val="217"/>
        </w:trPr>
        <w:tc>
          <w:tcPr>
            <w:tcW w:w="1740" w:type="dxa"/>
            <w:vAlign w:val="bottom"/>
          </w:tcPr>
          <w:p>
            <w:pPr>
              <w:spacing w:after="0"/>
              <w:rPr>
                <w:sz w:val="18"/>
                <w:szCs w:val="18"/>
                <w:color w:val="auto"/>
              </w:rPr>
            </w:pPr>
          </w:p>
        </w:tc>
        <w:tc>
          <w:tcPr>
            <w:tcW w:w="300" w:type="dxa"/>
            <w:vAlign w:val="bottom"/>
            <w:tcBorders>
              <w:right w:val="single" w:sz="8" w:color="00000A"/>
            </w:tcBorders>
          </w:tcPr>
          <w:p>
            <w:pPr>
              <w:spacing w:after="0"/>
              <w:rPr>
                <w:sz w:val="18"/>
                <w:szCs w:val="18"/>
                <w:color w:val="auto"/>
              </w:rPr>
            </w:pPr>
          </w:p>
        </w:tc>
        <w:tc>
          <w:tcPr>
            <w:tcW w:w="2520" w:type="dxa"/>
            <w:vAlign w:val="bottom"/>
            <w:tcBorders>
              <w:right w:val="single" w:sz="8" w:color="00000A"/>
            </w:tcBorders>
          </w:tcPr>
          <w:p>
            <w:pPr>
              <w:ind w:left="20"/>
              <w:spacing w:after="0"/>
              <w:rPr>
                <w:sz w:val="20"/>
                <w:szCs w:val="20"/>
                <w:color w:val="auto"/>
              </w:rPr>
            </w:pPr>
            <w:r>
              <w:rPr>
                <w:rFonts w:ascii="Arial" w:cs="Arial" w:eastAsia="Arial" w:hAnsi="Arial"/>
                <w:sz w:val="16"/>
                <w:szCs w:val="16"/>
                <w:b w:val="1"/>
                <w:bCs w:val="1"/>
                <w:color w:val="auto"/>
              </w:rPr>
              <w:t>Tier 3</w:t>
            </w:r>
          </w:p>
        </w:tc>
        <w:tc>
          <w:tcPr>
            <w:tcW w:w="2140" w:type="dxa"/>
            <w:vAlign w:val="bottom"/>
            <w:tcBorders>
              <w:right w:val="single" w:sz="8" w:color="00000A"/>
            </w:tcBorders>
          </w:tcPr>
          <w:p>
            <w:pPr>
              <w:jc w:val="right"/>
              <w:ind w:right="819"/>
              <w:spacing w:after="0"/>
              <w:rPr>
                <w:sz w:val="20"/>
                <w:szCs w:val="20"/>
                <w:color w:val="auto"/>
              </w:rPr>
            </w:pPr>
            <w:r>
              <w:rPr>
                <w:rFonts w:ascii="Arial" w:cs="Arial" w:eastAsia="Arial" w:hAnsi="Arial"/>
                <w:sz w:val="16"/>
                <w:szCs w:val="16"/>
                <w:color w:val="auto"/>
              </w:rPr>
              <w:t>[***]</w:t>
            </w:r>
          </w:p>
        </w:tc>
      </w:tr>
      <w:tr>
        <w:trPr>
          <w:trHeight w:val="33"/>
        </w:trPr>
        <w:tc>
          <w:tcPr>
            <w:tcW w:w="1740" w:type="dxa"/>
            <w:vAlign w:val="bottom"/>
          </w:tcPr>
          <w:p>
            <w:pPr>
              <w:spacing w:after="0"/>
              <w:rPr>
                <w:sz w:val="2"/>
                <w:szCs w:val="2"/>
                <w:color w:val="auto"/>
              </w:rPr>
            </w:pPr>
          </w:p>
        </w:tc>
        <w:tc>
          <w:tcPr>
            <w:tcW w:w="300" w:type="dxa"/>
            <w:vAlign w:val="bottom"/>
            <w:tcBorders>
              <w:right w:val="single" w:sz="8" w:color="00000A"/>
            </w:tcBorders>
          </w:tcPr>
          <w:p>
            <w:pPr>
              <w:spacing w:after="0"/>
              <w:rPr>
                <w:sz w:val="2"/>
                <w:szCs w:val="2"/>
                <w:color w:val="auto"/>
              </w:rPr>
            </w:pPr>
          </w:p>
        </w:tc>
        <w:tc>
          <w:tcPr>
            <w:tcW w:w="2520" w:type="dxa"/>
            <w:vAlign w:val="bottom"/>
            <w:tcBorders>
              <w:bottom w:val="single" w:sz="8" w:color="00000A"/>
              <w:right w:val="single" w:sz="8" w:color="00000A"/>
            </w:tcBorders>
          </w:tcPr>
          <w:p>
            <w:pPr>
              <w:spacing w:after="0"/>
              <w:rPr>
                <w:sz w:val="2"/>
                <w:szCs w:val="2"/>
                <w:color w:val="auto"/>
              </w:rPr>
            </w:pPr>
          </w:p>
        </w:tc>
        <w:tc>
          <w:tcPr>
            <w:tcW w:w="2140" w:type="dxa"/>
            <w:vAlign w:val="bottom"/>
            <w:tcBorders>
              <w:bottom w:val="single" w:sz="8" w:color="00000A"/>
              <w:right w:val="single" w:sz="8" w:color="00000A"/>
            </w:tcBorders>
          </w:tcPr>
          <w:p>
            <w:pPr>
              <w:spacing w:after="0"/>
              <w:rPr>
                <w:sz w:val="2"/>
                <w:szCs w:val="2"/>
                <w:color w:val="auto"/>
              </w:rPr>
            </w:pPr>
          </w:p>
        </w:tc>
      </w:tr>
      <w:tr>
        <w:trPr>
          <w:trHeight w:val="217"/>
        </w:trPr>
        <w:tc>
          <w:tcPr>
            <w:tcW w:w="1740" w:type="dxa"/>
            <w:vAlign w:val="bottom"/>
          </w:tcPr>
          <w:p>
            <w:pPr>
              <w:spacing w:after="0"/>
              <w:rPr>
                <w:sz w:val="18"/>
                <w:szCs w:val="18"/>
                <w:color w:val="auto"/>
              </w:rPr>
            </w:pPr>
          </w:p>
        </w:tc>
        <w:tc>
          <w:tcPr>
            <w:tcW w:w="300" w:type="dxa"/>
            <w:vAlign w:val="bottom"/>
            <w:tcBorders>
              <w:right w:val="single" w:sz="8" w:color="00000A"/>
            </w:tcBorders>
          </w:tcPr>
          <w:p>
            <w:pPr>
              <w:spacing w:after="0"/>
              <w:rPr>
                <w:sz w:val="18"/>
                <w:szCs w:val="18"/>
                <w:color w:val="auto"/>
              </w:rPr>
            </w:pPr>
          </w:p>
        </w:tc>
        <w:tc>
          <w:tcPr>
            <w:tcW w:w="2520" w:type="dxa"/>
            <w:vAlign w:val="bottom"/>
            <w:tcBorders>
              <w:right w:val="single" w:sz="8" w:color="00000A"/>
            </w:tcBorders>
          </w:tcPr>
          <w:p>
            <w:pPr>
              <w:ind w:left="20"/>
              <w:spacing w:after="0"/>
              <w:rPr>
                <w:sz w:val="20"/>
                <w:szCs w:val="20"/>
                <w:color w:val="auto"/>
              </w:rPr>
            </w:pPr>
            <w:r>
              <w:rPr>
                <w:rFonts w:ascii="Arial" w:cs="Arial" w:eastAsia="Arial" w:hAnsi="Arial"/>
                <w:sz w:val="16"/>
                <w:szCs w:val="16"/>
                <w:b w:val="1"/>
                <w:bCs w:val="1"/>
                <w:color w:val="auto"/>
              </w:rPr>
              <w:t>Tier 4</w:t>
            </w:r>
          </w:p>
        </w:tc>
        <w:tc>
          <w:tcPr>
            <w:tcW w:w="2140" w:type="dxa"/>
            <w:vAlign w:val="bottom"/>
            <w:tcBorders>
              <w:right w:val="single" w:sz="8" w:color="00000A"/>
            </w:tcBorders>
          </w:tcPr>
          <w:p>
            <w:pPr>
              <w:jc w:val="right"/>
              <w:ind w:right="819"/>
              <w:spacing w:after="0"/>
              <w:rPr>
                <w:sz w:val="20"/>
                <w:szCs w:val="20"/>
                <w:color w:val="auto"/>
              </w:rPr>
            </w:pPr>
            <w:r>
              <w:rPr>
                <w:rFonts w:ascii="Arial" w:cs="Arial" w:eastAsia="Arial" w:hAnsi="Arial"/>
                <w:sz w:val="16"/>
                <w:szCs w:val="16"/>
                <w:color w:val="auto"/>
              </w:rPr>
              <w:t>[***]</w:t>
            </w:r>
          </w:p>
        </w:tc>
      </w:tr>
      <w:tr>
        <w:trPr>
          <w:trHeight w:val="33"/>
        </w:trPr>
        <w:tc>
          <w:tcPr>
            <w:tcW w:w="1740" w:type="dxa"/>
            <w:vAlign w:val="bottom"/>
          </w:tcPr>
          <w:p>
            <w:pPr>
              <w:spacing w:after="0"/>
              <w:rPr>
                <w:sz w:val="2"/>
                <w:szCs w:val="2"/>
                <w:color w:val="auto"/>
              </w:rPr>
            </w:pPr>
          </w:p>
        </w:tc>
        <w:tc>
          <w:tcPr>
            <w:tcW w:w="300" w:type="dxa"/>
            <w:vAlign w:val="bottom"/>
            <w:tcBorders>
              <w:right w:val="single" w:sz="8" w:color="00000A"/>
            </w:tcBorders>
          </w:tcPr>
          <w:p>
            <w:pPr>
              <w:spacing w:after="0"/>
              <w:rPr>
                <w:sz w:val="2"/>
                <w:szCs w:val="2"/>
                <w:color w:val="auto"/>
              </w:rPr>
            </w:pPr>
          </w:p>
        </w:tc>
        <w:tc>
          <w:tcPr>
            <w:tcW w:w="2520" w:type="dxa"/>
            <w:vAlign w:val="bottom"/>
            <w:tcBorders>
              <w:bottom w:val="single" w:sz="8" w:color="00000A"/>
              <w:right w:val="single" w:sz="8" w:color="00000A"/>
            </w:tcBorders>
          </w:tcPr>
          <w:p>
            <w:pPr>
              <w:spacing w:after="0"/>
              <w:rPr>
                <w:sz w:val="2"/>
                <w:szCs w:val="2"/>
                <w:color w:val="auto"/>
              </w:rPr>
            </w:pPr>
          </w:p>
        </w:tc>
        <w:tc>
          <w:tcPr>
            <w:tcW w:w="2140" w:type="dxa"/>
            <w:vAlign w:val="bottom"/>
            <w:tcBorders>
              <w:bottom w:val="single" w:sz="8" w:color="00000A"/>
              <w:right w:val="single" w:sz="8" w:color="00000A"/>
            </w:tcBorders>
          </w:tcPr>
          <w:p>
            <w:pPr>
              <w:spacing w:after="0"/>
              <w:rPr>
                <w:sz w:val="2"/>
                <w:szCs w:val="2"/>
                <w:color w:val="auto"/>
              </w:rPr>
            </w:pPr>
          </w:p>
        </w:tc>
      </w:tr>
      <w:tr>
        <w:trPr>
          <w:trHeight w:val="217"/>
        </w:trPr>
        <w:tc>
          <w:tcPr>
            <w:tcW w:w="1740" w:type="dxa"/>
            <w:vAlign w:val="bottom"/>
          </w:tcPr>
          <w:p>
            <w:pPr>
              <w:spacing w:after="0"/>
              <w:rPr>
                <w:sz w:val="18"/>
                <w:szCs w:val="18"/>
                <w:color w:val="auto"/>
              </w:rPr>
            </w:pPr>
          </w:p>
        </w:tc>
        <w:tc>
          <w:tcPr>
            <w:tcW w:w="300" w:type="dxa"/>
            <w:vAlign w:val="bottom"/>
            <w:tcBorders>
              <w:right w:val="single" w:sz="8" w:color="00000A"/>
            </w:tcBorders>
          </w:tcPr>
          <w:p>
            <w:pPr>
              <w:spacing w:after="0"/>
              <w:rPr>
                <w:sz w:val="18"/>
                <w:szCs w:val="18"/>
                <w:color w:val="auto"/>
              </w:rPr>
            </w:pPr>
          </w:p>
        </w:tc>
        <w:tc>
          <w:tcPr>
            <w:tcW w:w="2520" w:type="dxa"/>
            <w:vAlign w:val="bottom"/>
            <w:tcBorders>
              <w:right w:val="single" w:sz="8" w:color="00000A"/>
            </w:tcBorders>
          </w:tcPr>
          <w:p>
            <w:pPr>
              <w:ind w:left="20"/>
              <w:spacing w:after="0"/>
              <w:rPr>
                <w:sz w:val="20"/>
                <w:szCs w:val="20"/>
                <w:color w:val="auto"/>
              </w:rPr>
            </w:pPr>
            <w:r>
              <w:rPr>
                <w:rFonts w:ascii="Arial" w:cs="Arial" w:eastAsia="Arial" w:hAnsi="Arial"/>
                <w:sz w:val="16"/>
                <w:szCs w:val="16"/>
                <w:b w:val="1"/>
                <w:bCs w:val="1"/>
                <w:color w:val="auto"/>
              </w:rPr>
              <w:t>Tier 5</w:t>
            </w:r>
          </w:p>
        </w:tc>
        <w:tc>
          <w:tcPr>
            <w:tcW w:w="2140" w:type="dxa"/>
            <w:vAlign w:val="bottom"/>
            <w:tcBorders>
              <w:right w:val="single" w:sz="8" w:color="00000A"/>
            </w:tcBorders>
          </w:tcPr>
          <w:p>
            <w:pPr>
              <w:jc w:val="right"/>
              <w:ind w:right="819"/>
              <w:spacing w:after="0"/>
              <w:rPr>
                <w:sz w:val="20"/>
                <w:szCs w:val="20"/>
                <w:color w:val="auto"/>
              </w:rPr>
            </w:pPr>
            <w:r>
              <w:rPr>
                <w:rFonts w:ascii="Arial" w:cs="Arial" w:eastAsia="Arial" w:hAnsi="Arial"/>
                <w:sz w:val="16"/>
                <w:szCs w:val="16"/>
                <w:color w:val="auto"/>
              </w:rPr>
              <w:t>[***]</w:t>
            </w:r>
          </w:p>
        </w:tc>
      </w:tr>
      <w:tr>
        <w:trPr>
          <w:trHeight w:val="33"/>
        </w:trPr>
        <w:tc>
          <w:tcPr>
            <w:tcW w:w="1740" w:type="dxa"/>
            <w:vAlign w:val="bottom"/>
          </w:tcPr>
          <w:p>
            <w:pPr>
              <w:spacing w:after="0"/>
              <w:rPr>
                <w:sz w:val="2"/>
                <w:szCs w:val="2"/>
                <w:color w:val="auto"/>
              </w:rPr>
            </w:pPr>
          </w:p>
        </w:tc>
        <w:tc>
          <w:tcPr>
            <w:tcW w:w="300" w:type="dxa"/>
            <w:vAlign w:val="bottom"/>
            <w:tcBorders>
              <w:right w:val="single" w:sz="8" w:color="00000A"/>
            </w:tcBorders>
          </w:tcPr>
          <w:p>
            <w:pPr>
              <w:spacing w:after="0"/>
              <w:rPr>
                <w:sz w:val="2"/>
                <w:szCs w:val="2"/>
                <w:color w:val="auto"/>
              </w:rPr>
            </w:pPr>
          </w:p>
        </w:tc>
        <w:tc>
          <w:tcPr>
            <w:tcW w:w="2520" w:type="dxa"/>
            <w:vAlign w:val="bottom"/>
            <w:tcBorders>
              <w:bottom w:val="single" w:sz="8" w:color="00000A"/>
              <w:right w:val="single" w:sz="8" w:color="00000A"/>
            </w:tcBorders>
          </w:tcPr>
          <w:p>
            <w:pPr>
              <w:spacing w:after="0"/>
              <w:rPr>
                <w:sz w:val="2"/>
                <w:szCs w:val="2"/>
                <w:color w:val="auto"/>
              </w:rPr>
            </w:pPr>
          </w:p>
        </w:tc>
        <w:tc>
          <w:tcPr>
            <w:tcW w:w="2140" w:type="dxa"/>
            <w:vAlign w:val="bottom"/>
            <w:tcBorders>
              <w:bottom w:val="single" w:sz="8" w:color="00000A"/>
              <w:right w:val="single" w:sz="8" w:color="00000A"/>
            </w:tcBorders>
          </w:tcPr>
          <w:p>
            <w:pPr>
              <w:spacing w:after="0"/>
              <w:rPr>
                <w:sz w:val="2"/>
                <w:szCs w:val="2"/>
                <w:color w:val="auto"/>
              </w:rPr>
            </w:pPr>
          </w:p>
        </w:tc>
      </w:tr>
      <w:tr>
        <w:trPr>
          <w:trHeight w:val="217"/>
        </w:trPr>
        <w:tc>
          <w:tcPr>
            <w:tcW w:w="1740" w:type="dxa"/>
            <w:vAlign w:val="bottom"/>
          </w:tcPr>
          <w:p>
            <w:pPr>
              <w:spacing w:after="0"/>
              <w:rPr>
                <w:sz w:val="18"/>
                <w:szCs w:val="18"/>
                <w:color w:val="auto"/>
              </w:rPr>
            </w:pPr>
          </w:p>
        </w:tc>
        <w:tc>
          <w:tcPr>
            <w:tcW w:w="300" w:type="dxa"/>
            <w:vAlign w:val="bottom"/>
            <w:tcBorders>
              <w:right w:val="single" w:sz="8" w:color="00000A"/>
            </w:tcBorders>
          </w:tcPr>
          <w:p>
            <w:pPr>
              <w:spacing w:after="0"/>
              <w:rPr>
                <w:sz w:val="18"/>
                <w:szCs w:val="18"/>
                <w:color w:val="auto"/>
              </w:rPr>
            </w:pPr>
          </w:p>
        </w:tc>
        <w:tc>
          <w:tcPr>
            <w:tcW w:w="2520" w:type="dxa"/>
            <w:vAlign w:val="bottom"/>
            <w:tcBorders>
              <w:right w:val="single" w:sz="8" w:color="00000A"/>
            </w:tcBorders>
          </w:tcPr>
          <w:p>
            <w:pPr>
              <w:ind w:left="20"/>
              <w:spacing w:after="0"/>
              <w:rPr>
                <w:sz w:val="20"/>
                <w:szCs w:val="20"/>
                <w:color w:val="auto"/>
              </w:rPr>
            </w:pPr>
            <w:r>
              <w:rPr>
                <w:rFonts w:ascii="Arial" w:cs="Arial" w:eastAsia="Arial" w:hAnsi="Arial"/>
                <w:sz w:val="16"/>
                <w:szCs w:val="16"/>
                <w:b w:val="1"/>
                <w:bCs w:val="1"/>
                <w:color w:val="auto"/>
              </w:rPr>
              <w:t>Tier 6</w:t>
            </w:r>
          </w:p>
        </w:tc>
        <w:tc>
          <w:tcPr>
            <w:tcW w:w="2140" w:type="dxa"/>
            <w:vAlign w:val="bottom"/>
            <w:tcBorders>
              <w:right w:val="single" w:sz="8" w:color="00000A"/>
            </w:tcBorders>
          </w:tcPr>
          <w:p>
            <w:pPr>
              <w:jc w:val="right"/>
              <w:ind w:right="819"/>
              <w:spacing w:after="0"/>
              <w:rPr>
                <w:sz w:val="20"/>
                <w:szCs w:val="20"/>
                <w:color w:val="auto"/>
              </w:rPr>
            </w:pPr>
            <w:r>
              <w:rPr>
                <w:rFonts w:ascii="Arial" w:cs="Arial" w:eastAsia="Arial" w:hAnsi="Arial"/>
                <w:sz w:val="16"/>
                <w:szCs w:val="16"/>
                <w:color w:val="auto"/>
              </w:rPr>
              <w:t>[***]</w:t>
            </w:r>
          </w:p>
        </w:tc>
      </w:tr>
      <w:tr>
        <w:trPr>
          <w:trHeight w:val="33"/>
        </w:trPr>
        <w:tc>
          <w:tcPr>
            <w:tcW w:w="1740" w:type="dxa"/>
            <w:vAlign w:val="bottom"/>
          </w:tcPr>
          <w:p>
            <w:pPr>
              <w:spacing w:after="0"/>
              <w:rPr>
                <w:sz w:val="2"/>
                <w:szCs w:val="2"/>
                <w:color w:val="auto"/>
              </w:rPr>
            </w:pPr>
          </w:p>
        </w:tc>
        <w:tc>
          <w:tcPr>
            <w:tcW w:w="300" w:type="dxa"/>
            <w:vAlign w:val="bottom"/>
            <w:tcBorders>
              <w:right w:val="single" w:sz="8" w:color="00000A"/>
            </w:tcBorders>
          </w:tcPr>
          <w:p>
            <w:pPr>
              <w:spacing w:after="0"/>
              <w:rPr>
                <w:sz w:val="2"/>
                <w:szCs w:val="2"/>
                <w:color w:val="auto"/>
              </w:rPr>
            </w:pPr>
          </w:p>
        </w:tc>
        <w:tc>
          <w:tcPr>
            <w:tcW w:w="2520" w:type="dxa"/>
            <w:vAlign w:val="bottom"/>
            <w:tcBorders>
              <w:bottom w:val="single" w:sz="8" w:color="00000A"/>
              <w:right w:val="single" w:sz="8" w:color="00000A"/>
            </w:tcBorders>
          </w:tcPr>
          <w:p>
            <w:pPr>
              <w:spacing w:after="0"/>
              <w:rPr>
                <w:sz w:val="2"/>
                <w:szCs w:val="2"/>
                <w:color w:val="auto"/>
              </w:rPr>
            </w:pPr>
          </w:p>
        </w:tc>
        <w:tc>
          <w:tcPr>
            <w:tcW w:w="2140" w:type="dxa"/>
            <w:vAlign w:val="bottom"/>
            <w:tcBorders>
              <w:bottom w:val="single" w:sz="8" w:color="00000A"/>
              <w:right w:val="single" w:sz="8" w:color="00000A"/>
            </w:tcBorders>
          </w:tcPr>
          <w:p>
            <w:pPr>
              <w:spacing w:after="0"/>
              <w:rPr>
                <w:sz w:val="2"/>
                <w:szCs w:val="2"/>
                <w:color w:val="auto"/>
              </w:rPr>
            </w:pPr>
          </w:p>
        </w:tc>
      </w:tr>
      <w:tr>
        <w:trPr>
          <w:trHeight w:val="217"/>
        </w:trPr>
        <w:tc>
          <w:tcPr>
            <w:tcW w:w="1740" w:type="dxa"/>
            <w:vAlign w:val="bottom"/>
          </w:tcPr>
          <w:p>
            <w:pPr>
              <w:spacing w:after="0"/>
              <w:rPr>
                <w:sz w:val="18"/>
                <w:szCs w:val="18"/>
                <w:color w:val="auto"/>
              </w:rPr>
            </w:pPr>
          </w:p>
        </w:tc>
        <w:tc>
          <w:tcPr>
            <w:tcW w:w="300" w:type="dxa"/>
            <w:vAlign w:val="bottom"/>
            <w:tcBorders>
              <w:right w:val="single" w:sz="8" w:color="00000A"/>
            </w:tcBorders>
          </w:tcPr>
          <w:p>
            <w:pPr>
              <w:spacing w:after="0"/>
              <w:rPr>
                <w:sz w:val="18"/>
                <w:szCs w:val="18"/>
                <w:color w:val="auto"/>
              </w:rPr>
            </w:pPr>
          </w:p>
        </w:tc>
        <w:tc>
          <w:tcPr>
            <w:tcW w:w="2520" w:type="dxa"/>
            <w:vAlign w:val="bottom"/>
            <w:tcBorders>
              <w:right w:val="single" w:sz="8" w:color="00000A"/>
            </w:tcBorders>
          </w:tcPr>
          <w:p>
            <w:pPr>
              <w:ind w:left="20"/>
              <w:spacing w:after="0"/>
              <w:rPr>
                <w:sz w:val="20"/>
                <w:szCs w:val="20"/>
                <w:color w:val="auto"/>
              </w:rPr>
            </w:pPr>
            <w:r>
              <w:rPr>
                <w:rFonts w:ascii="Arial" w:cs="Arial" w:eastAsia="Arial" w:hAnsi="Arial"/>
                <w:sz w:val="16"/>
                <w:szCs w:val="16"/>
                <w:b w:val="1"/>
                <w:bCs w:val="1"/>
                <w:color w:val="auto"/>
              </w:rPr>
              <w:t>Tier 7</w:t>
            </w:r>
          </w:p>
        </w:tc>
        <w:tc>
          <w:tcPr>
            <w:tcW w:w="2140" w:type="dxa"/>
            <w:vAlign w:val="bottom"/>
            <w:tcBorders>
              <w:right w:val="single" w:sz="8" w:color="00000A"/>
            </w:tcBorders>
          </w:tcPr>
          <w:p>
            <w:pPr>
              <w:jc w:val="right"/>
              <w:ind w:right="819"/>
              <w:spacing w:after="0"/>
              <w:rPr>
                <w:sz w:val="20"/>
                <w:szCs w:val="20"/>
                <w:color w:val="auto"/>
              </w:rPr>
            </w:pPr>
            <w:r>
              <w:rPr>
                <w:rFonts w:ascii="Arial" w:cs="Arial" w:eastAsia="Arial" w:hAnsi="Arial"/>
                <w:sz w:val="16"/>
                <w:szCs w:val="16"/>
                <w:color w:val="auto"/>
              </w:rPr>
              <w:t>[***]</w:t>
            </w:r>
          </w:p>
        </w:tc>
      </w:tr>
      <w:tr>
        <w:trPr>
          <w:trHeight w:val="33"/>
        </w:trPr>
        <w:tc>
          <w:tcPr>
            <w:tcW w:w="1740" w:type="dxa"/>
            <w:vAlign w:val="bottom"/>
          </w:tcPr>
          <w:p>
            <w:pPr>
              <w:spacing w:after="0"/>
              <w:rPr>
                <w:sz w:val="2"/>
                <w:szCs w:val="2"/>
                <w:color w:val="auto"/>
              </w:rPr>
            </w:pPr>
          </w:p>
        </w:tc>
        <w:tc>
          <w:tcPr>
            <w:tcW w:w="300" w:type="dxa"/>
            <w:vAlign w:val="bottom"/>
            <w:tcBorders>
              <w:right w:val="single" w:sz="8" w:color="00000A"/>
            </w:tcBorders>
          </w:tcPr>
          <w:p>
            <w:pPr>
              <w:spacing w:after="0"/>
              <w:rPr>
                <w:sz w:val="2"/>
                <w:szCs w:val="2"/>
                <w:color w:val="auto"/>
              </w:rPr>
            </w:pPr>
          </w:p>
        </w:tc>
        <w:tc>
          <w:tcPr>
            <w:tcW w:w="2520" w:type="dxa"/>
            <w:vAlign w:val="bottom"/>
            <w:tcBorders>
              <w:bottom w:val="single" w:sz="8" w:color="00000A"/>
              <w:right w:val="single" w:sz="8" w:color="00000A"/>
            </w:tcBorders>
          </w:tcPr>
          <w:p>
            <w:pPr>
              <w:spacing w:after="0"/>
              <w:rPr>
                <w:sz w:val="2"/>
                <w:szCs w:val="2"/>
                <w:color w:val="auto"/>
              </w:rPr>
            </w:pPr>
          </w:p>
        </w:tc>
        <w:tc>
          <w:tcPr>
            <w:tcW w:w="2140" w:type="dxa"/>
            <w:vAlign w:val="bottom"/>
            <w:tcBorders>
              <w:bottom w:val="single" w:sz="8" w:color="00000A"/>
              <w:right w:val="single" w:sz="8" w:color="00000A"/>
            </w:tcBorders>
          </w:tcPr>
          <w:p>
            <w:pPr>
              <w:spacing w:after="0"/>
              <w:rPr>
                <w:sz w:val="2"/>
                <w:szCs w:val="2"/>
                <w:color w:val="auto"/>
              </w:rPr>
            </w:pPr>
          </w:p>
        </w:tc>
      </w:tr>
      <w:tr>
        <w:trPr>
          <w:trHeight w:val="217"/>
        </w:trPr>
        <w:tc>
          <w:tcPr>
            <w:tcW w:w="1740" w:type="dxa"/>
            <w:vAlign w:val="bottom"/>
          </w:tcPr>
          <w:p>
            <w:pPr>
              <w:spacing w:after="0"/>
              <w:rPr>
                <w:sz w:val="18"/>
                <w:szCs w:val="18"/>
                <w:color w:val="auto"/>
              </w:rPr>
            </w:pPr>
          </w:p>
        </w:tc>
        <w:tc>
          <w:tcPr>
            <w:tcW w:w="300" w:type="dxa"/>
            <w:vAlign w:val="bottom"/>
            <w:tcBorders>
              <w:right w:val="single" w:sz="8" w:color="00000A"/>
            </w:tcBorders>
          </w:tcPr>
          <w:p>
            <w:pPr>
              <w:spacing w:after="0"/>
              <w:rPr>
                <w:sz w:val="18"/>
                <w:szCs w:val="18"/>
                <w:color w:val="auto"/>
              </w:rPr>
            </w:pPr>
          </w:p>
        </w:tc>
        <w:tc>
          <w:tcPr>
            <w:tcW w:w="2520" w:type="dxa"/>
            <w:vAlign w:val="bottom"/>
            <w:tcBorders>
              <w:right w:val="single" w:sz="8" w:color="00000A"/>
            </w:tcBorders>
          </w:tcPr>
          <w:p>
            <w:pPr>
              <w:ind w:left="20"/>
              <w:spacing w:after="0"/>
              <w:rPr>
                <w:sz w:val="20"/>
                <w:szCs w:val="20"/>
                <w:color w:val="auto"/>
              </w:rPr>
            </w:pPr>
            <w:r>
              <w:rPr>
                <w:rFonts w:ascii="Arial" w:cs="Arial" w:eastAsia="Arial" w:hAnsi="Arial"/>
                <w:sz w:val="16"/>
                <w:szCs w:val="16"/>
                <w:b w:val="1"/>
                <w:bCs w:val="1"/>
                <w:color w:val="auto"/>
              </w:rPr>
              <w:t>Greatest Hits Software Title</w:t>
            </w:r>
          </w:p>
        </w:tc>
        <w:tc>
          <w:tcPr>
            <w:tcW w:w="2140" w:type="dxa"/>
            <w:vAlign w:val="bottom"/>
            <w:tcBorders>
              <w:right w:val="single" w:sz="8" w:color="00000A"/>
            </w:tcBorders>
          </w:tcPr>
          <w:p>
            <w:pPr>
              <w:spacing w:after="0"/>
              <w:rPr>
                <w:sz w:val="18"/>
                <w:szCs w:val="18"/>
                <w:color w:val="auto"/>
              </w:rPr>
            </w:pPr>
          </w:p>
        </w:tc>
      </w:tr>
      <w:tr>
        <w:trPr>
          <w:trHeight w:val="47"/>
        </w:trPr>
        <w:tc>
          <w:tcPr>
            <w:tcW w:w="1740" w:type="dxa"/>
            <w:vAlign w:val="bottom"/>
          </w:tcPr>
          <w:p>
            <w:pPr>
              <w:spacing w:after="0"/>
              <w:rPr>
                <w:sz w:val="4"/>
                <w:szCs w:val="4"/>
                <w:color w:val="auto"/>
              </w:rPr>
            </w:pPr>
          </w:p>
        </w:tc>
        <w:tc>
          <w:tcPr>
            <w:tcW w:w="300" w:type="dxa"/>
            <w:vAlign w:val="bottom"/>
            <w:tcBorders>
              <w:right w:val="single" w:sz="8" w:color="00000A"/>
            </w:tcBorders>
          </w:tcPr>
          <w:p>
            <w:pPr>
              <w:spacing w:after="0"/>
              <w:rPr>
                <w:sz w:val="4"/>
                <w:szCs w:val="4"/>
                <w:color w:val="auto"/>
              </w:rPr>
            </w:pPr>
          </w:p>
        </w:tc>
        <w:tc>
          <w:tcPr>
            <w:tcW w:w="2520" w:type="dxa"/>
            <w:vAlign w:val="bottom"/>
            <w:tcBorders>
              <w:bottom w:val="single" w:sz="8" w:color="00000A"/>
              <w:right w:val="single" w:sz="8" w:color="00000A"/>
            </w:tcBorders>
          </w:tcPr>
          <w:p>
            <w:pPr>
              <w:spacing w:after="0"/>
              <w:rPr>
                <w:sz w:val="4"/>
                <w:szCs w:val="4"/>
                <w:color w:val="auto"/>
              </w:rPr>
            </w:pPr>
          </w:p>
        </w:tc>
        <w:tc>
          <w:tcPr>
            <w:tcW w:w="2140" w:type="dxa"/>
            <w:vAlign w:val="bottom"/>
            <w:tcBorders>
              <w:bottom w:val="single" w:sz="8" w:color="00000A"/>
              <w:right w:val="single" w:sz="8" w:color="00000A"/>
            </w:tcBorders>
          </w:tcPr>
          <w:p>
            <w:pPr>
              <w:spacing w:after="0"/>
              <w:rPr>
                <w:sz w:val="4"/>
                <w:szCs w:val="4"/>
                <w:color w:val="auto"/>
              </w:rPr>
            </w:pPr>
          </w:p>
        </w:tc>
      </w:tr>
      <w:tr>
        <w:trPr>
          <w:trHeight w:val="217"/>
        </w:trPr>
        <w:tc>
          <w:tcPr>
            <w:tcW w:w="1740" w:type="dxa"/>
            <w:vAlign w:val="bottom"/>
          </w:tcPr>
          <w:p>
            <w:pPr>
              <w:spacing w:after="0"/>
              <w:rPr>
                <w:sz w:val="18"/>
                <w:szCs w:val="18"/>
                <w:color w:val="auto"/>
              </w:rPr>
            </w:pPr>
          </w:p>
        </w:tc>
        <w:tc>
          <w:tcPr>
            <w:tcW w:w="300" w:type="dxa"/>
            <w:vAlign w:val="bottom"/>
            <w:tcBorders>
              <w:right w:val="single" w:sz="8" w:color="00000A"/>
            </w:tcBorders>
          </w:tcPr>
          <w:p>
            <w:pPr>
              <w:spacing w:after="0"/>
              <w:rPr>
                <w:sz w:val="18"/>
                <w:szCs w:val="18"/>
                <w:color w:val="auto"/>
              </w:rPr>
            </w:pPr>
          </w:p>
        </w:tc>
        <w:tc>
          <w:tcPr>
            <w:tcW w:w="2520" w:type="dxa"/>
            <w:vAlign w:val="bottom"/>
            <w:tcBorders>
              <w:right w:val="single" w:sz="8" w:color="00000A"/>
            </w:tcBorders>
          </w:tcPr>
          <w:p>
            <w:pPr>
              <w:ind w:left="20"/>
              <w:spacing w:after="0"/>
              <w:rPr>
                <w:sz w:val="20"/>
                <w:szCs w:val="20"/>
                <w:color w:val="auto"/>
              </w:rPr>
            </w:pPr>
            <w:r>
              <w:rPr>
                <w:rFonts w:ascii="Arial" w:cs="Arial" w:eastAsia="Arial" w:hAnsi="Arial"/>
                <w:sz w:val="16"/>
                <w:szCs w:val="16"/>
                <w:b w:val="1"/>
                <w:bCs w:val="1"/>
                <w:color w:val="auto"/>
              </w:rPr>
              <w:t>GH Tier 1</w:t>
            </w:r>
          </w:p>
        </w:tc>
        <w:tc>
          <w:tcPr>
            <w:tcW w:w="2140" w:type="dxa"/>
            <w:vAlign w:val="bottom"/>
            <w:tcBorders>
              <w:right w:val="single" w:sz="8" w:color="00000A"/>
            </w:tcBorders>
          </w:tcPr>
          <w:p>
            <w:pPr>
              <w:jc w:val="right"/>
              <w:ind w:right="819"/>
              <w:spacing w:after="0"/>
              <w:rPr>
                <w:sz w:val="20"/>
                <w:szCs w:val="20"/>
                <w:color w:val="auto"/>
              </w:rPr>
            </w:pPr>
            <w:r>
              <w:rPr>
                <w:rFonts w:ascii="Arial" w:cs="Arial" w:eastAsia="Arial" w:hAnsi="Arial"/>
                <w:sz w:val="16"/>
                <w:szCs w:val="16"/>
                <w:color w:val="auto"/>
              </w:rPr>
              <w:t>[***]</w:t>
            </w:r>
          </w:p>
        </w:tc>
      </w:tr>
      <w:tr>
        <w:trPr>
          <w:trHeight w:val="33"/>
        </w:trPr>
        <w:tc>
          <w:tcPr>
            <w:tcW w:w="1740" w:type="dxa"/>
            <w:vAlign w:val="bottom"/>
          </w:tcPr>
          <w:p>
            <w:pPr>
              <w:spacing w:after="0"/>
              <w:rPr>
                <w:sz w:val="2"/>
                <w:szCs w:val="2"/>
                <w:color w:val="auto"/>
              </w:rPr>
            </w:pPr>
          </w:p>
        </w:tc>
        <w:tc>
          <w:tcPr>
            <w:tcW w:w="300" w:type="dxa"/>
            <w:vAlign w:val="bottom"/>
            <w:tcBorders>
              <w:right w:val="single" w:sz="8" w:color="00000A"/>
            </w:tcBorders>
          </w:tcPr>
          <w:p>
            <w:pPr>
              <w:spacing w:after="0"/>
              <w:rPr>
                <w:sz w:val="2"/>
                <w:szCs w:val="2"/>
                <w:color w:val="auto"/>
              </w:rPr>
            </w:pPr>
          </w:p>
        </w:tc>
        <w:tc>
          <w:tcPr>
            <w:tcW w:w="2520" w:type="dxa"/>
            <w:vAlign w:val="bottom"/>
            <w:tcBorders>
              <w:bottom w:val="single" w:sz="8" w:color="00000A"/>
              <w:right w:val="single" w:sz="8" w:color="00000A"/>
            </w:tcBorders>
          </w:tcPr>
          <w:p>
            <w:pPr>
              <w:spacing w:after="0"/>
              <w:rPr>
                <w:sz w:val="2"/>
                <w:szCs w:val="2"/>
                <w:color w:val="auto"/>
              </w:rPr>
            </w:pPr>
          </w:p>
        </w:tc>
        <w:tc>
          <w:tcPr>
            <w:tcW w:w="2140" w:type="dxa"/>
            <w:vAlign w:val="bottom"/>
            <w:tcBorders>
              <w:bottom w:val="single" w:sz="8" w:color="00000A"/>
              <w:right w:val="single" w:sz="8" w:color="00000A"/>
            </w:tcBorders>
          </w:tcPr>
          <w:p>
            <w:pPr>
              <w:spacing w:after="0"/>
              <w:rPr>
                <w:sz w:val="2"/>
                <w:szCs w:val="2"/>
                <w:color w:val="auto"/>
              </w:rPr>
            </w:pPr>
          </w:p>
        </w:tc>
      </w:tr>
      <w:tr>
        <w:trPr>
          <w:trHeight w:val="217"/>
        </w:trPr>
        <w:tc>
          <w:tcPr>
            <w:tcW w:w="1740" w:type="dxa"/>
            <w:vAlign w:val="bottom"/>
          </w:tcPr>
          <w:p>
            <w:pPr>
              <w:spacing w:after="0"/>
              <w:rPr>
                <w:sz w:val="18"/>
                <w:szCs w:val="18"/>
                <w:color w:val="auto"/>
              </w:rPr>
            </w:pPr>
          </w:p>
        </w:tc>
        <w:tc>
          <w:tcPr>
            <w:tcW w:w="300" w:type="dxa"/>
            <w:vAlign w:val="bottom"/>
            <w:tcBorders>
              <w:right w:val="single" w:sz="8" w:color="00000A"/>
            </w:tcBorders>
          </w:tcPr>
          <w:p>
            <w:pPr>
              <w:spacing w:after="0"/>
              <w:rPr>
                <w:sz w:val="18"/>
                <w:szCs w:val="18"/>
                <w:color w:val="auto"/>
              </w:rPr>
            </w:pPr>
          </w:p>
        </w:tc>
        <w:tc>
          <w:tcPr>
            <w:tcW w:w="2520" w:type="dxa"/>
            <w:vAlign w:val="bottom"/>
            <w:tcBorders>
              <w:right w:val="single" w:sz="8" w:color="00000A"/>
            </w:tcBorders>
          </w:tcPr>
          <w:p>
            <w:pPr>
              <w:ind w:left="20"/>
              <w:spacing w:after="0"/>
              <w:rPr>
                <w:sz w:val="20"/>
                <w:szCs w:val="20"/>
                <w:color w:val="auto"/>
              </w:rPr>
            </w:pPr>
            <w:r>
              <w:rPr>
                <w:rFonts w:ascii="Arial" w:cs="Arial" w:eastAsia="Arial" w:hAnsi="Arial"/>
                <w:sz w:val="16"/>
                <w:szCs w:val="16"/>
                <w:b w:val="1"/>
                <w:bCs w:val="1"/>
                <w:color w:val="auto"/>
              </w:rPr>
              <w:t>GH Tier 2</w:t>
            </w:r>
          </w:p>
        </w:tc>
        <w:tc>
          <w:tcPr>
            <w:tcW w:w="2140" w:type="dxa"/>
            <w:vAlign w:val="bottom"/>
            <w:tcBorders>
              <w:right w:val="single" w:sz="8" w:color="00000A"/>
            </w:tcBorders>
          </w:tcPr>
          <w:p>
            <w:pPr>
              <w:jc w:val="right"/>
              <w:ind w:right="819"/>
              <w:spacing w:after="0"/>
              <w:rPr>
                <w:sz w:val="20"/>
                <w:szCs w:val="20"/>
                <w:color w:val="auto"/>
              </w:rPr>
            </w:pPr>
            <w:r>
              <w:rPr>
                <w:rFonts w:ascii="Arial" w:cs="Arial" w:eastAsia="Arial" w:hAnsi="Arial"/>
                <w:sz w:val="16"/>
                <w:szCs w:val="16"/>
                <w:color w:val="auto"/>
              </w:rPr>
              <w:t>[***]</w:t>
            </w:r>
          </w:p>
        </w:tc>
      </w:tr>
      <w:tr>
        <w:trPr>
          <w:trHeight w:val="33"/>
        </w:trPr>
        <w:tc>
          <w:tcPr>
            <w:tcW w:w="1740" w:type="dxa"/>
            <w:vAlign w:val="bottom"/>
          </w:tcPr>
          <w:p>
            <w:pPr>
              <w:spacing w:after="0"/>
              <w:rPr>
                <w:sz w:val="2"/>
                <w:szCs w:val="2"/>
                <w:color w:val="auto"/>
              </w:rPr>
            </w:pPr>
          </w:p>
        </w:tc>
        <w:tc>
          <w:tcPr>
            <w:tcW w:w="300" w:type="dxa"/>
            <w:vAlign w:val="bottom"/>
            <w:tcBorders>
              <w:right w:val="single" w:sz="8" w:color="00000A"/>
            </w:tcBorders>
          </w:tcPr>
          <w:p>
            <w:pPr>
              <w:spacing w:after="0"/>
              <w:rPr>
                <w:sz w:val="2"/>
                <w:szCs w:val="2"/>
                <w:color w:val="auto"/>
              </w:rPr>
            </w:pPr>
          </w:p>
        </w:tc>
        <w:tc>
          <w:tcPr>
            <w:tcW w:w="2520" w:type="dxa"/>
            <w:vAlign w:val="bottom"/>
            <w:tcBorders>
              <w:bottom w:val="single" w:sz="8" w:color="00000A"/>
              <w:right w:val="single" w:sz="8" w:color="00000A"/>
            </w:tcBorders>
          </w:tcPr>
          <w:p>
            <w:pPr>
              <w:spacing w:after="0"/>
              <w:rPr>
                <w:sz w:val="2"/>
                <w:szCs w:val="2"/>
                <w:color w:val="auto"/>
              </w:rPr>
            </w:pPr>
          </w:p>
        </w:tc>
        <w:tc>
          <w:tcPr>
            <w:tcW w:w="2140" w:type="dxa"/>
            <w:vAlign w:val="bottom"/>
            <w:tcBorders>
              <w:bottom w:val="single" w:sz="8" w:color="00000A"/>
              <w:right w:val="single" w:sz="8" w:color="00000A"/>
            </w:tcBorders>
          </w:tcPr>
          <w:p>
            <w:pPr>
              <w:spacing w:after="0"/>
              <w:rPr>
                <w:sz w:val="2"/>
                <w:szCs w:val="2"/>
                <w:color w:val="auto"/>
              </w:rPr>
            </w:pPr>
          </w:p>
        </w:tc>
      </w:tr>
      <w:tr>
        <w:trPr>
          <w:trHeight w:val="429"/>
        </w:trPr>
        <w:tc>
          <w:tcPr>
            <w:tcW w:w="1740" w:type="dxa"/>
            <w:vAlign w:val="bottom"/>
          </w:tcPr>
          <w:p>
            <w:pPr>
              <w:spacing w:after="0"/>
              <w:rPr>
                <w:sz w:val="20"/>
                <w:szCs w:val="20"/>
                <w:color w:val="auto"/>
              </w:rPr>
            </w:pPr>
            <w:r>
              <w:rPr>
                <w:rFonts w:ascii="Arial" w:cs="Arial" w:eastAsia="Arial" w:hAnsi="Arial"/>
                <w:sz w:val="16"/>
                <w:szCs w:val="16"/>
                <w:color w:val="auto"/>
              </w:rPr>
              <w:t>Microsoft Confidential</w:t>
            </w:r>
          </w:p>
        </w:tc>
        <w:tc>
          <w:tcPr>
            <w:tcW w:w="2820" w:type="dxa"/>
            <w:vAlign w:val="bottom"/>
            <w:gridSpan w:val="2"/>
          </w:tcPr>
          <w:p>
            <w:pPr>
              <w:ind w:left="80"/>
              <w:spacing w:after="0"/>
              <w:rPr>
                <w:sz w:val="20"/>
                <w:szCs w:val="20"/>
                <w:color w:val="auto"/>
              </w:rPr>
            </w:pPr>
            <w:r>
              <w:rPr>
                <w:rFonts w:ascii="Arial" w:cs="Arial" w:eastAsia="Arial" w:hAnsi="Arial"/>
                <w:sz w:val="16"/>
                <w:szCs w:val="16"/>
                <w:color w:val="auto"/>
              </w:rPr>
              <w:t>Page 1 of 15</w:t>
            </w:r>
          </w:p>
        </w:tc>
        <w:tc>
          <w:tcPr>
            <w:tcW w:w="2140" w:type="dxa"/>
            <w:vAlign w:val="bottom"/>
          </w:tcPr>
          <w:p>
            <w:pPr>
              <w:spacing w:after="0"/>
              <w:rPr>
                <w:sz w:val="24"/>
                <w:szCs w:val="24"/>
                <w:color w:val="auto"/>
              </w:rPr>
            </w:pPr>
          </w:p>
        </w:tc>
      </w:tr>
      <w:tr>
        <w:trPr>
          <w:trHeight w:val="206"/>
        </w:trPr>
        <w:tc>
          <w:tcPr>
            <w:tcW w:w="1740" w:type="dxa"/>
            <w:vAlign w:val="bottom"/>
          </w:tcPr>
          <w:p>
            <w:pPr>
              <w:spacing w:after="0"/>
              <w:rPr>
                <w:sz w:val="20"/>
                <w:szCs w:val="20"/>
                <w:color w:val="auto"/>
              </w:rPr>
            </w:pPr>
            <w:r>
              <w:rPr>
                <w:rFonts w:ascii="Arial" w:cs="Arial" w:eastAsia="Arial" w:hAnsi="Arial"/>
                <w:sz w:val="16"/>
                <w:szCs w:val="16"/>
                <w:color w:val="auto"/>
                <w:w w:val="96"/>
              </w:rPr>
              <w:t>AOC v1 September 2017</w:t>
            </w:r>
          </w:p>
        </w:tc>
        <w:tc>
          <w:tcPr>
            <w:tcW w:w="300" w:type="dxa"/>
            <w:vAlign w:val="bottom"/>
          </w:tcPr>
          <w:p>
            <w:pPr>
              <w:spacing w:after="0"/>
              <w:rPr>
                <w:sz w:val="17"/>
                <w:szCs w:val="17"/>
                <w:color w:val="auto"/>
              </w:rPr>
            </w:pPr>
          </w:p>
        </w:tc>
        <w:tc>
          <w:tcPr>
            <w:tcW w:w="2520" w:type="dxa"/>
            <w:vAlign w:val="bottom"/>
          </w:tcPr>
          <w:p>
            <w:pPr>
              <w:spacing w:after="0"/>
              <w:rPr>
                <w:sz w:val="17"/>
                <w:szCs w:val="17"/>
                <w:color w:val="auto"/>
              </w:rPr>
            </w:pPr>
          </w:p>
        </w:tc>
        <w:tc>
          <w:tcPr>
            <w:tcW w:w="2140" w:type="dxa"/>
            <w:vAlign w:val="bottom"/>
          </w:tcPr>
          <w:p>
            <w:pPr>
              <w:spacing w:after="0"/>
              <w:rPr>
                <w:sz w:val="17"/>
                <w:szCs w:val="17"/>
                <w:color w:val="auto"/>
              </w:rPr>
            </w:pPr>
          </w:p>
        </w:tc>
      </w:tr>
    </w:tbl>
    <w:p>
      <w:pPr>
        <w:sectPr>
          <w:pgSz w:w="11900" w:h="16838" w:orient="portrait"/>
          <w:cols w:equalWidth="0" w:num="1">
            <w:col w:w="11420"/>
          </w:cols>
          <w:pgMar w:left="240" w:top="126" w:right="239" w:bottom="1440" w:gutter="0" w:footer="0" w:header="0"/>
        </w:sectPr>
      </w:pPr>
    </w:p>
    <w:bookmarkStart w:id="92" w:name="page93"/>
    <w:bookmarkEnd w:id="92"/>
    <w:p>
      <w:pPr>
        <w:spacing w:after="0"/>
        <w:rPr>
          <w:sz w:val="20"/>
          <w:szCs w:val="20"/>
          <w:color w:val="auto"/>
        </w:rPr>
      </w:pPr>
      <w:r>
        <w:rPr>
          <w:rFonts w:ascii="Arial" w:cs="Arial" w:eastAsia="Arial" w:hAnsi="Arial"/>
          <w:sz w:val="16"/>
          <w:szCs w:val="16"/>
          <w:color w:val="auto"/>
        </w:rPr>
        <w:t>DocuSign Envelope ID: 4C2579D7-B77B-4D46-AF9B-741487D134D7</w:t>
      </w:r>
    </w:p>
    <w:p>
      <w:pPr>
        <w:spacing w:after="0" w:line="200" w:lineRule="exact"/>
        <w:rPr>
          <w:sz w:val="20"/>
          <w:szCs w:val="20"/>
          <w:color w:val="auto"/>
        </w:rPr>
      </w:pPr>
    </w:p>
    <w:p>
      <w:pPr>
        <w:spacing w:after="0" w:line="301" w:lineRule="exact"/>
        <w:rPr>
          <w:sz w:val="20"/>
          <w:szCs w:val="20"/>
          <w:color w:val="auto"/>
        </w:rPr>
      </w:pPr>
    </w:p>
    <w:p>
      <w:pPr>
        <w:ind w:left="1960"/>
        <w:spacing w:after="0"/>
        <w:rPr>
          <w:sz w:val="20"/>
          <w:szCs w:val="20"/>
          <w:color w:val="auto"/>
        </w:rPr>
      </w:pPr>
      <w:r>
        <w:rPr>
          <w:rFonts w:ascii="Arial" w:cs="Arial" w:eastAsia="Arial" w:hAnsi="Arial"/>
          <w:sz w:val="22"/>
          <w:szCs w:val="22"/>
          <w:b w:val="1"/>
          <w:bCs w:val="1"/>
          <w:color w:val="auto"/>
        </w:rPr>
        <w:t>*currency is US Dollars.</w:t>
      </w:r>
    </w:p>
    <w:p>
      <w:pPr>
        <w:spacing w:after="0" w:line="130" w:lineRule="exact"/>
        <w:rPr>
          <w:sz w:val="20"/>
          <w:szCs w:val="20"/>
          <w:color w:val="auto"/>
        </w:rPr>
      </w:pPr>
    </w:p>
    <w:p>
      <w:pPr>
        <w:ind w:right="60" w:firstLine="8"/>
        <w:spacing w:after="0" w:line="303" w:lineRule="auto"/>
        <w:tabs>
          <w:tab w:leader="none" w:pos="330" w:val="left"/>
        </w:tabs>
        <w:numPr>
          <w:ilvl w:val="0"/>
          <w:numId w:val="34"/>
        </w:numPr>
        <w:rPr>
          <w:rFonts w:ascii="Arial" w:cs="Arial" w:eastAsia="Arial" w:hAnsi="Arial"/>
          <w:sz w:val="17"/>
          <w:szCs w:val="17"/>
          <w:color w:val="auto"/>
        </w:rPr>
      </w:pPr>
      <w:r>
        <w:rPr>
          <w:rFonts w:ascii="Arial" w:cs="Arial" w:eastAsia="Arial" w:hAnsi="Arial"/>
          <w:sz w:val="17"/>
          <w:szCs w:val="17"/>
          <w:b w:val="1"/>
          <w:bCs w:val="1"/>
          <w:color w:val="auto"/>
        </w:rPr>
        <w:t xml:space="preserve">Inventory Repurpose Program. </w:t>
      </w:r>
      <w:r>
        <w:rPr>
          <w:rFonts w:ascii="Arial" w:cs="Arial" w:eastAsia="Arial" w:hAnsi="Arial"/>
          <w:sz w:val="17"/>
          <w:szCs w:val="17"/>
          <w:color w:val="auto"/>
        </w:rPr>
        <w:t>Publisher may repackage, refurbish, and/or repurpose and Commercially Release FPUs under a different</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retail program (e.g., Publisher may repurpose and Commercially Release </w:t>
      </w:r>
      <w:r>
        <w:rPr>
          <w:rFonts w:ascii="Arial" w:cs="Arial" w:eastAsia="Arial" w:hAnsi="Arial"/>
          <w:sz w:val="15"/>
          <w:szCs w:val="15"/>
          <w:color w:val="auto"/>
        </w:rPr>
        <w:t>[***]</w:t>
      </w:r>
      <w:r>
        <w:rPr>
          <w:rFonts w:ascii="Arial" w:cs="Arial" w:eastAsia="Arial" w:hAnsi="Arial"/>
          <w:sz w:val="17"/>
          <w:szCs w:val="17"/>
          <w:color w:val="auto"/>
        </w:rPr>
        <w:t xml:space="preserve"> Standard FPUs as Game of the Year Editions) only as permitted</w:t>
      </w:r>
    </w:p>
    <w:p>
      <w:pPr>
        <w:spacing w:after="0" w:line="1" w:lineRule="exact"/>
        <w:rPr>
          <w:rFonts w:ascii="Arial" w:cs="Arial" w:eastAsia="Arial" w:hAnsi="Arial"/>
          <w:sz w:val="17"/>
          <w:szCs w:val="17"/>
          <w:color w:val="auto"/>
        </w:rPr>
      </w:pPr>
    </w:p>
    <w:p>
      <w:pPr>
        <w:ind w:right="400"/>
        <w:spacing w:after="0" w:line="277" w:lineRule="auto"/>
        <w:rPr>
          <w:rFonts w:ascii="Arial" w:cs="Arial" w:eastAsia="Arial" w:hAnsi="Arial"/>
          <w:sz w:val="17"/>
          <w:szCs w:val="17"/>
          <w:color w:val="auto"/>
        </w:rPr>
      </w:pPr>
      <w:r>
        <w:rPr>
          <w:rFonts w:ascii="Arial" w:cs="Arial" w:eastAsia="Arial" w:hAnsi="Arial"/>
          <w:sz w:val="18"/>
          <w:szCs w:val="18"/>
          <w:color w:val="auto"/>
        </w:rPr>
        <w:t>under the requirements of the Inventory Repurpose Program described in the Publisher Guide, which may include administrative fees. This program will be available to Publisher upon Publisher’s execution of this Amendment.</w:t>
      </w:r>
    </w:p>
    <w:p>
      <w:pPr>
        <w:spacing w:after="0" w:line="94" w:lineRule="exact"/>
        <w:rPr>
          <w:rFonts w:ascii="Arial" w:cs="Arial" w:eastAsia="Arial" w:hAnsi="Arial"/>
          <w:sz w:val="17"/>
          <w:szCs w:val="17"/>
          <w:color w:val="auto"/>
        </w:rPr>
      </w:pPr>
    </w:p>
    <w:p>
      <w:pPr>
        <w:ind w:left="340" w:hanging="332"/>
        <w:spacing w:after="0"/>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b w:val="1"/>
          <w:bCs w:val="1"/>
          <w:color w:val="auto"/>
        </w:rPr>
        <w:t xml:space="preserve">Mixer Incentive Program. </w:t>
      </w:r>
      <w:r>
        <w:rPr>
          <w:rFonts w:ascii="Arial" w:cs="Arial" w:eastAsia="Arial" w:hAnsi="Arial"/>
          <w:sz w:val="18"/>
          <w:szCs w:val="18"/>
          <w:color w:val="auto"/>
        </w:rPr>
        <w:t>A new Mixer Incentive Program shall be added as a new Exhibit 10 to the Xbox One PLA, attached hereto.</w:t>
      </w:r>
    </w:p>
    <w:p>
      <w:pPr>
        <w:spacing w:after="0" w:line="157" w:lineRule="exact"/>
        <w:rPr>
          <w:rFonts w:ascii="Arial" w:cs="Arial" w:eastAsia="Arial" w:hAnsi="Arial"/>
          <w:sz w:val="18"/>
          <w:szCs w:val="18"/>
          <w:color w:val="auto"/>
        </w:rPr>
      </w:pPr>
    </w:p>
    <w:p>
      <w:pPr>
        <w:ind w:left="340" w:hanging="332"/>
        <w:spacing w:after="0"/>
        <w:tabs>
          <w:tab w:leader="none" w:pos="340" w:val="left"/>
        </w:tabs>
        <w:numPr>
          <w:ilvl w:val="0"/>
          <w:numId w:val="34"/>
        </w:numPr>
        <w:rPr>
          <w:rFonts w:ascii="Arial" w:cs="Arial" w:eastAsia="Arial" w:hAnsi="Arial"/>
          <w:sz w:val="18"/>
          <w:szCs w:val="18"/>
          <w:color w:val="auto"/>
        </w:rPr>
      </w:pPr>
      <w:r>
        <w:rPr>
          <w:rFonts w:ascii="Arial" w:cs="Arial" w:eastAsia="Arial" w:hAnsi="Arial"/>
          <w:sz w:val="18"/>
          <w:szCs w:val="18"/>
          <w:b w:val="1"/>
          <w:bCs w:val="1"/>
          <w:color w:val="auto"/>
        </w:rPr>
        <w:t xml:space="preserve">Exhibits. </w:t>
      </w:r>
      <w:r>
        <w:rPr>
          <w:rFonts w:ascii="Arial" w:cs="Arial" w:eastAsia="Arial" w:hAnsi="Arial"/>
          <w:sz w:val="18"/>
          <w:szCs w:val="18"/>
          <w:color w:val="auto"/>
        </w:rPr>
        <w:t>Exhibits 2 and 6 of the Xbox One PLA are hereby amended and restated in their entirety as attached hereto.</w:t>
      </w:r>
    </w:p>
    <w:p>
      <w:pPr>
        <w:spacing w:after="0" w:line="159" w:lineRule="exact"/>
        <w:rPr>
          <w:sz w:val="20"/>
          <w:szCs w:val="20"/>
          <w:color w:val="auto"/>
        </w:rPr>
      </w:pPr>
    </w:p>
    <w:p>
      <w:pPr>
        <w:ind w:right="440"/>
        <w:spacing w:after="0" w:line="266" w:lineRule="auto"/>
        <w:rPr>
          <w:sz w:val="20"/>
          <w:szCs w:val="20"/>
          <w:color w:val="auto"/>
        </w:rPr>
      </w:pPr>
      <w:r>
        <w:rPr>
          <w:rFonts w:ascii="Arial" w:cs="Arial" w:eastAsia="Arial" w:hAnsi="Arial"/>
          <w:sz w:val="22"/>
          <w:szCs w:val="22"/>
          <w:color w:val="auto"/>
        </w:rPr>
        <w:t>Except and to the extent expressly modified by this Amendment, the Xbox One PLA shall remain in full force and effect and is hereby ratified and confirmed. In the event of any conflict between this Amendment and the Xbox One PLA the terms of this Amendment shall control.</w:t>
      </w:r>
    </w:p>
    <w:p>
      <w:pPr>
        <w:spacing w:after="0" w:line="1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WITNESS WHEREOF, the parties hereto have caused this Amendment to be executed as of the Amendment Effective Date.</w:t>
      </w:r>
    </w:p>
    <w:p>
      <w:pPr>
        <w:spacing w:after="0" w:line="125" w:lineRule="exact"/>
        <w:rPr>
          <w:sz w:val="20"/>
          <w:szCs w:val="20"/>
          <w:color w:val="auto"/>
        </w:rPr>
      </w:pPr>
    </w:p>
    <w:tbl>
      <w:tblPr>
        <w:tblLayout w:type="fixed"/>
        <w:tblInd w:w="10" w:type="dxa"/>
        <w:tblCellMar>
          <w:top w:w="0" w:type="dxa"/>
          <w:left w:w="0" w:type="dxa"/>
          <w:bottom w:w="0" w:type="dxa"/>
          <w:right w:w="0" w:type="dxa"/>
        </w:tblCellMar>
      </w:tblPr>
      <w:tr>
        <w:trPr>
          <w:trHeight w:val="269"/>
        </w:trPr>
        <w:tc>
          <w:tcPr>
            <w:tcW w:w="5740" w:type="dxa"/>
            <w:vAlign w:val="bottom"/>
            <w:tcBorders>
              <w:top w:val="single" w:sz="8" w:color="00000A"/>
              <w:left w:val="single" w:sz="8" w:color="00000A"/>
              <w:right w:val="single" w:sz="8" w:color="00000A"/>
            </w:tcBorders>
            <w:shd w:val="clear" w:color="auto" w:fill="D0CECE"/>
          </w:tcPr>
          <w:p>
            <w:pPr>
              <w:ind w:left="1800"/>
              <w:spacing w:after="0"/>
              <w:rPr>
                <w:sz w:val="20"/>
                <w:szCs w:val="20"/>
                <w:color w:val="auto"/>
              </w:rPr>
            </w:pPr>
            <w:r>
              <w:rPr>
                <w:rFonts w:ascii="Arial" w:cs="Arial" w:eastAsia="Arial" w:hAnsi="Arial"/>
                <w:sz w:val="22"/>
                <w:szCs w:val="22"/>
                <w:b w:val="1"/>
                <w:bCs w:val="1"/>
                <w:color w:val="auto"/>
              </w:rPr>
              <w:t>Microsoft Corporation</w:t>
            </w:r>
          </w:p>
        </w:tc>
        <w:tc>
          <w:tcPr>
            <w:tcW w:w="5700" w:type="dxa"/>
            <w:vAlign w:val="bottom"/>
            <w:tcBorders>
              <w:top w:val="single" w:sz="8" w:color="00000A"/>
              <w:right w:val="single" w:sz="8" w:color="00000A"/>
            </w:tcBorders>
            <w:shd w:val="clear" w:color="auto" w:fill="D0CECE"/>
          </w:tcPr>
          <w:p>
            <w:pPr>
              <w:ind w:left="1160"/>
              <w:spacing w:after="0"/>
              <w:rPr>
                <w:sz w:val="20"/>
                <w:szCs w:val="20"/>
                <w:color w:val="auto"/>
              </w:rPr>
            </w:pPr>
            <w:r>
              <w:rPr>
                <w:rFonts w:ascii="Arial" w:cs="Arial" w:eastAsia="Arial" w:hAnsi="Arial"/>
                <w:sz w:val="22"/>
                <w:szCs w:val="22"/>
                <w:b w:val="1"/>
                <w:bCs w:val="1"/>
                <w:color w:val="auto"/>
              </w:rPr>
              <w:t>Take-Two Interactive Software, Inc.</w:t>
            </w:r>
          </w:p>
        </w:tc>
      </w:tr>
      <w:tr>
        <w:trPr>
          <w:trHeight w:val="170"/>
        </w:trPr>
        <w:tc>
          <w:tcPr>
            <w:tcW w:w="5740" w:type="dxa"/>
            <w:vAlign w:val="bottom"/>
            <w:tcBorders>
              <w:left w:val="single" w:sz="8" w:color="00000A"/>
              <w:bottom w:val="single" w:sz="8" w:color="00000A"/>
              <w:right w:val="single" w:sz="8" w:color="00000A"/>
            </w:tcBorders>
            <w:shd w:val="clear" w:color="auto" w:fill="D0CECE"/>
          </w:tcPr>
          <w:p>
            <w:pPr>
              <w:ind w:left="2180"/>
              <w:spacing w:after="0"/>
              <w:rPr>
                <w:sz w:val="20"/>
                <w:szCs w:val="20"/>
                <w:color w:val="auto"/>
              </w:rPr>
            </w:pPr>
            <w:r>
              <w:rPr>
                <w:rFonts w:ascii="Arial" w:cs="Arial" w:eastAsia="Arial" w:hAnsi="Arial"/>
                <w:sz w:val="13"/>
                <w:szCs w:val="13"/>
                <w:color w:val="auto"/>
              </w:rPr>
              <w:t>DocuSigned b</w:t>
            </w:r>
          </w:p>
        </w:tc>
        <w:tc>
          <w:tcPr>
            <w:tcW w:w="5700" w:type="dxa"/>
            <w:vAlign w:val="bottom"/>
            <w:tcBorders>
              <w:bottom w:val="single" w:sz="8" w:color="00000A"/>
              <w:right w:val="single" w:sz="8" w:color="00000A"/>
            </w:tcBorders>
            <w:shd w:val="clear" w:color="auto" w:fill="D0CECE"/>
          </w:tcPr>
          <w:p>
            <w:pPr>
              <w:ind w:left="2140"/>
              <w:spacing w:after="0"/>
              <w:rPr>
                <w:sz w:val="20"/>
                <w:szCs w:val="20"/>
                <w:color w:val="auto"/>
              </w:rPr>
            </w:pPr>
            <w:r>
              <w:rPr>
                <w:rFonts w:ascii="Arial" w:cs="Arial" w:eastAsia="Arial" w:hAnsi="Arial"/>
                <w:sz w:val="13"/>
                <w:szCs w:val="13"/>
                <w:color w:val="auto"/>
              </w:rPr>
              <w:t>DocuSigned by:</w:t>
            </w:r>
          </w:p>
        </w:tc>
      </w:tr>
      <w:tr>
        <w:trPr>
          <w:trHeight w:val="280"/>
        </w:trPr>
        <w:tc>
          <w:tcPr>
            <w:tcW w:w="574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22"/>
                <w:szCs w:val="22"/>
                <w:color w:val="auto"/>
              </w:rPr>
              <w:t>Signature: /s/ Annie Nendorfer</w:t>
            </w:r>
          </w:p>
        </w:tc>
        <w:tc>
          <w:tcPr>
            <w:tcW w:w="5700" w:type="dxa"/>
            <w:vAlign w:val="bottom"/>
            <w:tcBorders>
              <w:right w:val="single" w:sz="8" w:color="00000A"/>
            </w:tcBorders>
          </w:tcPr>
          <w:p>
            <w:pPr>
              <w:ind w:left="20"/>
              <w:spacing w:after="0"/>
              <w:rPr>
                <w:sz w:val="20"/>
                <w:szCs w:val="20"/>
                <w:color w:val="auto"/>
              </w:rPr>
            </w:pPr>
            <w:r>
              <w:rPr>
                <w:rFonts w:ascii="Arial" w:cs="Arial" w:eastAsia="Arial" w:hAnsi="Arial"/>
                <w:sz w:val="22"/>
                <w:szCs w:val="22"/>
                <w:color w:val="auto"/>
              </w:rPr>
              <w:t>Signature: /s/ Dan Emerson</w:t>
            </w:r>
          </w:p>
        </w:tc>
      </w:tr>
      <w:tr>
        <w:trPr>
          <w:trHeight w:val="217"/>
        </w:trPr>
        <w:tc>
          <w:tcPr>
            <w:tcW w:w="5740" w:type="dxa"/>
            <w:vAlign w:val="bottom"/>
            <w:tcBorders>
              <w:left w:val="single" w:sz="8" w:color="00000A"/>
              <w:right w:val="single" w:sz="8" w:color="00000A"/>
            </w:tcBorders>
          </w:tcPr>
          <w:p>
            <w:pPr>
              <w:ind w:left="380"/>
              <w:spacing w:after="0"/>
              <w:rPr>
                <w:sz w:val="20"/>
                <w:szCs w:val="20"/>
                <w:color w:val="auto"/>
              </w:rPr>
            </w:pPr>
            <w:r>
              <w:rPr>
                <w:rFonts w:ascii="Arial" w:cs="Arial" w:eastAsia="Arial" w:hAnsi="Arial"/>
                <w:sz w:val="13"/>
                <w:szCs w:val="13"/>
                <w:color w:val="auto"/>
              </w:rPr>
              <w:t>F732F7CF0E8A4EF...</w:t>
            </w:r>
          </w:p>
        </w:tc>
        <w:tc>
          <w:tcPr>
            <w:tcW w:w="5700" w:type="dxa"/>
            <w:vAlign w:val="bottom"/>
            <w:tcBorders>
              <w:right w:val="single" w:sz="8" w:color="00000A"/>
            </w:tcBorders>
          </w:tcPr>
          <w:p>
            <w:pPr>
              <w:ind w:left="340"/>
              <w:spacing w:after="0"/>
              <w:rPr>
                <w:sz w:val="20"/>
                <w:szCs w:val="20"/>
                <w:color w:val="auto"/>
              </w:rPr>
            </w:pPr>
            <w:r>
              <w:rPr>
                <w:rFonts w:ascii="Arial" w:cs="Arial" w:eastAsia="Arial" w:hAnsi="Arial"/>
                <w:sz w:val="13"/>
                <w:szCs w:val="13"/>
                <w:color w:val="auto"/>
              </w:rPr>
              <w:t>238DEE6BF4834F0...</w:t>
            </w:r>
          </w:p>
        </w:tc>
      </w:tr>
      <w:tr>
        <w:trPr>
          <w:trHeight w:val="151"/>
        </w:trPr>
        <w:tc>
          <w:tcPr>
            <w:tcW w:w="5740" w:type="dxa"/>
            <w:vAlign w:val="bottom"/>
            <w:tcBorders>
              <w:left w:val="single" w:sz="8" w:color="00000A"/>
              <w:bottom w:val="single" w:sz="8" w:color="00000A"/>
              <w:right w:val="single" w:sz="8" w:color="00000A"/>
            </w:tcBorders>
          </w:tcPr>
          <w:p>
            <w:pPr>
              <w:spacing w:after="0"/>
              <w:rPr>
                <w:sz w:val="13"/>
                <w:szCs w:val="13"/>
                <w:color w:val="auto"/>
              </w:rPr>
            </w:pPr>
          </w:p>
        </w:tc>
        <w:tc>
          <w:tcPr>
            <w:tcW w:w="5700" w:type="dxa"/>
            <w:vAlign w:val="bottom"/>
            <w:tcBorders>
              <w:bottom w:val="single" w:sz="8" w:color="00000A"/>
              <w:right w:val="single" w:sz="8" w:color="00000A"/>
            </w:tcBorders>
          </w:tcPr>
          <w:p>
            <w:pPr>
              <w:spacing w:after="0"/>
              <w:rPr>
                <w:sz w:val="13"/>
                <w:szCs w:val="13"/>
                <w:color w:val="auto"/>
              </w:rPr>
            </w:pPr>
          </w:p>
        </w:tc>
      </w:tr>
      <w:tr>
        <w:trPr>
          <w:trHeight w:val="242"/>
        </w:trPr>
        <w:tc>
          <w:tcPr>
            <w:tcW w:w="5740" w:type="dxa"/>
            <w:vAlign w:val="bottom"/>
            <w:tcBorders>
              <w:left w:val="single" w:sz="8" w:color="00000A"/>
              <w:right w:val="single" w:sz="8" w:color="00000A"/>
            </w:tcBorders>
          </w:tcPr>
          <w:p>
            <w:pPr>
              <w:ind w:left="40"/>
              <w:spacing w:after="0" w:line="242" w:lineRule="exact"/>
              <w:rPr>
                <w:sz w:val="20"/>
                <w:szCs w:val="20"/>
                <w:color w:val="auto"/>
              </w:rPr>
            </w:pPr>
            <w:r>
              <w:rPr>
                <w:rFonts w:ascii="Arial" w:cs="Arial" w:eastAsia="Arial" w:hAnsi="Arial"/>
                <w:sz w:val="22"/>
                <w:szCs w:val="22"/>
                <w:color w:val="auto"/>
              </w:rPr>
              <w:t>Name:</w:t>
            </w:r>
          </w:p>
        </w:tc>
        <w:tc>
          <w:tcPr>
            <w:tcW w:w="5700" w:type="dxa"/>
            <w:vAlign w:val="bottom"/>
            <w:tcBorders>
              <w:right w:val="single" w:sz="8" w:color="00000A"/>
            </w:tcBorders>
          </w:tcPr>
          <w:p>
            <w:pPr>
              <w:ind w:left="20"/>
              <w:spacing w:after="0" w:line="242" w:lineRule="exact"/>
              <w:rPr>
                <w:sz w:val="20"/>
                <w:szCs w:val="20"/>
                <w:color w:val="auto"/>
              </w:rPr>
            </w:pPr>
            <w:r>
              <w:rPr>
                <w:rFonts w:ascii="Arial" w:cs="Arial" w:eastAsia="Arial" w:hAnsi="Arial"/>
                <w:sz w:val="22"/>
                <w:szCs w:val="22"/>
                <w:color w:val="auto"/>
              </w:rPr>
              <w:t>Name:</w:t>
            </w:r>
          </w:p>
        </w:tc>
      </w:tr>
      <w:tr>
        <w:trPr>
          <w:trHeight w:val="275"/>
        </w:trPr>
        <w:tc>
          <w:tcPr>
            <w:tcW w:w="5740" w:type="dxa"/>
            <w:vAlign w:val="bottom"/>
            <w:tcBorders>
              <w:left w:val="single" w:sz="8" w:color="00000A"/>
              <w:right w:val="single" w:sz="8" w:color="00000A"/>
            </w:tcBorders>
          </w:tcPr>
          <w:p>
            <w:pPr>
              <w:ind w:left="360"/>
              <w:spacing w:after="0"/>
              <w:rPr>
                <w:sz w:val="20"/>
                <w:szCs w:val="20"/>
                <w:color w:val="auto"/>
              </w:rPr>
            </w:pPr>
            <w:r>
              <w:rPr>
                <w:rFonts w:ascii="Arial" w:cs="Arial" w:eastAsia="Arial" w:hAnsi="Arial"/>
                <w:sz w:val="22"/>
                <w:szCs w:val="22"/>
                <w:color w:val="auto"/>
              </w:rPr>
              <w:t>Annie Neudorfer</w:t>
            </w:r>
          </w:p>
        </w:tc>
        <w:tc>
          <w:tcPr>
            <w:tcW w:w="5700" w:type="dxa"/>
            <w:vAlign w:val="bottom"/>
            <w:tcBorders>
              <w:right w:val="single" w:sz="8" w:color="00000A"/>
            </w:tcBorders>
          </w:tcPr>
          <w:p>
            <w:pPr>
              <w:ind w:left="340"/>
              <w:spacing w:after="0"/>
              <w:rPr>
                <w:sz w:val="20"/>
                <w:szCs w:val="20"/>
                <w:color w:val="auto"/>
              </w:rPr>
            </w:pPr>
            <w:r>
              <w:rPr>
                <w:rFonts w:ascii="Arial" w:cs="Arial" w:eastAsia="Arial" w:hAnsi="Arial"/>
                <w:sz w:val="22"/>
                <w:szCs w:val="22"/>
                <w:color w:val="auto"/>
              </w:rPr>
              <w:t>Dan Emerson</w:t>
            </w:r>
          </w:p>
        </w:tc>
      </w:tr>
      <w:tr>
        <w:trPr>
          <w:trHeight w:val="125"/>
        </w:trPr>
        <w:tc>
          <w:tcPr>
            <w:tcW w:w="5740" w:type="dxa"/>
            <w:vAlign w:val="bottom"/>
            <w:tcBorders>
              <w:left w:val="single" w:sz="8" w:color="00000A"/>
              <w:bottom w:val="single" w:sz="8" w:color="00000A"/>
              <w:right w:val="single" w:sz="8" w:color="00000A"/>
            </w:tcBorders>
          </w:tcPr>
          <w:p>
            <w:pPr>
              <w:spacing w:after="0"/>
              <w:rPr>
                <w:sz w:val="10"/>
                <w:szCs w:val="10"/>
                <w:color w:val="auto"/>
              </w:rPr>
            </w:pPr>
          </w:p>
        </w:tc>
        <w:tc>
          <w:tcPr>
            <w:tcW w:w="5700" w:type="dxa"/>
            <w:vAlign w:val="bottom"/>
            <w:tcBorders>
              <w:bottom w:val="single" w:sz="8" w:color="00000A"/>
              <w:right w:val="single" w:sz="8" w:color="00000A"/>
            </w:tcBorders>
          </w:tcPr>
          <w:p>
            <w:pPr>
              <w:spacing w:after="0"/>
              <w:rPr>
                <w:sz w:val="10"/>
                <w:szCs w:val="10"/>
                <w:color w:val="auto"/>
              </w:rPr>
            </w:pPr>
          </w:p>
        </w:tc>
      </w:tr>
      <w:tr>
        <w:trPr>
          <w:trHeight w:val="242"/>
        </w:trPr>
        <w:tc>
          <w:tcPr>
            <w:tcW w:w="5740" w:type="dxa"/>
            <w:vAlign w:val="bottom"/>
            <w:tcBorders>
              <w:left w:val="single" w:sz="8" w:color="00000A"/>
              <w:right w:val="single" w:sz="8" w:color="00000A"/>
            </w:tcBorders>
          </w:tcPr>
          <w:p>
            <w:pPr>
              <w:ind w:left="40"/>
              <w:spacing w:after="0" w:line="242" w:lineRule="exact"/>
              <w:rPr>
                <w:sz w:val="20"/>
                <w:szCs w:val="20"/>
                <w:color w:val="auto"/>
              </w:rPr>
            </w:pPr>
            <w:r>
              <w:rPr>
                <w:rFonts w:ascii="Arial" w:cs="Arial" w:eastAsia="Arial" w:hAnsi="Arial"/>
                <w:sz w:val="22"/>
                <w:szCs w:val="22"/>
                <w:color w:val="auto"/>
              </w:rPr>
              <w:t>Title:</w:t>
            </w:r>
          </w:p>
        </w:tc>
        <w:tc>
          <w:tcPr>
            <w:tcW w:w="5700" w:type="dxa"/>
            <w:vAlign w:val="bottom"/>
            <w:tcBorders>
              <w:right w:val="single" w:sz="8" w:color="00000A"/>
            </w:tcBorders>
          </w:tcPr>
          <w:p>
            <w:pPr>
              <w:ind w:left="20"/>
              <w:spacing w:after="0" w:line="242" w:lineRule="exact"/>
              <w:rPr>
                <w:sz w:val="20"/>
                <w:szCs w:val="20"/>
                <w:color w:val="auto"/>
              </w:rPr>
            </w:pPr>
            <w:r>
              <w:rPr>
                <w:rFonts w:ascii="Arial" w:cs="Arial" w:eastAsia="Arial" w:hAnsi="Arial"/>
                <w:sz w:val="22"/>
                <w:szCs w:val="22"/>
                <w:color w:val="auto"/>
              </w:rPr>
              <w:t>Title:</w:t>
            </w:r>
          </w:p>
        </w:tc>
      </w:tr>
      <w:tr>
        <w:trPr>
          <w:trHeight w:val="275"/>
        </w:trPr>
        <w:tc>
          <w:tcPr>
            <w:tcW w:w="5740" w:type="dxa"/>
            <w:vAlign w:val="bottom"/>
            <w:tcBorders>
              <w:left w:val="single" w:sz="8" w:color="00000A"/>
              <w:right w:val="single" w:sz="8" w:color="00000A"/>
            </w:tcBorders>
          </w:tcPr>
          <w:p>
            <w:pPr>
              <w:ind w:left="380"/>
              <w:spacing w:after="0"/>
              <w:rPr>
                <w:sz w:val="20"/>
                <w:szCs w:val="20"/>
                <w:color w:val="auto"/>
              </w:rPr>
            </w:pPr>
            <w:r>
              <w:rPr>
                <w:rFonts w:ascii="Arial" w:cs="Arial" w:eastAsia="Arial" w:hAnsi="Arial"/>
                <w:sz w:val="22"/>
                <w:szCs w:val="22"/>
                <w:color w:val="auto"/>
              </w:rPr>
              <w:t>Xbox Program Manager</w:t>
            </w:r>
          </w:p>
        </w:tc>
        <w:tc>
          <w:tcPr>
            <w:tcW w:w="5700" w:type="dxa"/>
            <w:vAlign w:val="bottom"/>
            <w:tcBorders>
              <w:right w:val="single" w:sz="8" w:color="00000A"/>
            </w:tcBorders>
          </w:tcPr>
          <w:p>
            <w:pPr>
              <w:ind w:left="340"/>
              <w:spacing w:after="0"/>
              <w:rPr>
                <w:sz w:val="20"/>
                <w:szCs w:val="20"/>
                <w:color w:val="auto"/>
              </w:rPr>
            </w:pPr>
            <w:r>
              <w:rPr>
                <w:rFonts w:ascii="Arial" w:cs="Arial" w:eastAsia="Arial" w:hAnsi="Arial"/>
                <w:sz w:val="22"/>
                <w:szCs w:val="22"/>
                <w:color w:val="auto"/>
              </w:rPr>
              <w:t>EVP&amp;GC</w:t>
            </w:r>
          </w:p>
        </w:tc>
      </w:tr>
      <w:tr>
        <w:trPr>
          <w:trHeight w:val="125"/>
        </w:trPr>
        <w:tc>
          <w:tcPr>
            <w:tcW w:w="5740" w:type="dxa"/>
            <w:vAlign w:val="bottom"/>
            <w:tcBorders>
              <w:left w:val="single" w:sz="8" w:color="00000A"/>
              <w:bottom w:val="single" w:sz="8" w:color="00000A"/>
              <w:right w:val="single" w:sz="8" w:color="00000A"/>
            </w:tcBorders>
          </w:tcPr>
          <w:p>
            <w:pPr>
              <w:spacing w:after="0"/>
              <w:rPr>
                <w:sz w:val="10"/>
                <w:szCs w:val="10"/>
                <w:color w:val="auto"/>
              </w:rPr>
            </w:pPr>
          </w:p>
        </w:tc>
        <w:tc>
          <w:tcPr>
            <w:tcW w:w="5700" w:type="dxa"/>
            <w:vAlign w:val="bottom"/>
            <w:tcBorders>
              <w:bottom w:val="single" w:sz="8" w:color="00000A"/>
              <w:right w:val="single" w:sz="8" w:color="00000A"/>
            </w:tcBorders>
          </w:tcPr>
          <w:p>
            <w:pPr>
              <w:spacing w:after="0"/>
              <w:rPr>
                <w:sz w:val="10"/>
                <w:szCs w:val="10"/>
                <w:color w:val="auto"/>
              </w:rPr>
            </w:pPr>
          </w:p>
        </w:tc>
      </w:tr>
      <w:tr>
        <w:trPr>
          <w:trHeight w:val="242"/>
        </w:trPr>
        <w:tc>
          <w:tcPr>
            <w:tcW w:w="5740" w:type="dxa"/>
            <w:vAlign w:val="bottom"/>
            <w:tcBorders>
              <w:left w:val="single" w:sz="8" w:color="00000A"/>
              <w:right w:val="single" w:sz="8" w:color="00000A"/>
            </w:tcBorders>
          </w:tcPr>
          <w:p>
            <w:pPr>
              <w:ind w:left="40"/>
              <w:spacing w:after="0" w:line="242" w:lineRule="exact"/>
              <w:rPr>
                <w:sz w:val="20"/>
                <w:szCs w:val="20"/>
                <w:color w:val="auto"/>
              </w:rPr>
            </w:pPr>
            <w:r>
              <w:rPr>
                <w:rFonts w:ascii="Arial" w:cs="Arial" w:eastAsia="Arial" w:hAnsi="Arial"/>
                <w:sz w:val="22"/>
                <w:szCs w:val="22"/>
                <w:color w:val="auto"/>
              </w:rPr>
              <w:t>Date:</w:t>
            </w:r>
          </w:p>
        </w:tc>
        <w:tc>
          <w:tcPr>
            <w:tcW w:w="5700" w:type="dxa"/>
            <w:vAlign w:val="bottom"/>
            <w:tcBorders>
              <w:right w:val="single" w:sz="8" w:color="00000A"/>
            </w:tcBorders>
          </w:tcPr>
          <w:p>
            <w:pPr>
              <w:ind w:left="20"/>
              <w:spacing w:after="0" w:line="242" w:lineRule="exact"/>
              <w:rPr>
                <w:sz w:val="20"/>
                <w:szCs w:val="20"/>
                <w:color w:val="auto"/>
              </w:rPr>
            </w:pPr>
            <w:r>
              <w:rPr>
                <w:rFonts w:ascii="Arial" w:cs="Arial" w:eastAsia="Arial" w:hAnsi="Arial"/>
                <w:sz w:val="22"/>
                <w:szCs w:val="22"/>
                <w:color w:val="auto"/>
              </w:rPr>
              <w:t>Date:</w:t>
            </w:r>
          </w:p>
        </w:tc>
      </w:tr>
      <w:tr>
        <w:trPr>
          <w:trHeight w:val="275"/>
        </w:trPr>
        <w:tc>
          <w:tcPr>
            <w:tcW w:w="5740" w:type="dxa"/>
            <w:vAlign w:val="bottom"/>
            <w:tcBorders>
              <w:left w:val="single" w:sz="8" w:color="00000A"/>
              <w:right w:val="single" w:sz="8" w:color="00000A"/>
            </w:tcBorders>
          </w:tcPr>
          <w:p>
            <w:pPr>
              <w:ind w:left="380"/>
              <w:spacing w:after="0"/>
              <w:rPr>
                <w:sz w:val="20"/>
                <w:szCs w:val="20"/>
                <w:color w:val="auto"/>
              </w:rPr>
            </w:pPr>
            <w:r>
              <w:rPr>
                <w:rFonts w:ascii="Arial" w:cs="Arial" w:eastAsia="Arial" w:hAnsi="Arial"/>
                <w:sz w:val="22"/>
                <w:szCs w:val="22"/>
                <w:color w:val="auto"/>
              </w:rPr>
              <w:t>1/10/2018</w:t>
            </w:r>
          </w:p>
        </w:tc>
        <w:tc>
          <w:tcPr>
            <w:tcW w:w="5700" w:type="dxa"/>
            <w:vAlign w:val="bottom"/>
            <w:tcBorders>
              <w:right w:val="single" w:sz="8" w:color="00000A"/>
            </w:tcBorders>
          </w:tcPr>
          <w:p>
            <w:pPr>
              <w:ind w:left="340"/>
              <w:spacing w:after="0"/>
              <w:rPr>
                <w:sz w:val="20"/>
                <w:szCs w:val="20"/>
                <w:color w:val="auto"/>
              </w:rPr>
            </w:pPr>
            <w:r>
              <w:rPr>
                <w:rFonts w:ascii="Arial" w:cs="Arial" w:eastAsia="Arial" w:hAnsi="Arial"/>
                <w:sz w:val="22"/>
                <w:szCs w:val="22"/>
                <w:color w:val="auto"/>
              </w:rPr>
              <w:t>1/10/2018</w:t>
            </w:r>
          </w:p>
        </w:tc>
      </w:tr>
      <w:tr>
        <w:trPr>
          <w:trHeight w:val="125"/>
        </w:trPr>
        <w:tc>
          <w:tcPr>
            <w:tcW w:w="5740" w:type="dxa"/>
            <w:vAlign w:val="bottom"/>
            <w:tcBorders>
              <w:left w:val="single" w:sz="8" w:color="00000A"/>
              <w:bottom w:val="single" w:sz="8" w:color="00000A"/>
              <w:right w:val="single" w:sz="8" w:color="00000A"/>
            </w:tcBorders>
          </w:tcPr>
          <w:p>
            <w:pPr>
              <w:spacing w:after="0"/>
              <w:rPr>
                <w:sz w:val="10"/>
                <w:szCs w:val="10"/>
                <w:color w:val="auto"/>
              </w:rPr>
            </w:pPr>
          </w:p>
        </w:tc>
        <w:tc>
          <w:tcPr>
            <w:tcW w:w="5700" w:type="dxa"/>
            <w:vAlign w:val="bottom"/>
            <w:tcBorders>
              <w:bottom w:val="single" w:sz="8" w:color="00000A"/>
              <w:right w:val="single" w:sz="8" w:color="00000A"/>
            </w:tcBorders>
          </w:tcPr>
          <w:p>
            <w:pPr>
              <w:spacing w:after="0"/>
              <w:rPr>
                <w:sz w:val="10"/>
                <w:szCs w:val="10"/>
                <w:color w:val="auto"/>
              </w:rPr>
            </w:pPr>
          </w:p>
        </w:tc>
      </w:tr>
    </w:tbl>
    <w:p>
      <w:pPr>
        <w:spacing w:after="0" w:line="200" w:lineRule="exact"/>
        <w:rPr>
          <w:sz w:val="20"/>
          <w:szCs w:val="20"/>
          <w:color w:val="auto"/>
        </w:rPr>
      </w:pPr>
    </w:p>
    <w:p>
      <w:pPr>
        <w:sectPr>
          <w:pgSz w:w="11900" w:h="16838" w:orient="portrait"/>
          <w:cols w:equalWidth="0" w:num="1">
            <w:col w:w="11440"/>
          </w:cols>
          <w:pgMar w:left="240" w:top="359" w:right="219" w:bottom="1440" w:gutter="0" w:footer="0" w:header="0"/>
        </w:sectPr>
      </w:pPr>
    </w:p>
    <w:p>
      <w:pPr>
        <w:spacing w:after="0" w:line="33" w:lineRule="exact"/>
        <w:rPr>
          <w:sz w:val="20"/>
          <w:szCs w:val="20"/>
          <w:color w:val="auto"/>
        </w:rPr>
      </w:pPr>
    </w:p>
    <w:p>
      <w:pPr>
        <w:spacing w:after="0" w:line="369" w:lineRule="auto"/>
        <w:rPr>
          <w:sz w:val="20"/>
          <w:szCs w:val="20"/>
          <w:color w:val="auto"/>
        </w:rPr>
      </w:pPr>
      <w:r>
        <w:rPr>
          <w:rFonts w:ascii="Arial" w:cs="Arial" w:eastAsia="Arial" w:hAnsi="Arial"/>
          <w:sz w:val="14"/>
          <w:szCs w:val="14"/>
          <w:color w:val="auto"/>
        </w:rPr>
        <w:t>Microsoft Confidential AOC v1 September 2017</w:t>
      </w:r>
    </w:p>
    <w:p>
      <w:pPr>
        <w:spacing w:after="0" w:line="20" w:lineRule="exact"/>
        <w:rPr>
          <w:sz w:val="20"/>
          <w:szCs w:val="20"/>
          <w:color w:val="auto"/>
        </w:rPr>
      </w:pPr>
      <w:r>
        <w:rPr>
          <w:sz w:val="20"/>
          <w:szCs w:val="20"/>
          <w:color w:val="auto"/>
        </w:rPr>
        <w:br w:type="column"/>
      </w:r>
    </w:p>
    <w:p>
      <w:pPr>
        <w:spacing w:after="0" w:line="13" w:lineRule="exact"/>
        <w:rPr>
          <w:sz w:val="20"/>
          <w:szCs w:val="20"/>
          <w:color w:val="auto"/>
        </w:rPr>
      </w:pPr>
    </w:p>
    <w:p>
      <w:pPr>
        <w:spacing w:after="0"/>
        <w:rPr>
          <w:sz w:val="20"/>
          <w:szCs w:val="20"/>
          <w:color w:val="auto"/>
        </w:rPr>
      </w:pPr>
      <w:r>
        <w:rPr>
          <w:rFonts w:ascii="Arial" w:cs="Arial" w:eastAsia="Arial" w:hAnsi="Arial"/>
          <w:sz w:val="14"/>
          <w:szCs w:val="14"/>
          <w:color w:val="auto"/>
        </w:rPr>
        <w:t>Page 2 of 11</w:t>
      </w:r>
    </w:p>
    <w:p>
      <w:pPr>
        <w:sectPr>
          <w:pgSz w:w="11900" w:h="16838" w:orient="portrait"/>
          <w:cols w:equalWidth="0" w:num="2">
            <w:col w:w="1660" w:space="160"/>
            <w:col w:w="9620"/>
          </w:cols>
          <w:pgMar w:left="240" w:top="359" w:right="219" w:bottom="1440" w:gutter="0" w:footer="0" w:header="0"/>
          <w:type w:val="continuous"/>
        </w:sectPr>
      </w:pPr>
    </w:p>
    <w:bookmarkStart w:id="93" w:name="page94"/>
    <w:bookmarkEnd w:id="93"/>
    <w:p>
      <w:pPr>
        <w:spacing w:after="0"/>
        <w:rPr>
          <w:sz w:val="20"/>
          <w:szCs w:val="20"/>
          <w:color w:val="auto"/>
        </w:rPr>
      </w:pPr>
      <w:r>
        <w:rPr>
          <w:rFonts w:ascii="Arial" w:cs="Arial" w:eastAsia="Arial" w:hAnsi="Arial"/>
          <w:sz w:val="16"/>
          <w:szCs w:val="16"/>
          <w:color w:val="auto"/>
        </w:rPr>
        <w:t>DocuSign Envelope ID: 4C2579D7-B77B-4D46-AF9B-741487D134D7</w:t>
      </w:r>
    </w:p>
    <w:p>
      <w:pPr>
        <w:spacing w:after="0" w:line="39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u w:val="single" w:color="auto"/>
          <w:color w:val="auto"/>
        </w:rPr>
        <w:t>EXHIBIT 2 – XBOX ONE ROYALTY TIER SELECTION FORM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174625</wp:posOffset>
            </wp:positionV>
            <wp:extent cx="7254875" cy="3600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1">
                      <a:extLst>
                        <a:ext uri="{28A0092B-C50C-407E-A947-70E740481C1C}"/>
                      </a:extLst>
                    </a:blip>
                    <a:srcRect/>
                    <a:stretch>
                      <a:fillRect/>
                    </a:stretch>
                  </pic:blipFill>
                  <pic:spPr bwMode="auto">
                    <a:xfrm>
                      <a:off x="0" y="0"/>
                      <a:ext cx="7254875" cy="360045"/>
                    </a:xfrm>
                    <a:prstGeom prst="rect">
                      <a:avLst/>
                    </a:prstGeom>
                    <a:noFill/>
                  </pic:spPr>
                </pic:pic>
              </a:graphicData>
            </a:graphic>
          </wp:anchor>
        </w:drawing>
      </w:r>
    </w:p>
    <w:p>
      <w:pPr>
        <w:spacing w:after="0" w:line="268" w:lineRule="exact"/>
        <w:rPr>
          <w:sz w:val="20"/>
          <w:szCs w:val="20"/>
          <w:color w:val="auto"/>
        </w:rPr>
      </w:pPr>
    </w:p>
    <w:p>
      <w:pPr>
        <w:ind w:left="40" w:right="60"/>
        <w:spacing w:after="0" w:line="256" w:lineRule="auto"/>
        <w:rPr>
          <w:sz w:val="20"/>
          <w:szCs w:val="20"/>
          <w:color w:val="auto"/>
        </w:rPr>
      </w:pPr>
      <w:r>
        <w:rPr>
          <w:rFonts w:ascii="Arial" w:cs="Arial" w:eastAsia="Arial" w:hAnsi="Arial"/>
          <w:sz w:val="22"/>
          <w:szCs w:val="22"/>
          <w:b w:val="1"/>
          <w:bCs w:val="1"/>
          <w:color w:val="auto"/>
        </w:rPr>
        <w:t xml:space="preserve">PLEASE COMPLETE, SIGN THE FORM AND SUBMIT VIA EMAIL TO: </w:t>
      </w:r>
      <w:r>
        <w:rPr>
          <w:rFonts w:ascii="Arial" w:cs="Arial" w:eastAsia="Arial" w:hAnsi="Arial"/>
          <w:sz w:val="22"/>
          <w:szCs w:val="22"/>
          <w:b w:val="1"/>
          <w:bCs w:val="1"/>
          <w:u w:val="single" w:color="auto"/>
          <w:color w:val="auto"/>
        </w:rPr>
        <w:t>3PPOPS@MICROSOFT.COM</w:t>
      </w:r>
      <w:r>
        <w:rPr>
          <w:rFonts w:ascii="Arial" w:cs="Arial" w:eastAsia="Arial" w:hAnsi="Arial"/>
          <w:sz w:val="22"/>
          <w:szCs w:val="22"/>
          <w:b w:val="1"/>
          <w:bCs w:val="1"/>
          <w:color w:val="auto"/>
        </w:rPr>
        <w:t xml:space="preserve"> WITH A CC (COPYING) TO YOUR ACCOUNT MANAGER.</w:t>
      </w:r>
    </w:p>
    <w:p>
      <w:pPr>
        <w:spacing w:after="0" w:line="5" w:lineRule="exact"/>
        <w:rPr>
          <w:sz w:val="20"/>
          <w:szCs w:val="20"/>
          <w:color w:val="auto"/>
        </w:rPr>
      </w:pPr>
    </w:p>
    <w:p>
      <w:pPr>
        <w:ind w:left="980" w:right="140" w:hanging="486"/>
        <w:spacing w:after="0" w:line="269" w:lineRule="auto"/>
        <w:tabs>
          <w:tab w:leader="none" w:pos="980" w:val="left"/>
        </w:tabs>
        <w:numPr>
          <w:ilvl w:val="1"/>
          <w:numId w:val="35"/>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This form must be submitted ten (10) Business Days prior to the first manufacturing order being placed for the Software Title(s) for each respective Sales Territory. </w:t>
      </w:r>
      <w:r>
        <w:rPr>
          <w:rFonts w:ascii="Arial" w:cs="Arial" w:eastAsia="Arial" w:hAnsi="Arial"/>
          <w:sz w:val="18"/>
          <w:szCs w:val="18"/>
          <w:b w:val="1"/>
          <w:bCs w:val="1"/>
          <w:i w:val="1"/>
          <w:iCs w:val="1"/>
          <w:color w:val="auto"/>
        </w:rPr>
        <w:t>For any given Sales Territory, if this form is not submitted on time, exceeds</w:t>
      </w:r>
      <w:r>
        <w:rPr>
          <w:rFonts w:ascii="Arial" w:cs="Arial" w:eastAsia="Arial" w:hAnsi="Arial"/>
          <w:sz w:val="18"/>
          <w:szCs w:val="18"/>
          <w:b w:val="1"/>
          <w:bCs w:val="1"/>
          <w:color w:val="auto"/>
        </w:rPr>
        <w:t xml:space="preserve"> </w:t>
      </w:r>
      <w:r>
        <w:rPr>
          <w:rFonts w:ascii="Arial" w:cs="Arial" w:eastAsia="Arial" w:hAnsi="Arial"/>
          <w:sz w:val="18"/>
          <w:szCs w:val="18"/>
          <w:b w:val="1"/>
          <w:bCs w:val="1"/>
          <w:i w:val="1"/>
          <w:iCs w:val="1"/>
          <w:color w:val="auto"/>
        </w:rPr>
        <w:t>incentive limits, or is rejected by Microsoft, the Royalty Rate will default to Tier 1.</w:t>
      </w:r>
    </w:p>
    <w:p>
      <w:pPr>
        <w:spacing w:after="0" w:line="2" w:lineRule="exact"/>
        <w:rPr>
          <w:rFonts w:ascii="Arial" w:cs="Arial" w:eastAsia="Arial" w:hAnsi="Arial"/>
          <w:sz w:val="18"/>
          <w:szCs w:val="18"/>
          <w:b w:val="1"/>
          <w:bCs w:val="1"/>
          <w:color w:val="auto"/>
        </w:rPr>
      </w:pPr>
    </w:p>
    <w:p>
      <w:pPr>
        <w:ind w:left="980" w:hanging="486"/>
        <w:spacing w:after="0"/>
        <w:tabs>
          <w:tab w:leader="none" w:pos="980" w:val="left"/>
        </w:tabs>
        <w:numPr>
          <w:ilvl w:val="1"/>
          <w:numId w:val="35"/>
        </w:numPr>
        <w:rPr>
          <w:rFonts w:ascii="Arial" w:cs="Arial" w:eastAsia="Arial" w:hAnsi="Arial"/>
          <w:sz w:val="18"/>
          <w:szCs w:val="18"/>
          <w:b w:val="1"/>
          <w:bCs w:val="1"/>
          <w:color w:val="auto"/>
        </w:rPr>
      </w:pPr>
      <w:r>
        <w:rPr>
          <w:rFonts w:ascii="Arial" w:cs="Arial" w:eastAsia="Arial" w:hAnsi="Arial"/>
          <w:sz w:val="18"/>
          <w:szCs w:val="18"/>
          <w:b w:val="1"/>
          <w:bCs w:val="1"/>
          <w:color w:val="auto"/>
        </w:rPr>
        <w:t>A separate form must be submitted for each Software Title, Sales Territory, and Edition.</w:t>
      </w:r>
    </w:p>
    <w:p>
      <w:pPr>
        <w:spacing w:after="0" w:line="22" w:lineRule="exact"/>
        <w:rPr>
          <w:rFonts w:ascii="Arial" w:cs="Arial" w:eastAsia="Arial" w:hAnsi="Arial"/>
          <w:sz w:val="18"/>
          <w:szCs w:val="18"/>
          <w:b w:val="1"/>
          <w:bCs w:val="1"/>
          <w:color w:val="auto"/>
        </w:rPr>
      </w:pPr>
    </w:p>
    <w:p>
      <w:pPr>
        <w:ind w:left="980" w:hanging="486"/>
        <w:spacing w:after="0" w:line="292" w:lineRule="auto"/>
        <w:tabs>
          <w:tab w:leader="none" w:pos="980" w:val="left"/>
        </w:tabs>
        <w:numPr>
          <w:ilvl w:val="1"/>
          <w:numId w:val="35"/>
        </w:numPr>
        <w:rPr>
          <w:rFonts w:ascii="Arial" w:cs="Arial" w:eastAsia="Arial" w:hAnsi="Arial"/>
          <w:sz w:val="18"/>
          <w:szCs w:val="18"/>
          <w:b w:val="1"/>
          <w:bCs w:val="1"/>
          <w:color w:val="auto"/>
        </w:rPr>
      </w:pPr>
      <w:r>
        <w:rPr>
          <w:rFonts w:ascii="Arial" w:cs="Arial" w:eastAsia="Arial" w:hAnsi="Arial"/>
          <w:sz w:val="18"/>
          <w:szCs w:val="18"/>
          <w:b w:val="1"/>
          <w:bCs w:val="1"/>
          <w:color w:val="auto"/>
        </w:rPr>
        <w:t>This paper form should be used only in instances where XDP Royalty Configuration cannot be used (e.g., sub-publishing, compilations, etc.). For more information, please contact your Account Manager.</w:t>
      </w:r>
    </w:p>
    <w:p>
      <w:pPr>
        <w:spacing w:after="0" w:line="76" w:lineRule="exact"/>
        <w:rPr>
          <w:rFonts w:ascii="Arial" w:cs="Arial" w:eastAsia="Arial" w:hAnsi="Arial"/>
          <w:sz w:val="18"/>
          <w:szCs w:val="18"/>
          <w:b w:val="1"/>
          <w:bCs w:val="1"/>
          <w:color w:val="auto"/>
        </w:rPr>
      </w:pPr>
    </w:p>
    <w:p>
      <w:pPr>
        <w:ind w:left="500" w:hanging="492"/>
        <w:spacing w:after="0"/>
        <w:tabs>
          <w:tab w:leader="none" w:pos="5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Publisher Name: ____________</w:t>
      </w:r>
    </w:p>
    <w:p>
      <w:pPr>
        <w:spacing w:after="0" w:line="130" w:lineRule="exact"/>
        <w:rPr>
          <w:rFonts w:ascii="Arial" w:cs="Arial" w:eastAsia="Arial" w:hAnsi="Arial"/>
          <w:sz w:val="18"/>
          <w:szCs w:val="18"/>
          <w:color w:val="auto"/>
        </w:rPr>
      </w:pPr>
    </w:p>
    <w:p>
      <w:pPr>
        <w:ind w:left="500" w:hanging="492"/>
        <w:spacing w:after="0"/>
        <w:tabs>
          <w:tab w:leader="none" w:pos="5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Xbox One Software Title Name: ____________</w:t>
      </w:r>
    </w:p>
    <w:p>
      <w:pPr>
        <w:spacing w:after="0" w:line="130" w:lineRule="exact"/>
        <w:rPr>
          <w:rFonts w:ascii="Arial" w:cs="Arial" w:eastAsia="Arial" w:hAnsi="Arial"/>
          <w:sz w:val="18"/>
          <w:szCs w:val="18"/>
          <w:color w:val="auto"/>
        </w:rPr>
      </w:pPr>
    </w:p>
    <w:p>
      <w:pPr>
        <w:ind w:left="500" w:hanging="492"/>
        <w:spacing w:after="0"/>
        <w:tabs>
          <w:tab w:leader="none" w:pos="5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Date of First Commercial Release (mm/dd/yy): ____________</w:t>
      </w:r>
    </w:p>
    <w:p>
      <w:pPr>
        <w:spacing w:after="0" w:line="130" w:lineRule="exact"/>
        <w:rPr>
          <w:rFonts w:ascii="Arial" w:cs="Arial" w:eastAsia="Arial" w:hAnsi="Arial"/>
          <w:sz w:val="18"/>
          <w:szCs w:val="18"/>
          <w:color w:val="auto"/>
        </w:rPr>
      </w:pPr>
    </w:p>
    <w:p>
      <w:pPr>
        <w:ind w:left="500" w:hanging="492"/>
        <w:spacing w:after="0"/>
        <w:tabs>
          <w:tab w:leader="none" w:pos="500" w:val="left"/>
        </w:tabs>
        <w:numPr>
          <w:ilvl w:val="0"/>
          <w:numId w:val="36"/>
        </w:numPr>
        <w:rPr>
          <w:rFonts w:ascii="Arial" w:cs="Arial" w:eastAsia="Arial" w:hAnsi="Arial"/>
          <w:sz w:val="18"/>
          <w:szCs w:val="18"/>
          <w:color w:val="auto"/>
        </w:rPr>
      </w:pPr>
      <w:r>
        <w:rPr>
          <w:rFonts w:ascii="Arial" w:cs="Arial" w:eastAsia="Arial" w:hAnsi="Arial"/>
          <w:sz w:val="18"/>
          <w:szCs w:val="18"/>
          <w:color w:val="auto"/>
        </w:rPr>
        <w:t>Authorized Replicators to be used: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356870</wp:posOffset>
            </wp:positionH>
            <wp:positionV relativeFrom="paragraph">
              <wp:posOffset>92075</wp:posOffset>
            </wp:positionV>
            <wp:extent cx="6457315" cy="4032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2">
                      <a:extLst>
                        <a:ext uri="{28A0092B-C50C-407E-A947-70E740481C1C}"/>
                      </a:extLst>
                    </a:blip>
                    <a:srcRect/>
                    <a:stretch>
                      <a:fillRect/>
                    </a:stretch>
                  </pic:blipFill>
                  <pic:spPr bwMode="auto">
                    <a:xfrm>
                      <a:off x="0" y="0"/>
                      <a:ext cx="6457315" cy="403225"/>
                    </a:xfrm>
                    <a:prstGeom prst="rect">
                      <a:avLst/>
                    </a:prstGeom>
                    <a:noFill/>
                  </pic:spPr>
                </pic:pic>
              </a:graphicData>
            </a:graphic>
          </wp:anchor>
        </w:drawing>
      </w:r>
    </w:p>
    <w:p>
      <w:pPr>
        <w:spacing w:after="0" w:line="144" w:lineRule="exact"/>
        <w:rPr>
          <w:sz w:val="20"/>
          <w:szCs w:val="20"/>
          <w:color w:val="auto"/>
        </w:rPr>
      </w:pPr>
    </w:p>
    <w:p>
      <w:pPr>
        <w:ind w:left="600"/>
        <w:spacing w:after="0"/>
        <w:rPr>
          <w:sz w:val="20"/>
          <w:szCs w:val="20"/>
          <w:color w:val="auto"/>
        </w:rPr>
      </w:pPr>
      <w:r>
        <w:rPr>
          <w:rFonts w:ascii="Arial" w:cs="Arial" w:eastAsia="Arial" w:hAnsi="Arial"/>
          <w:sz w:val="22"/>
          <w:szCs w:val="22"/>
          <w:color w:val="auto"/>
        </w:rPr>
        <w:t>If more than one, please list all (name, location):</w:t>
      </w:r>
    </w:p>
    <w:p>
      <w:pPr>
        <w:spacing w:after="0" w:line="22" w:lineRule="exact"/>
        <w:rPr>
          <w:sz w:val="20"/>
          <w:szCs w:val="20"/>
          <w:color w:val="auto"/>
        </w:rPr>
      </w:pPr>
    </w:p>
    <w:tbl>
      <w:tblPr>
        <w:tblLayout w:type="fixed"/>
        <w:tblInd w:w="560" w:type="dxa"/>
        <w:tblCellMar>
          <w:top w:w="0" w:type="dxa"/>
          <w:left w:w="0" w:type="dxa"/>
          <w:bottom w:w="0" w:type="dxa"/>
          <w:right w:w="0" w:type="dxa"/>
        </w:tblCellMar>
      </w:tblPr>
      <w:tr>
        <w:trPr>
          <w:trHeight w:val="301"/>
        </w:trPr>
        <w:tc>
          <w:tcPr>
            <w:tcW w:w="5320" w:type="dxa"/>
            <w:vAlign w:val="bottom"/>
            <w:tcBorders>
              <w:top w:val="single" w:sz="8" w:color="00000A"/>
              <w:bottom w:val="single" w:sz="8" w:color="00000A"/>
              <w:right w:val="single" w:sz="8" w:color="00000A"/>
            </w:tcBorders>
          </w:tcPr>
          <w:p>
            <w:pPr>
              <w:ind w:left="40"/>
              <w:spacing w:after="0"/>
              <w:rPr>
                <w:sz w:val="20"/>
                <w:szCs w:val="20"/>
                <w:color w:val="auto"/>
              </w:rPr>
            </w:pPr>
            <w:r>
              <w:rPr>
                <w:rFonts w:ascii="Arial" w:cs="Arial" w:eastAsia="Arial" w:hAnsi="Arial"/>
                <w:sz w:val="22"/>
                <w:szCs w:val="22"/>
                <w:color w:val="auto"/>
              </w:rPr>
              <w:t>Expected Mfg Date:</w:t>
            </w:r>
          </w:p>
        </w:tc>
        <w:tc>
          <w:tcPr>
            <w:tcW w:w="4860" w:type="dxa"/>
            <w:vAlign w:val="bottom"/>
            <w:tcBorders>
              <w:top w:val="single" w:sz="8" w:color="00000A"/>
              <w:bottom w:val="single" w:sz="8" w:color="00000A"/>
            </w:tcBorders>
          </w:tcPr>
          <w:p>
            <w:pPr>
              <w:ind w:left="20"/>
              <w:spacing w:after="0"/>
              <w:rPr>
                <w:sz w:val="20"/>
                <w:szCs w:val="20"/>
                <w:color w:val="auto"/>
              </w:rPr>
            </w:pPr>
            <w:r>
              <w:rPr>
                <w:rFonts w:ascii="Arial" w:cs="Arial" w:eastAsia="Arial" w:hAnsi="Arial"/>
                <w:sz w:val="22"/>
                <w:szCs w:val="22"/>
                <w:color w:val="auto"/>
              </w:rPr>
              <w:t>Volume Forecast:</w:t>
            </w:r>
          </w:p>
        </w:tc>
      </w:tr>
    </w:tbl>
    <w:p>
      <w:pPr>
        <w:ind w:left="500" w:hanging="492"/>
        <w:spacing w:after="0"/>
        <w:tabs>
          <w:tab w:leader="none" w:pos="5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 xml:space="preserve">Retail Edition(s) (choose one): </w:t>
      </w:r>
      <w:r>
        <w:rPr>
          <w:rFonts w:ascii="Arial" w:cs="Arial" w:eastAsia="Arial" w:hAnsi="Arial"/>
          <w:sz w:val="18"/>
          <w:szCs w:val="18"/>
          <w:color w:val="auto"/>
          <w:highlight w:val="lightGray"/>
        </w:rPr>
        <w:t>Choose an item.</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(Reference</w:t>
      </w:r>
      <w:r>
        <w:rPr>
          <w:rFonts w:ascii="Arial" w:cs="Arial" w:eastAsia="Arial" w:hAnsi="Arial"/>
          <w:sz w:val="18"/>
          <w:szCs w:val="18"/>
          <w:color w:val="auto"/>
        </w:rPr>
        <w:t xml:space="preserve"> </w:t>
      </w:r>
      <w:r>
        <w:rPr>
          <w:rFonts w:ascii="Arial" w:cs="Arial" w:eastAsia="Arial" w:hAnsi="Arial"/>
          <w:sz w:val="18"/>
          <w:szCs w:val="18"/>
          <w:b w:val="1"/>
          <w:bCs w:val="1"/>
          <w:i w:val="1"/>
          <w:iCs w:val="1"/>
          <w:u w:val="single" w:color="auto"/>
          <w:color w:val="auto"/>
        </w:rPr>
        <w:t>Edition</w:t>
      </w:r>
      <w:r>
        <w:rPr>
          <w:rFonts w:ascii="Arial" w:cs="Arial" w:eastAsia="Arial" w:hAnsi="Arial"/>
          <w:sz w:val="18"/>
          <w:szCs w:val="18"/>
          <w:color w:val="auto"/>
        </w:rPr>
        <w:t xml:space="preserve"> </w:t>
      </w:r>
      <w:r>
        <w:rPr>
          <w:rFonts w:ascii="Arial" w:cs="Arial" w:eastAsia="Arial" w:hAnsi="Arial"/>
          <w:sz w:val="18"/>
          <w:szCs w:val="18"/>
          <w:b w:val="1"/>
          <w:bCs w:val="1"/>
          <w:i w:val="1"/>
          <w:iCs w:val="1"/>
          <w:color w:val="auto"/>
        </w:rPr>
        <w:t>Type when placing Authorized Replicator(s) orders)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356870</wp:posOffset>
            </wp:positionH>
            <wp:positionV relativeFrom="paragraph">
              <wp:posOffset>100330</wp:posOffset>
            </wp:positionV>
            <wp:extent cx="6457315" cy="2057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3">
                      <a:extLst>
                        <a:ext uri="{28A0092B-C50C-407E-A947-70E740481C1C}"/>
                      </a:extLst>
                    </a:blip>
                    <a:srcRect/>
                    <a:stretch>
                      <a:fillRect/>
                    </a:stretch>
                  </pic:blipFill>
                  <pic:spPr bwMode="auto">
                    <a:xfrm>
                      <a:off x="0" y="0"/>
                      <a:ext cx="6457315" cy="205740"/>
                    </a:xfrm>
                    <a:prstGeom prst="rect">
                      <a:avLst/>
                    </a:prstGeom>
                    <a:noFill/>
                  </pic:spPr>
                </pic:pic>
              </a:graphicData>
            </a:graphic>
          </wp:anchor>
        </w:drawing>
      </w:r>
    </w:p>
    <w:p>
      <w:pPr>
        <w:spacing w:after="0" w:line="157" w:lineRule="exact"/>
        <w:rPr>
          <w:sz w:val="20"/>
          <w:szCs w:val="20"/>
          <w:color w:val="auto"/>
        </w:rPr>
      </w:pPr>
    </w:p>
    <w:p>
      <w:pPr>
        <w:ind w:left="600"/>
        <w:spacing w:after="0"/>
        <w:rPr>
          <w:sz w:val="20"/>
          <w:szCs w:val="20"/>
          <w:color w:val="auto"/>
        </w:rPr>
      </w:pPr>
      <w:r>
        <w:rPr>
          <w:rFonts w:ascii="Arial" w:cs="Arial" w:eastAsia="Arial" w:hAnsi="Arial"/>
          <w:sz w:val="22"/>
          <w:szCs w:val="22"/>
          <w:color w:val="auto"/>
        </w:rPr>
        <w:t>Edition Contents:</w:t>
      </w:r>
    </w:p>
    <w:p>
      <w:pPr>
        <w:spacing w:after="0" w:line="173" w:lineRule="exact"/>
        <w:rPr>
          <w:sz w:val="20"/>
          <w:szCs w:val="20"/>
          <w:color w:val="auto"/>
        </w:rPr>
      </w:pPr>
    </w:p>
    <w:p>
      <w:pPr>
        <w:ind w:left="500" w:hanging="492"/>
        <w:spacing w:after="0"/>
        <w:tabs>
          <w:tab w:leader="none" w:pos="500" w:val="left"/>
        </w:tabs>
        <w:numPr>
          <w:ilvl w:val="0"/>
          <w:numId w:val="38"/>
        </w:numPr>
        <w:rPr>
          <w:rFonts w:ascii="Arial" w:cs="Arial" w:eastAsia="Arial" w:hAnsi="Arial"/>
          <w:sz w:val="18"/>
          <w:szCs w:val="18"/>
          <w:color w:val="auto"/>
        </w:rPr>
      </w:pPr>
      <w:r>
        <w:rPr>
          <w:rFonts w:ascii="Arial" w:cs="Arial" w:eastAsia="Arial" w:hAnsi="Arial"/>
          <w:sz w:val="18"/>
          <w:szCs w:val="18"/>
          <w:color w:val="auto"/>
        </w:rPr>
        <w:t>Sales Territory: Choose an item.</w:t>
      </w:r>
    </w:p>
    <w:p>
      <w:pPr>
        <w:spacing w:after="0" w:line="131" w:lineRule="exact"/>
        <w:rPr>
          <w:sz w:val="20"/>
          <w:szCs w:val="20"/>
          <w:color w:val="auto"/>
        </w:rPr>
      </w:pPr>
    </w:p>
    <w:p>
      <w:pPr>
        <w:spacing w:after="0"/>
        <w:tabs>
          <w:tab w:leader="none" w:pos="480" w:val="left"/>
          <w:tab w:leader="none" w:pos="4640" w:val="left"/>
          <w:tab w:leader="none" w:pos="6060" w:val="left"/>
        </w:tabs>
        <w:rPr>
          <w:sz w:val="20"/>
          <w:szCs w:val="20"/>
          <w:color w:val="auto"/>
        </w:rPr>
      </w:pPr>
      <w:r>
        <w:rPr>
          <w:rFonts w:ascii="Arial" w:cs="Arial" w:eastAsia="Arial" w:hAnsi="Arial"/>
          <w:sz w:val="18"/>
          <w:szCs w:val="18"/>
          <w:color w:val="auto"/>
        </w:rPr>
        <w:t>7.</w:t>
      </w:r>
      <w:r>
        <w:rPr>
          <w:sz w:val="20"/>
          <w:szCs w:val="20"/>
          <w:color w:val="auto"/>
        </w:rPr>
        <w:tab/>
      </w:r>
      <w:r>
        <w:rPr>
          <w:rFonts w:ascii="Arial" w:cs="Arial" w:eastAsia="Arial" w:hAnsi="Arial"/>
          <w:sz w:val="18"/>
          <w:szCs w:val="18"/>
          <w:color w:val="auto"/>
        </w:rPr>
        <w:t xml:space="preserve">Select Xbox One Royalty Tier: </w:t>
      </w:r>
      <w:r>
        <w:rPr>
          <w:rFonts w:ascii="Arial" w:cs="Arial" w:eastAsia="Arial" w:hAnsi="Arial"/>
          <w:sz w:val="18"/>
          <w:szCs w:val="18"/>
          <w:color w:val="auto"/>
          <w:highlight w:val="darkGray"/>
        </w:rPr>
        <w:t>Choose an item.</w:t>
      </w:r>
      <w:r>
        <w:rPr>
          <w:sz w:val="20"/>
          <w:szCs w:val="20"/>
          <w:color w:val="auto"/>
        </w:rPr>
        <w:tab/>
      </w:r>
      <w:r>
        <w:rPr>
          <w:rFonts w:ascii="Arial" w:cs="Arial" w:eastAsia="Arial" w:hAnsi="Arial"/>
          <w:sz w:val="18"/>
          <w:szCs w:val="18"/>
          <w:color w:val="auto"/>
        </w:rPr>
        <w:t>WSP: _______</w:t>
      </w:r>
      <w:r>
        <w:rPr>
          <w:sz w:val="20"/>
          <w:szCs w:val="20"/>
          <w:color w:val="auto"/>
        </w:rPr>
        <w:tab/>
      </w:r>
      <w:r>
        <w:rPr>
          <w:rFonts w:ascii="Arial" w:cs="Arial" w:eastAsia="Arial" w:hAnsi="Arial"/>
          <w:sz w:val="17"/>
          <w:szCs w:val="17"/>
          <w:color w:val="auto"/>
        </w:rPr>
        <w:t>SRP (Japan only):_______</w:t>
      </w:r>
    </w:p>
    <w:p>
      <w:pPr>
        <w:spacing w:after="0" w:line="10" w:lineRule="exact"/>
        <w:rPr>
          <w:sz w:val="20"/>
          <w:szCs w:val="20"/>
          <w:color w:val="auto"/>
        </w:rPr>
      </w:pPr>
    </w:p>
    <w:p>
      <w:pPr>
        <w:ind w:left="500" w:right="160"/>
        <w:spacing w:after="0" w:line="254" w:lineRule="auto"/>
        <w:rPr>
          <w:sz w:val="20"/>
          <w:szCs w:val="20"/>
          <w:color w:val="auto"/>
        </w:rPr>
      </w:pPr>
      <w:r>
        <w:rPr>
          <w:rFonts w:ascii="Arial" w:cs="Arial" w:eastAsia="Arial" w:hAnsi="Arial"/>
          <w:sz w:val="22"/>
          <w:szCs w:val="22"/>
          <w:color w:val="auto"/>
        </w:rPr>
        <w:t>To determine the correct Royalty Tier and WSP or SRP (Japan only), please refer to Exhibit 1, Section 1 of the PLA and the Publisher Guide.</w:t>
      </w:r>
    </w:p>
    <w:p>
      <w:pPr>
        <w:spacing w:after="0" w:line="1" w:lineRule="exact"/>
        <w:rPr>
          <w:sz w:val="20"/>
          <w:szCs w:val="20"/>
          <w:color w:val="auto"/>
        </w:rPr>
      </w:pPr>
    </w:p>
    <w:p>
      <w:pPr>
        <w:ind w:left="500"/>
        <w:spacing w:after="0"/>
        <w:rPr>
          <w:sz w:val="20"/>
          <w:szCs w:val="20"/>
          <w:color w:val="auto"/>
        </w:rPr>
      </w:pPr>
      <w:r>
        <w:rPr>
          <w:rFonts w:ascii="Arial" w:cs="Arial" w:eastAsia="Arial" w:hAnsi="Arial"/>
          <w:sz w:val="22"/>
          <w:szCs w:val="22"/>
          <w:b w:val="1"/>
          <w:bCs w:val="1"/>
          <w:i w:val="1"/>
          <w:iCs w:val="1"/>
          <w:color w:val="auto"/>
        </w:rPr>
        <w:t xml:space="preserve">For Japan Tier Reduction Incentive Program only </w:t>
      </w:r>
      <w:r>
        <w:rPr>
          <w:rFonts w:ascii="Arial" w:cs="Arial" w:eastAsia="Arial" w:hAnsi="Arial"/>
          <w:sz w:val="22"/>
          <w:szCs w:val="22"/>
          <w:b w:val="1"/>
          <w:bCs w:val="1"/>
          <w:color w:val="auto"/>
        </w:rPr>
        <w:t>-</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Yes, this Software Title qualifies for the program.</w:t>
      </w:r>
    </w:p>
    <w:p>
      <w:pPr>
        <w:spacing w:after="0" w:line="119" w:lineRule="exact"/>
        <w:rPr>
          <w:sz w:val="20"/>
          <w:szCs w:val="20"/>
          <w:color w:val="auto"/>
        </w:rPr>
      </w:pPr>
    </w:p>
    <w:p>
      <w:pPr>
        <w:ind w:left="500" w:hanging="492"/>
        <w:spacing w:after="0"/>
        <w:tabs>
          <w:tab w:leader="none" w:pos="500" w:val="left"/>
        </w:tabs>
        <w:numPr>
          <w:ilvl w:val="0"/>
          <w:numId w:val="39"/>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For non-standard editions and compilations only, </w:t>
      </w:r>
      <w:r>
        <w:rPr>
          <w:rFonts w:ascii="Arial" w:cs="Arial" w:eastAsia="Arial" w:hAnsi="Arial"/>
          <w:sz w:val="18"/>
          <w:szCs w:val="18"/>
          <w:color w:val="auto"/>
        </w:rPr>
        <w:t>please provide Software Title Names and Binary IDs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174625</wp:posOffset>
            </wp:positionV>
            <wp:extent cx="7254875" cy="9950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4">
                      <a:extLst>
                        <a:ext uri="{28A0092B-C50C-407E-A947-70E740481C1C}"/>
                      </a:extLst>
                    </a:blip>
                    <a:srcRect/>
                    <a:stretch>
                      <a:fillRect/>
                    </a:stretch>
                  </pic:blipFill>
                  <pic:spPr bwMode="auto">
                    <a:xfrm>
                      <a:off x="0" y="0"/>
                      <a:ext cx="7254875" cy="995045"/>
                    </a:xfrm>
                    <a:prstGeom prst="rect">
                      <a:avLst/>
                    </a:prstGeom>
                    <a:noFill/>
                  </pic:spPr>
                </pic:pic>
              </a:graphicData>
            </a:graphic>
          </wp:anchor>
        </w:drawing>
      </w:r>
    </w:p>
    <w:p>
      <w:pPr>
        <w:spacing w:after="0" w:line="268" w:lineRule="exact"/>
        <w:rPr>
          <w:sz w:val="20"/>
          <w:szCs w:val="20"/>
          <w:color w:val="auto"/>
        </w:rPr>
      </w:pPr>
    </w:p>
    <w:tbl>
      <w:tblPr>
        <w:tblLayout w:type="fixed"/>
        <w:tblInd w:w="40" w:type="dxa"/>
        <w:tblCellMar>
          <w:top w:w="0" w:type="dxa"/>
          <w:left w:w="0" w:type="dxa"/>
          <w:bottom w:w="0" w:type="dxa"/>
          <w:right w:w="0" w:type="dxa"/>
        </w:tblCellMar>
      </w:tblPr>
      <w:tr>
        <w:trPr>
          <w:trHeight w:val="281"/>
        </w:trPr>
        <w:tc>
          <w:tcPr>
            <w:tcW w:w="740" w:type="dxa"/>
            <w:vAlign w:val="bottom"/>
          </w:tcPr>
          <w:p>
            <w:pPr>
              <w:spacing w:after="0"/>
              <w:rPr>
                <w:sz w:val="20"/>
                <w:szCs w:val="20"/>
                <w:color w:val="auto"/>
              </w:rPr>
            </w:pPr>
            <w:r>
              <w:rPr>
                <w:rFonts w:ascii="Arial" w:cs="Arial" w:eastAsia="Arial" w:hAnsi="Arial"/>
                <w:sz w:val="22"/>
                <w:szCs w:val="22"/>
                <w:b w:val="1"/>
                <w:bCs w:val="1"/>
                <w:color w:val="auto"/>
              </w:rPr>
              <w:t>Title</w:t>
            </w:r>
          </w:p>
        </w:tc>
        <w:tc>
          <w:tcPr>
            <w:tcW w:w="3640" w:type="dxa"/>
            <w:vAlign w:val="bottom"/>
          </w:tcPr>
          <w:p>
            <w:pPr>
              <w:ind w:left="300"/>
              <w:spacing w:after="0"/>
              <w:rPr>
                <w:sz w:val="20"/>
                <w:szCs w:val="20"/>
                <w:color w:val="auto"/>
              </w:rPr>
            </w:pPr>
            <w:r>
              <w:rPr>
                <w:rFonts w:ascii="Arial" w:cs="Arial" w:eastAsia="Arial" w:hAnsi="Arial"/>
                <w:sz w:val="22"/>
                <w:szCs w:val="22"/>
                <w:b w:val="1"/>
                <w:bCs w:val="1"/>
                <w:color w:val="auto"/>
              </w:rPr>
              <w:t>Software Title Name</w:t>
            </w:r>
          </w:p>
        </w:tc>
        <w:tc>
          <w:tcPr>
            <w:tcW w:w="2380" w:type="dxa"/>
            <w:vAlign w:val="bottom"/>
          </w:tcPr>
          <w:p>
            <w:pPr>
              <w:ind w:left="1440"/>
              <w:spacing w:after="0"/>
              <w:rPr>
                <w:sz w:val="20"/>
                <w:szCs w:val="20"/>
                <w:color w:val="auto"/>
              </w:rPr>
            </w:pPr>
            <w:r>
              <w:rPr>
                <w:rFonts w:ascii="Arial" w:cs="Arial" w:eastAsia="Arial" w:hAnsi="Arial"/>
                <w:sz w:val="22"/>
                <w:szCs w:val="22"/>
                <w:b w:val="1"/>
                <w:bCs w:val="1"/>
                <w:color w:val="auto"/>
                <w:w w:val="95"/>
              </w:rPr>
              <w:t>Binary ID</w:t>
            </w:r>
          </w:p>
        </w:tc>
      </w:tr>
    </w:tbl>
    <w:p>
      <w:pPr>
        <w:spacing w:after="0" w:line="36" w:lineRule="exact"/>
        <w:rPr>
          <w:sz w:val="20"/>
          <w:szCs w:val="20"/>
          <w:color w:val="auto"/>
        </w:rPr>
      </w:pPr>
    </w:p>
    <w:p>
      <w:pPr>
        <w:ind w:left="40"/>
        <w:spacing w:after="0"/>
        <w:rPr>
          <w:sz w:val="20"/>
          <w:szCs w:val="20"/>
          <w:color w:val="auto"/>
        </w:rPr>
      </w:pPr>
      <w:r>
        <w:rPr>
          <w:rFonts w:ascii="Arial" w:cs="Arial" w:eastAsia="Arial" w:hAnsi="Arial"/>
          <w:sz w:val="22"/>
          <w:szCs w:val="22"/>
          <w:color w:val="auto"/>
        </w:rPr>
        <w:t>Title 1</w:t>
      </w:r>
    </w:p>
    <w:p>
      <w:pPr>
        <w:spacing w:after="0" w:line="58" w:lineRule="exact"/>
        <w:rPr>
          <w:sz w:val="20"/>
          <w:szCs w:val="20"/>
          <w:color w:val="auto"/>
        </w:rPr>
      </w:pPr>
    </w:p>
    <w:p>
      <w:pPr>
        <w:ind w:left="40"/>
        <w:spacing w:after="0"/>
        <w:rPr>
          <w:sz w:val="20"/>
          <w:szCs w:val="20"/>
          <w:color w:val="auto"/>
        </w:rPr>
      </w:pPr>
      <w:r>
        <w:rPr>
          <w:rFonts w:ascii="Arial" w:cs="Arial" w:eastAsia="Arial" w:hAnsi="Arial"/>
          <w:sz w:val="22"/>
          <w:szCs w:val="22"/>
          <w:color w:val="auto"/>
        </w:rPr>
        <w:t>Title 2</w:t>
      </w:r>
    </w:p>
    <w:p>
      <w:pPr>
        <w:spacing w:after="0" w:line="58" w:lineRule="exact"/>
        <w:rPr>
          <w:sz w:val="20"/>
          <w:szCs w:val="20"/>
          <w:color w:val="auto"/>
        </w:rPr>
      </w:pPr>
    </w:p>
    <w:p>
      <w:pPr>
        <w:ind w:left="40"/>
        <w:spacing w:after="0"/>
        <w:rPr>
          <w:sz w:val="20"/>
          <w:szCs w:val="20"/>
          <w:color w:val="auto"/>
        </w:rPr>
      </w:pPr>
      <w:r>
        <w:rPr>
          <w:rFonts w:ascii="Arial" w:cs="Arial" w:eastAsia="Arial" w:hAnsi="Arial"/>
          <w:sz w:val="22"/>
          <w:szCs w:val="22"/>
          <w:color w:val="auto"/>
        </w:rPr>
        <w:t>Title 3</w:t>
      </w:r>
    </w:p>
    <w:p>
      <w:pPr>
        <w:spacing w:after="0" w:line="58" w:lineRule="exact"/>
        <w:rPr>
          <w:sz w:val="20"/>
          <w:szCs w:val="20"/>
          <w:color w:val="auto"/>
        </w:rPr>
      </w:pPr>
    </w:p>
    <w:p>
      <w:pPr>
        <w:ind w:left="40"/>
        <w:spacing w:after="0"/>
        <w:rPr>
          <w:sz w:val="20"/>
          <w:szCs w:val="20"/>
          <w:color w:val="auto"/>
        </w:rPr>
      </w:pPr>
      <w:r>
        <w:rPr>
          <w:rFonts w:ascii="Arial" w:cs="Arial" w:eastAsia="Arial" w:hAnsi="Arial"/>
          <w:sz w:val="22"/>
          <w:szCs w:val="22"/>
          <w:color w:val="auto"/>
        </w:rPr>
        <w:t>Title 4</w:t>
      </w:r>
    </w:p>
    <w:p>
      <w:pPr>
        <w:spacing w:after="0" w:line="44" w:lineRule="exact"/>
        <w:rPr>
          <w:sz w:val="20"/>
          <w:szCs w:val="20"/>
          <w:color w:val="auto"/>
        </w:rPr>
      </w:pPr>
    </w:p>
    <w:p>
      <w:pPr>
        <w:ind w:right="40"/>
        <w:spacing w:after="0" w:line="327" w:lineRule="auto"/>
        <w:rPr>
          <w:sz w:val="20"/>
          <w:szCs w:val="20"/>
          <w:color w:val="auto"/>
        </w:rPr>
      </w:pPr>
      <w:r>
        <w:rPr>
          <w:rFonts w:ascii="Arial" w:cs="Arial" w:eastAsia="Arial" w:hAnsi="Arial"/>
          <w:sz w:val="19"/>
          <w:szCs w:val="19"/>
          <w:color w:val="auto"/>
        </w:rPr>
        <w:t>The undersigned represents that: (a) this Edition has been approved by Publisher’s Account Manager; (b) he or she has authority to submit this form on behalf of Publisher; (c) the information contained herein is true and accurate; and (d) the stated WSP is the highest at which the Edition will be sold within the Sales Territory, in accordance with the WSP definition in the PLA.</w:t>
      </w:r>
    </w:p>
    <w:p>
      <w:pPr>
        <w:sectPr>
          <w:pgSz w:w="11900" w:h="16838" w:orient="portrait"/>
          <w:cols w:equalWidth="0" w:num="1">
            <w:col w:w="11380"/>
          </w:cols>
          <w:pgMar w:left="240" w:top="359" w:right="279" w:bottom="1440" w:gutter="0" w:footer="0" w:header="0"/>
        </w:sectPr>
      </w:pPr>
    </w:p>
    <w:p>
      <w:pPr>
        <w:spacing w:after="0" w:line="266" w:lineRule="exact"/>
        <w:rPr>
          <w:sz w:val="20"/>
          <w:szCs w:val="20"/>
          <w:color w:val="auto"/>
        </w:rPr>
      </w:pPr>
    </w:p>
    <w:p>
      <w:pPr>
        <w:spacing w:after="0" w:line="369" w:lineRule="auto"/>
        <w:rPr>
          <w:sz w:val="20"/>
          <w:szCs w:val="20"/>
          <w:color w:val="auto"/>
        </w:rPr>
      </w:pPr>
      <w:r>
        <w:rPr>
          <w:rFonts w:ascii="Arial" w:cs="Arial" w:eastAsia="Arial" w:hAnsi="Arial"/>
          <w:sz w:val="14"/>
          <w:szCs w:val="14"/>
          <w:color w:val="auto"/>
        </w:rPr>
        <w:t>Microsoft Confidential AOC v1 September 2017</w:t>
      </w:r>
    </w:p>
    <w:p>
      <w:pPr>
        <w:spacing w:after="0" w:line="20" w:lineRule="exact"/>
        <w:rPr>
          <w:sz w:val="20"/>
          <w:szCs w:val="20"/>
          <w:color w:val="auto"/>
        </w:rPr>
      </w:pPr>
      <w:r>
        <w:rPr>
          <w:sz w:val="20"/>
          <w:szCs w:val="20"/>
          <w:color w:val="auto"/>
        </w:rPr>
        <w:br w:type="column"/>
      </w:r>
    </w:p>
    <w:p>
      <w:pPr>
        <w:spacing w:after="0" w:line="246" w:lineRule="exact"/>
        <w:rPr>
          <w:sz w:val="20"/>
          <w:szCs w:val="20"/>
          <w:color w:val="auto"/>
        </w:rPr>
      </w:pPr>
    </w:p>
    <w:p>
      <w:pPr>
        <w:spacing w:after="0"/>
        <w:rPr>
          <w:sz w:val="20"/>
          <w:szCs w:val="20"/>
          <w:color w:val="auto"/>
        </w:rPr>
      </w:pPr>
      <w:r>
        <w:rPr>
          <w:rFonts w:ascii="Arial" w:cs="Arial" w:eastAsia="Arial" w:hAnsi="Arial"/>
          <w:sz w:val="14"/>
          <w:szCs w:val="14"/>
          <w:color w:val="auto"/>
        </w:rPr>
        <w:t>Page 3 of 11</w:t>
      </w:r>
    </w:p>
    <w:p>
      <w:pPr>
        <w:sectPr>
          <w:pgSz w:w="11900" w:h="16838" w:orient="portrait"/>
          <w:cols w:equalWidth="0" w:num="2">
            <w:col w:w="1660" w:space="160"/>
            <w:col w:w="9560"/>
          </w:cols>
          <w:pgMar w:left="240" w:top="359" w:right="279" w:bottom="1440" w:gutter="0" w:footer="0" w:header="0"/>
          <w:type w:val="continuous"/>
        </w:sectPr>
      </w:pPr>
    </w:p>
    <w:bookmarkStart w:id="94" w:name="page95"/>
    <w:bookmarkEnd w:id="94"/>
    <w:p>
      <w:pPr>
        <w:spacing w:after="0"/>
        <w:rPr>
          <w:sz w:val="20"/>
          <w:szCs w:val="20"/>
          <w:color w:val="auto"/>
        </w:rPr>
      </w:pPr>
      <w:r>
        <w:rPr>
          <w:rFonts w:ascii="Arial" w:cs="Arial" w:eastAsia="Arial" w:hAnsi="Arial"/>
          <w:sz w:val="15"/>
          <w:szCs w:val="15"/>
          <w:color w:val="auto"/>
        </w:rPr>
        <w:t>DocuSign Envelope ID: 4C2579D7-B77B-4D46-AF9B-741487D134D7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351155</wp:posOffset>
            </wp:positionV>
            <wp:extent cx="3422015" cy="8235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5">
                      <a:extLst>
                        <a:ext uri="{28A0092B-C50C-407E-A947-70E740481C1C}"/>
                      </a:extLst>
                    </a:blip>
                    <a:srcRect/>
                    <a:stretch>
                      <a:fillRect/>
                    </a:stretch>
                  </pic:blipFill>
                  <pic:spPr bwMode="auto">
                    <a:xfrm>
                      <a:off x="0" y="0"/>
                      <a:ext cx="3422015" cy="823595"/>
                    </a:xfrm>
                    <a:prstGeom prst="rect">
                      <a:avLst/>
                    </a:prstGeom>
                    <a:noFill/>
                  </pic:spPr>
                </pic:pic>
              </a:graphicData>
            </a:graphic>
          </wp:anchor>
        </w:drawing>
      </w:r>
    </w:p>
    <w:p>
      <w:pPr>
        <w:spacing w:after="0" w:line="200" w:lineRule="exact"/>
        <w:rPr>
          <w:sz w:val="20"/>
          <w:szCs w:val="20"/>
          <w:color w:val="auto"/>
        </w:rPr>
      </w:pPr>
    </w:p>
    <w:p>
      <w:pPr>
        <w:spacing w:after="0" w:line="356" w:lineRule="exact"/>
        <w:rPr>
          <w:sz w:val="20"/>
          <w:szCs w:val="20"/>
          <w:color w:val="auto"/>
        </w:rPr>
      </w:pPr>
    </w:p>
    <w:p>
      <w:pPr>
        <w:ind w:left="40" w:right="180"/>
        <w:spacing w:after="0" w:line="259" w:lineRule="auto"/>
        <w:rPr>
          <w:sz w:val="20"/>
          <w:szCs w:val="20"/>
          <w:color w:val="auto"/>
        </w:rPr>
      </w:pPr>
      <w:r>
        <w:rPr>
          <w:rFonts w:ascii="Arial" w:cs="Arial" w:eastAsia="Arial" w:hAnsi="Arial"/>
          <w:sz w:val="17"/>
          <w:szCs w:val="17"/>
          <w:color w:val="auto"/>
        </w:rPr>
        <w:t>To avoid manufacturing delays at your Authorized Replicator, your disc manufacturing order, intended for the Japan Tier Reduction Incentive Program must indicate:</w:t>
      </w:r>
    </w:p>
    <w:p>
      <w:pPr>
        <w:spacing w:after="0" w:line="2"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Xbox One Japan Tier Reduction Incentive Program</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spacing w:after="0"/>
        <w:tabs>
          <w:tab w:leader="none" w:pos="1800" w:val="left"/>
        </w:tabs>
        <w:rPr>
          <w:sz w:val="20"/>
          <w:szCs w:val="20"/>
          <w:color w:val="auto"/>
        </w:rPr>
      </w:pPr>
      <w:r>
        <w:rPr>
          <w:rFonts w:ascii="Arial" w:cs="Arial" w:eastAsia="Arial" w:hAnsi="Arial"/>
          <w:sz w:val="16"/>
          <w:szCs w:val="16"/>
          <w:color w:val="auto"/>
        </w:rPr>
        <w:t>Microsoft Confidential</w:t>
      </w:r>
      <w:r>
        <w:rPr>
          <w:sz w:val="20"/>
          <w:szCs w:val="20"/>
          <w:color w:val="auto"/>
        </w:rPr>
        <w:tab/>
      </w:r>
      <w:r>
        <w:rPr>
          <w:rFonts w:ascii="Arial" w:cs="Arial" w:eastAsia="Arial" w:hAnsi="Arial"/>
          <w:sz w:val="14"/>
          <w:szCs w:val="14"/>
          <w:color w:val="auto"/>
        </w:rPr>
        <w:t>Page 4 of 11</w:t>
      </w:r>
    </w:p>
    <w:p>
      <w:pPr>
        <w:spacing w:after="0" w:line="22" w:lineRule="exact"/>
        <w:rPr>
          <w:sz w:val="20"/>
          <w:szCs w:val="20"/>
          <w:color w:val="auto"/>
        </w:rPr>
      </w:pPr>
    </w:p>
    <w:p>
      <w:pPr>
        <w:spacing w:after="0"/>
        <w:rPr>
          <w:sz w:val="20"/>
          <w:szCs w:val="20"/>
          <w:color w:val="auto"/>
        </w:rPr>
      </w:pPr>
      <w:r>
        <w:rPr>
          <w:rFonts w:ascii="Arial" w:cs="Arial" w:eastAsia="Arial" w:hAnsi="Arial"/>
          <w:sz w:val="16"/>
          <w:szCs w:val="16"/>
          <w:color w:val="auto"/>
        </w:rPr>
        <w:t>AOC v1 September 2017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spacing w:after="0"/>
        <w:rPr>
          <w:sz w:val="20"/>
          <w:szCs w:val="20"/>
          <w:color w:val="auto"/>
        </w:rPr>
      </w:pPr>
      <w:r>
        <w:rPr>
          <w:rFonts w:ascii="Arial" w:cs="Arial" w:eastAsia="Arial" w:hAnsi="Arial"/>
          <w:sz w:val="22"/>
          <w:szCs w:val="22"/>
          <w:color w:val="auto"/>
        </w:rPr>
        <w:t>By (sign)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-19050</wp:posOffset>
            </wp:positionH>
            <wp:positionV relativeFrom="paragraph">
              <wp:posOffset>-172085</wp:posOffset>
            </wp:positionV>
            <wp:extent cx="355028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6">
                      <a:extLst>
                        <a:ext uri="{28A0092B-C50C-407E-A947-70E740481C1C}"/>
                      </a:extLst>
                    </a:blip>
                    <a:srcRect/>
                    <a:stretch>
                      <a:fillRect/>
                    </a:stretch>
                  </pic:blipFill>
                  <pic:spPr bwMode="auto">
                    <a:xfrm>
                      <a:off x="0" y="0"/>
                      <a:ext cx="3550285" cy="889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135890</wp:posOffset>
            </wp:positionV>
            <wp:extent cx="89217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7">
                      <a:extLst>
                        <a:ext uri="{28A0092B-C50C-407E-A947-70E740481C1C}"/>
                      </a:extLst>
                    </a:blip>
                    <a:srcRect/>
                    <a:stretch>
                      <a:fillRect/>
                    </a:stretch>
                  </pic:blipFill>
                  <pic:spPr bwMode="auto">
                    <a:xfrm>
                      <a:off x="0" y="0"/>
                      <a:ext cx="892175" cy="8890"/>
                    </a:xfrm>
                    <a:prstGeom prst="rect">
                      <a:avLst/>
                    </a:prstGeom>
                    <a:noFill/>
                  </pic:spPr>
                </pic:pic>
              </a:graphicData>
            </a:graphic>
          </wp:anchor>
        </w:drawing>
      </w:r>
    </w:p>
    <w:p>
      <w:pPr>
        <w:spacing w:after="0" w:line="213" w:lineRule="exact"/>
        <w:rPr>
          <w:sz w:val="20"/>
          <w:szCs w:val="20"/>
          <w:color w:val="auto"/>
        </w:rPr>
      </w:pPr>
    </w:p>
    <w:p>
      <w:pPr>
        <w:spacing w:after="0"/>
        <w:rPr>
          <w:sz w:val="20"/>
          <w:szCs w:val="20"/>
          <w:color w:val="auto"/>
        </w:rPr>
      </w:pPr>
      <w:r>
        <w:rPr>
          <w:rFonts w:ascii="Arial" w:cs="Arial" w:eastAsia="Arial" w:hAnsi="Arial"/>
          <w:sz w:val="22"/>
          <w:szCs w:val="22"/>
          <w:color w:val="auto"/>
        </w:rPr>
        <w:t>Name, Title (Print)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614680</wp:posOffset>
            </wp:positionH>
            <wp:positionV relativeFrom="paragraph">
              <wp:posOffset>135890</wp:posOffset>
            </wp:positionV>
            <wp:extent cx="2743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8">
                      <a:extLst>
                        <a:ext uri="{28A0092B-C50C-407E-A947-70E740481C1C}"/>
                      </a:extLst>
                    </a:blip>
                    <a:srcRect/>
                    <a:stretch>
                      <a:fillRect/>
                    </a:stretch>
                  </pic:blipFill>
                  <pic:spPr bwMode="auto">
                    <a:xfrm>
                      <a:off x="0" y="0"/>
                      <a:ext cx="274320" cy="8890"/>
                    </a:xfrm>
                    <a:prstGeom prst="rect">
                      <a:avLst/>
                    </a:prstGeom>
                    <a:noFill/>
                  </pic:spPr>
                </pic:pic>
              </a:graphicData>
            </a:graphic>
          </wp:anchor>
        </w:drawing>
      </w:r>
    </w:p>
    <w:p>
      <w:pPr>
        <w:spacing w:after="0" w:line="213" w:lineRule="exact"/>
        <w:rPr>
          <w:sz w:val="20"/>
          <w:szCs w:val="20"/>
          <w:color w:val="auto"/>
        </w:rPr>
      </w:pPr>
    </w:p>
    <w:p>
      <w:pPr>
        <w:spacing w:after="0"/>
        <w:rPr>
          <w:sz w:val="20"/>
          <w:szCs w:val="20"/>
          <w:color w:val="auto"/>
        </w:rPr>
      </w:pPr>
      <w:r>
        <w:rPr>
          <w:rFonts w:ascii="Arial" w:cs="Arial" w:eastAsia="Arial" w:hAnsi="Arial"/>
          <w:sz w:val="19"/>
          <w:szCs w:val="19"/>
          <w:color w:val="auto"/>
        </w:rPr>
        <w:t>E-Mail Address (for confirmation of receipt)</w:t>
      </w:r>
    </w:p>
    <w:p>
      <w:pPr>
        <w:sectPr>
          <w:pgSz w:w="11900" w:h="16838" w:orient="portrait"/>
          <w:cols w:equalWidth="0" w:num="2">
            <w:col w:w="5140" w:space="720"/>
            <w:col w:w="4359"/>
          </w:cols>
          <w:pgMar w:left="240" w:top="359" w:right="1440" w:bottom="1440" w:gutter="0" w:footer="0" w:header="0"/>
        </w:sectPr>
      </w:pPr>
    </w:p>
    <w:bookmarkStart w:id="95" w:name="page96"/>
    <w:bookmarkEnd w:id="95"/>
    <w:p>
      <w:pPr>
        <w:spacing w:after="0"/>
        <w:rPr>
          <w:sz w:val="20"/>
          <w:szCs w:val="20"/>
          <w:color w:val="auto"/>
        </w:rPr>
      </w:pPr>
      <w:r>
        <w:rPr>
          <w:rFonts w:ascii="Arial" w:cs="Arial" w:eastAsia="Arial" w:hAnsi="Arial"/>
          <w:sz w:val="16"/>
          <w:szCs w:val="16"/>
          <w:color w:val="auto"/>
        </w:rPr>
        <w:t>DocuSign Envelope ID: 4C2579D7-B77B-4D46-AF9B-741487D134D7</w:t>
      </w: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EXHIBIT 6 – XBOX LIVE INCENTIVE PROGRAM</w:t>
      </w:r>
    </w:p>
    <w:p>
      <w:pPr>
        <w:spacing w:after="0" w:line="131" w:lineRule="exact"/>
        <w:rPr>
          <w:sz w:val="20"/>
          <w:szCs w:val="20"/>
          <w:color w:val="auto"/>
        </w:rPr>
      </w:pPr>
    </w:p>
    <w:p>
      <w:pPr>
        <w:ind w:left="500" w:hanging="492"/>
        <w:spacing w:after="0"/>
        <w:tabs>
          <w:tab w:leader="none" w:pos="500" w:val="left"/>
        </w:tabs>
        <w:numPr>
          <w:ilvl w:val="0"/>
          <w:numId w:val="40"/>
        </w:numPr>
        <w:rPr>
          <w:rFonts w:ascii="Arial" w:cs="Arial" w:eastAsia="Arial" w:hAnsi="Arial"/>
          <w:sz w:val="18"/>
          <w:szCs w:val="18"/>
          <w:b w:val="1"/>
          <w:bCs w:val="1"/>
          <w:color w:val="auto"/>
        </w:rPr>
      </w:pPr>
      <w:r>
        <w:rPr>
          <w:rFonts w:ascii="Arial" w:cs="Arial" w:eastAsia="Arial" w:hAnsi="Arial"/>
          <w:sz w:val="18"/>
          <w:szCs w:val="18"/>
          <w:b w:val="1"/>
          <w:bCs w:val="1"/>
          <w:color w:val="auto"/>
        </w:rPr>
        <w:t>Xbox Live Incentive Program</w:t>
      </w:r>
    </w:p>
    <w:p>
      <w:pPr>
        <w:spacing w:after="0" w:line="32" w:lineRule="exact"/>
        <w:rPr>
          <w:sz w:val="20"/>
          <w:szCs w:val="20"/>
          <w:color w:val="auto"/>
        </w:rPr>
      </w:pPr>
    </w:p>
    <w:p>
      <w:pPr>
        <w:ind w:left="500" w:right="280" w:firstLine="1297"/>
        <w:spacing w:after="0" w:line="255" w:lineRule="auto"/>
        <w:rPr>
          <w:sz w:val="20"/>
          <w:szCs w:val="20"/>
          <w:color w:val="auto"/>
        </w:rPr>
      </w:pPr>
      <w:r>
        <w:rPr>
          <w:rFonts w:ascii="Arial" w:cs="Arial" w:eastAsia="Arial" w:hAnsi="Arial"/>
          <w:sz w:val="22"/>
          <w:szCs w:val="22"/>
          <w:color w:val="auto"/>
        </w:rPr>
        <w:t>In order to encourage Publisher to support Xbox Live functionality and drive increased usage of Xbox Live, Publisher may qualify for certain quarterly incentive payments based on the amount of Xbox Live Share generated by Publisher’s Multiplayer Software Titles.</w:t>
      </w:r>
    </w:p>
    <w:p>
      <w:pPr>
        <w:ind w:left="500" w:right="160" w:firstLine="1297"/>
        <w:spacing w:after="0" w:line="316" w:lineRule="auto"/>
        <w:rPr>
          <w:sz w:val="20"/>
          <w:szCs w:val="20"/>
          <w:color w:val="auto"/>
        </w:rPr>
      </w:pPr>
      <w:r>
        <w:rPr>
          <w:rFonts w:ascii="Arial" w:cs="Arial" w:eastAsia="Arial" w:hAnsi="Arial"/>
          <w:sz w:val="19"/>
          <w:szCs w:val="19"/>
          <w:color w:val="auto"/>
        </w:rPr>
        <w:t xml:space="preserve">Each Accounting Period, Microsoft will calculate Publisher’s Xbox Live Share, and if: (i) Publisher is ranked in the </w:t>
      </w:r>
      <w:r>
        <w:rPr>
          <w:rFonts w:ascii="Arial" w:cs="Arial" w:eastAsia="Arial" w:hAnsi="Arial"/>
          <w:sz w:val="14"/>
          <w:szCs w:val="14"/>
          <w:color w:val="auto"/>
        </w:rPr>
        <w:t>[***]</w:t>
      </w:r>
      <w:r>
        <w:rPr>
          <w:rFonts w:ascii="Arial" w:cs="Arial" w:eastAsia="Arial" w:hAnsi="Arial"/>
          <w:sz w:val="19"/>
          <w:szCs w:val="19"/>
          <w:color w:val="auto"/>
        </w:rPr>
        <w:t xml:space="preserve"> in terms of Xbox Live Share with Multiplayer Software Titles in the applicable Accounting Period, (ii) the Multiplayer Subscribers meets or exceeds </w:t>
      </w:r>
      <w:r>
        <w:rPr>
          <w:rFonts w:ascii="Arial" w:cs="Arial" w:eastAsia="Arial" w:hAnsi="Arial"/>
          <w:sz w:val="14"/>
          <w:szCs w:val="14"/>
          <w:color w:val="auto"/>
        </w:rPr>
        <w:t>[***]</w:t>
      </w:r>
      <w:r>
        <w:rPr>
          <w:rFonts w:ascii="Arial" w:cs="Arial" w:eastAsia="Arial" w:hAnsi="Arial"/>
          <w:sz w:val="19"/>
          <w:szCs w:val="19"/>
          <w:color w:val="auto"/>
        </w:rPr>
        <w:t xml:space="preserve">, (iii) the subscription fee for real time Multiplayer Software Titles over Xbox Live is greater than </w:t>
      </w:r>
      <w:r>
        <w:rPr>
          <w:rFonts w:ascii="Arial" w:cs="Arial" w:eastAsia="Arial" w:hAnsi="Arial"/>
          <w:sz w:val="14"/>
          <w:szCs w:val="14"/>
          <w:color w:val="auto"/>
        </w:rPr>
        <w:t>[***]</w:t>
      </w:r>
      <w:r>
        <w:rPr>
          <w:rFonts w:ascii="Arial" w:cs="Arial" w:eastAsia="Arial" w:hAnsi="Arial"/>
          <w:sz w:val="19"/>
          <w:szCs w:val="19"/>
          <w:color w:val="auto"/>
        </w:rPr>
        <w:t xml:space="preserve"> (or region equivalent) per year; (iv) Publisher is up-to-date on all payments owed to Microsoft; (v) Publisher has executed all amendments to the Agreement, and (vi) Publisher is in full compliance with the Agreement, then Microsoft will pay Publisher the quarterly incentive payment set forth in Section 4 below.</w:t>
      </w:r>
    </w:p>
    <w:p>
      <w:pPr>
        <w:spacing w:after="0" w:line="37" w:lineRule="exact"/>
        <w:rPr>
          <w:sz w:val="20"/>
          <w:szCs w:val="20"/>
          <w:color w:val="auto"/>
        </w:rPr>
      </w:pPr>
    </w:p>
    <w:p>
      <w:pPr>
        <w:ind w:left="500" w:hanging="492"/>
        <w:spacing w:after="0"/>
        <w:tabs>
          <w:tab w:leader="none" w:pos="500" w:val="left"/>
        </w:tabs>
        <w:numPr>
          <w:ilvl w:val="0"/>
          <w:numId w:val="41"/>
        </w:numPr>
        <w:rPr>
          <w:rFonts w:ascii="Arial" w:cs="Arial" w:eastAsia="Arial" w:hAnsi="Arial"/>
          <w:sz w:val="18"/>
          <w:szCs w:val="18"/>
          <w:b w:val="1"/>
          <w:bCs w:val="1"/>
          <w:color w:val="auto"/>
        </w:rPr>
      </w:pPr>
      <w:r>
        <w:rPr>
          <w:rFonts w:ascii="Arial" w:cs="Arial" w:eastAsia="Arial" w:hAnsi="Arial"/>
          <w:sz w:val="18"/>
          <w:szCs w:val="18"/>
          <w:b w:val="1"/>
          <w:bCs w:val="1"/>
          <w:color w:val="auto"/>
        </w:rPr>
        <w:t>Definitions</w:t>
      </w:r>
    </w:p>
    <w:p>
      <w:pPr>
        <w:spacing w:after="0" w:line="31" w:lineRule="exact"/>
        <w:rPr>
          <w:rFonts w:ascii="Arial" w:cs="Arial" w:eastAsia="Arial" w:hAnsi="Arial"/>
          <w:sz w:val="18"/>
          <w:szCs w:val="18"/>
          <w:b w:val="1"/>
          <w:bCs w:val="1"/>
          <w:color w:val="auto"/>
        </w:rPr>
      </w:pPr>
    </w:p>
    <w:p>
      <w:pPr>
        <w:ind w:left="500"/>
        <w:spacing w:after="0"/>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2.1  “Accounting Period” </w:t>
      </w:r>
      <w:r>
        <w:rPr>
          <w:rFonts w:ascii="Arial" w:cs="Arial" w:eastAsia="Arial" w:hAnsi="Arial"/>
          <w:sz w:val="18"/>
          <w:szCs w:val="18"/>
          <w:color w:val="auto"/>
        </w:rPr>
        <w:t>means each Microsoft</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within the Program Term, provided that if the Program Term ends within such a</w:t>
      </w:r>
    </w:p>
    <w:p>
      <w:pPr>
        <w:spacing w:after="0" w:line="49"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8"/>
          <w:szCs w:val="18"/>
          <w:color w:val="auto"/>
        </w:rPr>
        <w:t>, then the applicable payment calculation set forth below shall be made for a partial Accounting Period.</w:t>
      </w:r>
    </w:p>
    <w:p>
      <w:pPr>
        <w:spacing w:after="0" w:line="122" w:lineRule="exact"/>
        <w:rPr>
          <w:sz w:val="20"/>
          <w:szCs w:val="20"/>
          <w:color w:val="auto"/>
        </w:rPr>
      </w:pPr>
    </w:p>
    <w:p>
      <w:pPr>
        <w:ind w:right="800" w:firstLine="486"/>
        <w:spacing w:after="0" w:line="303" w:lineRule="auto"/>
        <w:rPr>
          <w:sz w:val="20"/>
          <w:szCs w:val="20"/>
          <w:color w:val="auto"/>
        </w:rPr>
      </w:pPr>
      <w:r>
        <w:rPr>
          <w:rFonts w:ascii="Arial" w:cs="Arial" w:eastAsia="Arial" w:hAnsi="Arial"/>
          <w:sz w:val="18"/>
          <w:szCs w:val="18"/>
          <w:b w:val="1"/>
          <w:bCs w:val="1"/>
          <w:color w:val="auto"/>
        </w:rPr>
        <w:t xml:space="preserve">2.2 “Day” </w:t>
      </w:r>
      <w:r>
        <w:rPr>
          <w:rFonts w:ascii="Arial" w:cs="Arial" w:eastAsia="Arial" w:hAnsi="Arial"/>
          <w:sz w:val="18"/>
          <w:szCs w:val="18"/>
          <w:color w:val="auto"/>
        </w:rPr>
        <w:t>means a period of twenty-four hours, commencing at midnight and continuing until midnight the following day using</w:t>
      </w:r>
      <w:r>
        <w:rPr>
          <w:rFonts w:ascii="Arial" w:cs="Arial" w:eastAsia="Arial" w:hAnsi="Arial"/>
          <w:sz w:val="18"/>
          <w:szCs w:val="18"/>
          <w:b w:val="1"/>
          <w:bCs w:val="1"/>
          <w:color w:val="auto"/>
        </w:rPr>
        <w:t xml:space="preserve"> </w:t>
      </w:r>
      <w:r>
        <w:rPr>
          <w:rFonts w:ascii="Arial" w:cs="Arial" w:eastAsia="Arial" w:hAnsi="Arial"/>
          <w:sz w:val="18"/>
          <w:szCs w:val="18"/>
          <w:color w:val="auto"/>
        </w:rPr>
        <w:t>Coordinated Universal Time (UTC).</w:t>
      </w:r>
    </w:p>
    <w:p>
      <w:pPr>
        <w:spacing w:after="0" w:line="45" w:lineRule="exact"/>
        <w:rPr>
          <w:sz w:val="20"/>
          <w:szCs w:val="20"/>
          <w:color w:val="auto"/>
        </w:rPr>
      </w:pPr>
    </w:p>
    <w:p>
      <w:pPr>
        <w:ind w:left="500"/>
        <w:spacing w:after="0"/>
        <w:tabs>
          <w:tab w:leader="none" w:pos="900" w:val="left"/>
        </w:tabs>
        <w:rPr>
          <w:sz w:val="20"/>
          <w:szCs w:val="20"/>
          <w:color w:val="auto"/>
        </w:rPr>
      </w:pPr>
      <w:r>
        <w:rPr>
          <w:rFonts w:ascii="Arial" w:cs="Arial" w:eastAsia="Arial" w:hAnsi="Arial"/>
          <w:sz w:val="18"/>
          <w:szCs w:val="18"/>
          <w:b w:val="1"/>
          <w:bCs w:val="1"/>
          <w:color w:val="auto"/>
        </w:rPr>
        <w:t>2.3</w:t>
      </w:r>
      <w:r>
        <w:rPr>
          <w:sz w:val="20"/>
          <w:szCs w:val="20"/>
          <w:color w:val="auto"/>
        </w:rPr>
        <w:tab/>
      </w:r>
      <w:r>
        <w:rPr>
          <w:rFonts w:ascii="Arial" w:cs="Arial" w:eastAsia="Arial" w:hAnsi="Arial"/>
          <w:sz w:val="17"/>
          <w:szCs w:val="17"/>
          <w:b w:val="1"/>
          <w:bCs w:val="1"/>
          <w:color w:val="auto"/>
        </w:rPr>
        <w:t xml:space="preserve">“Guest(s)” </w:t>
      </w:r>
      <w:r>
        <w:rPr>
          <w:rFonts w:ascii="Arial" w:cs="Arial" w:eastAsia="Arial" w:hAnsi="Arial"/>
          <w:sz w:val="17"/>
          <w:szCs w:val="17"/>
          <w:color w:val="auto"/>
        </w:rPr>
        <w:t>means an individual who accesses Xbox Live and is not a Multiplayer Subscriber or a Subscriber.</w:t>
      </w:r>
    </w:p>
    <w:p>
      <w:pPr>
        <w:spacing w:after="0" w:line="131" w:lineRule="exact"/>
        <w:rPr>
          <w:sz w:val="20"/>
          <w:szCs w:val="20"/>
          <w:color w:val="auto"/>
        </w:rPr>
      </w:pPr>
    </w:p>
    <w:p>
      <w:pPr>
        <w:ind w:right="400" w:firstLine="486"/>
        <w:spacing w:after="0" w:line="318" w:lineRule="auto"/>
        <w:rPr>
          <w:sz w:val="20"/>
          <w:szCs w:val="20"/>
          <w:color w:val="auto"/>
        </w:rPr>
      </w:pPr>
      <w:r>
        <w:rPr>
          <w:rFonts w:ascii="Arial" w:cs="Arial" w:eastAsia="Arial" w:hAnsi="Arial"/>
          <w:sz w:val="18"/>
          <w:szCs w:val="18"/>
          <w:b w:val="1"/>
          <w:bCs w:val="1"/>
          <w:color w:val="auto"/>
        </w:rPr>
        <w:t xml:space="preserve">2.4 “Multiplayer Game Session” </w:t>
      </w:r>
      <w:r>
        <w:rPr>
          <w:rFonts w:ascii="Arial" w:cs="Arial" w:eastAsia="Arial" w:hAnsi="Arial"/>
          <w:sz w:val="18"/>
          <w:szCs w:val="18"/>
          <w:color w:val="auto"/>
        </w:rPr>
        <w:t>means an instance of synchronous game play in which</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End Users participate across unique</w:t>
      </w:r>
      <w:r>
        <w:rPr>
          <w:rFonts w:ascii="Arial" w:cs="Arial" w:eastAsia="Arial" w:hAnsi="Arial"/>
          <w:sz w:val="18"/>
          <w:szCs w:val="18"/>
          <w:b w:val="1"/>
          <w:bCs w:val="1"/>
          <w:color w:val="auto"/>
        </w:rPr>
        <w:t xml:space="preserve"> </w:t>
      </w:r>
      <w:r>
        <w:rPr>
          <w:rFonts w:ascii="Arial" w:cs="Arial" w:eastAsia="Arial" w:hAnsi="Arial"/>
          <w:sz w:val="18"/>
          <w:szCs w:val="18"/>
          <w:color w:val="auto"/>
        </w:rPr>
        <w:t>Xbox 360, Xbox One, or Windows Store UWP platform(s).</w:t>
      </w:r>
    </w:p>
    <w:p>
      <w:pPr>
        <w:spacing w:after="0" w:line="32" w:lineRule="exact"/>
        <w:rPr>
          <w:sz w:val="20"/>
          <w:szCs w:val="20"/>
          <w:color w:val="auto"/>
        </w:rPr>
      </w:pPr>
    </w:p>
    <w:p>
      <w:pPr>
        <w:ind w:right="400" w:firstLine="486"/>
        <w:spacing w:after="0" w:line="292" w:lineRule="auto"/>
        <w:rPr>
          <w:sz w:val="20"/>
          <w:szCs w:val="20"/>
          <w:color w:val="auto"/>
        </w:rPr>
      </w:pPr>
      <w:r>
        <w:rPr>
          <w:rFonts w:ascii="Arial" w:cs="Arial" w:eastAsia="Arial" w:hAnsi="Arial"/>
          <w:sz w:val="18"/>
          <w:szCs w:val="18"/>
          <w:b w:val="1"/>
          <w:bCs w:val="1"/>
          <w:color w:val="auto"/>
        </w:rPr>
        <w:t xml:space="preserve">2.5 “Multiplayer Software Title(s)” </w:t>
      </w:r>
      <w:r>
        <w:rPr>
          <w:rFonts w:ascii="Arial" w:cs="Arial" w:eastAsia="Arial" w:hAnsi="Arial"/>
          <w:sz w:val="18"/>
          <w:szCs w:val="18"/>
          <w:color w:val="auto"/>
        </w:rPr>
        <w:t>means a Software Title for Xbox One, Xbox 360, or Windows Store UWP that supports</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synchronous multiplayer game play over Xbox Live and initiates a Multiplayer Game Session with participation of </w:t>
      </w:r>
      <w:r>
        <w:rPr>
          <w:rFonts w:ascii="Arial" w:cs="Arial" w:eastAsia="Arial" w:hAnsi="Arial"/>
          <w:sz w:val="16"/>
          <w:szCs w:val="16"/>
          <w:color w:val="auto"/>
        </w:rPr>
        <w:t>[***]</w:t>
      </w:r>
      <w:r>
        <w:rPr>
          <w:rFonts w:ascii="Arial" w:cs="Arial" w:eastAsia="Arial" w:hAnsi="Arial"/>
          <w:sz w:val="18"/>
          <w:szCs w:val="18"/>
          <w:color w:val="auto"/>
        </w:rPr>
        <w:t xml:space="preserve"> Unique Users across unique Xbox 360, Xbox One, or Windows Store UWP platform(s) during an Accounting Period.</w:t>
      </w:r>
    </w:p>
    <w:p>
      <w:pPr>
        <w:spacing w:after="0" w:line="55" w:lineRule="exact"/>
        <w:rPr>
          <w:sz w:val="20"/>
          <w:szCs w:val="20"/>
          <w:color w:val="auto"/>
        </w:rPr>
      </w:pPr>
    </w:p>
    <w:p>
      <w:pPr>
        <w:ind w:firstLine="486"/>
        <w:spacing w:after="0" w:line="300" w:lineRule="auto"/>
        <w:rPr>
          <w:sz w:val="20"/>
          <w:szCs w:val="20"/>
          <w:color w:val="auto"/>
        </w:rPr>
      </w:pPr>
      <w:r>
        <w:rPr>
          <w:rFonts w:ascii="Arial" w:cs="Arial" w:eastAsia="Arial" w:hAnsi="Arial"/>
          <w:sz w:val="18"/>
          <w:szCs w:val="18"/>
          <w:b w:val="1"/>
          <w:bCs w:val="1"/>
          <w:color w:val="auto"/>
        </w:rPr>
        <w:t xml:space="preserve">2.6 “Multiplayer Subscriber(s)” </w:t>
      </w:r>
      <w:r>
        <w:rPr>
          <w:rFonts w:ascii="Arial" w:cs="Arial" w:eastAsia="Arial" w:hAnsi="Arial"/>
          <w:sz w:val="18"/>
          <w:szCs w:val="18"/>
          <w:color w:val="auto"/>
        </w:rPr>
        <w:t>means the</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Subscribers during an Accounting Period, each of which must have: (i)</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color w:val="auto"/>
        </w:rPr>
        <w:t>; (ii)</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and (iii) </w:t>
      </w:r>
      <w:r>
        <w:rPr>
          <w:rFonts w:ascii="Arial" w:cs="Arial" w:eastAsia="Arial" w:hAnsi="Arial"/>
          <w:sz w:val="16"/>
          <w:szCs w:val="16"/>
          <w:color w:val="auto"/>
        </w:rPr>
        <w:t>[***]</w:t>
      </w:r>
      <w:r>
        <w:rPr>
          <w:rFonts w:ascii="Arial" w:cs="Arial" w:eastAsia="Arial" w:hAnsi="Arial"/>
          <w:sz w:val="18"/>
          <w:szCs w:val="18"/>
          <w:color w:val="auto"/>
        </w:rPr>
        <w:t xml:space="preserve">. If a bundled multiplayer subscription includes multiple paid Xbox Live accounts and gamertags, the number of Multiplayer Subscribers attributable to such multiplayer subscription will be </w:t>
      </w:r>
      <w:r>
        <w:rPr>
          <w:rFonts w:ascii="Arial" w:cs="Arial" w:eastAsia="Arial" w:hAnsi="Arial"/>
          <w:sz w:val="16"/>
          <w:szCs w:val="16"/>
          <w:color w:val="auto"/>
        </w:rPr>
        <w:t>[***]</w:t>
      </w:r>
      <w:r>
        <w:rPr>
          <w:rFonts w:ascii="Arial" w:cs="Arial" w:eastAsia="Arial" w:hAnsi="Arial"/>
          <w:sz w:val="18"/>
          <w:szCs w:val="18"/>
          <w:color w:val="auto"/>
        </w:rPr>
        <w:t xml:space="preserve">. For avoidance of doubt, </w:t>
      </w:r>
      <w:r>
        <w:rPr>
          <w:rFonts w:ascii="Arial" w:cs="Arial" w:eastAsia="Arial" w:hAnsi="Arial"/>
          <w:sz w:val="16"/>
          <w:szCs w:val="16"/>
          <w:color w:val="auto"/>
        </w:rPr>
        <w:t>[***]</w:t>
      </w:r>
      <w:r>
        <w:rPr>
          <w:rFonts w:ascii="Arial" w:cs="Arial" w:eastAsia="Arial" w:hAnsi="Arial"/>
          <w:sz w:val="18"/>
          <w:szCs w:val="18"/>
          <w:color w:val="auto"/>
        </w:rPr>
        <w:t xml:space="preserve"> will not be counted as Multiplayer Subscribers.</w:t>
      </w:r>
    </w:p>
    <w:p>
      <w:pPr>
        <w:spacing w:after="0" w:line="61" w:lineRule="exact"/>
        <w:rPr>
          <w:sz w:val="20"/>
          <w:szCs w:val="20"/>
          <w:color w:val="auto"/>
        </w:rPr>
      </w:pPr>
    </w:p>
    <w:p>
      <w:pPr>
        <w:ind w:left="500"/>
        <w:spacing w:after="0"/>
        <w:tabs>
          <w:tab w:leader="none" w:pos="900" w:val="left"/>
        </w:tabs>
        <w:rPr>
          <w:sz w:val="20"/>
          <w:szCs w:val="20"/>
          <w:color w:val="auto"/>
        </w:rPr>
      </w:pPr>
      <w:r>
        <w:rPr>
          <w:rFonts w:ascii="Arial" w:cs="Arial" w:eastAsia="Arial" w:hAnsi="Arial"/>
          <w:sz w:val="18"/>
          <w:szCs w:val="18"/>
          <w:b w:val="1"/>
          <w:bCs w:val="1"/>
          <w:color w:val="auto"/>
        </w:rPr>
        <w:t>2.7</w:t>
      </w:r>
      <w:r>
        <w:rPr>
          <w:sz w:val="20"/>
          <w:szCs w:val="20"/>
          <w:color w:val="auto"/>
        </w:rPr>
        <w:tab/>
      </w:r>
      <w:r>
        <w:rPr>
          <w:rFonts w:ascii="Arial" w:cs="Arial" w:eastAsia="Arial" w:hAnsi="Arial"/>
          <w:sz w:val="17"/>
          <w:szCs w:val="17"/>
          <w:b w:val="1"/>
          <w:bCs w:val="1"/>
          <w:color w:val="auto"/>
        </w:rPr>
        <w:t xml:space="preserve">“Subscriber(s)” </w:t>
      </w:r>
      <w:r>
        <w:rPr>
          <w:rFonts w:ascii="Arial" w:cs="Arial" w:eastAsia="Arial" w:hAnsi="Arial"/>
          <w:sz w:val="17"/>
          <w:szCs w:val="17"/>
          <w:color w:val="auto"/>
        </w:rPr>
        <w:t>means an individual who establishes an account on Xbox Live.</w:t>
      </w:r>
    </w:p>
    <w:p>
      <w:pPr>
        <w:spacing w:after="0" w:line="131" w:lineRule="exact"/>
        <w:rPr>
          <w:sz w:val="20"/>
          <w:szCs w:val="20"/>
          <w:color w:val="auto"/>
        </w:rPr>
      </w:pPr>
    </w:p>
    <w:p>
      <w:pPr>
        <w:ind w:right="60" w:firstLine="486"/>
        <w:spacing w:after="0" w:line="275" w:lineRule="auto"/>
        <w:rPr>
          <w:sz w:val="20"/>
          <w:szCs w:val="20"/>
          <w:color w:val="auto"/>
        </w:rPr>
      </w:pPr>
      <w:r>
        <w:rPr>
          <w:rFonts w:ascii="Arial" w:cs="Arial" w:eastAsia="Arial" w:hAnsi="Arial"/>
          <w:sz w:val="18"/>
          <w:szCs w:val="18"/>
          <w:b w:val="1"/>
          <w:bCs w:val="1"/>
          <w:color w:val="auto"/>
        </w:rPr>
        <w:t xml:space="preserve">2.8 “Unique Users” </w:t>
      </w:r>
      <w:r>
        <w:rPr>
          <w:rFonts w:ascii="Arial" w:cs="Arial" w:eastAsia="Arial" w:hAnsi="Arial"/>
          <w:sz w:val="18"/>
          <w:szCs w:val="18"/>
          <w:color w:val="auto"/>
        </w:rPr>
        <w:t>means the number of unique Subscribers and Guests per Xbox One, Xbox 360, and/or Windows Store UWP</w:t>
      </w:r>
      <w:r>
        <w:rPr>
          <w:rFonts w:ascii="Arial" w:cs="Arial" w:eastAsia="Arial" w:hAnsi="Arial"/>
          <w:sz w:val="18"/>
          <w:szCs w:val="18"/>
          <w:b w:val="1"/>
          <w:bCs w:val="1"/>
          <w:color w:val="auto"/>
        </w:rPr>
        <w:t xml:space="preserve"> </w:t>
      </w:r>
      <w:r>
        <w:rPr>
          <w:rFonts w:ascii="Arial" w:cs="Arial" w:eastAsia="Arial" w:hAnsi="Arial"/>
          <w:sz w:val="18"/>
          <w:szCs w:val="18"/>
          <w:color w:val="auto"/>
        </w:rPr>
        <w:t>platform(s) who have played a Multiplayer Game Session in a Multiplayer Software Title on Xbox Live during a given Day or calendar month. Each Subscriber or Guest will count as one Unique User for a Multiplayer Software Title per Day or calendar month per Xbox One, Xbox 360, and/or Windows Store UWP platform(s), though there is no limit to the number of Multiplayer Software Titles for which that Subscriber or Guest can be counted as a Unique User.</w:t>
      </w:r>
    </w:p>
    <w:p>
      <w:pPr>
        <w:spacing w:after="0" w:line="70" w:lineRule="exact"/>
        <w:rPr>
          <w:sz w:val="20"/>
          <w:szCs w:val="20"/>
          <w:color w:val="auto"/>
        </w:rPr>
      </w:pPr>
    </w:p>
    <w:p>
      <w:pPr>
        <w:ind w:right="1000" w:firstLine="486"/>
        <w:spacing w:after="0" w:line="303" w:lineRule="auto"/>
        <w:rPr>
          <w:sz w:val="20"/>
          <w:szCs w:val="20"/>
          <w:color w:val="auto"/>
        </w:rPr>
      </w:pPr>
      <w:r>
        <w:rPr>
          <w:rFonts w:ascii="Arial" w:cs="Arial" w:eastAsia="Arial" w:hAnsi="Arial"/>
          <w:sz w:val="18"/>
          <w:szCs w:val="18"/>
          <w:b w:val="1"/>
          <w:bCs w:val="1"/>
          <w:color w:val="auto"/>
        </w:rPr>
        <w:t xml:space="preserve">2.9 “Windows Store UWP(s)” </w:t>
      </w:r>
      <w:r>
        <w:rPr>
          <w:rFonts w:ascii="Arial" w:cs="Arial" w:eastAsia="Arial" w:hAnsi="Arial"/>
          <w:sz w:val="18"/>
          <w:szCs w:val="18"/>
          <w:color w:val="auto"/>
        </w:rPr>
        <w:t>means an Xbox Live-enabled Universal Windows Platform (UWP) Multiplayer Software Title</w:t>
      </w:r>
      <w:r>
        <w:rPr>
          <w:rFonts w:ascii="Arial" w:cs="Arial" w:eastAsia="Arial" w:hAnsi="Arial"/>
          <w:sz w:val="18"/>
          <w:szCs w:val="18"/>
          <w:b w:val="1"/>
          <w:bCs w:val="1"/>
          <w:color w:val="auto"/>
        </w:rPr>
        <w:t xml:space="preserve"> </w:t>
      </w:r>
      <w:r>
        <w:rPr>
          <w:rFonts w:ascii="Arial" w:cs="Arial" w:eastAsia="Arial" w:hAnsi="Arial"/>
          <w:sz w:val="18"/>
          <w:szCs w:val="18"/>
          <w:color w:val="auto"/>
        </w:rPr>
        <w:t>commercially released in the Windows Store.</w:t>
      </w:r>
    </w:p>
    <w:p>
      <w:pPr>
        <w:spacing w:after="0" w:line="45" w:lineRule="exact"/>
        <w:rPr>
          <w:sz w:val="20"/>
          <w:szCs w:val="20"/>
          <w:color w:val="auto"/>
        </w:rPr>
      </w:pPr>
    </w:p>
    <w:p>
      <w:pPr>
        <w:ind w:right="340" w:firstLine="486"/>
        <w:spacing w:after="0" w:line="303" w:lineRule="auto"/>
        <w:rPr>
          <w:sz w:val="20"/>
          <w:szCs w:val="20"/>
          <w:color w:val="auto"/>
        </w:rPr>
      </w:pPr>
      <w:r>
        <w:rPr>
          <w:rFonts w:ascii="Arial" w:cs="Arial" w:eastAsia="Arial" w:hAnsi="Arial"/>
          <w:sz w:val="18"/>
          <w:szCs w:val="18"/>
          <w:b w:val="1"/>
          <w:bCs w:val="1"/>
          <w:color w:val="auto"/>
        </w:rPr>
        <w:t xml:space="preserve">2.10 “XPA Multiplier” </w:t>
      </w:r>
      <w:r>
        <w:rPr>
          <w:rFonts w:ascii="Arial" w:cs="Arial" w:eastAsia="Arial" w:hAnsi="Arial"/>
          <w:sz w:val="18"/>
          <w:szCs w:val="18"/>
          <w:color w:val="auto"/>
        </w:rPr>
        <w:t>means a multiplier applied to Xbox One Unique Users for qualifying Multiplayer Software Title(s) that support</w:t>
      </w:r>
      <w:r>
        <w:rPr>
          <w:rFonts w:ascii="Arial" w:cs="Arial" w:eastAsia="Arial" w:hAnsi="Arial"/>
          <w:sz w:val="18"/>
          <w:szCs w:val="18"/>
          <w:b w:val="1"/>
          <w:bCs w:val="1"/>
          <w:color w:val="auto"/>
        </w:rPr>
        <w:t xml:space="preserve"> </w:t>
      </w:r>
      <w:r>
        <w:rPr>
          <w:rFonts w:ascii="Arial" w:cs="Arial" w:eastAsia="Arial" w:hAnsi="Arial"/>
          <w:sz w:val="18"/>
          <w:szCs w:val="18"/>
          <w:color w:val="auto"/>
        </w:rPr>
        <w:t>Xbox Play Anywhere (“XPA”) at Commercial Release of the Xbox</w:t>
      </w:r>
    </w:p>
    <w:p>
      <w:pPr>
        <w:sectPr>
          <w:pgSz w:w="11900" w:h="16838" w:orient="portrait"/>
          <w:cols w:equalWidth="0" w:num="1">
            <w:col w:w="11420"/>
          </w:cols>
          <w:pgMar w:left="240" w:top="359" w:right="239" w:bottom="1440" w:gutter="0" w:footer="0" w:header="0"/>
        </w:sectPr>
      </w:pPr>
    </w:p>
    <w:p>
      <w:pPr>
        <w:spacing w:after="0" w:line="287" w:lineRule="exact"/>
        <w:rPr>
          <w:sz w:val="20"/>
          <w:szCs w:val="20"/>
          <w:color w:val="auto"/>
        </w:rPr>
      </w:pPr>
    </w:p>
    <w:p>
      <w:pPr>
        <w:spacing w:after="0" w:line="369" w:lineRule="auto"/>
        <w:rPr>
          <w:sz w:val="20"/>
          <w:szCs w:val="20"/>
          <w:color w:val="auto"/>
        </w:rPr>
      </w:pPr>
      <w:r>
        <w:rPr>
          <w:rFonts w:ascii="Arial" w:cs="Arial" w:eastAsia="Arial" w:hAnsi="Arial"/>
          <w:sz w:val="14"/>
          <w:szCs w:val="14"/>
          <w:color w:val="auto"/>
        </w:rPr>
        <w:t>Microsoft Confidential AOC v1 September 2017</w:t>
      </w:r>
    </w:p>
    <w:p>
      <w:pPr>
        <w:spacing w:after="0" w:line="20" w:lineRule="exact"/>
        <w:rPr>
          <w:sz w:val="20"/>
          <w:szCs w:val="20"/>
          <w:color w:val="auto"/>
        </w:rPr>
      </w:pPr>
      <w:r>
        <w:rPr>
          <w:sz w:val="20"/>
          <w:szCs w:val="20"/>
          <w:color w:val="auto"/>
        </w:rPr>
        <w:br w:type="column"/>
      </w:r>
    </w:p>
    <w:p>
      <w:pPr>
        <w:spacing w:after="0" w:line="267" w:lineRule="exact"/>
        <w:rPr>
          <w:sz w:val="20"/>
          <w:szCs w:val="20"/>
          <w:color w:val="auto"/>
        </w:rPr>
      </w:pPr>
    </w:p>
    <w:p>
      <w:pPr>
        <w:spacing w:after="0"/>
        <w:rPr>
          <w:sz w:val="20"/>
          <w:szCs w:val="20"/>
          <w:color w:val="auto"/>
        </w:rPr>
      </w:pPr>
      <w:r>
        <w:rPr>
          <w:rFonts w:ascii="Arial" w:cs="Arial" w:eastAsia="Arial" w:hAnsi="Arial"/>
          <w:sz w:val="14"/>
          <w:szCs w:val="14"/>
          <w:color w:val="auto"/>
        </w:rPr>
        <w:t>Page 5 of 11</w:t>
      </w:r>
    </w:p>
    <w:p>
      <w:pPr>
        <w:sectPr>
          <w:pgSz w:w="11900" w:h="16838" w:orient="portrait"/>
          <w:cols w:equalWidth="0" w:num="2">
            <w:col w:w="1660" w:space="160"/>
            <w:col w:w="9600"/>
          </w:cols>
          <w:pgMar w:left="240" w:top="359" w:right="239" w:bottom="1440" w:gutter="0" w:footer="0" w:header="0"/>
          <w:type w:val="continuous"/>
        </w:sectPr>
      </w:pPr>
    </w:p>
    <w:bookmarkStart w:id="96" w:name="page97"/>
    <w:bookmarkEnd w:id="96"/>
    <w:p>
      <w:pPr>
        <w:spacing w:after="0"/>
        <w:rPr>
          <w:sz w:val="20"/>
          <w:szCs w:val="20"/>
          <w:color w:val="auto"/>
        </w:rPr>
      </w:pPr>
      <w:r>
        <w:rPr>
          <w:rFonts w:ascii="Arial" w:cs="Arial" w:eastAsia="Arial" w:hAnsi="Arial"/>
          <w:sz w:val="16"/>
          <w:szCs w:val="16"/>
          <w:color w:val="auto"/>
        </w:rPr>
        <w:t>DocuSign Envelope ID: 4C2579D7-B77B-4D46-AF9B-741487D134D7</w:t>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One and Windows Store UWP versions as calculated per the example below. For calendar year 2018, the XPA Multiplier will be </w:t>
      </w:r>
      <w:r>
        <w:rPr>
          <w:rFonts w:ascii="Arial" w:cs="Arial" w:eastAsia="Arial" w:hAnsi="Arial"/>
          <w:sz w:val="16"/>
          <w:szCs w:val="16"/>
          <w:color w:val="auto"/>
        </w:rPr>
        <w:t>[***]</w:t>
      </w:r>
    </w:p>
    <w:p>
      <w:pPr>
        <w:spacing w:after="0" w:line="122" w:lineRule="exact"/>
        <w:rPr>
          <w:sz w:val="20"/>
          <w:szCs w:val="20"/>
          <w:color w:val="auto"/>
        </w:rPr>
      </w:pPr>
    </w:p>
    <w:p>
      <w:pPr>
        <w:ind w:left="500" w:hanging="492"/>
        <w:spacing w:after="0"/>
        <w:tabs>
          <w:tab w:leader="none" w:pos="500" w:val="left"/>
        </w:tabs>
        <w:numPr>
          <w:ilvl w:val="0"/>
          <w:numId w:val="42"/>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Xbox Live Share. </w:t>
      </w:r>
      <w:r>
        <w:rPr>
          <w:rFonts w:ascii="Arial" w:cs="Arial" w:eastAsia="Arial" w:hAnsi="Arial"/>
          <w:sz w:val="18"/>
          <w:szCs w:val="18"/>
          <w:color w:val="auto"/>
        </w:rPr>
        <w:t>Publisher’s Xbox Live Share will be determined using the following calculation:</w:t>
      </w:r>
      <w:r>
        <w:rPr>
          <w:rFonts w:ascii="Arial" w:cs="Arial" w:eastAsia="Arial" w:hAnsi="Arial"/>
          <w:sz w:val="18"/>
          <w:szCs w:val="18"/>
          <w:b w:val="1"/>
          <w:bCs w:val="1"/>
          <w:color w:val="auto"/>
        </w:rPr>
        <w:t xml:space="preserve"> </w:t>
      </w:r>
      <w:r>
        <w:rPr>
          <w:rFonts w:ascii="Arial" w:cs="Arial" w:eastAsia="Arial" w:hAnsi="Arial"/>
          <w:sz w:val="16"/>
          <w:szCs w:val="16"/>
          <w:color w:val="auto"/>
        </w:rPr>
        <w:t>[***]</w:t>
      </w:r>
    </w:p>
    <w:p>
      <w:pPr>
        <w:spacing w:after="0" w:line="200" w:lineRule="exact"/>
        <w:rPr>
          <w:sz w:val="20"/>
          <w:szCs w:val="20"/>
          <w:color w:val="auto"/>
        </w:rPr>
      </w:pPr>
    </w:p>
    <w:p>
      <w:pPr>
        <w:spacing w:after="0" w:line="210" w:lineRule="exact"/>
        <w:rPr>
          <w:sz w:val="20"/>
          <w:szCs w:val="20"/>
          <w:color w:val="auto"/>
        </w:rPr>
      </w:pPr>
    </w:p>
    <w:p>
      <w:pPr>
        <w:ind w:right="200"/>
        <w:spacing w:after="0" w:line="329" w:lineRule="auto"/>
        <w:rPr>
          <w:sz w:val="20"/>
          <w:szCs w:val="20"/>
          <w:color w:val="auto"/>
        </w:rPr>
      </w:pPr>
      <w:r>
        <w:rPr>
          <w:rFonts w:ascii="Arial" w:cs="Arial" w:eastAsia="Arial" w:hAnsi="Arial"/>
          <w:sz w:val="19"/>
          <w:szCs w:val="19"/>
          <w:b w:val="1"/>
          <w:bCs w:val="1"/>
          <w:color w:val="auto"/>
        </w:rPr>
        <w:t xml:space="preserve">“Daily Unique User Share” </w:t>
      </w:r>
      <w:r>
        <w:rPr>
          <w:rFonts w:ascii="Arial" w:cs="Arial" w:eastAsia="Arial" w:hAnsi="Arial"/>
          <w:sz w:val="19"/>
          <w:szCs w:val="19"/>
          <w:color w:val="auto"/>
        </w:rPr>
        <w:t>means the</w:t>
      </w:r>
      <w:r>
        <w:rPr>
          <w:rFonts w:ascii="Arial" w:cs="Arial" w:eastAsia="Arial" w:hAnsi="Arial"/>
          <w:sz w:val="19"/>
          <w:szCs w:val="19"/>
          <w:b w:val="1"/>
          <w:bCs w:val="1"/>
          <w:color w:val="auto"/>
        </w:rPr>
        <w:t xml:space="preserve"> </w:t>
      </w:r>
      <w:r>
        <w:rPr>
          <w:rFonts w:ascii="Arial" w:cs="Arial" w:eastAsia="Arial" w:hAnsi="Arial"/>
          <w:sz w:val="14"/>
          <w:szCs w:val="14"/>
          <w:color w:val="auto"/>
        </w:rPr>
        <w:t>[***]</w:t>
      </w:r>
      <w:r>
        <w:rPr>
          <w:rFonts w:ascii="Arial" w:cs="Arial" w:eastAsia="Arial" w:hAnsi="Arial"/>
          <w:sz w:val="19"/>
          <w:szCs w:val="19"/>
          <w:b w:val="1"/>
          <w:bCs w:val="1"/>
          <w:color w:val="auto"/>
        </w:rPr>
        <w:t xml:space="preserve"> </w:t>
      </w:r>
      <w:r>
        <w:rPr>
          <w:rFonts w:ascii="Arial" w:cs="Arial" w:eastAsia="Arial" w:hAnsi="Arial"/>
          <w:sz w:val="19"/>
          <w:szCs w:val="19"/>
          <w:color w:val="auto"/>
        </w:rPr>
        <w:t>who participated in at least one Multiplayer Game Session on Xbox One, Xbox 360,</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and/or Windows Store UWP platform(s) within one Day for all of Publisher’s Multiplayer Software Titles aggregated over the Accounting Period divided by </w:t>
      </w:r>
      <w:r>
        <w:rPr>
          <w:rFonts w:ascii="Arial" w:cs="Arial" w:eastAsia="Arial" w:hAnsi="Arial"/>
          <w:sz w:val="14"/>
          <w:szCs w:val="14"/>
          <w:color w:val="auto"/>
        </w:rPr>
        <w:t>[***]</w:t>
      </w:r>
      <w:r>
        <w:rPr>
          <w:rFonts w:ascii="Arial" w:cs="Arial" w:eastAsia="Arial" w:hAnsi="Arial"/>
          <w:sz w:val="19"/>
          <w:szCs w:val="19"/>
          <w:color w:val="auto"/>
        </w:rPr>
        <w:t xml:space="preserve"> who participated in at least one Multiplayer Game Session on Xbox One, Xbox 360, and/or Windows Store UWP platform(s) within one Day for all Multiplayer Software Titles aggregated over the Accounting Period.</w:t>
      </w:r>
    </w:p>
    <w:p>
      <w:pPr>
        <w:spacing w:after="0" w:line="288" w:lineRule="exact"/>
        <w:rPr>
          <w:sz w:val="20"/>
          <w:szCs w:val="20"/>
          <w:color w:val="auto"/>
        </w:rPr>
      </w:pPr>
    </w:p>
    <w:p>
      <w:pPr>
        <w:ind w:right="220"/>
        <w:spacing w:after="0" w:line="272" w:lineRule="auto"/>
        <w:rPr>
          <w:sz w:val="20"/>
          <w:szCs w:val="20"/>
          <w:color w:val="auto"/>
        </w:rPr>
      </w:pPr>
      <w:r>
        <w:rPr>
          <w:rFonts w:ascii="Arial" w:cs="Arial" w:eastAsia="Arial" w:hAnsi="Arial"/>
          <w:sz w:val="22"/>
          <w:szCs w:val="22"/>
          <w:b w:val="1"/>
          <w:bCs w:val="1"/>
          <w:color w:val="auto"/>
        </w:rPr>
        <w:t xml:space="preserve">“Monthly Unique User Share” </w:t>
      </w:r>
      <w:r>
        <w:rPr>
          <w:rFonts w:ascii="Arial" w:cs="Arial" w:eastAsia="Arial" w:hAnsi="Arial"/>
          <w:sz w:val="22"/>
          <w:szCs w:val="22"/>
          <w:color w:val="auto"/>
        </w:rPr>
        <w:t>means the</w:t>
      </w:r>
      <w:r>
        <w:rPr>
          <w:rFonts w:ascii="Arial" w:cs="Arial" w:eastAsia="Arial" w:hAnsi="Arial"/>
          <w:sz w:val="22"/>
          <w:szCs w:val="22"/>
          <w:b w:val="1"/>
          <w:bCs w:val="1"/>
          <w:color w:val="auto"/>
        </w:rPr>
        <w:t xml:space="preserve"> </w:t>
      </w:r>
      <w:r>
        <w:rPr>
          <w:rFonts w:ascii="Arial" w:cs="Arial" w:eastAsia="Arial" w:hAnsi="Arial"/>
          <w:sz w:val="16"/>
          <w:szCs w:val="16"/>
          <w:color w:val="auto"/>
        </w:rPr>
        <w:t>[***]</w:t>
      </w:r>
      <w:r>
        <w:rPr>
          <w:rFonts w:ascii="Arial" w:cs="Arial" w:eastAsia="Arial" w:hAnsi="Arial"/>
          <w:sz w:val="22"/>
          <w:szCs w:val="22"/>
          <w:b w:val="1"/>
          <w:bCs w:val="1"/>
          <w:color w:val="auto"/>
        </w:rPr>
        <w:t xml:space="preserve"> </w:t>
      </w:r>
      <w:r>
        <w:rPr>
          <w:rFonts w:ascii="Arial" w:cs="Arial" w:eastAsia="Arial" w:hAnsi="Arial"/>
          <w:sz w:val="22"/>
          <w:szCs w:val="22"/>
          <w:color w:val="auto"/>
        </w:rPr>
        <w:t>who participated in at least one Multiplayer Game Session on Xbox One, Xbox</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360, and/or Windows Store UWP platform(s) within one calendar month for all of Publisher’s Multiplayer Software Titles aggregated over the Accounting Period divided by </w:t>
      </w:r>
      <w:r>
        <w:rPr>
          <w:rFonts w:ascii="Arial" w:cs="Arial" w:eastAsia="Arial" w:hAnsi="Arial"/>
          <w:sz w:val="16"/>
          <w:szCs w:val="16"/>
          <w:color w:val="auto"/>
        </w:rPr>
        <w:t>[***]</w:t>
      </w:r>
      <w:r>
        <w:rPr>
          <w:rFonts w:ascii="Arial" w:cs="Arial" w:eastAsia="Arial" w:hAnsi="Arial"/>
          <w:sz w:val="22"/>
          <w:szCs w:val="22"/>
          <w:color w:val="auto"/>
        </w:rPr>
        <w:t xml:space="preserve"> who participated in at least </w:t>
      </w:r>
      <w:r>
        <w:rPr>
          <w:rFonts w:ascii="Arial" w:cs="Arial" w:eastAsia="Arial" w:hAnsi="Arial"/>
          <w:sz w:val="16"/>
          <w:szCs w:val="16"/>
          <w:color w:val="auto"/>
        </w:rPr>
        <w:t>[***]</w:t>
      </w:r>
      <w:r>
        <w:rPr>
          <w:rFonts w:ascii="Arial" w:cs="Arial" w:eastAsia="Arial" w:hAnsi="Arial"/>
          <w:sz w:val="22"/>
          <w:szCs w:val="22"/>
          <w:color w:val="auto"/>
        </w:rPr>
        <w:t xml:space="preserve"> Multiplayer Game Session on Xbox One, Xbox 360, and/or Windows Store UWP platform(s) within </w:t>
      </w:r>
      <w:r>
        <w:rPr>
          <w:rFonts w:ascii="Arial" w:cs="Arial" w:eastAsia="Arial" w:hAnsi="Arial"/>
          <w:sz w:val="16"/>
          <w:szCs w:val="16"/>
          <w:color w:val="auto"/>
        </w:rPr>
        <w:t>[***]</w:t>
      </w:r>
      <w:r>
        <w:rPr>
          <w:rFonts w:ascii="Arial" w:cs="Arial" w:eastAsia="Arial" w:hAnsi="Arial"/>
          <w:sz w:val="22"/>
          <w:szCs w:val="22"/>
          <w:color w:val="auto"/>
        </w:rPr>
        <w:t xml:space="preserve"> month for all Multiplayer Software Titles aggregated over the Accounting Period.</w:t>
      </w:r>
    </w:p>
    <w:p>
      <w:pPr>
        <w:spacing w:after="0" w:line="70" w:lineRule="exact"/>
        <w:rPr>
          <w:sz w:val="20"/>
          <w:szCs w:val="20"/>
          <w:color w:val="auto"/>
        </w:rPr>
      </w:pPr>
    </w:p>
    <w:p>
      <w:pPr>
        <w:ind w:left="500" w:hanging="492"/>
        <w:spacing w:after="0"/>
        <w:tabs>
          <w:tab w:leader="none" w:pos="500" w:val="left"/>
        </w:tabs>
        <w:numPr>
          <w:ilvl w:val="0"/>
          <w:numId w:val="43"/>
        </w:numPr>
        <w:rPr>
          <w:rFonts w:ascii="Arial" w:cs="Arial" w:eastAsia="Arial" w:hAnsi="Arial"/>
          <w:sz w:val="18"/>
          <w:szCs w:val="18"/>
          <w:b w:val="1"/>
          <w:bCs w:val="1"/>
          <w:color w:val="auto"/>
        </w:rPr>
      </w:pPr>
      <w:r>
        <w:rPr>
          <w:rFonts w:ascii="Arial" w:cs="Arial" w:eastAsia="Arial" w:hAnsi="Arial"/>
          <w:sz w:val="18"/>
          <w:szCs w:val="18"/>
          <w:b w:val="1"/>
          <w:bCs w:val="1"/>
          <w:color w:val="auto"/>
        </w:rPr>
        <w:t>Incentive Payment. The incentive payments shall be determined pursuant to Table 1 below and paid each Accounting Period:</w:t>
      </w:r>
    </w:p>
    <w:p>
      <w:pPr>
        <w:spacing w:after="0" w:line="201" w:lineRule="exact"/>
        <w:rPr>
          <w:sz w:val="20"/>
          <w:szCs w:val="20"/>
          <w:color w:val="auto"/>
        </w:rPr>
      </w:pPr>
    </w:p>
    <w:tbl>
      <w:tblPr>
        <w:tblLayout w:type="fixed"/>
        <w:tblInd w:w="10" w:type="dxa"/>
        <w:tblCellMar>
          <w:top w:w="0" w:type="dxa"/>
          <w:left w:w="0" w:type="dxa"/>
          <w:bottom w:w="0" w:type="dxa"/>
          <w:right w:w="0" w:type="dxa"/>
        </w:tblCellMar>
      </w:tblPr>
      <w:tr>
        <w:trPr>
          <w:trHeight w:val="304"/>
        </w:trPr>
        <w:tc>
          <w:tcPr>
            <w:tcW w:w="2320" w:type="dxa"/>
            <w:vAlign w:val="bottom"/>
            <w:tcBorders>
              <w:top w:val="single" w:sz="8" w:color="00000A"/>
              <w:left w:val="single" w:sz="8" w:color="00000A"/>
              <w:bottom w:val="single" w:sz="8" w:color="00000A"/>
              <w:right w:val="single" w:sz="8" w:color="00000A"/>
            </w:tcBorders>
            <w:vMerge w:val="restart"/>
            <w:shd w:val="clear" w:color="auto" w:fill="E7E6E6"/>
          </w:tcPr>
          <w:p>
            <w:pPr>
              <w:ind w:left="40"/>
              <w:spacing w:after="0"/>
              <w:rPr>
                <w:sz w:val="20"/>
                <w:szCs w:val="20"/>
                <w:color w:val="auto"/>
              </w:rPr>
            </w:pPr>
            <w:r>
              <w:rPr>
                <w:rFonts w:ascii="Arial" w:cs="Arial" w:eastAsia="Arial" w:hAnsi="Arial"/>
                <w:sz w:val="22"/>
                <w:szCs w:val="22"/>
                <w:b w:val="1"/>
                <w:bCs w:val="1"/>
                <w:color w:val="auto"/>
                <w:w w:val="96"/>
              </w:rPr>
              <w:t>Xbox Live Share Rank</w:t>
            </w:r>
          </w:p>
        </w:tc>
        <w:tc>
          <w:tcPr>
            <w:tcW w:w="2260" w:type="dxa"/>
            <w:vAlign w:val="bottom"/>
            <w:tcBorders>
              <w:top w:val="single" w:sz="8" w:color="00000A"/>
              <w:bottom w:val="single" w:sz="8" w:color="00000A"/>
              <w:right w:val="single" w:sz="8" w:color="E7E6E6"/>
            </w:tcBorders>
            <w:shd w:val="clear" w:color="auto" w:fill="E7E6E6"/>
          </w:tcPr>
          <w:p>
            <w:pPr>
              <w:spacing w:after="0"/>
              <w:rPr>
                <w:sz w:val="24"/>
                <w:szCs w:val="24"/>
                <w:color w:val="auto"/>
              </w:rPr>
            </w:pPr>
          </w:p>
        </w:tc>
        <w:tc>
          <w:tcPr>
            <w:tcW w:w="680" w:type="dxa"/>
            <w:vAlign w:val="bottom"/>
            <w:tcBorders>
              <w:top w:val="single" w:sz="8" w:color="00000A"/>
              <w:bottom w:val="single" w:sz="8" w:color="00000A"/>
            </w:tcBorders>
            <w:shd w:val="clear" w:color="auto" w:fill="E7E6E6"/>
          </w:tcPr>
          <w:p>
            <w:pPr>
              <w:spacing w:after="0"/>
              <w:rPr>
                <w:sz w:val="24"/>
                <w:szCs w:val="24"/>
                <w:color w:val="auto"/>
              </w:rPr>
            </w:pPr>
          </w:p>
        </w:tc>
        <w:tc>
          <w:tcPr>
            <w:tcW w:w="3860" w:type="dxa"/>
            <w:vAlign w:val="bottom"/>
            <w:tcBorders>
              <w:top w:val="single" w:sz="8" w:color="00000A"/>
              <w:bottom w:val="single" w:sz="8" w:color="00000A"/>
              <w:right w:val="single" w:sz="8" w:color="E7E6E6"/>
            </w:tcBorders>
            <w:gridSpan w:val="2"/>
            <w:shd w:val="clear" w:color="auto" w:fill="E7E6E6"/>
          </w:tcPr>
          <w:p>
            <w:pPr>
              <w:jc w:val="right"/>
              <w:ind w:right="939"/>
              <w:spacing w:after="0"/>
              <w:rPr>
                <w:sz w:val="20"/>
                <w:szCs w:val="20"/>
                <w:color w:val="auto"/>
              </w:rPr>
            </w:pPr>
            <w:r>
              <w:rPr>
                <w:rFonts w:ascii="Arial" w:cs="Arial" w:eastAsia="Arial" w:hAnsi="Arial"/>
                <w:sz w:val="22"/>
                <w:szCs w:val="22"/>
                <w:b w:val="1"/>
                <w:bCs w:val="1"/>
                <w:color w:val="auto"/>
                <w:w w:val="99"/>
              </w:rPr>
              <w:t>Table 1: Incentive Payment</w:t>
            </w:r>
          </w:p>
        </w:tc>
        <w:tc>
          <w:tcPr>
            <w:tcW w:w="2260" w:type="dxa"/>
            <w:vAlign w:val="bottom"/>
            <w:tcBorders>
              <w:top w:val="single" w:sz="8" w:color="00000A"/>
              <w:bottom w:val="single" w:sz="8" w:color="00000A"/>
              <w:right w:val="single" w:sz="8" w:color="00000A"/>
            </w:tcBorders>
            <w:shd w:val="clear" w:color="auto" w:fill="E7E6E6"/>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320" w:type="dxa"/>
            <w:vAlign w:val="bottom"/>
            <w:tcBorders>
              <w:left w:val="single" w:sz="8" w:color="00000A"/>
              <w:bottom w:val="single" w:sz="8" w:color="E7E6E6"/>
              <w:right w:val="single" w:sz="8" w:color="00000A"/>
            </w:tcBorders>
            <w:vMerge w:val="continue"/>
            <w:shd w:val="clear" w:color="auto" w:fill="E7E6E6"/>
          </w:tcPr>
          <w:p>
            <w:pPr>
              <w:spacing w:after="0"/>
              <w:rPr>
                <w:sz w:val="22"/>
                <w:szCs w:val="22"/>
                <w:color w:val="auto"/>
              </w:rPr>
            </w:pPr>
          </w:p>
        </w:tc>
        <w:tc>
          <w:tcPr>
            <w:tcW w:w="2260" w:type="dxa"/>
            <w:vAlign w:val="bottom"/>
            <w:tcBorders>
              <w:bottom w:val="single" w:sz="8" w:color="E7E6E6"/>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E7E6E6"/>
            </w:tcBorders>
            <w:shd w:val="clear" w:color="auto" w:fill="E7E6E6"/>
          </w:tcPr>
          <w:p>
            <w:pPr>
              <w:jc w:val="right"/>
              <w:ind w:right="219"/>
              <w:spacing w:after="0"/>
              <w:rPr>
                <w:sz w:val="20"/>
                <w:szCs w:val="20"/>
                <w:color w:val="auto"/>
              </w:rPr>
            </w:pPr>
            <w:r>
              <w:rPr>
                <w:rFonts w:ascii="Arial" w:cs="Arial" w:eastAsia="Arial" w:hAnsi="Arial"/>
                <w:sz w:val="16"/>
                <w:szCs w:val="16"/>
                <w:color w:val="auto"/>
              </w:rPr>
              <w:t>[***]</w:t>
            </w:r>
          </w:p>
        </w:tc>
        <w:tc>
          <w:tcPr>
            <w:tcW w:w="1580" w:type="dxa"/>
            <w:vAlign w:val="bottom"/>
            <w:tcBorders>
              <w:bottom w:val="single" w:sz="8" w:color="E7E6E6"/>
              <w:right w:val="single" w:sz="8" w:color="00000A"/>
            </w:tcBorders>
            <w:shd w:val="clear" w:color="auto" w:fill="E7E6E6"/>
          </w:tcPr>
          <w:p>
            <w:pPr>
              <w:spacing w:after="0"/>
              <w:rPr>
                <w:sz w:val="22"/>
                <w:szCs w:val="22"/>
                <w:color w:val="auto"/>
              </w:rPr>
            </w:pPr>
          </w:p>
        </w:tc>
        <w:tc>
          <w:tcPr>
            <w:tcW w:w="2280" w:type="dxa"/>
            <w:vAlign w:val="bottom"/>
            <w:tcBorders>
              <w:bottom w:val="single" w:sz="8" w:color="E7E6E6"/>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2260" w:type="dxa"/>
            <w:vAlign w:val="bottom"/>
            <w:tcBorders>
              <w:bottom w:val="single" w:sz="8" w:color="E7E6E6"/>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84"/>
        </w:trPr>
        <w:tc>
          <w:tcPr>
            <w:tcW w:w="2320" w:type="dxa"/>
            <w:vAlign w:val="bottom"/>
            <w:tcBorders>
              <w:top w:val="single" w:sz="8" w:color="00000A"/>
              <w:left w:val="single" w:sz="8" w:color="00000A"/>
              <w:bottom w:val="single" w:sz="8" w:color="00000A"/>
              <w:right w:val="single" w:sz="8" w:color="00000A"/>
            </w:tcBorders>
            <w:shd w:val="clear" w:color="auto" w:fill="E7E6E6"/>
          </w:tcPr>
          <w:p>
            <w:pPr>
              <w:ind w:left="40"/>
              <w:spacing w:after="0"/>
              <w:rPr>
                <w:sz w:val="20"/>
                <w:szCs w:val="20"/>
                <w:color w:val="auto"/>
              </w:rPr>
            </w:pPr>
            <w:r>
              <w:rPr>
                <w:rFonts w:ascii="Arial" w:cs="Arial" w:eastAsia="Arial" w:hAnsi="Arial"/>
                <w:sz w:val="22"/>
                <w:szCs w:val="22"/>
                <w:b w:val="1"/>
                <w:bCs w:val="1"/>
                <w:color w:val="auto"/>
              </w:rPr>
              <w:t>First</w:t>
            </w:r>
          </w:p>
        </w:tc>
        <w:tc>
          <w:tcPr>
            <w:tcW w:w="2260" w:type="dxa"/>
            <w:vAlign w:val="bottom"/>
            <w:tcBorders>
              <w:top w:val="single" w:sz="8" w:color="00000A"/>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00000A"/>
              <w:bottom w:val="single" w:sz="8" w:color="00000A"/>
            </w:tcBorders>
            <w:shd w:val="clear" w:color="auto" w:fill="E7E6E6"/>
          </w:tcPr>
          <w:p>
            <w:pPr>
              <w:jc w:val="right"/>
              <w:ind w:right="219"/>
              <w:spacing w:after="0"/>
              <w:rPr>
                <w:sz w:val="20"/>
                <w:szCs w:val="20"/>
                <w:color w:val="auto"/>
              </w:rPr>
            </w:pPr>
            <w:r>
              <w:rPr>
                <w:rFonts w:ascii="Arial" w:cs="Arial" w:eastAsia="Arial" w:hAnsi="Arial"/>
                <w:sz w:val="16"/>
                <w:szCs w:val="16"/>
                <w:color w:val="auto"/>
              </w:rPr>
              <w:t>[***]</w:t>
            </w:r>
          </w:p>
        </w:tc>
        <w:tc>
          <w:tcPr>
            <w:tcW w:w="1580" w:type="dxa"/>
            <w:vAlign w:val="bottom"/>
            <w:tcBorders>
              <w:top w:val="single" w:sz="8" w:color="00000A"/>
              <w:bottom w:val="single" w:sz="8" w:color="00000A"/>
              <w:right w:val="single" w:sz="8" w:color="00000A"/>
            </w:tcBorders>
            <w:shd w:val="clear" w:color="auto" w:fill="E7E6E6"/>
          </w:tcPr>
          <w:p>
            <w:pPr>
              <w:spacing w:after="0"/>
              <w:rPr>
                <w:sz w:val="24"/>
                <w:szCs w:val="24"/>
                <w:color w:val="auto"/>
              </w:rPr>
            </w:pPr>
          </w:p>
        </w:tc>
        <w:tc>
          <w:tcPr>
            <w:tcW w:w="2280" w:type="dxa"/>
            <w:vAlign w:val="bottom"/>
            <w:tcBorders>
              <w:top w:val="single" w:sz="8" w:color="00000A"/>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2260" w:type="dxa"/>
            <w:vAlign w:val="bottom"/>
            <w:tcBorders>
              <w:top w:val="single" w:sz="8" w:color="00000A"/>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91"/>
        </w:trPr>
        <w:tc>
          <w:tcPr>
            <w:tcW w:w="2320" w:type="dxa"/>
            <w:vAlign w:val="bottom"/>
            <w:tcBorders>
              <w:left w:val="single" w:sz="8" w:color="00000A"/>
              <w:bottom w:val="single" w:sz="8" w:color="00000A"/>
              <w:right w:val="single" w:sz="8" w:color="00000A"/>
            </w:tcBorders>
            <w:shd w:val="clear" w:color="auto" w:fill="E7E6E6"/>
          </w:tcPr>
          <w:p>
            <w:pPr>
              <w:ind w:left="40"/>
              <w:spacing w:after="0"/>
              <w:rPr>
                <w:sz w:val="20"/>
                <w:szCs w:val="20"/>
                <w:color w:val="auto"/>
              </w:rPr>
            </w:pPr>
            <w:r>
              <w:rPr>
                <w:rFonts w:ascii="Arial" w:cs="Arial" w:eastAsia="Arial" w:hAnsi="Arial"/>
                <w:sz w:val="22"/>
                <w:szCs w:val="22"/>
                <w:b w:val="1"/>
                <w:bCs w:val="1"/>
                <w:color w:val="auto"/>
              </w:rPr>
              <w:t>Second</w:t>
            </w:r>
          </w:p>
        </w:tc>
        <w:tc>
          <w:tcPr>
            <w:tcW w:w="2260" w:type="dxa"/>
            <w:vAlign w:val="bottom"/>
            <w:tcBorders>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00000A"/>
            </w:tcBorders>
            <w:shd w:val="clear" w:color="auto" w:fill="E7E6E6"/>
          </w:tcPr>
          <w:p>
            <w:pPr>
              <w:jc w:val="right"/>
              <w:ind w:right="219"/>
              <w:spacing w:after="0"/>
              <w:rPr>
                <w:sz w:val="20"/>
                <w:szCs w:val="20"/>
                <w:color w:val="auto"/>
              </w:rPr>
            </w:pPr>
            <w:r>
              <w:rPr>
                <w:rFonts w:ascii="Arial" w:cs="Arial" w:eastAsia="Arial" w:hAnsi="Arial"/>
                <w:sz w:val="16"/>
                <w:szCs w:val="16"/>
                <w:color w:val="auto"/>
              </w:rPr>
              <w:t>[***]</w:t>
            </w:r>
          </w:p>
        </w:tc>
        <w:tc>
          <w:tcPr>
            <w:tcW w:w="1580" w:type="dxa"/>
            <w:vAlign w:val="bottom"/>
            <w:tcBorders>
              <w:bottom w:val="single" w:sz="8" w:color="00000A"/>
              <w:right w:val="single" w:sz="8" w:color="00000A"/>
            </w:tcBorders>
            <w:shd w:val="clear" w:color="auto" w:fill="E7E6E6"/>
          </w:tcPr>
          <w:p>
            <w:pPr>
              <w:spacing w:after="0"/>
              <w:rPr>
                <w:sz w:val="24"/>
                <w:szCs w:val="24"/>
                <w:color w:val="auto"/>
              </w:rPr>
            </w:pPr>
          </w:p>
        </w:tc>
        <w:tc>
          <w:tcPr>
            <w:tcW w:w="2280" w:type="dxa"/>
            <w:vAlign w:val="bottom"/>
            <w:tcBorders>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2260" w:type="dxa"/>
            <w:vAlign w:val="bottom"/>
            <w:tcBorders>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91"/>
        </w:trPr>
        <w:tc>
          <w:tcPr>
            <w:tcW w:w="2320" w:type="dxa"/>
            <w:vAlign w:val="bottom"/>
            <w:tcBorders>
              <w:left w:val="single" w:sz="8" w:color="00000A"/>
              <w:bottom w:val="single" w:sz="8" w:color="00000A"/>
              <w:right w:val="single" w:sz="8" w:color="00000A"/>
            </w:tcBorders>
            <w:shd w:val="clear" w:color="auto" w:fill="E7E6E6"/>
          </w:tcPr>
          <w:p>
            <w:pPr>
              <w:ind w:left="40"/>
              <w:spacing w:after="0"/>
              <w:rPr>
                <w:sz w:val="20"/>
                <w:szCs w:val="20"/>
                <w:color w:val="auto"/>
              </w:rPr>
            </w:pPr>
            <w:r>
              <w:rPr>
                <w:rFonts w:ascii="Arial" w:cs="Arial" w:eastAsia="Arial" w:hAnsi="Arial"/>
                <w:sz w:val="22"/>
                <w:szCs w:val="22"/>
                <w:b w:val="1"/>
                <w:bCs w:val="1"/>
                <w:color w:val="auto"/>
              </w:rPr>
              <w:t>Third</w:t>
            </w:r>
          </w:p>
        </w:tc>
        <w:tc>
          <w:tcPr>
            <w:tcW w:w="2260" w:type="dxa"/>
            <w:vAlign w:val="bottom"/>
            <w:tcBorders>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00000A"/>
            </w:tcBorders>
            <w:shd w:val="clear" w:color="auto" w:fill="E7E6E6"/>
          </w:tcPr>
          <w:p>
            <w:pPr>
              <w:jc w:val="right"/>
              <w:ind w:right="219"/>
              <w:spacing w:after="0"/>
              <w:rPr>
                <w:sz w:val="20"/>
                <w:szCs w:val="20"/>
                <w:color w:val="auto"/>
              </w:rPr>
            </w:pPr>
            <w:r>
              <w:rPr>
                <w:rFonts w:ascii="Arial" w:cs="Arial" w:eastAsia="Arial" w:hAnsi="Arial"/>
                <w:sz w:val="16"/>
                <w:szCs w:val="16"/>
                <w:color w:val="auto"/>
              </w:rPr>
              <w:t>[***]</w:t>
            </w:r>
          </w:p>
        </w:tc>
        <w:tc>
          <w:tcPr>
            <w:tcW w:w="1580" w:type="dxa"/>
            <w:vAlign w:val="bottom"/>
            <w:tcBorders>
              <w:bottom w:val="single" w:sz="8" w:color="00000A"/>
              <w:right w:val="single" w:sz="8" w:color="00000A"/>
            </w:tcBorders>
            <w:shd w:val="clear" w:color="auto" w:fill="E7E6E6"/>
          </w:tcPr>
          <w:p>
            <w:pPr>
              <w:spacing w:after="0"/>
              <w:rPr>
                <w:sz w:val="24"/>
                <w:szCs w:val="24"/>
                <w:color w:val="auto"/>
              </w:rPr>
            </w:pPr>
          </w:p>
        </w:tc>
        <w:tc>
          <w:tcPr>
            <w:tcW w:w="2280" w:type="dxa"/>
            <w:vAlign w:val="bottom"/>
            <w:tcBorders>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2260" w:type="dxa"/>
            <w:vAlign w:val="bottom"/>
            <w:tcBorders>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91"/>
        </w:trPr>
        <w:tc>
          <w:tcPr>
            <w:tcW w:w="2320" w:type="dxa"/>
            <w:vAlign w:val="bottom"/>
            <w:tcBorders>
              <w:left w:val="single" w:sz="8" w:color="00000A"/>
              <w:bottom w:val="single" w:sz="8" w:color="00000A"/>
              <w:right w:val="single" w:sz="8" w:color="00000A"/>
            </w:tcBorders>
            <w:shd w:val="clear" w:color="auto" w:fill="E7E6E6"/>
          </w:tcPr>
          <w:p>
            <w:pPr>
              <w:ind w:left="40"/>
              <w:spacing w:after="0"/>
              <w:rPr>
                <w:sz w:val="20"/>
                <w:szCs w:val="20"/>
                <w:color w:val="auto"/>
              </w:rPr>
            </w:pPr>
            <w:r>
              <w:rPr>
                <w:rFonts w:ascii="Arial" w:cs="Arial" w:eastAsia="Arial" w:hAnsi="Arial"/>
                <w:sz w:val="22"/>
                <w:szCs w:val="22"/>
                <w:b w:val="1"/>
                <w:bCs w:val="1"/>
                <w:color w:val="auto"/>
              </w:rPr>
              <w:t>Fourth</w:t>
            </w:r>
          </w:p>
        </w:tc>
        <w:tc>
          <w:tcPr>
            <w:tcW w:w="2260" w:type="dxa"/>
            <w:vAlign w:val="bottom"/>
            <w:tcBorders>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00000A"/>
            </w:tcBorders>
            <w:shd w:val="clear" w:color="auto" w:fill="E7E6E6"/>
          </w:tcPr>
          <w:p>
            <w:pPr>
              <w:jc w:val="right"/>
              <w:ind w:right="219"/>
              <w:spacing w:after="0"/>
              <w:rPr>
                <w:sz w:val="20"/>
                <w:szCs w:val="20"/>
                <w:color w:val="auto"/>
              </w:rPr>
            </w:pPr>
            <w:r>
              <w:rPr>
                <w:rFonts w:ascii="Arial" w:cs="Arial" w:eastAsia="Arial" w:hAnsi="Arial"/>
                <w:sz w:val="16"/>
                <w:szCs w:val="16"/>
                <w:color w:val="auto"/>
              </w:rPr>
              <w:t>[***]</w:t>
            </w:r>
          </w:p>
        </w:tc>
        <w:tc>
          <w:tcPr>
            <w:tcW w:w="1580" w:type="dxa"/>
            <w:vAlign w:val="bottom"/>
            <w:tcBorders>
              <w:bottom w:val="single" w:sz="8" w:color="00000A"/>
              <w:right w:val="single" w:sz="8" w:color="00000A"/>
            </w:tcBorders>
            <w:shd w:val="clear" w:color="auto" w:fill="E7E6E6"/>
          </w:tcPr>
          <w:p>
            <w:pPr>
              <w:spacing w:after="0"/>
              <w:rPr>
                <w:sz w:val="24"/>
                <w:szCs w:val="24"/>
                <w:color w:val="auto"/>
              </w:rPr>
            </w:pPr>
          </w:p>
        </w:tc>
        <w:tc>
          <w:tcPr>
            <w:tcW w:w="2280" w:type="dxa"/>
            <w:vAlign w:val="bottom"/>
            <w:tcBorders>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2260" w:type="dxa"/>
            <w:vAlign w:val="bottom"/>
            <w:tcBorders>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91"/>
        </w:trPr>
        <w:tc>
          <w:tcPr>
            <w:tcW w:w="2320" w:type="dxa"/>
            <w:vAlign w:val="bottom"/>
            <w:tcBorders>
              <w:left w:val="single" w:sz="8" w:color="00000A"/>
              <w:bottom w:val="single" w:sz="8" w:color="00000A"/>
              <w:right w:val="single" w:sz="8" w:color="00000A"/>
            </w:tcBorders>
            <w:shd w:val="clear" w:color="auto" w:fill="E7E6E6"/>
          </w:tcPr>
          <w:p>
            <w:pPr>
              <w:ind w:left="40"/>
              <w:spacing w:after="0"/>
              <w:rPr>
                <w:sz w:val="20"/>
                <w:szCs w:val="20"/>
                <w:color w:val="auto"/>
              </w:rPr>
            </w:pPr>
            <w:r>
              <w:rPr>
                <w:rFonts w:ascii="Arial" w:cs="Arial" w:eastAsia="Arial" w:hAnsi="Arial"/>
                <w:sz w:val="22"/>
                <w:szCs w:val="22"/>
                <w:b w:val="1"/>
                <w:bCs w:val="1"/>
                <w:color w:val="auto"/>
              </w:rPr>
              <w:t>Fifth</w:t>
            </w:r>
          </w:p>
        </w:tc>
        <w:tc>
          <w:tcPr>
            <w:tcW w:w="2260" w:type="dxa"/>
            <w:vAlign w:val="bottom"/>
            <w:tcBorders>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00000A"/>
            </w:tcBorders>
            <w:shd w:val="clear" w:color="auto" w:fill="E7E6E6"/>
          </w:tcPr>
          <w:p>
            <w:pPr>
              <w:jc w:val="right"/>
              <w:ind w:right="219"/>
              <w:spacing w:after="0"/>
              <w:rPr>
                <w:sz w:val="20"/>
                <w:szCs w:val="20"/>
                <w:color w:val="auto"/>
              </w:rPr>
            </w:pPr>
            <w:r>
              <w:rPr>
                <w:rFonts w:ascii="Arial" w:cs="Arial" w:eastAsia="Arial" w:hAnsi="Arial"/>
                <w:sz w:val="16"/>
                <w:szCs w:val="16"/>
                <w:color w:val="auto"/>
              </w:rPr>
              <w:t>[***]</w:t>
            </w:r>
          </w:p>
        </w:tc>
        <w:tc>
          <w:tcPr>
            <w:tcW w:w="1580" w:type="dxa"/>
            <w:vAlign w:val="bottom"/>
            <w:tcBorders>
              <w:bottom w:val="single" w:sz="8" w:color="00000A"/>
              <w:right w:val="single" w:sz="8" w:color="00000A"/>
            </w:tcBorders>
            <w:shd w:val="clear" w:color="auto" w:fill="E7E6E6"/>
          </w:tcPr>
          <w:p>
            <w:pPr>
              <w:spacing w:after="0"/>
              <w:rPr>
                <w:sz w:val="24"/>
                <w:szCs w:val="24"/>
                <w:color w:val="auto"/>
              </w:rPr>
            </w:pPr>
          </w:p>
        </w:tc>
        <w:tc>
          <w:tcPr>
            <w:tcW w:w="2280" w:type="dxa"/>
            <w:vAlign w:val="bottom"/>
            <w:tcBorders>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2260" w:type="dxa"/>
            <w:vAlign w:val="bottom"/>
            <w:tcBorders>
              <w:bottom w:val="single" w:sz="8" w:color="00000A"/>
              <w:right w:val="single" w:sz="8" w:color="00000A"/>
            </w:tcBorders>
            <w:shd w:val="clear" w:color="auto" w:fill="E7E6E6"/>
          </w:tcPr>
          <w:p>
            <w:pPr>
              <w:jc w:val="right"/>
              <w:ind w:right="181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bl>
    <w:p>
      <w:pPr>
        <w:jc w:val="both"/>
        <w:ind w:right="20"/>
        <w:spacing w:after="0" w:line="262" w:lineRule="auto"/>
        <w:rPr>
          <w:sz w:val="20"/>
          <w:szCs w:val="20"/>
          <w:color w:val="auto"/>
        </w:rPr>
      </w:pPr>
      <w:r>
        <w:rPr>
          <w:rFonts w:ascii="Arial" w:cs="Arial" w:eastAsia="Arial" w:hAnsi="Arial"/>
          <w:sz w:val="22"/>
          <w:szCs w:val="22"/>
          <w:b w:val="1"/>
          <w:bCs w:val="1"/>
          <w:color w:val="auto"/>
        </w:rPr>
        <w:t xml:space="preserve">Example. </w:t>
      </w:r>
      <w:r>
        <w:rPr>
          <w:rFonts w:ascii="Arial" w:cs="Arial" w:eastAsia="Arial" w:hAnsi="Arial"/>
          <w:sz w:val="22"/>
          <w:szCs w:val="22"/>
          <w:color w:val="auto"/>
        </w:rPr>
        <w:t>Assume the Average Multiplayer Subscribers for the Accounting Period equaled</w:t>
      </w:r>
      <w:r>
        <w:rPr>
          <w:rFonts w:ascii="Arial" w:cs="Arial" w:eastAsia="Arial" w:hAnsi="Arial"/>
          <w:sz w:val="22"/>
          <w:szCs w:val="22"/>
          <w:b w:val="1"/>
          <w:bCs w:val="1"/>
          <w:color w:val="auto"/>
        </w:rPr>
        <w:t xml:space="preserve"> </w:t>
      </w:r>
      <w:r>
        <w:rPr>
          <w:rFonts w:ascii="Arial" w:cs="Arial" w:eastAsia="Arial" w:hAnsi="Arial"/>
          <w:sz w:val="16"/>
          <w:szCs w:val="16"/>
          <w:color w:val="auto"/>
        </w:rPr>
        <w:t>[***]</w:t>
      </w:r>
      <w:r>
        <w:rPr>
          <w:rFonts w:ascii="Arial" w:cs="Arial" w:eastAsia="Arial" w:hAnsi="Arial"/>
          <w:sz w:val="22"/>
          <w:szCs w:val="22"/>
          <w:color w:val="auto"/>
        </w:rPr>
        <w:t>, and Publisher has</w:t>
      </w:r>
      <w:r>
        <w:rPr>
          <w:rFonts w:ascii="Arial" w:cs="Arial" w:eastAsia="Arial" w:hAnsi="Arial"/>
          <w:sz w:val="22"/>
          <w:szCs w:val="22"/>
          <w:b w:val="1"/>
          <w:bCs w:val="1"/>
          <w:color w:val="auto"/>
        </w:rPr>
        <w:t xml:space="preserve"> </w:t>
      </w:r>
      <w:r>
        <w:rPr>
          <w:rFonts w:ascii="Arial" w:cs="Arial" w:eastAsia="Arial" w:hAnsi="Arial"/>
          <w:sz w:val="16"/>
          <w:szCs w:val="16"/>
          <w:color w:val="auto"/>
        </w:rPr>
        <w:t>[***]</w:t>
      </w:r>
      <w:r>
        <w:rPr>
          <w:rFonts w:ascii="Arial" w:cs="Arial" w:eastAsia="Arial" w:hAnsi="Arial"/>
          <w:sz w:val="22"/>
          <w:szCs w:val="22"/>
          <w:b w:val="1"/>
          <w:bCs w:val="1"/>
          <w:color w:val="auto"/>
        </w:rPr>
        <w:t xml:space="preserve"> </w:t>
      </w:r>
      <w:r>
        <w:rPr>
          <w:rFonts w:ascii="Arial" w:cs="Arial" w:eastAsia="Arial" w:hAnsi="Arial"/>
          <w:sz w:val="22"/>
          <w:szCs w:val="22"/>
          <w:color w:val="auto"/>
        </w:rPr>
        <w:t>Multiplayer</w:t>
      </w:r>
      <w:r>
        <w:rPr>
          <w:rFonts w:ascii="Arial" w:cs="Arial" w:eastAsia="Arial" w:hAnsi="Arial"/>
          <w:sz w:val="22"/>
          <w:szCs w:val="22"/>
          <w:b w:val="1"/>
          <w:bCs w:val="1"/>
          <w:color w:val="auto"/>
        </w:rPr>
        <w:t xml:space="preserve"> </w:t>
      </w:r>
      <w:r>
        <w:rPr>
          <w:rFonts w:ascii="Arial" w:cs="Arial" w:eastAsia="Arial" w:hAnsi="Arial"/>
          <w:sz w:val="22"/>
          <w:szCs w:val="22"/>
          <w:color w:val="auto"/>
        </w:rPr>
        <w:t>Software Titles that generated, on aggregate:</w:t>
      </w:r>
    </w:p>
    <w:p>
      <w:pPr>
        <w:spacing w:after="0" w:line="14" w:lineRule="exact"/>
        <w:rPr>
          <w:sz w:val="20"/>
          <w:szCs w:val="20"/>
          <w:color w:val="auto"/>
        </w:rPr>
      </w:pPr>
    </w:p>
    <w:p>
      <w:pPr>
        <w:ind w:left="340" w:hanging="332"/>
        <w:spacing w:after="0" w:line="293" w:lineRule="auto"/>
        <w:tabs>
          <w:tab w:leader="none" w:pos="340" w:val="left"/>
        </w:tabs>
        <w:numPr>
          <w:ilvl w:val="0"/>
          <w:numId w:val="44"/>
        </w:numPr>
        <w:rPr>
          <w:rFonts w:ascii="Arial" w:cs="Arial" w:eastAsia="Arial" w:hAnsi="Arial"/>
          <w:sz w:val="18"/>
          <w:szCs w:val="18"/>
          <w:color w:val="auto"/>
        </w:rPr>
      </w:pPr>
      <w:r>
        <w:rPr>
          <w:rFonts w:ascii="Arial" w:cs="Arial" w:eastAsia="Arial" w:hAnsi="Arial"/>
          <w:sz w:val="16"/>
          <w:szCs w:val="16"/>
          <w:color w:val="auto"/>
        </w:rPr>
        <w:t xml:space="preserve">[***] </w:t>
      </w:r>
      <w:r>
        <w:rPr>
          <w:rFonts w:ascii="Arial" w:cs="Arial" w:eastAsia="Arial" w:hAnsi="Arial"/>
          <w:sz w:val="18"/>
          <w:szCs w:val="18"/>
          <w:color w:val="auto"/>
        </w:rPr>
        <w:t>daily Unique Users (aggregation of each Day in the Accounting Period) on Xbox One, Xbox 360, and Windows Store UWP (inclusive of</w:t>
      </w:r>
      <w:r>
        <w:rPr>
          <w:rFonts w:ascii="Arial" w:cs="Arial" w:eastAsia="Arial" w:hAnsi="Arial"/>
          <w:sz w:val="16"/>
          <w:szCs w:val="16"/>
          <w:color w:val="auto"/>
        </w:rPr>
        <w:t xml:space="preserve"> </w:t>
      </w:r>
      <w:r>
        <w:rPr>
          <w:rFonts w:ascii="Arial" w:cs="Arial" w:eastAsia="Arial" w:hAnsi="Arial"/>
          <w:sz w:val="18"/>
          <w:szCs w:val="18"/>
          <w:color w:val="auto"/>
        </w:rPr>
        <w:t>any XPA Multipliers)</w:t>
      </w:r>
    </w:p>
    <w:p>
      <w:pPr>
        <w:spacing w:after="0" w:line="102" w:lineRule="exact"/>
        <w:rPr>
          <w:rFonts w:ascii="Arial" w:cs="Arial" w:eastAsia="Arial" w:hAnsi="Arial"/>
          <w:sz w:val="18"/>
          <w:szCs w:val="18"/>
          <w:color w:val="auto"/>
        </w:rPr>
      </w:pPr>
    </w:p>
    <w:p>
      <w:pPr>
        <w:ind w:left="340" w:right="300" w:hanging="332"/>
        <w:spacing w:after="0" w:line="293" w:lineRule="auto"/>
        <w:tabs>
          <w:tab w:leader="none" w:pos="340" w:val="left"/>
        </w:tabs>
        <w:numPr>
          <w:ilvl w:val="0"/>
          <w:numId w:val="44"/>
        </w:numPr>
        <w:rPr>
          <w:rFonts w:ascii="Arial" w:cs="Arial" w:eastAsia="Arial" w:hAnsi="Arial"/>
          <w:sz w:val="18"/>
          <w:szCs w:val="18"/>
          <w:color w:val="auto"/>
        </w:rPr>
      </w:pPr>
      <w:r>
        <w:rPr>
          <w:rFonts w:ascii="Arial" w:cs="Arial" w:eastAsia="Arial" w:hAnsi="Arial"/>
          <w:sz w:val="16"/>
          <w:szCs w:val="16"/>
          <w:color w:val="auto"/>
        </w:rPr>
        <w:t xml:space="preserve">[***] </w:t>
      </w:r>
      <w:r>
        <w:rPr>
          <w:rFonts w:ascii="Arial" w:cs="Arial" w:eastAsia="Arial" w:hAnsi="Arial"/>
          <w:sz w:val="18"/>
          <w:szCs w:val="18"/>
          <w:color w:val="auto"/>
        </w:rPr>
        <w:t>monthly Unique Users (aggregation of each calendar month in the Accounting Period) on Xbox One, Xbox 360, and Windows Store</w:t>
      </w:r>
      <w:r>
        <w:rPr>
          <w:rFonts w:ascii="Arial" w:cs="Arial" w:eastAsia="Arial" w:hAnsi="Arial"/>
          <w:sz w:val="16"/>
          <w:szCs w:val="16"/>
          <w:color w:val="auto"/>
        </w:rPr>
        <w:t xml:space="preserve"> </w:t>
      </w:r>
      <w:r>
        <w:rPr>
          <w:rFonts w:ascii="Arial" w:cs="Arial" w:eastAsia="Arial" w:hAnsi="Arial"/>
          <w:sz w:val="18"/>
          <w:szCs w:val="18"/>
          <w:color w:val="auto"/>
        </w:rPr>
        <w:t>UWP (inclusive of any XPA Multipliers)</w:t>
      </w:r>
    </w:p>
    <w:p>
      <w:pPr>
        <w:spacing w:after="0" w:line="82" w:lineRule="exact"/>
        <w:rPr>
          <w:sz w:val="20"/>
          <w:szCs w:val="20"/>
          <w:color w:val="auto"/>
        </w:rPr>
      </w:pPr>
    </w:p>
    <w:p>
      <w:pPr>
        <w:spacing w:after="0"/>
        <w:rPr>
          <w:sz w:val="20"/>
          <w:szCs w:val="20"/>
          <w:color w:val="auto"/>
        </w:rPr>
      </w:pPr>
      <w:r>
        <w:rPr>
          <w:rFonts w:ascii="Arial" w:cs="Arial" w:eastAsia="Arial" w:hAnsi="Arial"/>
          <w:sz w:val="22"/>
          <w:szCs w:val="22"/>
          <w:color w:val="auto"/>
        </w:rPr>
        <w:t>All Multiplayer Software Titles combined generated, on aggregate:</w:t>
      </w:r>
    </w:p>
    <w:p>
      <w:pPr>
        <w:spacing w:after="0" w:line="38" w:lineRule="exact"/>
        <w:rPr>
          <w:sz w:val="20"/>
          <w:szCs w:val="20"/>
          <w:color w:val="auto"/>
        </w:rPr>
      </w:pPr>
    </w:p>
    <w:p>
      <w:pPr>
        <w:ind w:left="340" w:hanging="332"/>
        <w:spacing w:after="0" w:line="266" w:lineRule="auto"/>
        <w:tabs>
          <w:tab w:leader="none" w:pos="340" w:val="left"/>
        </w:tabs>
        <w:numPr>
          <w:ilvl w:val="0"/>
          <w:numId w:val="45"/>
        </w:numPr>
        <w:rPr>
          <w:rFonts w:ascii="Arial" w:cs="Arial" w:eastAsia="Arial" w:hAnsi="Arial"/>
          <w:sz w:val="18"/>
          <w:szCs w:val="18"/>
          <w:color w:val="auto"/>
        </w:rPr>
      </w:pPr>
      <w:r>
        <w:rPr>
          <w:rFonts w:ascii="Arial" w:cs="Arial" w:eastAsia="Arial" w:hAnsi="Arial"/>
          <w:sz w:val="16"/>
          <w:szCs w:val="16"/>
          <w:color w:val="auto"/>
        </w:rPr>
        <w:t xml:space="preserve">[***] </w:t>
      </w:r>
      <w:r>
        <w:rPr>
          <w:rFonts w:ascii="Arial" w:cs="Arial" w:eastAsia="Arial" w:hAnsi="Arial"/>
          <w:sz w:val="18"/>
          <w:szCs w:val="18"/>
          <w:color w:val="auto"/>
        </w:rPr>
        <w:t>daily Unique Users (aggregation of each Day in the Accounting Period) on Xbox One, Xbox 360, and Windows Store UWP (inclusive of</w:t>
      </w:r>
      <w:r>
        <w:rPr>
          <w:rFonts w:ascii="Arial" w:cs="Arial" w:eastAsia="Arial" w:hAnsi="Arial"/>
          <w:sz w:val="16"/>
          <w:szCs w:val="16"/>
          <w:color w:val="auto"/>
        </w:rPr>
        <w:t xml:space="preserve"> </w:t>
      </w:r>
      <w:r>
        <w:rPr>
          <w:rFonts w:ascii="Arial" w:cs="Arial" w:eastAsia="Arial" w:hAnsi="Arial"/>
          <w:sz w:val="18"/>
          <w:szCs w:val="18"/>
          <w:color w:val="auto"/>
        </w:rPr>
        <w:t>any XPA Multipliers)</w:t>
      </w:r>
    </w:p>
    <w:p>
      <w:pPr>
        <w:spacing w:after="0" w:line="13" w:lineRule="exact"/>
        <w:rPr>
          <w:rFonts w:ascii="Arial" w:cs="Arial" w:eastAsia="Arial" w:hAnsi="Arial"/>
          <w:sz w:val="18"/>
          <w:szCs w:val="18"/>
          <w:color w:val="auto"/>
        </w:rPr>
      </w:pPr>
    </w:p>
    <w:p>
      <w:pPr>
        <w:ind w:left="340" w:right="300" w:hanging="332"/>
        <w:spacing w:after="0" w:line="293" w:lineRule="auto"/>
        <w:tabs>
          <w:tab w:leader="none" w:pos="340" w:val="left"/>
        </w:tabs>
        <w:numPr>
          <w:ilvl w:val="0"/>
          <w:numId w:val="45"/>
        </w:numPr>
        <w:rPr>
          <w:rFonts w:ascii="Arial" w:cs="Arial" w:eastAsia="Arial" w:hAnsi="Arial"/>
          <w:sz w:val="18"/>
          <w:szCs w:val="18"/>
          <w:color w:val="auto"/>
        </w:rPr>
      </w:pPr>
      <w:r>
        <w:rPr>
          <w:rFonts w:ascii="Arial" w:cs="Arial" w:eastAsia="Arial" w:hAnsi="Arial"/>
          <w:sz w:val="16"/>
          <w:szCs w:val="16"/>
          <w:color w:val="auto"/>
        </w:rPr>
        <w:t xml:space="preserve">[***] </w:t>
      </w:r>
      <w:r>
        <w:rPr>
          <w:rFonts w:ascii="Arial" w:cs="Arial" w:eastAsia="Arial" w:hAnsi="Arial"/>
          <w:sz w:val="18"/>
          <w:szCs w:val="18"/>
          <w:color w:val="auto"/>
        </w:rPr>
        <w:t>monthly Unique Users (aggregation of each calendar month in the Accounting Period) on Xbox One, Xbox 360, and Windows Store</w:t>
      </w:r>
      <w:r>
        <w:rPr>
          <w:rFonts w:ascii="Arial" w:cs="Arial" w:eastAsia="Arial" w:hAnsi="Arial"/>
          <w:sz w:val="16"/>
          <w:szCs w:val="16"/>
          <w:color w:val="auto"/>
        </w:rPr>
        <w:t xml:space="preserve"> </w:t>
      </w:r>
      <w:r>
        <w:rPr>
          <w:rFonts w:ascii="Arial" w:cs="Arial" w:eastAsia="Arial" w:hAnsi="Arial"/>
          <w:sz w:val="18"/>
          <w:szCs w:val="18"/>
          <w:color w:val="auto"/>
        </w:rPr>
        <w:t>UWP (inclusive of any XPA Multipliers)</w:t>
      </w:r>
    </w:p>
    <w:p>
      <w:pPr>
        <w:spacing w:after="0" w:line="82" w:lineRule="exact"/>
        <w:rPr>
          <w:sz w:val="20"/>
          <w:szCs w:val="20"/>
          <w:color w:val="auto"/>
        </w:rPr>
      </w:pPr>
    </w:p>
    <w:p>
      <w:pPr>
        <w:spacing w:after="0"/>
        <w:rPr>
          <w:sz w:val="20"/>
          <w:szCs w:val="20"/>
          <w:color w:val="auto"/>
        </w:rPr>
      </w:pPr>
      <w:r>
        <w:rPr>
          <w:rFonts w:ascii="Arial" w:cs="Arial" w:eastAsia="Arial" w:hAnsi="Arial"/>
          <w:sz w:val="22"/>
          <w:szCs w:val="22"/>
          <w:color w:val="auto"/>
        </w:rPr>
        <w:t>Publisher’s Xbox Live Share would be:</w:t>
      </w:r>
    </w:p>
    <w:p>
      <w:pPr>
        <w:spacing w:after="0" w:line="23" w:lineRule="exact"/>
        <w:rPr>
          <w:sz w:val="20"/>
          <w:szCs w:val="20"/>
          <w:color w:val="auto"/>
        </w:rPr>
      </w:pPr>
    </w:p>
    <w:p>
      <w:pPr>
        <w:ind w:left="1020" w:hanging="364"/>
        <w:spacing w:after="0"/>
        <w:tabs>
          <w:tab w:leader="none" w:pos="1020" w:val="left"/>
        </w:tabs>
        <w:numPr>
          <w:ilvl w:val="0"/>
          <w:numId w:val="46"/>
        </w:numPr>
        <w:rPr>
          <w:rFonts w:ascii="Arial" w:cs="Arial" w:eastAsia="Arial" w:hAnsi="Arial"/>
          <w:sz w:val="22"/>
          <w:szCs w:val="22"/>
          <w:color w:val="auto"/>
        </w:rPr>
      </w:pPr>
      <w:r>
        <w:rPr>
          <w:rFonts w:ascii="Arial" w:cs="Arial" w:eastAsia="Arial" w:hAnsi="Arial"/>
          <w:sz w:val="16"/>
          <w:szCs w:val="16"/>
          <w:color w:val="auto"/>
        </w:rPr>
        <w:t>[***]</w:t>
      </w:r>
    </w:p>
    <w:p>
      <w:pPr>
        <w:spacing w:after="0" w:line="30" w:lineRule="exact"/>
        <w:rPr>
          <w:rFonts w:ascii="Arial" w:cs="Arial" w:eastAsia="Arial" w:hAnsi="Arial"/>
          <w:sz w:val="22"/>
          <w:szCs w:val="22"/>
          <w:color w:val="auto"/>
        </w:rPr>
      </w:pPr>
    </w:p>
    <w:p>
      <w:pPr>
        <w:ind w:left="1040" w:hanging="384"/>
        <w:spacing w:after="0"/>
        <w:tabs>
          <w:tab w:leader="none" w:pos="1040" w:val="left"/>
        </w:tabs>
        <w:numPr>
          <w:ilvl w:val="0"/>
          <w:numId w:val="46"/>
        </w:numPr>
        <w:rPr>
          <w:rFonts w:ascii="Arial" w:cs="Arial" w:eastAsia="Arial" w:hAnsi="Arial"/>
          <w:sz w:val="22"/>
          <w:szCs w:val="22"/>
          <w:color w:val="auto"/>
        </w:rPr>
      </w:pPr>
      <w:r>
        <w:rPr>
          <w:rFonts w:ascii="Arial" w:cs="Arial" w:eastAsia="Arial" w:hAnsi="Arial"/>
          <w:sz w:val="16"/>
          <w:szCs w:val="16"/>
          <w:color w:val="auto"/>
        </w:rPr>
        <w:t>[***]</w:t>
      </w:r>
    </w:p>
    <w:p>
      <w:pPr>
        <w:spacing w:after="0" w:line="30" w:lineRule="exact"/>
        <w:rPr>
          <w:rFonts w:ascii="Arial" w:cs="Arial" w:eastAsia="Arial" w:hAnsi="Arial"/>
          <w:sz w:val="22"/>
          <w:szCs w:val="22"/>
          <w:color w:val="auto"/>
        </w:rPr>
      </w:pPr>
    </w:p>
    <w:p>
      <w:pPr>
        <w:ind w:left="1020" w:hanging="364"/>
        <w:spacing w:after="0"/>
        <w:tabs>
          <w:tab w:leader="none" w:pos="1020" w:val="left"/>
        </w:tabs>
        <w:numPr>
          <w:ilvl w:val="0"/>
          <w:numId w:val="46"/>
        </w:numPr>
        <w:rPr>
          <w:rFonts w:ascii="Arial" w:cs="Arial" w:eastAsia="Arial" w:hAnsi="Arial"/>
          <w:sz w:val="22"/>
          <w:szCs w:val="22"/>
          <w:color w:val="auto"/>
        </w:rPr>
      </w:pPr>
      <w:r>
        <w:rPr>
          <w:rFonts w:ascii="Arial" w:cs="Arial" w:eastAsia="Arial" w:hAnsi="Arial"/>
          <w:sz w:val="16"/>
          <w:szCs w:val="16"/>
          <w:color w:val="auto"/>
        </w:rPr>
        <w:t>[***]</w:t>
      </w:r>
    </w:p>
    <w:p>
      <w:pPr>
        <w:sectPr>
          <w:pgSz w:w="11900" w:h="16838" w:orient="portrait"/>
          <w:cols w:equalWidth="0" w:num="1">
            <w:col w:w="11400"/>
          </w:cols>
          <w:pgMar w:left="240" w:top="359" w:right="259" w:bottom="1440" w:gutter="0" w:footer="0" w:header="0"/>
        </w:sectPr>
      </w:pPr>
    </w:p>
    <w:p>
      <w:pPr>
        <w:spacing w:after="0" w:line="200" w:lineRule="exact"/>
        <w:rPr>
          <w:sz w:val="20"/>
          <w:szCs w:val="20"/>
          <w:color w:val="auto"/>
        </w:rPr>
      </w:pPr>
    </w:p>
    <w:p>
      <w:pPr>
        <w:spacing w:after="0" w:line="201" w:lineRule="exact"/>
        <w:rPr>
          <w:sz w:val="20"/>
          <w:szCs w:val="20"/>
          <w:color w:val="auto"/>
        </w:rPr>
      </w:pPr>
    </w:p>
    <w:p>
      <w:pPr>
        <w:spacing w:after="0" w:line="369" w:lineRule="auto"/>
        <w:rPr>
          <w:sz w:val="20"/>
          <w:szCs w:val="20"/>
          <w:color w:val="auto"/>
        </w:rPr>
      </w:pPr>
      <w:r>
        <w:rPr>
          <w:rFonts w:ascii="Arial" w:cs="Arial" w:eastAsia="Arial" w:hAnsi="Arial"/>
          <w:sz w:val="14"/>
          <w:szCs w:val="14"/>
          <w:color w:val="auto"/>
        </w:rPr>
        <w:t>Microsoft Confidential AOC v1 September 2017</w:t>
      </w:r>
    </w:p>
    <w:p>
      <w:pPr>
        <w:spacing w:after="0" w:line="20" w:lineRule="exact"/>
        <w:rPr>
          <w:sz w:val="20"/>
          <w:szCs w:val="20"/>
          <w:color w:val="auto"/>
        </w:rPr>
      </w:pPr>
      <w:r>
        <w:rPr>
          <w:sz w:val="20"/>
          <w:szCs w:val="20"/>
          <w:color w:val="auto"/>
        </w:rPr>
        <w:br w:type="column"/>
      </w:r>
    </w:p>
    <w:p>
      <w:pPr>
        <w:spacing w:after="0" w:line="381" w:lineRule="exact"/>
        <w:rPr>
          <w:sz w:val="20"/>
          <w:szCs w:val="20"/>
          <w:color w:val="auto"/>
        </w:rPr>
      </w:pPr>
    </w:p>
    <w:p>
      <w:pPr>
        <w:spacing w:after="0"/>
        <w:rPr>
          <w:sz w:val="20"/>
          <w:szCs w:val="20"/>
          <w:color w:val="auto"/>
        </w:rPr>
      </w:pPr>
      <w:r>
        <w:rPr>
          <w:rFonts w:ascii="Arial" w:cs="Arial" w:eastAsia="Arial" w:hAnsi="Arial"/>
          <w:sz w:val="14"/>
          <w:szCs w:val="14"/>
          <w:color w:val="auto"/>
        </w:rPr>
        <w:t>Page 6 of 11</w:t>
      </w:r>
    </w:p>
    <w:p>
      <w:pPr>
        <w:sectPr>
          <w:pgSz w:w="11900" w:h="16838" w:orient="portrait"/>
          <w:cols w:equalWidth="0" w:num="2">
            <w:col w:w="1660" w:space="160"/>
            <w:col w:w="9580"/>
          </w:cols>
          <w:pgMar w:left="240" w:top="359" w:right="259" w:bottom="1440" w:gutter="0" w:footer="0" w:header="0"/>
          <w:type w:val="continuous"/>
        </w:sectPr>
      </w:pPr>
    </w:p>
    <w:bookmarkStart w:id="97" w:name="page98"/>
    <w:bookmarkEnd w:id="97"/>
    <w:p>
      <w:pPr>
        <w:spacing w:after="0"/>
        <w:rPr>
          <w:sz w:val="20"/>
          <w:szCs w:val="20"/>
          <w:color w:val="auto"/>
        </w:rPr>
      </w:pPr>
      <w:r>
        <w:rPr>
          <w:rFonts w:ascii="Arial" w:cs="Arial" w:eastAsia="Arial" w:hAnsi="Arial"/>
          <w:sz w:val="16"/>
          <w:szCs w:val="16"/>
          <w:color w:val="auto"/>
        </w:rPr>
        <w:t>DocuSign Envelope ID: 4C2579D7-B77B-4D46-AF9B-741487D134D7</w:t>
      </w:r>
    </w:p>
    <w:p>
      <w:pPr>
        <w:spacing w:after="0" w:line="399" w:lineRule="exact"/>
        <w:rPr>
          <w:sz w:val="20"/>
          <w:szCs w:val="20"/>
          <w:color w:val="auto"/>
        </w:rPr>
      </w:pPr>
    </w:p>
    <w:p>
      <w:pPr>
        <w:ind w:right="860"/>
        <w:spacing w:after="0" w:line="289" w:lineRule="auto"/>
        <w:rPr>
          <w:sz w:val="20"/>
          <w:szCs w:val="20"/>
          <w:color w:val="auto"/>
        </w:rPr>
      </w:pPr>
      <w:r>
        <w:rPr>
          <w:rFonts w:ascii="Arial" w:cs="Arial" w:eastAsia="Arial" w:hAnsi="Arial"/>
          <w:sz w:val="22"/>
          <w:szCs w:val="22"/>
          <w:color w:val="auto"/>
        </w:rPr>
        <w:t xml:space="preserve">If the Average Multiplayer Subscribers for the Accounting Period equaled </w:t>
      </w:r>
      <w:r>
        <w:rPr>
          <w:rFonts w:ascii="Arial" w:cs="Arial" w:eastAsia="Arial" w:hAnsi="Arial"/>
          <w:sz w:val="16"/>
          <w:szCs w:val="16"/>
          <w:color w:val="auto"/>
        </w:rPr>
        <w:t>[***]</w:t>
      </w:r>
      <w:r>
        <w:rPr>
          <w:rFonts w:ascii="Arial" w:cs="Arial" w:eastAsia="Arial" w:hAnsi="Arial"/>
          <w:sz w:val="22"/>
          <w:szCs w:val="22"/>
          <w:color w:val="auto"/>
        </w:rPr>
        <w:t xml:space="preserve"> and Publisher is ranked </w:t>
      </w:r>
      <w:r>
        <w:rPr>
          <w:rFonts w:ascii="Arial" w:cs="Arial" w:eastAsia="Arial" w:hAnsi="Arial"/>
          <w:sz w:val="16"/>
          <w:szCs w:val="16"/>
          <w:color w:val="auto"/>
        </w:rPr>
        <w:t>[***]</w:t>
      </w:r>
      <w:r>
        <w:rPr>
          <w:rFonts w:ascii="Arial" w:cs="Arial" w:eastAsia="Arial" w:hAnsi="Arial"/>
          <w:sz w:val="22"/>
          <w:szCs w:val="22"/>
          <w:color w:val="auto"/>
        </w:rPr>
        <w:t xml:space="preserve"> in Table 1, the incentive payment for the Accounting Period will be </w:t>
      </w:r>
      <w:r>
        <w:rPr>
          <w:rFonts w:ascii="Arial" w:cs="Arial" w:eastAsia="Arial" w:hAnsi="Arial"/>
          <w:sz w:val="16"/>
          <w:szCs w:val="16"/>
          <w:color w:val="auto"/>
        </w:rPr>
        <w:t>[***]</w:t>
      </w:r>
      <w:r>
        <w:rPr>
          <w:rFonts w:ascii="Arial" w:cs="Arial" w:eastAsia="Arial" w:hAnsi="Arial"/>
          <w:sz w:val="22"/>
          <w:szCs w:val="22"/>
          <w:color w:val="auto"/>
        </w:rPr>
        <w:t>.</w:t>
      </w:r>
    </w:p>
    <w:p>
      <w:pPr>
        <w:spacing w:after="0" w:line="87" w:lineRule="exact"/>
        <w:rPr>
          <w:sz w:val="20"/>
          <w:szCs w:val="20"/>
          <w:color w:val="auto"/>
        </w:rPr>
      </w:pPr>
    </w:p>
    <w:p>
      <w:pPr>
        <w:jc w:val="both"/>
        <w:ind w:right="200"/>
        <w:spacing w:after="0" w:line="338" w:lineRule="auto"/>
        <w:rPr>
          <w:sz w:val="20"/>
          <w:szCs w:val="20"/>
          <w:color w:val="auto"/>
        </w:rPr>
      </w:pPr>
      <w:r>
        <w:rPr>
          <w:rFonts w:ascii="Arial" w:cs="Arial" w:eastAsia="Arial" w:hAnsi="Arial"/>
          <w:sz w:val="19"/>
          <w:szCs w:val="19"/>
          <w:b w:val="1"/>
          <w:bCs w:val="1"/>
          <w:color w:val="auto"/>
        </w:rPr>
        <w:t xml:space="preserve">Example Illustrating the XPA Multiplier. </w:t>
      </w:r>
      <w:r>
        <w:rPr>
          <w:rFonts w:ascii="Arial" w:cs="Arial" w:eastAsia="Arial" w:hAnsi="Arial"/>
          <w:sz w:val="19"/>
          <w:szCs w:val="19"/>
          <w:color w:val="auto"/>
        </w:rPr>
        <w:t>Assume the Average Multiplayer Subscribers for the Accounting Period equaled</w:t>
      </w:r>
      <w:r>
        <w:rPr>
          <w:rFonts w:ascii="Arial" w:cs="Arial" w:eastAsia="Arial" w:hAnsi="Arial"/>
          <w:sz w:val="19"/>
          <w:szCs w:val="19"/>
          <w:b w:val="1"/>
          <w:bCs w:val="1"/>
          <w:color w:val="auto"/>
        </w:rPr>
        <w:t xml:space="preserve"> </w:t>
      </w:r>
      <w:r>
        <w:rPr>
          <w:rFonts w:ascii="Arial" w:cs="Arial" w:eastAsia="Arial" w:hAnsi="Arial"/>
          <w:sz w:val="14"/>
          <w:szCs w:val="14"/>
          <w:color w:val="auto"/>
        </w:rPr>
        <w:t>[***]</w:t>
      </w:r>
      <w:r>
        <w:rPr>
          <w:rFonts w:ascii="Arial" w:cs="Arial" w:eastAsia="Arial" w:hAnsi="Arial"/>
          <w:sz w:val="19"/>
          <w:szCs w:val="19"/>
          <w:color w:val="auto"/>
        </w:rPr>
        <w:t>,</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and Publisher has one Multiplayer Software Title. The following demonstrates the results of (a) Publisher’s Multiplayer Software Title “A” without an XPA Multiplier, and (b) Publisher’s Multiplayer Software Title “A” with an XPA Multiplier of </w:t>
      </w:r>
      <w:r>
        <w:rPr>
          <w:rFonts w:ascii="Arial" w:cs="Arial" w:eastAsia="Arial" w:hAnsi="Arial"/>
          <w:sz w:val="14"/>
          <w:szCs w:val="14"/>
          <w:color w:val="auto"/>
        </w:rPr>
        <w:t>[***].</w:t>
      </w:r>
    </w:p>
    <w:p>
      <w:pPr>
        <w:spacing w:after="0" w:line="178" w:lineRule="exact"/>
        <w:rPr>
          <w:sz w:val="20"/>
          <w:szCs w:val="20"/>
          <w:color w:val="auto"/>
        </w:rPr>
      </w:pPr>
    </w:p>
    <w:tbl>
      <w:tblPr>
        <w:tblLayout w:type="fixed"/>
        <w:tblInd w:w="10" w:type="dxa"/>
        <w:tblCellMar>
          <w:top w:w="0" w:type="dxa"/>
          <w:left w:w="0" w:type="dxa"/>
          <w:bottom w:w="0" w:type="dxa"/>
          <w:right w:w="0" w:type="dxa"/>
        </w:tblCellMar>
      </w:tblPr>
      <w:tr>
        <w:trPr>
          <w:trHeight w:val="220"/>
        </w:trPr>
        <w:tc>
          <w:tcPr>
            <w:tcW w:w="3920" w:type="dxa"/>
            <w:vAlign w:val="bottom"/>
            <w:tcBorders>
              <w:top w:val="single" w:sz="8" w:color="00000A"/>
              <w:left w:val="single" w:sz="8" w:color="00000A"/>
              <w:right w:val="single" w:sz="8" w:color="00000A"/>
            </w:tcBorders>
          </w:tcPr>
          <w:p>
            <w:pPr>
              <w:ind w:left="40"/>
              <w:spacing w:after="0"/>
              <w:rPr>
                <w:sz w:val="20"/>
                <w:szCs w:val="20"/>
                <w:color w:val="auto"/>
              </w:rPr>
            </w:pPr>
            <w:r>
              <w:rPr>
                <w:rFonts w:ascii="Arial" w:cs="Arial" w:eastAsia="Arial" w:hAnsi="Arial"/>
                <w:sz w:val="18"/>
                <w:szCs w:val="18"/>
                <w:b w:val="1"/>
                <w:bCs w:val="1"/>
                <w:color w:val="auto"/>
              </w:rPr>
              <w:t>Aggregate For the Accounting Period</w:t>
            </w:r>
          </w:p>
        </w:tc>
        <w:tc>
          <w:tcPr>
            <w:tcW w:w="3760" w:type="dxa"/>
            <w:vAlign w:val="bottom"/>
            <w:tcBorders>
              <w:top w:val="single" w:sz="8" w:color="00000A"/>
              <w:right w:val="single" w:sz="8" w:color="00000A"/>
            </w:tcBorders>
            <w:gridSpan w:val="3"/>
          </w:tcPr>
          <w:p>
            <w:pPr>
              <w:ind w:left="20"/>
              <w:spacing w:after="0"/>
              <w:rPr>
                <w:sz w:val="20"/>
                <w:szCs w:val="20"/>
                <w:color w:val="auto"/>
              </w:rPr>
            </w:pPr>
            <w:r>
              <w:rPr>
                <w:rFonts w:ascii="Arial" w:cs="Arial" w:eastAsia="Arial" w:hAnsi="Arial"/>
                <w:sz w:val="18"/>
                <w:szCs w:val="18"/>
                <w:b w:val="1"/>
                <w:bCs w:val="1"/>
                <w:color w:val="auto"/>
              </w:rPr>
              <w:t>(a) Multiplayer Software Title “A”</w:t>
            </w:r>
          </w:p>
        </w:tc>
        <w:tc>
          <w:tcPr>
            <w:tcW w:w="3760" w:type="dxa"/>
            <w:vAlign w:val="bottom"/>
            <w:tcBorders>
              <w:top w:val="single" w:sz="8" w:color="00000A"/>
              <w:right w:val="single" w:sz="8" w:color="00000A"/>
            </w:tcBorders>
            <w:gridSpan w:val="3"/>
          </w:tcPr>
          <w:p>
            <w:pPr>
              <w:ind w:left="20"/>
              <w:spacing w:after="0"/>
              <w:rPr>
                <w:sz w:val="20"/>
                <w:szCs w:val="20"/>
                <w:color w:val="auto"/>
              </w:rPr>
            </w:pPr>
            <w:r>
              <w:rPr>
                <w:rFonts w:ascii="Arial" w:cs="Arial" w:eastAsia="Arial" w:hAnsi="Arial"/>
                <w:sz w:val="18"/>
                <w:szCs w:val="18"/>
                <w:b w:val="1"/>
                <w:bCs w:val="1"/>
                <w:color w:val="auto"/>
              </w:rPr>
              <w:t>(b) Multiplayer Software Title “A”</w:t>
            </w:r>
          </w:p>
        </w:tc>
      </w:tr>
      <w:tr>
        <w:trPr>
          <w:trHeight w:val="198"/>
        </w:trPr>
        <w:tc>
          <w:tcPr>
            <w:tcW w:w="3920" w:type="dxa"/>
            <w:vAlign w:val="bottom"/>
            <w:tcBorders>
              <w:left w:val="single" w:sz="8" w:color="00000A"/>
              <w:right w:val="single" w:sz="8" w:color="00000A"/>
            </w:tcBorders>
          </w:tcPr>
          <w:p>
            <w:pPr>
              <w:spacing w:after="0"/>
              <w:rPr>
                <w:sz w:val="17"/>
                <w:szCs w:val="17"/>
                <w:color w:val="auto"/>
              </w:rPr>
            </w:pPr>
          </w:p>
        </w:tc>
        <w:tc>
          <w:tcPr>
            <w:tcW w:w="3760" w:type="dxa"/>
            <w:vAlign w:val="bottom"/>
            <w:tcBorders>
              <w:right w:val="single" w:sz="8" w:color="00000A"/>
            </w:tcBorders>
            <w:gridSpan w:val="3"/>
          </w:tcPr>
          <w:p>
            <w:pPr>
              <w:ind w:left="20"/>
              <w:spacing w:after="0" w:line="199" w:lineRule="exact"/>
              <w:rPr>
                <w:sz w:val="20"/>
                <w:szCs w:val="20"/>
                <w:color w:val="auto"/>
              </w:rPr>
            </w:pPr>
            <w:r>
              <w:rPr>
                <w:rFonts w:ascii="Arial" w:cs="Arial" w:eastAsia="Arial" w:hAnsi="Arial"/>
                <w:sz w:val="18"/>
                <w:szCs w:val="18"/>
                <w:b w:val="1"/>
                <w:bCs w:val="1"/>
                <w:color w:val="auto"/>
              </w:rPr>
              <w:t>(Without XPA Multiplier)</w:t>
            </w:r>
          </w:p>
        </w:tc>
        <w:tc>
          <w:tcPr>
            <w:tcW w:w="3760" w:type="dxa"/>
            <w:vAlign w:val="bottom"/>
            <w:tcBorders>
              <w:right w:val="single" w:sz="8" w:color="00000A"/>
            </w:tcBorders>
            <w:gridSpan w:val="3"/>
          </w:tcPr>
          <w:p>
            <w:pPr>
              <w:ind w:left="20"/>
              <w:spacing w:after="0" w:line="199" w:lineRule="exact"/>
              <w:rPr>
                <w:sz w:val="20"/>
                <w:szCs w:val="20"/>
                <w:color w:val="auto"/>
              </w:rPr>
            </w:pPr>
            <w:r>
              <w:rPr>
                <w:rFonts w:ascii="Arial" w:cs="Arial" w:eastAsia="Arial" w:hAnsi="Arial"/>
                <w:sz w:val="18"/>
                <w:szCs w:val="18"/>
                <w:b w:val="1"/>
                <w:bCs w:val="1"/>
                <w:color w:val="auto"/>
              </w:rPr>
              <w:t xml:space="preserve">(With XPA Multiplier </w:t>
            </w:r>
            <w:r>
              <w:rPr>
                <w:rFonts w:ascii="Arial" w:cs="Arial" w:eastAsia="Arial" w:hAnsi="Arial"/>
                <w:sz w:val="16"/>
                <w:szCs w:val="16"/>
                <w:color w:val="auto"/>
              </w:rPr>
              <w:t>[***])</w:t>
            </w:r>
          </w:p>
        </w:tc>
      </w:tr>
      <w:tr>
        <w:trPr>
          <w:trHeight w:val="34"/>
        </w:trPr>
        <w:tc>
          <w:tcPr>
            <w:tcW w:w="3920" w:type="dxa"/>
            <w:vAlign w:val="bottom"/>
            <w:tcBorders>
              <w:left w:val="single" w:sz="8" w:color="00000A"/>
              <w:bottom w:val="single" w:sz="8" w:color="00000A"/>
              <w:right w:val="single" w:sz="8" w:color="00000A"/>
            </w:tcBorders>
          </w:tcPr>
          <w:p>
            <w:pPr>
              <w:spacing w:after="0"/>
              <w:rPr>
                <w:sz w:val="2"/>
                <w:szCs w:val="2"/>
                <w:color w:val="auto"/>
              </w:rPr>
            </w:pPr>
          </w:p>
        </w:tc>
        <w:tc>
          <w:tcPr>
            <w:tcW w:w="80" w:type="dxa"/>
            <w:vAlign w:val="bottom"/>
            <w:tcBorders>
              <w:bottom w:val="single" w:sz="8" w:color="00000A"/>
            </w:tcBorders>
          </w:tcPr>
          <w:p>
            <w:pPr>
              <w:spacing w:after="0"/>
              <w:rPr>
                <w:sz w:val="2"/>
                <w:szCs w:val="2"/>
                <w:color w:val="auto"/>
              </w:rPr>
            </w:pPr>
          </w:p>
        </w:tc>
        <w:tc>
          <w:tcPr>
            <w:tcW w:w="660" w:type="dxa"/>
            <w:vAlign w:val="bottom"/>
            <w:tcBorders>
              <w:top w:val="single" w:sz="8" w:color="auto"/>
              <w:bottom w:val="single" w:sz="8" w:color="00000A"/>
            </w:tcBorders>
          </w:tcPr>
          <w:p>
            <w:pPr>
              <w:spacing w:after="0"/>
              <w:rPr>
                <w:sz w:val="2"/>
                <w:szCs w:val="2"/>
                <w:color w:val="auto"/>
              </w:rPr>
            </w:pPr>
          </w:p>
        </w:tc>
        <w:tc>
          <w:tcPr>
            <w:tcW w:w="3020" w:type="dxa"/>
            <w:vAlign w:val="bottom"/>
            <w:tcBorders>
              <w:bottom w:val="single" w:sz="8" w:color="00000A"/>
              <w:right w:val="single" w:sz="8" w:color="00000A"/>
            </w:tcBorders>
          </w:tcPr>
          <w:p>
            <w:pPr>
              <w:spacing w:after="0"/>
              <w:rPr>
                <w:sz w:val="2"/>
                <w:szCs w:val="2"/>
                <w:color w:val="auto"/>
              </w:rPr>
            </w:pPr>
          </w:p>
        </w:tc>
        <w:tc>
          <w:tcPr>
            <w:tcW w:w="80" w:type="dxa"/>
            <w:vAlign w:val="bottom"/>
            <w:tcBorders>
              <w:bottom w:val="single" w:sz="8" w:color="00000A"/>
            </w:tcBorders>
          </w:tcPr>
          <w:p>
            <w:pPr>
              <w:spacing w:after="0"/>
              <w:rPr>
                <w:sz w:val="2"/>
                <w:szCs w:val="2"/>
                <w:color w:val="auto"/>
              </w:rPr>
            </w:pPr>
          </w:p>
        </w:tc>
        <w:tc>
          <w:tcPr>
            <w:tcW w:w="400" w:type="dxa"/>
            <w:vAlign w:val="bottom"/>
            <w:tcBorders>
              <w:top w:val="single" w:sz="8" w:color="auto"/>
              <w:bottom w:val="single" w:sz="8" w:color="00000A"/>
            </w:tcBorders>
          </w:tcPr>
          <w:p>
            <w:pPr>
              <w:spacing w:after="0"/>
              <w:rPr>
                <w:sz w:val="2"/>
                <w:szCs w:val="2"/>
                <w:color w:val="auto"/>
              </w:rPr>
            </w:pPr>
          </w:p>
        </w:tc>
        <w:tc>
          <w:tcPr>
            <w:tcW w:w="3280" w:type="dxa"/>
            <w:vAlign w:val="bottom"/>
            <w:tcBorders>
              <w:bottom w:val="single" w:sz="8" w:color="00000A"/>
              <w:right w:val="single" w:sz="8" w:color="00000A"/>
            </w:tcBorders>
          </w:tcPr>
          <w:p>
            <w:pPr>
              <w:spacing w:after="0"/>
              <w:rPr>
                <w:sz w:val="2"/>
                <w:szCs w:val="2"/>
                <w:color w:val="auto"/>
              </w:rPr>
            </w:pPr>
          </w:p>
        </w:tc>
      </w:tr>
      <w:tr>
        <w:trPr>
          <w:trHeight w:val="200"/>
        </w:trPr>
        <w:tc>
          <w:tcPr>
            <w:tcW w:w="3920" w:type="dxa"/>
            <w:vAlign w:val="bottom"/>
            <w:tcBorders>
              <w:left w:val="single" w:sz="8" w:color="00000A"/>
              <w:right w:val="single" w:sz="8" w:color="00000A"/>
            </w:tcBorders>
          </w:tcPr>
          <w:p>
            <w:pPr>
              <w:ind w:left="40"/>
              <w:spacing w:after="0" w:line="201" w:lineRule="exact"/>
              <w:rPr>
                <w:sz w:val="20"/>
                <w:szCs w:val="20"/>
                <w:color w:val="auto"/>
              </w:rPr>
            </w:pPr>
            <w:r>
              <w:rPr>
                <w:rFonts w:ascii="Arial" w:cs="Arial" w:eastAsia="Arial" w:hAnsi="Arial"/>
                <w:sz w:val="18"/>
                <w:szCs w:val="18"/>
                <w:b w:val="1"/>
                <w:bCs w:val="1"/>
                <w:color w:val="auto"/>
              </w:rPr>
              <w:t>(Xbox One daily Unique Users) + (Windows</w:t>
            </w: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020" w:type="dxa"/>
            <w:vAlign w:val="bottom"/>
            <w:tcBorders>
              <w:right w:val="single" w:sz="8" w:color="00000A"/>
            </w:tcBorders>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280" w:type="dxa"/>
            <w:vAlign w:val="bottom"/>
            <w:tcBorders>
              <w:right w:val="single" w:sz="8" w:color="00000A"/>
            </w:tcBorders>
          </w:tcPr>
          <w:p>
            <w:pPr>
              <w:spacing w:after="0"/>
              <w:rPr>
                <w:sz w:val="17"/>
                <w:szCs w:val="17"/>
                <w:color w:val="auto"/>
              </w:rPr>
            </w:pPr>
          </w:p>
        </w:tc>
      </w:tr>
      <w:tr>
        <w:trPr>
          <w:trHeight w:val="203"/>
        </w:trPr>
        <w:tc>
          <w:tcPr>
            <w:tcW w:w="3920" w:type="dxa"/>
            <w:vAlign w:val="bottom"/>
            <w:tcBorders>
              <w:left w:val="single" w:sz="8" w:color="00000A"/>
              <w:right w:val="single" w:sz="8" w:color="00000A"/>
            </w:tcBorders>
          </w:tcPr>
          <w:p>
            <w:pPr>
              <w:ind w:left="40"/>
              <w:spacing w:after="0" w:line="202" w:lineRule="exact"/>
              <w:rPr>
                <w:sz w:val="20"/>
                <w:szCs w:val="20"/>
                <w:color w:val="auto"/>
              </w:rPr>
            </w:pPr>
            <w:r>
              <w:rPr>
                <w:rFonts w:ascii="Arial" w:cs="Arial" w:eastAsia="Arial" w:hAnsi="Arial"/>
                <w:sz w:val="18"/>
                <w:szCs w:val="18"/>
                <w:b w:val="1"/>
                <w:bCs w:val="1"/>
                <w:color w:val="auto"/>
              </w:rPr>
              <w:t>Store (UWP) daily Unique Users) + (Xbox</w:t>
            </w:r>
          </w:p>
        </w:tc>
        <w:tc>
          <w:tcPr>
            <w:tcW w:w="740" w:type="dxa"/>
            <w:vAlign w:val="bottom"/>
            <w:gridSpan w:val="2"/>
          </w:tcPr>
          <w:p>
            <w:pPr>
              <w:ind w:left="20"/>
              <w:spacing w:after="0"/>
              <w:rPr>
                <w:sz w:val="20"/>
                <w:szCs w:val="20"/>
                <w:color w:val="auto"/>
              </w:rPr>
            </w:pPr>
            <w:r>
              <w:rPr>
                <w:rFonts w:ascii="Arial" w:cs="Arial" w:eastAsia="Arial" w:hAnsi="Arial"/>
                <w:sz w:val="16"/>
                <w:szCs w:val="16"/>
                <w:color w:val="auto"/>
              </w:rPr>
              <w:t>[***]</w:t>
            </w:r>
          </w:p>
        </w:tc>
        <w:tc>
          <w:tcPr>
            <w:tcW w:w="3020" w:type="dxa"/>
            <w:vAlign w:val="bottom"/>
            <w:tcBorders>
              <w:right w:val="single" w:sz="8" w:color="00000A"/>
            </w:tcBorders>
          </w:tcPr>
          <w:p>
            <w:pPr>
              <w:spacing w:after="0"/>
              <w:rPr>
                <w:sz w:val="17"/>
                <w:szCs w:val="17"/>
                <w:color w:val="auto"/>
              </w:rPr>
            </w:pPr>
          </w:p>
        </w:tc>
        <w:tc>
          <w:tcPr>
            <w:tcW w:w="480" w:type="dxa"/>
            <w:vAlign w:val="bottom"/>
            <w:gridSpan w:val="2"/>
          </w:tcPr>
          <w:p>
            <w:pPr>
              <w:ind w:left="20"/>
              <w:spacing w:after="0"/>
              <w:rPr>
                <w:sz w:val="20"/>
                <w:szCs w:val="20"/>
                <w:color w:val="auto"/>
              </w:rPr>
            </w:pPr>
            <w:r>
              <w:rPr>
                <w:rFonts w:ascii="Arial" w:cs="Arial" w:eastAsia="Arial" w:hAnsi="Arial"/>
                <w:sz w:val="16"/>
                <w:szCs w:val="16"/>
                <w:color w:val="auto"/>
              </w:rPr>
              <w:t>[***]</w:t>
            </w:r>
          </w:p>
        </w:tc>
        <w:tc>
          <w:tcPr>
            <w:tcW w:w="3280" w:type="dxa"/>
            <w:vAlign w:val="bottom"/>
            <w:tcBorders>
              <w:right w:val="single" w:sz="8" w:color="00000A"/>
            </w:tcBorders>
          </w:tcPr>
          <w:p>
            <w:pPr>
              <w:spacing w:after="0"/>
              <w:rPr>
                <w:sz w:val="17"/>
                <w:szCs w:val="17"/>
                <w:color w:val="auto"/>
              </w:rPr>
            </w:pPr>
          </w:p>
        </w:tc>
      </w:tr>
      <w:tr>
        <w:trPr>
          <w:trHeight w:val="246"/>
        </w:trPr>
        <w:tc>
          <w:tcPr>
            <w:tcW w:w="3920" w:type="dxa"/>
            <w:vAlign w:val="bottom"/>
            <w:tcBorders>
              <w:left w:val="single" w:sz="8" w:color="00000A"/>
              <w:bottom w:val="single" w:sz="8" w:color="00000A"/>
              <w:right w:val="single" w:sz="8" w:color="00000A"/>
            </w:tcBorders>
          </w:tcPr>
          <w:p>
            <w:pPr>
              <w:ind w:left="40"/>
              <w:spacing w:after="0"/>
              <w:rPr>
                <w:sz w:val="20"/>
                <w:szCs w:val="20"/>
                <w:color w:val="auto"/>
              </w:rPr>
            </w:pPr>
            <w:r>
              <w:rPr>
                <w:rFonts w:ascii="Arial" w:cs="Arial" w:eastAsia="Arial" w:hAnsi="Arial"/>
                <w:sz w:val="18"/>
                <w:szCs w:val="18"/>
                <w:b w:val="1"/>
                <w:bCs w:val="1"/>
                <w:color w:val="auto"/>
              </w:rPr>
              <w:t>360 daily Unique Users)</w:t>
            </w:r>
          </w:p>
        </w:tc>
        <w:tc>
          <w:tcPr>
            <w:tcW w:w="80" w:type="dxa"/>
            <w:vAlign w:val="bottom"/>
            <w:tcBorders>
              <w:bottom w:val="single" w:sz="8" w:color="00000A"/>
            </w:tcBorders>
          </w:tcPr>
          <w:p>
            <w:pPr>
              <w:spacing w:after="0"/>
              <w:rPr>
                <w:sz w:val="21"/>
                <w:szCs w:val="21"/>
                <w:color w:val="auto"/>
              </w:rPr>
            </w:pPr>
          </w:p>
        </w:tc>
        <w:tc>
          <w:tcPr>
            <w:tcW w:w="660" w:type="dxa"/>
            <w:vAlign w:val="bottom"/>
            <w:tcBorders>
              <w:bottom w:val="single" w:sz="8" w:color="00000A"/>
            </w:tcBorders>
          </w:tcPr>
          <w:p>
            <w:pPr>
              <w:spacing w:after="0"/>
              <w:rPr>
                <w:sz w:val="21"/>
                <w:szCs w:val="21"/>
                <w:color w:val="auto"/>
              </w:rPr>
            </w:pPr>
          </w:p>
        </w:tc>
        <w:tc>
          <w:tcPr>
            <w:tcW w:w="3020" w:type="dxa"/>
            <w:vAlign w:val="bottom"/>
            <w:tcBorders>
              <w:bottom w:val="single" w:sz="8" w:color="00000A"/>
              <w:right w:val="single" w:sz="8" w:color="00000A"/>
            </w:tcBorders>
          </w:tcPr>
          <w:p>
            <w:pPr>
              <w:spacing w:after="0"/>
              <w:rPr>
                <w:sz w:val="21"/>
                <w:szCs w:val="21"/>
                <w:color w:val="auto"/>
              </w:rPr>
            </w:pPr>
          </w:p>
        </w:tc>
        <w:tc>
          <w:tcPr>
            <w:tcW w:w="80" w:type="dxa"/>
            <w:vAlign w:val="bottom"/>
            <w:tcBorders>
              <w:bottom w:val="single" w:sz="8" w:color="00000A"/>
            </w:tcBorders>
          </w:tcPr>
          <w:p>
            <w:pPr>
              <w:spacing w:after="0"/>
              <w:rPr>
                <w:sz w:val="21"/>
                <w:szCs w:val="21"/>
                <w:color w:val="auto"/>
              </w:rPr>
            </w:pPr>
          </w:p>
        </w:tc>
        <w:tc>
          <w:tcPr>
            <w:tcW w:w="400" w:type="dxa"/>
            <w:vAlign w:val="bottom"/>
            <w:tcBorders>
              <w:bottom w:val="single" w:sz="8" w:color="00000A"/>
            </w:tcBorders>
          </w:tcPr>
          <w:p>
            <w:pPr>
              <w:spacing w:after="0"/>
              <w:rPr>
                <w:sz w:val="21"/>
                <w:szCs w:val="21"/>
                <w:color w:val="auto"/>
              </w:rPr>
            </w:pPr>
          </w:p>
        </w:tc>
        <w:tc>
          <w:tcPr>
            <w:tcW w:w="3280" w:type="dxa"/>
            <w:vAlign w:val="bottom"/>
            <w:tcBorders>
              <w:bottom w:val="single" w:sz="8" w:color="00000A"/>
              <w:right w:val="single" w:sz="8" w:color="00000A"/>
            </w:tcBorders>
          </w:tcPr>
          <w:p>
            <w:pPr>
              <w:spacing w:after="0"/>
              <w:rPr>
                <w:sz w:val="21"/>
                <w:szCs w:val="21"/>
                <w:color w:val="auto"/>
              </w:rPr>
            </w:pPr>
          </w:p>
        </w:tc>
      </w:tr>
      <w:tr>
        <w:trPr>
          <w:trHeight w:val="207"/>
        </w:trPr>
        <w:tc>
          <w:tcPr>
            <w:tcW w:w="3920" w:type="dxa"/>
            <w:vAlign w:val="bottom"/>
            <w:tcBorders>
              <w:left w:val="single" w:sz="8" w:color="00000A"/>
              <w:right w:val="single" w:sz="8" w:color="00000A"/>
            </w:tcBorders>
          </w:tcPr>
          <w:p>
            <w:pPr>
              <w:ind w:left="40"/>
              <w:spacing w:after="0"/>
              <w:rPr>
                <w:sz w:val="20"/>
                <w:szCs w:val="20"/>
                <w:color w:val="auto"/>
              </w:rPr>
            </w:pPr>
            <w:r>
              <w:rPr>
                <w:rFonts w:ascii="Arial" w:cs="Arial" w:eastAsia="Arial" w:hAnsi="Arial"/>
                <w:sz w:val="18"/>
                <w:szCs w:val="18"/>
                <w:b w:val="1"/>
                <w:bCs w:val="1"/>
                <w:color w:val="auto"/>
              </w:rPr>
              <w:t>(Xbox One monthly Unique Users) +</w:t>
            </w:r>
          </w:p>
        </w:tc>
        <w:tc>
          <w:tcPr>
            <w:tcW w:w="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3020" w:type="dxa"/>
            <w:vAlign w:val="bottom"/>
            <w:tcBorders>
              <w:right w:val="single" w:sz="8" w:color="00000A"/>
            </w:tcBorders>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280" w:type="dxa"/>
            <w:vAlign w:val="bottom"/>
            <w:tcBorders>
              <w:right w:val="single" w:sz="8" w:color="00000A"/>
            </w:tcBorders>
          </w:tcPr>
          <w:p>
            <w:pPr>
              <w:spacing w:after="0"/>
              <w:rPr>
                <w:sz w:val="17"/>
                <w:szCs w:val="17"/>
                <w:color w:val="auto"/>
              </w:rPr>
            </w:pPr>
          </w:p>
        </w:tc>
      </w:tr>
      <w:tr>
        <w:trPr>
          <w:trHeight w:val="203"/>
        </w:trPr>
        <w:tc>
          <w:tcPr>
            <w:tcW w:w="3920" w:type="dxa"/>
            <w:vAlign w:val="bottom"/>
            <w:tcBorders>
              <w:left w:val="single" w:sz="8" w:color="00000A"/>
              <w:right w:val="single" w:sz="8" w:color="00000A"/>
            </w:tcBorders>
          </w:tcPr>
          <w:p>
            <w:pPr>
              <w:ind w:left="40"/>
              <w:spacing w:after="0" w:line="202" w:lineRule="exact"/>
              <w:rPr>
                <w:sz w:val="20"/>
                <w:szCs w:val="20"/>
                <w:color w:val="auto"/>
              </w:rPr>
            </w:pPr>
            <w:r>
              <w:rPr>
                <w:rFonts w:ascii="Arial" w:cs="Arial" w:eastAsia="Arial" w:hAnsi="Arial"/>
                <w:sz w:val="18"/>
                <w:szCs w:val="18"/>
                <w:b w:val="1"/>
                <w:bCs w:val="1"/>
                <w:color w:val="auto"/>
              </w:rPr>
              <w:t>(Windows Store (UWP) monthly Unique</w:t>
            </w:r>
          </w:p>
        </w:tc>
        <w:tc>
          <w:tcPr>
            <w:tcW w:w="740" w:type="dxa"/>
            <w:vAlign w:val="bottom"/>
            <w:gridSpan w:val="2"/>
          </w:tcPr>
          <w:p>
            <w:pPr>
              <w:ind w:left="20"/>
              <w:spacing w:after="0"/>
              <w:rPr>
                <w:sz w:val="20"/>
                <w:szCs w:val="20"/>
                <w:color w:val="auto"/>
              </w:rPr>
            </w:pPr>
            <w:r>
              <w:rPr>
                <w:rFonts w:ascii="Arial" w:cs="Arial" w:eastAsia="Arial" w:hAnsi="Arial"/>
                <w:sz w:val="16"/>
                <w:szCs w:val="16"/>
                <w:color w:val="auto"/>
              </w:rPr>
              <w:t>[***]</w:t>
            </w:r>
          </w:p>
        </w:tc>
        <w:tc>
          <w:tcPr>
            <w:tcW w:w="3020" w:type="dxa"/>
            <w:vAlign w:val="bottom"/>
            <w:tcBorders>
              <w:right w:val="single" w:sz="8" w:color="00000A"/>
            </w:tcBorders>
          </w:tcPr>
          <w:p>
            <w:pPr>
              <w:spacing w:after="0"/>
              <w:rPr>
                <w:sz w:val="17"/>
                <w:szCs w:val="17"/>
                <w:color w:val="auto"/>
              </w:rPr>
            </w:pPr>
          </w:p>
        </w:tc>
        <w:tc>
          <w:tcPr>
            <w:tcW w:w="480" w:type="dxa"/>
            <w:vAlign w:val="bottom"/>
            <w:gridSpan w:val="2"/>
          </w:tcPr>
          <w:p>
            <w:pPr>
              <w:ind w:left="20"/>
              <w:spacing w:after="0"/>
              <w:rPr>
                <w:sz w:val="20"/>
                <w:szCs w:val="20"/>
                <w:color w:val="auto"/>
              </w:rPr>
            </w:pPr>
            <w:r>
              <w:rPr>
                <w:rFonts w:ascii="Arial" w:cs="Arial" w:eastAsia="Arial" w:hAnsi="Arial"/>
                <w:sz w:val="16"/>
                <w:szCs w:val="16"/>
                <w:color w:val="auto"/>
              </w:rPr>
              <w:t>[***]</w:t>
            </w:r>
          </w:p>
        </w:tc>
        <w:tc>
          <w:tcPr>
            <w:tcW w:w="3280" w:type="dxa"/>
            <w:vAlign w:val="bottom"/>
            <w:tcBorders>
              <w:right w:val="single" w:sz="8" w:color="00000A"/>
            </w:tcBorders>
          </w:tcPr>
          <w:p>
            <w:pPr>
              <w:spacing w:after="0"/>
              <w:rPr>
                <w:sz w:val="17"/>
                <w:szCs w:val="17"/>
                <w:color w:val="auto"/>
              </w:rPr>
            </w:pPr>
          </w:p>
        </w:tc>
      </w:tr>
      <w:tr>
        <w:trPr>
          <w:trHeight w:val="246"/>
        </w:trPr>
        <w:tc>
          <w:tcPr>
            <w:tcW w:w="3920" w:type="dxa"/>
            <w:vAlign w:val="bottom"/>
            <w:tcBorders>
              <w:left w:val="single" w:sz="8" w:color="00000A"/>
              <w:bottom w:val="single" w:sz="8" w:color="00000A"/>
              <w:right w:val="single" w:sz="8" w:color="00000A"/>
            </w:tcBorders>
          </w:tcPr>
          <w:p>
            <w:pPr>
              <w:ind w:left="40"/>
              <w:spacing w:after="0"/>
              <w:rPr>
                <w:sz w:val="20"/>
                <w:szCs w:val="20"/>
                <w:color w:val="auto"/>
              </w:rPr>
            </w:pPr>
            <w:r>
              <w:rPr>
                <w:rFonts w:ascii="Arial" w:cs="Arial" w:eastAsia="Arial" w:hAnsi="Arial"/>
                <w:sz w:val="18"/>
                <w:szCs w:val="18"/>
                <w:b w:val="1"/>
                <w:bCs w:val="1"/>
                <w:color w:val="auto"/>
              </w:rPr>
              <w:t>Users) + (Xbox 360 monthly Unique Users)</w:t>
            </w:r>
          </w:p>
        </w:tc>
        <w:tc>
          <w:tcPr>
            <w:tcW w:w="80" w:type="dxa"/>
            <w:vAlign w:val="bottom"/>
            <w:tcBorders>
              <w:bottom w:val="single" w:sz="8" w:color="00000A"/>
            </w:tcBorders>
          </w:tcPr>
          <w:p>
            <w:pPr>
              <w:spacing w:after="0"/>
              <w:rPr>
                <w:sz w:val="21"/>
                <w:szCs w:val="21"/>
                <w:color w:val="auto"/>
              </w:rPr>
            </w:pPr>
          </w:p>
        </w:tc>
        <w:tc>
          <w:tcPr>
            <w:tcW w:w="660" w:type="dxa"/>
            <w:vAlign w:val="bottom"/>
            <w:tcBorders>
              <w:bottom w:val="single" w:sz="8" w:color="00000A"/>
            </w:tcBorders>
          </w:tcPr>
          <w:p>
            <w:pPr>
              <w:spacing w:after="0"/>
              <w:rPr>
                <w:sz w:val="21"/>
                <w:szCs w:val="21"/>
                <w:color w:val="auto"/>
              </w:rPr>
            </w:pPr>
          </w:p>
        </w:tc>
        <w:tc>
          <w:tcPr>
            <w:tcW w:w="3020" w:type="dxa"/>
            <w:vAlign w:val="bottom"/>
            <w:tcBorders>
              <w:bottom w:val="single" w:sz="8" w:color="00000A"/>
              <w:right w:val="single" w:sz="8" w:color="00000A"/>
            </w:tcBorders>
          </w:tcPr>
          <w:p>
            <w:pPr>
              <w:spacing w:after="0"/>
              <w:rPr>
                <w:sz w:val="21"/>
                <w:szCs w:val="21"/>
                <w:color w:val="auto"/>
              </w:rPr>
            </w:pPr>
          </w:p>
        </w:tc>
        <w:tc>
          <w:tcPr>
            <w:tcW w:w="80" w:type="dxa"/>
            <w:vAlign w:val="bottom"/>
            <w:tcBorders>
              <w:bottom w:val="single" w:sz="8" w:color="00000A"/>
            </w:tcBorders>
          </w:tcPr>
          <w:p>
            <w:pPr>
              <w:spacing w:after="0"/>
              <w:rPr>
                <w:sz w:val="21"/>
                <w:szCs w:val="21"/>
                <w:color w:val="auto"/>
              </w:rPr>
            </w:pPr>
          </w:p>
        </w:tc>
        <w:tc>
          <w:tcPr>
            <w:tcW w:w="400" w:type="dxa"/>
            <w:vAlign w:val="bottom"/>
            <w:tcBorders>
              <w:bottom w:val="single" w:sz="8" w:color="00000A"/>
            </w:tcBorders>
          </w:tcPr>
          <w:p>
            <w:pPr>
              <w:spacing w:after="0"/>
              <w:rPr>
                <w:sz w:val="21"/>
                <w:szCs w:val="21"/>
                <w:color w:val="auto"/>
              </w:rPr>
            </w:pPr>
          </w:p>
        </w:tc>
        <w:tc>
          <w:tcPr>
            <w:tcW w:w="3280" w:type="dxa"/>
            <w:vAlign w:val="bottom"/>
            <w:tcBorders>
              <w:bottom w:val="single" w:sz="8" w:color="00000A"/>
              <w:right w:val="single" w:sz="8" w:color="00000A"/>
            </w:tcBorders>
          </w:tcPr>
          <w:p>
            <w:pPr>
              <w:spacing w:after="0"/>
              <w:rPr>
                <w:sz w:val="21"/>
                <w:szCs w:val="21"/>
                <w:color w:val="auto"/>
              </w:rPr>
            </w:pPr>
          </w:p>
        </w:tc>
      </w:tr>
      <w:tr>
        <w:trPr>
          <w:trHeight w:val="250"/>
        </w:trPr>
        <w:tc>
          <w:tcPr>
            <w:tcW w:w="3920" w:type="dxa"/>
            <w:vAlign w:val="bottom"/>
            <w:tcBorders>
              <w:left w:val="single" w:sz="8" w:color="00000A"/>
              <w:bottom w:val="single" w:sz="8" w:color="00000A"/>
              <w:right w:val="single" w:sz="8" w:color="00000A"/>
            </w:tcBorders>
          </w:tcPr>
          <w:p>
            <w:pPr>
              <w:ind w:left="40"/>
              <w:spacing w:after="0"/>
              <w:rPr>
                <w:sz w:val="20"/>
                <w:szCs w:val="20"/>
                <w:color w:val="auto"/>
              </w:rPr>
            </w:pPr>
            <w:r>
              <w:rPr>
                <w:rFonts w:ascii="Arial" w:cs="Arial" w:eastAsia="Arial" w:hAnsi="Arial"/>
                <w:sz w:val="18"/>
                <w:szCs w:val="18"/>
                <w:b w:val="1"/>
                <w:bCs w:val="1"/>
                <w:color w:val="auto"/>
              </w:rPr>
              <w:t>Total</w:t>
            </w:r>
          </w:p>
        </w:tc>
        <w:tc>
          <w:tcPr>
            <w:tcW w:w="740" w:type="dxa"/>
            <w:vAlign w:val="bottom"/>
            <w:tcBorders>
              <w:bottom w:val="single" w:sz="8" w:color="00000A"/>
            </w:tcBorders>
            <w:gridSpan w:val="2"/>
          </w:tcPr>
          <w:p>
            <w:pPr>
              <w:ind w:left="20"/>
              <w:spacing w:after="0"/>
              <w:rPr>
                <w:sz w:val="20"/>
                <w:szCs w:val="20"/>
                <w:color w:val="auto"/>
              </w:rPr>
            </w:pPr>
            <w:r>
              <w:rPr>
                <w:rFonts w:ascii="Arial" w:cs="Arial" w:eastAsia="Arial" w:hAnsi="Arial"/>
                <w:sz w:val="16"/>
                <w:szCs w:val="16"/>
                <w:color w:val="auto"/>
              </w:rPr>
              <w:t>[***]</w:t>
            </w:r>
          </w:p>
        </w:tc>
        <w:tc>
          <w:tcPr>
            <w:tcW w:w="3020" w:type="dxa"/>
            <w:vAlign w:val="bottom"/>
            <w:tcBorders>
              <w:bottom w:val="single" w:sz="8" w:color="00000A"/>
              <w:right w:val="single" w:sz="8" w:color="00000A"/>
            </w:tcBorders>
          </w:tcPr>
          <w:p>
            <w:pPr>
              <w:spacing w:after="0"/>
              <w:rPr>
                <w:sz w:val="21"/>
                <w:szCs w:val="21"/>
                <w:color w:val="auto"/>
              </w:rPr>
            </w:pPr>
          </w:p>
        </w:tc>
        <w:tc>
          <w:tcPr>
            <w:tcW w:w="480" w:type="dxa"/>
            <w:vAlign w:val="bottom"/>
            <w:tcBorders>
              <w:bottom w:val="single" w:sz="8" w:color="00000A"/>
            </w:tcBorders>
            <w:gridSpan w:val="2"/>
          </w:tcPr>
          <w:p>
            <w:pPr>
              <w:ind w:left="20"/>
              <w:spacing w:after="0"/>
              <w:rPr>
                <w:sz w:val="20"/>
                <w:szCs w:val="20"/>
                <w:color w:val="auto"/>
              </w:rPr>
            </w:pPr>
            <w:r>
              <w:rPr>
                <w:rFonts w:ascii="Arial" w:cs="Arial" w:eastAsia="Arial" w:hAnsi="Arial"/>
                <w:sz w:val="16"/>
                <w:szCs w:val="16"/>
                <w:color w:val="auto"/>
              </w:rPr>
              <w:t>[***]</w:t>
            </w:r>
          </w:p>
        </w:tc>
        <w:tc>
          <w:tcPr>
            <w:tcW w:w="3280" w:type="dxa"/>
            <w:vAlign w:val="bottom"/>
            <w:tcBorders>
              <w:bottom w:val="single" w:sz="8" w:color="00000A"/>
              <w:right w:val="single" w:sz="8" w:color="00000A"/>
            </w:tcBorders>
          </w:tcPr>
          <w:p>
            <w:pPr>
              <w:spacing w:after="0"/>
              <w:rPr>
                <w:sz w:val="21"/>
                <w:szCs w:val="21"/>
                <w:color w:val="auto"/>
              </w:rPr>
            </w:pPr>
          </w:p>
        </w:tc>
      </w:tr>
    </w:tbl>
    <w:p>
      <w:pPr>
        <w:spacing w:after="0" w:line="262" w:lineRule="exact"/>
        <w:rPr>
          <w:sz w:val="20"/>
          <w:szCs w:val="20"/>
          <w:color w:val="auto"/>
        </w:rPr>
      </w:pPr>
    </w:p>
    <w:p>
      <w:pPr>
        <w:spacing w:after="0"/>
        <w:rPr>
          <w:sz w:val="20"/>
          <w:szCs w:val="20"/>
          <w:color w:val="auto"/>
        </w:rPr>
      </w:pPr>
      <w:r>
        <w:rPr>
          <w:rFonts w:ascii="Arial" w:cs="Arial" w:eastAsia="Arial" w:hAnsi="Arial"/>
          <w:sz w:val="22"/>
          <w:szCs w:val="22"/>
          <w:color w:val="auto"/>
        </w:rPr>
        <w:t>Next, assume that All Multiplayer Software Titles combined generated the following, on aggregate:</w:t>
      </w:r>
    </w:p>
    <w:p>
      <w:pPr>
        <w:spacing w:after="0" w:line="146" w:lineRule="exact"/>
        <w:rPr>
          <w:sz w:val="20"/>
          <w:szCs w:val="20"/>
          <w:color w:val="auto"/>
        </w:rPr>
      </w:pPr>
    </w:p>
    <w:p>
      <w:pPr>
        <w:ind w:left="320" w:hanging="312"/>
        <w:spacing w:after="0"/>
        <w:tabs>
          <w:tab w:leader="none" w:pos="320" w:val="left"/>
        </w:tabs>
        <w:numPr>
          <w:ilvl w:val="0"/>
          <w:numId w:val="47"/>
        </w:numPr>
        <w:rPr>
          <w:rFonts w:ascii="Arial" w:cs="Arial" w:eastAsia="Arial" w:hAnsi="Arial"/>
          <w:sz w:val="22"/>
          <w:szCs w:val="22"/>
          <w:b w:val="1"/>
          <w:bCs w:val="1"/>
          <w:color w:val="auto"/>
        </w:rPr>
      </w:pPr>
      <w:r>
        <w:rPr>
          <w:rFonts w:ascii="Arial" w:cs="Arial" w:eastAsia="Arial" w:hAnsi="Arial"/>
          <w:sz w:val="22"/>
          <w:szCs w:val="22"/>
          <w:b w:val="1"/>
          <w:bCs w:val="1"/>
          <w:color w:val="auto"/>
        </w:rPr>
        <w:t>Without the XPA Multiplier:</w:t>
      </w:r>
    </w:p>
    <w:p>
      <w:pPr>
        <w:spacing w:after="0" w:line="178" w:lineRule="exact"/>
        <w:rPr>
          <w:rFonts w:ascii="Arial" w:cs="Arial" w:eastAsia="Arial" w:hAnsi="Arial"/>
          <w:sz w:val="22"/>
          <w:szCs w:val="22"/>
          <w:b w:val="1"/>
          <w:bCs w:val="1"/>
          <w:color w:val="auto"/>
        </w:rPr>
      </w:pPr>
    </w:p>
    <w:p>
      <w:pPr>
        <w:ind w:left="660" w:right="720" w:hanging="328"/>
        <w:spacing w:after="0" w:line="293" w:lineRule="auto"/>
        <w:tabs>
          <w:tab w:leader="none" w:pos="660" w:val="left"/>
        </w:tabs>
        <w:numPr>
          <w:ilvl w:val="1"/>
          <w:numId w:val="47"/>
        </w:numPr>
        <w:rPr>
          <w:rFonts w:ascii="Arial" w:cs="Arial" w:eastAsia="Arial" w:hAnsi="Arial"/>
          <w:sz w:val="18"/>
          <w:szCs w:val="18"/>
          <w:color w:val="auto"/>
        </w:rPr>
      </w:pPr>
      <w:r>
        <w:rPr>
          <w:rFonts w:ascii="Arial" w:cs="Arial" w:eastAsia="Arial" w:hAnsi="Arial"/>
          <w:sz w:val="16"/>
          <w:szCs w:val="16"/>
          <w:color w:val="auto"/>
        </w:rPr>
        <w:t xml:space="preserve">[***] </w:t>
      </w:r>
      <w:r>
        <w:rPr>
          <w:rFonts w:ascii="Arial" w:cs="Arial" w:eastAsia="Arial" w:hAnsi="Arial"/>
          <w:sz w:val="18"/>
          <w:szCs w:val="18"/>
          <w:color w:val="auto"/>
        </w:rPr>
        <w:t>daily Unique Users (aggregation of each Day in the Accounting Period) on Xbox One, Xbox 360, and Windows Store UWP</w:t>
      </w:r>
      <w:r>
        <w:rPr>
          <w:rFonts w:ascii="Arial" w:cs="Arial" w:eastAsia="Arial" w:hAnsi="Arial"/>
          <w:sz w:val="16"/>
          <w:szCs w:val="16"/>
          <w:color w:val="auto"/>
        </w:rPr>
        <w:t xml:space="preserve"> </w:t>
      </w:r>
      <w:r>
        <w:rPr>
          <w:rFonts w:ascii="Arial" w:cs="Arial" w:eastAsia="Arial" w:hAnsi="Arial"/>
          <w:sz w:val="18"/>
          <w:szCs w:val="18"/>
          <w:color w:val="auto"/>
        </w:rPr>
        <w:t>(inclusive of any XPA Multipliers)</w:t>
      </w:r>
    </w:p>
    <w:p>
      <w:pPr>
        <w:spacing w:after="0" w:line="102" w:lineRule="exact"/>
        <w:rPr>
          <w:rFonts w:ascii="Arial" w:cs="Arial" w:eastAsia="Arial" w:hAnsi="Arial"/>
          <w:sz w:val="18"/>
          <w:szCs w:val="18"/>
          <w:color w:val="auto"/>
        </w:rPr>
      </w:pPr>
    </w:p>
    <w:p>
      <w:pPr>
        <w:ind w:left="660" w:right="480" w:hanging="328"/>
        <w:spacing w:after="0" w:line="293" w:lineRule="auto"/>
        <w:tabs>
          <w:tab w:leader="none" w:pos="660" w:val="left"/>
        </w:tabs>
        <w:numPr>
          <w:ilvl w:val="1"/>
          <w:numId w:val="47"/>
        </w:numPr>
        <w:rPr>
          <w:rFonts w:ascii="Arial" w:cs="Arial" w:eastAsia="Arial" w:hAnsi="Arial"/>
          <w:sz w:val="18"/>
          <w:szCs w:val="18"/>
          <w:color w:val="auto"/>
        </w:rPr>
      </w:pPr>
      <w:r>
        <w:rPr>
          <w:rFonts w:ascii="Arial" w:cs="Arial" w:eastAsia="Arial" w:hAnsi="Arial"/>
          <w:sz w:val="16"/>
          <w:szCs w:val="16"/>
          <w:color w:val="auto"/>
        </w:rPr>
        <w:t xml:space="preserve">[***] </w:t>
      </w:r>
      <w:r>
        <w:rPr>
          <w:rFonts w:ascii="Arial" w:cs="Arial" w:eastAsia="Arial" w:hAnsi="Arial"/>
          <w:sz w:val="18"/>
          <w:szCs w:val="18"/>
          <w:color w:val="auto"/>
        </w:rPr>
        <w:t>monthly Unique Users (aggregation of each calendar month in the Accounting Period) on Xbox One, Xbox 360, and Windows</w:t>
      </w:r>
      <w:r>
        <w:rPr>
          <w:rFonts w:ascii="Arial" w:cs="Arial" w:eastAsia="Arial" w:hAnsi="Arial"/>
          <w:sz w:val="16"/>
          <w:szCs w:val="16"/>
          <w:color w:val="auto"/>
        </w:rPr>
        <w:t xml:space="preserve"> </w:t>
      </w:r>
      <w:r>
        <w:rPr>
          <w:rFonts w:ascii="Arial" w:cs="Arial" w:eastAsia="Arial" w:hAnsi="Arial"/>
          <w:sz w:val="18"/>
          <w:szCs w:val="18"/>
          <w:color w:val="auto"/>
        </w:rPr>
        <w:t>Store UWP (inclusive of any XPA Multipliers)</w:t>
      </w:r>
    </w:p>
    <w:p>
      <w:pPr>
        <w:spacing w:after="0" w:line="75" w:lineRule="exact"/>
        <w:rPr>
          <w:rFonts w:ascii="Arial" w:cs="Arial" w:eastAsia="Arial" w:hAnsi="Arial"/>
          <w:sz w:val="18"/>
          <w:szCs w:val="18"/>
          <w:color w:val="auto"/>
        </w:rPr>
      </w:pPr>
    </w:p>
    <w:p>
      <w:pPr>
        <w:ind w:left="320" w:hanging="312"/>
        <w:spacing w:after="0"/>
        <w:tabs>
          <w:tab w:leader="none" w:pos="320" w:val="left"/>
        </w:tabs>
        <w:numPr>
          <w:ilvl w:val="0"/>
          <w:numId w:val="47"/>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With the </w:t>
      </w:r>
      <w:r>
        <w:rPr>
          <w:rFonts w:ascii="Arial" w:cs="Arial" w:eastAsia="Arial" w:hAnsi="Arial"/>
          <w:sz w:val="16"/>
          <w:szCs w:val="16"/>
          <w:color w:val="auto"/>
        </w:rPr>
        <w:t>[***]</w:t>
      </w:r>
      <w:r>
        <w:rPr>
          <w:rFonts w:ascii="Arial" w:cs="Arial" w:eastAsia="Arial" w:hAnsi="Arial"/>
          <w:sz w:val="22"/>
          <w:szCs w:val="22"/>
          <w:b w:val="1"/>
          <w:bCs w:val="1"/>
          <w:color w:val="auto"/>
        </w:rPr>
        <w:t xml:space="preserve"> XPA Multiplier:</w:t>
      </w:r>
    </w:p>
    <w:p>
      <w:pPr>
        <w:spacing w:after="0" w:line="192" w:lineRule="exact"/>
        <w:rPr>
          <w:rFonts w:ascii="Arial" w:cs="Arial" w:eastAsia="Arial" w:hAnsi="Arial"/>
          <w:sz w:val="22"/>
          <w:szCs w:val="22"/>
          <w:b w:val="1"/>
          <w:bCs w:val="1"/>
          <w:color w:val="auto"/>
        </w:rPr>
      </w:pPr>
    </w:p>
    <w:p>
      <w:pPr>
        <w:ind w:left="660" w:right="720" w:hanging="328"/>
        <w:spacing w:after="0" w:line="293" w:lineRule="auto"/>
        <w:tabs>
          <w:tab w:leader="none" w:pos="660" w:val="left"/>
        </w:tabs>
        <w:numPr>
          <w:ilvl w:val="1"/>
          <w:numId w:val="47"/>
        </w:numPr>
        <w:rPr>
          <w:rFonts w:ascii="Arial" w:cs="Arial" w:eastAsia="Arial" w:hAnsi="Arial"/>
          <w:sz w:val="18"/>
          <w:szCs w:val="18"/>
          <w:color w:val="auto"/>
        </w:rPr>
      </w:pPr>
      <w:r>
        <w:rPr>
          <w:rFonts w:ascii="Arial" w:cs="Arial" w:eastAsia="Arial" w:hAnsi="Arial"/>
          <w:sz w:val="16"/>
          <w:szCs w:val="16"/>
          <w:color w:val="auto"/>
        </w:rPr>
        <w:t xml:space="preserve">[***] </w:t>
      </w:r>
      <w:r>
        <w:rPr>
          <w:rFonts w:ascii="Arial" w:cs="Arial" w:eastAsia="Arial" w:hAnsi="Arial"/>
          <w:sz w:val="18"/>
          <w:szCs w:val="18"/>
          <w:color w:val="auto"/>
        </w:rPr>
        <w:t>daily Unique Users (aggregation of each Day in the Accounting Period) on Xbox One, Xbox 360, and Windows Store UWP</w:t>
      </w:r>
      <w:r>
        <w:rPr>
          <w:rFonts w:ascii="Arial" w:cs="Arial" w:eastAsia="Arial" w:hAnsi="Arial"/>
          <w:sz w:val="16"/>
          <w:szCs w:val="16"/>
          <w:color w:val="auto"/>
        </w:rPr>
        <w:t xml:space="preserve"> </w:t>
      </w:r>
      <w:r>
        <w:rPr>
          <w:rFonts w:ascii="Arial" w:cs="Arial" w:eastAsia="Arial" w:hAnsi="Arial"/>
          <w:sz w:val="18"/>
          <w:szCs w:val="18"/>
          <w:color w:val="auto"/>
        </w:rPr>
        <w:t>(inclusive of any XPA Multipliers)</w:t>
      </w:r>
    </w:p>
    <w:p>
      <w:pPr>
        <w:spacing w:after="0" w:line="102" w:lineRule="exact"/>
        <w:rPr>
          <w:rFonts w:ascii="Arial" w:cs="Arial" w:eastAsia="Arial" w:hAnsi="Arial"/>
          <w:sz w:val="18"/>
          <w:szCs w:val="18"/>
          <w:color w:val="auto"/>
        </w:rPr>
      </w:pPr>
    </w:p>
    <w:p>
      <w:pPr>
        <w:ind w:left="660" w:right="480" w:hanging="328"/>
        <w:spacing w:after="0" w:line="293" w:lineRule="auto"/>
        <w:tabs>
          <w:tab w:leader="none" w:pos="660" w:val="left"/>
        </w:tabs>
        <w:numPr>
          <w:ilvl w:val="1"/>
          <w:numId w:val="47"/>
        </w:numPr>
        <w:rPr>
          <w:rFonts w:ascii="Arial" w:cs="Arial" w:eastAsia="Arial" w:hAnsi="Arial"/>
          <w:sz w:val="18"/>
          <w:szCs w:val="18"/>
          <w:color w:val="auto"/>
        </w:rPr>
      </w:pPr>
      <w:r>
        <w:rPr>
          <w:rFonts w:ascii="Arial" w:cs="Arial" w:eastAsia="Arial" w:hAnsi="Arial"/>
          <w:sz w:val="16"/>
          <w:szCs w:val="16"/>
          <w:color w:val="auto"/>
        </w:rPr>
        <w:t xml:space="preserve">[***] </w:t>
      </w:r>
      <w:r>
        <w:rPr>
          <w:rFonts w:ascii="Arial" w:cs="Arial" w:eastAsia="Arial" w:hAnsi="Arial"/>
          <w:sz w:val="18"/>
          <w:szCs w:val="18"/>
          <w:color w:val="auto"/>
        </w:rPr>
        <w:t>monthly Unique Users (aggregation of each calendar month in the Accounting Period) on Xbox One, Xbox 360, and Windows</w:t>
      </w:r>
      <w:r>
        <w:rPr>
          <w:rFonts w:ascii="Arial" w:cs="Arial" w:eastAsia="Arial" w:hAnsi="Arial"/>
          <w:sz w:val="16"/>
          <w:szCs w:val="16"/>
          <w:color w:val="auto"/>
        </w:rPr>
        <w:t xml:space="preserve"> </w:t>
      </w:r>
      <w:r>
        <w:rPr>
          <w:rFonts w:ascii="Arial" w:cs="Arial" w:eastAsia="Arial" w:hAnsi="Arial"/>
          <w:sz w:val="18"/>
          <w:szCs w:val="18"/>
          <w:color w:val="auto"/>
        </w:rPr>
        <w:t>Store UWP (inclusive of any XPA Multipliers)</w:t>
      </w:r>
    </w:p>
    <w:p>
      <w:pPr>
        <w:spacing w:after="0" w:line="82" w:lineRule="exact"/>
        <w:rPr>
          <w:sz w:val="20"/>
          <w:szCs w:val="20"/>
          <w:color w:val="auto"/>
        </w:rPr>
      </w:pPr>
    </w:p>
    <w:p>
      <w:pPr>
        <w:spacing w:after="0"/>
        <w:rPr>
          <w:sz w:val="20"/>
          <w:szCs w:val="20"/>
          <w:color w:val="auto"/>
        </w:rPr>
      </w:pPr>
      <w:r>
        <w:rPr>
          <w:rFonts w:ascii="Arial" w:cs="Arial" w:eastAsia="Arial" w:hAnsi="Arial"/>
          <w:sz w:val="22"/>
          <w:szCs w:val="22"/>
          <w:color w:val="auto"/>
        </w:rPr>
        <w:t>Publisher’s Xbox Live Share would be:</w:t>
      </w:r>
    </w:p>
    <w:p>
      <w:pPr>
        <w:spacing w:after="0" w:line="150" w:lineRule="exact"/>
        <w:rPr>
          <w:sz w:val="20"/>
          <w:szCs w:val="20"/>
          <w:color w:val="auto"/>
        </w:rPr>
      </w:pPr>
    </w:p>
    <w:p>
      <w:pPr>
        <w:spacing w:after="0"/>
        <w:rPr>
          <w:sz w:val="20"/>
          <w:szCs w:val="20"/>
          <w:color w:val="auto"/>
        </w:rPr>
      </w:pPr>
      <w:r>
        <w:rPr>
          <w:rFonts w:ascii="Arial" w:cs="Arial" w:eastAsia="Arial" w:hAnsi="Arial"/>
          <w:sz w:val="16"/>
          <w:szCs w:val="16"/>
          <w:color w:val="auto"/>
        </w:rPr>
        <w:t>[***]</w:t>
      </w:r>
    </w:p>
    <w:p>
      <w:pPr>
        <w:spacing w:after="0" w:line="161" w:lineRule="exact"/>
        <w:rPr>
          <w:sz w:val="20"/>
          <w:szCs w:val="20"/>
          <w:color w:val="auto"/>
        </w:rPr>
      </w:pPr>
    </w:p>
    <w:p>
      <w:pPr>
        <w:ind w:left="1020" w:hanging="364"/>
        <w:spacing w:after="0"/>
        <w:tabs>
          <w:tab w:leader="none" w:pos="1020" w:val="left"/>
        </w:tabs>
        <w:numPr>
          <w:ilvl w:val="1"/>
          <w:numId w:val="48"/>
        </w:numPr>
        <w:rPr>
          <w:rFonts w:ascii="Arial" w:cs="Arial" w:eastAsia="Arial" w:hAnsi="Arial"/>
          <w:sz w:val="22"/>
          <w:szCs w:val="22"/>
          <w:color w:val="auto"/>
        </w:rPr>
      </w:pPr>
      <w:r>
        <w:rPr>
          <w:rFonts w:ascii="Arial" w:cs="Arial" w:eastAsia="Arial" w:hAnsi="Arial"/>
          <w:sz w:val="16"/>
          <w:szCs w:val="16"/>
          <w:color w:val="auto"/>
        </w:rPr>
        <w:t>[***]</w:t>
      </w:r>
    </w:p>
    <w:p>
      <w:pPr>
        <w:spacing w:after="0" w:line="165" w:lineRule="exact"/>
        <w:rPr>
          <w:rFonts w:ascii="Arial" w:cs="Arial" w:eastAsia="Arial" w:hAnsi="Arial"/>
          <w:sz w:val="22"/>
          <w:szCs w:val="22"/>
          <w:color w:val="auto"/>
        </w:rPr>
      </w:pPr>
    </w:p>
    <w:p>
      <w:pPr>
        <w:ind w:left="1040" w:hanging="384"/>
        <w:spacing w:after="0"/>
        <w:tabs>
          <w:tab w:leader="none" w:pos="1040" w:val="left"/>
        </w:tabs>
        <w:numPr>
          <w:ilvl w:val="1"/>
          <w:numId w:val="48"/>
        </w:numPr>
        <w:rPr>
          <w:rFonts w:ascii="Arial" w:cs="Arial" w:eastAsia="Arial" w:hAnsi="Arial"/>
          <w:sz w:val="22"/>
          <w:szCs w:val="22"/>
          <w:color w:val="auto"/>
        </w:rPr>
      </w:pPr>
      <w:r>
        <w:rPr>
          <w:rFonts w:ascii="Arial" w:cs="Arial" w:eastAsia="Arial" w:hAnsi="Arial"/>
          <w:sz w:val="16"/>
          <w:szCs w:val="16"/>
          <w:color w:val="auto"/>
        </w:rPr>
        <w:t>[***]</w:t>
      </w:r>
    </w:p>
    <w:p>
      <w:pPr>
        <w:spacing w:after="0" w:line="158" w:lineRule="exact"/>
        <w:rPr>
          <w:rFonts w:ascii="Arial" w:cs="Arial" w:eastAsia="Arial" w:hAnsi="Arial"/>
          <w:sz w:val="22"/>
          <w:szCs w:val="22"/>
          <w:color w:val="auto"/>
        </w:rPr>
      </w:pPr>
    </w:p>
    <w:p>
      <w:pPr>
        <w:ind w:left="500" w:right="620" w:hanging="492"/>
        <w:spacing w:after="0" w:line="303" w:lineRule="auto"/>
        <w:tabs>
          <w:tab w:leader="none" w:pos="500" w:val="left"/>
        </w:tabs>
        <w:numPr>
          <w:ilvl w:val="0"/>
          <w:numId w:val="49"/>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Payments. </w:t>
      </w:r>
      <w:r>
        <w:rPr>
          <w:rFonts w:ascii="Arial" w:cs="Arial" w:eastAsia="Arial" w:hAnsi="Arial"/>
          <w:sz w:val="18"/>
          <w:szCs w:val="18"/>
          <w:color w:val="auto"/>
        </w:rPr>
        <w:t>In the event Publisher qualifies for an incentive payment under the Xbox Live Incentive Program during an Accounting</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Period, Microsoft will provide payment for any amount due to Publisher </w:t>
      </w:r>
      <w:r>
        <w:rPr>
          <w:rFonts w:ascii="Arial" w:cs="Arial" w:eastAsia="Arial" w:hAnsi="Arial"/>
          <w:sz w:val="16"/>
          <w:szCs w:val="16"/>
          <w:b w:val="1"/>
          <w:bCs w:val="1"/>
          <w:color w:val="auto"/>
        </w:rPr>
        <w:t>[***]</w:t>
      </w:r>
      <w:r>
        <w:rPr>
          <w:rFonts w:ascii="Arial" w:cs="Arial" w:eastAsia="Arial" w:hAnsi="Arial"/>
          <w:sz w:val="18"/>
          <w:szCs w:val="18"/>
          <w:color w:val="auto"/>
        </w:rPr>
        <w:t xml:space="preserve"> after the end of each Accounting Period.</w:t>
      </w:r>
    </w:p>
    <w:p>
      <w:pPr>
        <w:spacing w:after="0" w:line="58" w:lineRule="exact"/>
        <w:rPr>
          <w:rFonts w:ascii="Arial" w:cs="Arial" w:eastAsia="Arial" w:hAnsi="Arial"/>
          <w:sz w:val="18"/>
          <w:szCs w:val="18"/>
          <w:b w:val="1"/>
          <w:bCs w:val="1"/>
          <w:color w:val="auto"/>
        </w:rPr>
      </w:pPr>
    </w:p>
    <w:p>
      <w:pPr>
        <w:ind w:left="500" w:hanging="492"/>
        <w:spacing w:after="0"/>
        <w:tabs>
          <w:tab w:leader="none" w:pos="500" w:val="left"/>
        </w:tabs>
        <w:numPr>
          <w:ilvl w:val="0"/>
          <w:numId w:val="49"/>
        </w:numPr>
        <w:rPr>
          <w:rFonts w:ascii="Arial" w:cs="Arial" w:eastAsia="Arial" w:hAnsi="Arial"/>
          <w:sz w:val="18"/>
          <w:szCs w:val="18"/>
          <w:b w:val="1"/>
          <w:bCs w:val="1"/>
          <w:color w:val="auto"/>
        </w:rPr>
      </w:pPr>
      <w:r>
        <w:rPr>
          <w:rFonts w:ascii="Arial" w:cs="Arial" w:eastAsia="Arial" w:hAnsi="Arial"/>
          <w:sz w:val="18"/>
          <w:szCs w:val="18"/>
          <w:b w:val="1"/>
          <w:bCs w:val="1"/>
          <w:color w:val="auto"/>
        </w:rPr>
        <w:t>Other Xbox Live Incentive Program Requirements.</w:t>
      </w:r>
    </w:p>
    <w:p>
      <w:pPr>
        <w:spacing w:after="0" w:line="131" w:lineRule="exact"/>
        <w:rPr>
          <w:sz w:val="20"/>
          <w:szCs w:val="20"/>
          <w:color w:val="auto"/>
        </w:rPr>
      </w:pPr>
    </w:p>
    <w:p>
      <w:pPr>
        <w:ind w:right="40" w:firstLine="486"/>
        <w:spacing w:after="0" w:line="303" w:lineRule="auto"/>
        <w:rPr>
          <w:sz w:val="20"/>
          <w:szCs w:val="20"/>
          <w:color w:val="auto"/>
        </w:rPr>
      </w:pPr>
      <w:r>
        <w:rPr>
          <w:rFonts w:ascii="Arial" w:cs="Arial" w:eastAsia="Arial" w:hAnsi="Arial"/>
          <w:sz w:val="18"/>
          <w:szCs w:val="18"/>
          <w:b w:val="1"/>
          <w:bCs w:val="1"/>
          <w:color w:val="auto"/>
        </w:rPr>
        <w:t xml:space="preserve">6.1 Multiplayer Software Title simship, feature and content parity. </w:t>
      </w:r>
      <w:r>
        <w:rPr>
          <w:rFonts w:ascii="Arial" w:cs="Arial" w:eastAsia="Arial" w:hAnsi="Arial"/>
          <w:sz w:val="18"/>
          <w:szCs w:val="18"/>
          <w:color w:val="auto"/>
        </w:rPr>
        <w:t>Any Multiplayer Software Title that does not meet the following</w:t>
      </w:r>
      <w:r>
        <w:rPr>
          <w:rFonts w:ascii="Arial" w:cs="Arial" w:eastAsia="Arial" w:hAnsi="Arial"/>
          <w:sz w:val="18"/>
          <w:szCs w:val="18"/>
          <w:b w:val="1"/>
          <w:bCs w:val="1"/>
          <w:color w:val="auto"/>
        </w:rPr>
        <w:t xml:space="preserve"> </w:t>
      </w:r>
      <w:r>
        <w:rPr>
          <w:rFonts w:ascii="Arial" w:cs="Arial" w:eastAsia="Arial" w:hAnsi="Arial"/>
          <w:sz w:val="18"/>
          <w:szCs w:val="18"/>
          <w:color w:val="auto"/>
        </w:rPr>
        <w:t>simship, feature and content parity requirements will not be included in the Xbox Live Share calculation for Publisher:</w:t>
      </w:r>
    </w:p>
    <w:p>
      <w:pPr>
        <w:sectPr>
          <w:pgSz w:w="11900" w:h="16838" w:orient="portrait"/>
          <w:cols w:equalWidth="0" w:num="1">
            <w:col w:w="11440"/>
          </w:cols>
          <w:pgMar w:left="240" w:top="359" w:right="219" w:bottom="1440" w:gutter="0" w:footer="0" w:header="0"/>
        </w:sectPr>
      </w:pPr>
    </w:p>
    <w:p>
      <w:pPr>
        <w:spacing w:after="0" w:line="287" w:lineRule="exact"/>
        <w:rPr>
          <w:sz w:val="20"/>
          <w:szCs w:val="20"/>
          <w:color w:val="auto"/>
        </w:rPr>
      </w:pPr>
    </w:p>
    <w:p>
      <w:pPr>
        <w:spacing w:after="0" w:line="369" w:lineRule="auto"/>
        <w:rPr>
          <w:sz w:val="20"/>
          <w:szCs w:val="20"/>
          <w:color w:val="auto"/>
        </w:rPr>
      </w:pPr>
      <w:r>
        <w:rPr>
          <w:rFonts w:ascii="Arial" w:cs="Arial" w:eastAsia="Arial" w:hAnsi="Arial"/>
          <w:sz w:val="14"/>
          <w:szCs w:val="14"/>
          <w:color w:val="auto"/>
        </w:rPr>
        <w:t>Microsoft Confidential AOC v1 September 2017</w:t>
      </w:r>
    </w:p>
    <w:p>
      <w:pPr>
        <w:spacing w:after="0" w:line="20" w:lineRule="exact"/>
        <w:rPr>
          <w:sz w:val="20"/>
          <w:szCs w:val="20"/>
          <w:color w:val="auto"/>
        </w:rPr>
      </w:pPr>
      <w:r>
        <w:rPr>
          <w:sz w:val="20"/>
          <w:szCs w:val="20"/>
          <w:color w:val="auto"/>
        </w:rPr>
        <w:br w:type="column"/>
      </w:r>
    </w:p>
    <w:p>
      <w:pPr>
        <w:spacing w:after="0" w:line="267" w:lineRule="exact"/>
        <w:rPr>
          <w:sz w:val="20"/>
          <w:szCs w:val="20"/>
          <w:color w:val="auto"/>
        </w:rPr>
      </w:pPr>
    </w:p>
    <w:p>
      <w:pPr>
        <w:spacing w:after="0"/>
        <w:rPr>
          <w:sz w:val="20"/>
          <w:szCs w:val="20"/>
          <w:color w:val="auto"/>
        </w:rPr>
      </w:pPr>
      <w:r>
        <w:rPr>
          <w:rFonts w:ascii="Arial" w:cs="Arial" w:eastAsia="Arial" w:hAnsi="Arial"/>
          <w:sz w:val="14"/>
          <w:szCs w:val="14"/>
          <w:color w:val="auto"/>
        </w:rPr>
        <w:t>Page 7 of 11</w:t>
      </w:r>
    </w:p>
    <w:p>
      <w:pPr>
        <w:sectPr>
          <w:pgSz w:w="11900" w:h="16838" w:orient="portrait"/>
          <w:cols w:equalWidth="0" w:num="2">
            <w:col w:w="1660" w:space="160"/>
            <w:col w:w="9620"/>
          </w:cols>
          <w:pgMar w:left="240" w:top="359" w:right="219" w:bottom="1440" w:gutter="0" w:footer="0" w:header="0"/>
          <w:type w:val="continuous"/>
        </w:sectPr>
      </w:pPr>
    </w:p>
    <w:bookmarkStart w:id="98" w:name="page99"/>
    <w:bookmarkEnd w:id="98"/>
    <w:p>
      <w:pPr>
        <w:spacing w:after="0"/>
        <w:rPr>
          <w:sz w:val="20"/>
          <w:szCs w:val="20"/>
          <w:color w:val="auto"/>
        </w:rPr>
      </w:pPr>
      <w:r>
        <w:rPr>
          <w:rFonts w:ascii="Arial" w:cs="Arial" w:eastAsia="Arial" w:hAnsi="Arial"/>
          <w:sz w:val="16"/>
          <w:szCs w:val="16"/>
          <w:color w:val="auto"/>
        </w:rPr>
        <w:t>DocuSign Envelope ID: 4C2579D7-B77B-4D46-AF9B-741487D134D7</w:t>
      </w:r>
    </w:p>
    <w:p>
      <w:pPr>
        <w:spacing w:after="0" w:line="397" w:lineRule="exact"/>
        <w:rPr>
          <w:sz w:val="20"/>
          <w:szCs w:val="20"/>
          <w:color w:val="auto"/>
        </w:rPr>
      </w:pPr>
    </w:p>
    <w:p>
      <w:pPr>
        <w:ind w:left="1040"/>
        <w:spacing w:after="0"/>
        <w:tabs>
          <w:tab w:leader="none" w:pos="1600" w:val="left"/>
        </w:tabs>
        <w:rPr>
          <w:sz w:val="20"/>
          <w:szCs w:val="20"/>
          <w:color w:val="auto"/>
        </w:rPr>
      </w:pPr>
      <w:r>
        <w:rPr>
          <w:rFonts w:ascii="Arial" w:cs="Arial" w:eastAsia="Arial" w:hAnsi="Arial"/>
          <w:sz w:val="18"/>
          <w:szCs w:val="18"/>
          <w:b w:val="1"/>
          <w:bCs w:val="1"/>
          <w:color w:val="auto"/>
        </w:rPr>
        <w:t>6.1.1</w:t>
      </w:r>
      <w:r>
        <w:rPr>
          <w:sz w:val="20"/>
          <w:szCs w:val="20"/>
          <w:color w:val="auto"/>
        </w:rPr>
        <w:tab/>
      </w:r>
      <w:r>
        <w:rPr>
          <w:rFonts w:ascii="Arial" w:cs="Arial" w:eastAsia="Arial" w:hAnsi="Arial"/>
          <w:sz w:val="16"/>
          <w:szCs w:val="16"/>
          <w:color w:val="auto"/>
        </w:rPr>
        <w:t>[***]</w:t>
      </w:r>
      <w:r>
        <w:rPr>
          <w:rFonts w:ascii="Arial" w:cs="Arial" w:eastAsia="Arial" w:hAnsi="Arial"/>
          <w:sz w:val="18"/>
          <w:szCs w:val="18"/>
          <w:color w:val="auto"/>
        </w:rPr>
        <w:t>;</w:t>
      </w:r>
    </w:p>
    <w:p>
      <w:pPr>
        <w:spacing w:after="0" w:line="144" w:lineRule="exact"/>
        <w:rPr>
          <w:sz w:val="20"/>
          <w:szCs w:val="20"/>
          <w:color w:val="auto"/>
        </w:rPr>
      </w:pPr>
    </w:p>
    <w:p>
      <w:pPr>
        <w:ind w:left="1040"/>
        <w:spacing w:after="0"/>
        <w:tabs>
          <w:tab w:leader="none" w:pos="1600" w:val="left"/>
        </w:tabs>
        <w:rPr>
          <w:sz w:val="20"/>
          <w:szCs w:val="20"/>
          <w:color w:val="auto"/>
        </w:rPr>
      </w:pPr>
      <w:r>
        <w:rPr>
          <w:rFonts w:ascii="Arial" w:cs="Arial" w:eastAsia="Arial" w:hAnsi="Arial"/>
          <w:sz w:val="18"/>
          <w:szCs w:val="18"/>
          <w:b w:val="1"/>
          <w:bCs w:val="1"/>
          <w:color w:val="auto"/>
        </w:rPr>
        <w:t>6.1.2</w:t>
      </w:r>
      <w:r>
        <w:rPr>
          <w:sz w:val="20"/>
          <w:szCs w:val="20"/>
          <w:color w:val="auto"/>
        </w:rPr>
        <w:tab/>
      </w:r>
      <w:r>
        <w:rPr>
          <w:rFonts w:ascii="Arial" w:cs="Arial" w:eastAsia="Arial" w:hAnsi="Arial"/>
          <w:sz w:val="16"/>
          <w:szCs w:val="16"/>
          <w:color w:val="auto"/>
        </w:rPr>
        <w:t>[***]</w:t>
      </w:r>
      <w:r>
        <w:rPr>
          <w:rFonts w:ascii="Arial" w:cs="Arial" w:eastAsia="Arial" w:hAnsi="Arial"/>
          <w:sz w:val="18"/>
          <w:szCs w:val="18"/>
          <w:color w:val="auto"/>
        </w:rPr>
        <w:t>; and</w:t>
      </w:r>
    </w:p>
    <w:p>
      <w:pPr>
        <w:spacing w:after="0" w:line="144" w:lineRule="exact"/>
        <w:rPr>
          <w:sz w:val="20"/>
          <w:szCs w:val="20"/>
          <w:color w:val="auto"/>
        </w:rPr>
      </w:pPr>
    </w:p>
    <w:p>
      <w:pPr>
        <w:ind w:left="1040"/>
        <w:spacing w:after="0"/>
        <w:tabs>
          <w:tab w:leader="none" w:pos="1600" w:val="left"/>
        </w:tabs>
        <w:rPr>
          <w:sz w:val="20"/>
          <w:szCs w:val="20"/>
          <w:color w:val="auto"/>
        </w:rPr>
      </w:pPr>
      <w:r>
        <w:rPr>
          <w:rFonts w:ascii="Arial" w:cs="Arial" w:eastAsia="Arial" w:hAnsi="Arial"/>
          <w:sz w:val="18"/>
          <w:szCs w:val="18"/>
          <w:b w:val="1"/>
          <w:bCs w:val="1"/>
          <w:color w:val="auto"/>
        </w:rPr>
        <w:t>6.1.3</w:t>
      </w:r>
      <w:r>
        <w:rPr>
          <w:sz w:val="20"/>
          <w:szCs w:val="20"/>
          <w:color w:val="auto"/>
        </w:rPr>
        <w:tab/>
      </w:r>
      <w:r>
        <w:rPr>
          <w:rFonts w:ascii="Arial" w:cs="Arial" w:eastAsia="Arial" w:hAnsi="Arial"/>
          <w:sz w:val="16"/>
          <w:szCs w:val="16"/>
          <w:color w:val="auto"/>
        </w:rPr>
        <w:t>[***]</w:t>
      </w:r>
      <w:r>
        <w:rPr>
          <w:rFonts w:ascii="Arial" w:cs="Arial" w:eastAsia="Arial" w:hAnsi="Arial"/>
          <w:sz w:val="18"/>
          <w:szCs w:val="18"/>
          <w:color w:val="auto"/>
        </w:rPr>
        <w:t>.</w:t>
      </w:r>
    </w:p>
    <w:p>
      <w:pPr>
        <w:spacing w:after="0" w:line="144" w:lineRule="exact"/>
        <w:rPr>
          <w:sz w:val="20"/>
          <w:szCs w:val="20"/>
          <w:color w:val="auto"/>
        </w:rPr>
      </w:pPr>
    </w:p>
    <w:p>
      <w:pPr>
        <w:jc w:val="both"/>
        <w:ind w:right="760" w:firstLine="1040"/>
        <w:spacing w:after="0" w:line="303" w:lineRule="auto"/>
        <w:rPr>
          <w:sz w:val="20"/>
          <w:szCs w:val="20"/>
          <w:color w:val="auto"/>
        </w:rPr>
      </w:pPr>
      <w:r>
        <w:rPr>
          <w:rFonts w:ascii="Arial" w:cs="Arial" w:eastAsia="Arial" w:hAnsi="Arial"/>
          <w:sz w:val="18"/>
          <w:szCs w:val="18"/>
          <w:b w:val="1"/>
          <w:bCs w:val="1"/>
          <w:color w:val="auto"/>
        </w:rPr>
        <w:t xml:space="preserve">6.1.4 </w:t>
      </w:r>
      <w:r>
        <w:rPr>
          <w:rFonts w:ascii="Arial" w:cs="Arial" w:eastAsia="Arial" w:hAnsi="Arial"/>
          <w:sz w:val="18"/>
          <w:szCs w:val="18"/>
          <w:color w:val="auto"/>
        </w:rPr>
        <w:t>Each Multiplayer Software Title must be in compliance with the post-Commercial Release hardware feature parity</w:t>
      </w:r>
      <w:r>
        <w:rPr>
          <w:rFonts w:ascii="Arial" w:cs="Arial" w:eastAsia="Arial" w:hAnsi="Arial"/>
          <w:sz w:val="18"/>
          <w:szCs w:val="18"/>
          <w:b w:val="1"/>
          <w:bCs w:val="1"/>
          <w:color w:val="auto"/>
        </w:rPr>
        <w:t xml:space="preserve"> </w:t>
      </w:r>
      <w:r>
        <w:rPr>
          <w:rFonts w:ascii="Arial" w:cs="Arial" w:eastAsia="Arial" w:hAnsi="Arial"/>
          <w:sz w:val="18"/>
          <w:szCs w:val="18"/>
          <w:color w:val="auto"/>
        </w:rPr>
        <w:t>requirements set forth in Section 9.5 of the Agreement on a country-by-country basis where Xbox 360 and/or Xbox One are available.</w:t>
      </w:r>
    </w:p>
    <w:p>
      <w:pPr>
        <w:spacing w:after="0" w:line="45" w:lineRule="exact"/>
        <w:rPr>
          <w:sz w:val="20"/>
          <w:szCs w:val="20"/>
          <w:color w:val="auto"/>
        </w:rPr>
      </w:pPr>
    </w:p>
    <w:p>
      <w:pPr>
        <w:ind w:right="100" w:firstLine="486"/>
        <w:spacing w:after="0" w:line="283" w:lineRule="auto"/>
        <w:rPr>
          <w:sz w:val="20"/>
          <w:szCs w:val="20"/>
          <w:color w:val="auto"/>
        </w:rPr>
      </w:pPr>
      <w:r>
        <w:rPr>
          <w:rFonts w:ascii="Arial" w:cs="Arial" w:eastAsia="Arial" w:hAnsi="Arial"/>
          <w:sz w:val="18"/>
          <w:szCs w:val="18"/>
          <w:b w:val="1"/>
          <w:bCs w:val="1"/>
          <w:color w:val="auto"/>
        </w:rPr>
        <w:t xml:space="preserve">6.2 Minimum Xbox Live Unique User Threshold. </w:t>
      </w:r>
      <w:r>
        <w:rPr>
          <w:rFonts w:ascii="Arial" w:cs="Arial" w:eastAsia="Arial" w:hAnsi="Arial"/>
          <w:sz w:val="18"/>
          <w:szCs w:val="18"/>
          <w:color w:val="auto"/>
        </w:rPr>
        <w:t>To qualify for the Xbox Live Incentive Program, Publisher’s minimum Unique User</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total for the applicable Accounting Period must be at least </w:t>
      </w:r>
      <w:r>
        <w:rPr>
          <w:rFonts w:ascii="Arial" w:cs="Arial" w:eastAsia="Arial" w:hAnsi="Arial"/>
          <w:sz w:val="16"/>
          <w:szCs w:val="16"/>
          <w:color w:val="auto"/>
        </w:rPr>
        <w:t>[***]</w:t>
      </w:r>
      <w:r>
        <w:rPr>
          <w:rFonts w:ascii="Arial" w:cs="Arial" w:eastAsia="Arial" w:hAnsi="Arial"/>
          <w:sz w:val="18"/>
          <w:szCs w:val="18"/>
          <w:color w:val="auto"/>
        </w:rPr>
        <w:t xml:space="preserve"> (calculated using an aggregation of all monthly Unique Users for Xbox One and Xbox 360 during the Accounting Period). To qualify for first, second or third place ranking of Xbox Live Share, Publisher’s minimum Unique User total for the applicable Accounting Period must be at least </w:t>
      </w:r>
      <w:r>
        <w:rPr>
          <w:rFonts w:ascii="Arial" w:cs="Arial" w:eastAsia="Arial" w:hAnsi="Arial"/>
          <w:sz w:val="16"/>
          <w:szCs w:val="16"/>
          <w:color w:val="auto"/>
        </w:rPr>
        <w:t>[***]</w:t>
      </w:r>
      <w:r>
        <w:rPr>
          <w:rFonts w:ascii="Arial" w:cs="Arial" w:eastAsia="Arial" w:hAnsi="Arial"/>
          <w:sz w:val="18"/>
          <w:szCs w:val="18"/>
          <w:color w:val="auto"/>
        </w:rPr>
        <w:t xml:space="preserve"> (calculated using an aggregation of all monthly Unique Users for Xbox One, Xbox 360 and Windows Store UWP platform(s) during the Accounting Period).</w:t>
      </w:r>
    </w:p>
    <w:p>
      <w:pPr>
        <w:spacing w:after="0" w:line="63" w:lineRule="exact"/>
        <w:rPr>
          <w:sz w:val="20"/>
          <w:szCs w:val="20"/>
          <w:color w:val="auto"/>
        </w:rPr>
      </w:pPr>
    </w:p>
    <w:p>
      <w:pPr>
        <w:jc w:val="center"/>
        <w:spacing w:after="0"/>
        <w:tabs>
          <w:tab w:leader="none" w:pos="160" w:val="left"/>
        </w:tabs>
        <w:rPr>
          <w:sz w:val="20"/>
          <w:szCs w:val="20"/>
          <w:color w:val="auto"/>
        </w:rPr>
      </w:pPr>
      <w:r>
        <w:rPr>
          <w:rFonts w:ascii="Arial" w:cs="Arial" w:eastAsia="Arial" w:hAnsi="Arial"/>
          <w:sz w:val="18"/>
          <w:szCs w:val="18"/>
          <w:b w:val="1"/>
          <w:bCs w:val="1"/>
          <w:color w:val="auto"/>
        </w:rPr>
        <w:t>6.3</w:t>
        <w:tab/>
        <w:t xml:space="preserve">Xbox One Unique Users Requirement. </w:t>
      </w:r>
      <w:r>
        <w:rPr>
          <w:rFonts w:ascii="Arial" w:cs="Arial" w:eastAsia="Arial" w:hAnsi="Arial"/>
          <w:sz w:val="18"/>
          <w:szCs w:val="18"/>
          <w:color w:val="auto"/>
        </w:rPr>
        <w:t>Only Xbox One Unique Users that participate in a Multiplayer Game Session, where</w:t>
      </w:r>
    </w:p>
    <w:p>
      <w:pPr>
        <w:spacing w:after="0" w:line="45" w:lineRule="exact"/>
        <w:rPr>
          <w:sz w:val="20"/>
          <w:szCs w:val="20"/>
          <w:color w:val="auto"/>
        </w:rPr>
      </w:pPr>
    </w:p>
    <w:p>
      <w:pPr>
        <w:spacing w:after="0" w:line="293" w:lineRule="auto"/>
        <w:rPr>
          <w:sz w:val="20"/>
          <w:szCs w:val="20"/>
          <w:color w:val="auto"/>
        </w:rPr>
      </w:pPr>
      <w:r>
        <w:rPr>
          <w:rFonts w:ascii="Arial" w:cs="Arial" w:eastAsia="Arial" w:hAnsi="Arial"/>
          <w:sz w:val="18"/>
          <w:szCs w:val="18"/>
          <w:color w:val="auto"/>
        </w:rPr>
        <w:t xml:space="preserve">session-state information was created and maintained on Xbox </w:t>
      </w:r>
      <w:r>
        <w:rPr>
          <w:rFonts w:ascii="Arial" w:cs="Arial" w:eastAsia="Arial" w:hAnsi="Arial"/>
          <w:sz w:val="16"/>
          <w:szCs w:val="16"/>
          <w:color w:val="auto"/>
        </w:rPr>
        <w:t>[***]</w:t>
      </w:r>
      <w:r>
        <w:rPr>
          <w:rFonts w:ascii="Arial" w:cs="Arial" w:eastAsia="Arial" w:hAnsi="Arial"/>
          <w:sz w:val="18"/>
          <w:szCs w:val="18"/>
          <w:color w:val="auto"/>
        </w:rPr>
        <w:t xml:space="preserve"> (as described in the </w:t>
      </w:r>
      <w:r>
        <w:rPr>
          <w:rFonts w:ascii="Arial" w:cs="Arial" w:eastAsia="Arial" w:hAnsi="Arial"/>
          <w:sz w:val="16"/>
          <w:szCs w:val="16"/>
          <w:color w:val="auto"/>
        </w:rPr>
        <w:t>[***]</w:t>
      </w:r>
      <w:r>
        <w:rPr>
          <w:rFonts w:ascii="Arial" w:cs="Arial" w:eastAsia="Arial" w:hAnsi="Arial"/>
          <w:sz w:val="18"/>
          <w:szCs w:val="18"/>
          <w:color w:val="auto"/>
        </w:rPr>
        <w:t>) will be included in the Xbox Live Share calculation for Publisher.</w:t>
      </w:r>
    </w:p>
    <w:p>
      <w:pPr>
        <w:spacing w:after="0" w:line="53" w:lineRule="exact"/>
        <w:rPr>
          <w:sz w:val="20"/>
          <w:szCs w:val="20"/>
          <w:color w:val="auto"/>
        </w:rPr>
      </w:pPr>
    </w:p>
    <w:p>
      <w:pPr>
        <w:ind w:right="520" w:firstLine="486"/>
        <w:spacing w:after="0" w:line="292" w:lineRule="auto"/>
        <w:rPr>
          <w:sz w:val="20"/>
          <w:szCs w:val="20"/>
          <w:color w:val="auto"/>
        </w:rPr>
      </w:pPr>
      <w:r>
        <w:rPr>
          <w:rFonts w:ascii="Arial" w:cs="Arial" w:eastAsia="Arial" w:hAnsi="Arial"/>
          <w:sz w:val="18"/>
          <w:szCs w:val="18"/>
          <w:b w:val="1"/>
          <w:bCs w:val="1"/>
          <w:color w:val="auto"/>
        </w:rPr>
        <w:t xml:space="preserve">6.4 Windows Store UWP Unique Users Requirement. </w:t>
      </w:r>
      <w:r>
        <w:rPr>
          <w:rFonts w:ascii="Arial" w:cs="Arial" w:eastAsia="Arial" w:hAnsi="Arial"/>
          <w:sz w:val="18"/>
          <w:szCs w:val="18"/>
          <w:color w:val="auto"/>
        </w:rPr>
        <w:t>Only Windows Store UWP Unique Users that participate in a Multiplayer</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Game Session, where session-state information was created and maintained on Xbox </w:t>
      </w:r>
      <w:r>
        <w:rPr>
          <w:rFonts w:ascii="Arial" w:cs="Arial" w:eastAsia="Arial" w:hAnsi="Arial"/>
          <w:sz w:val="16"/>
          <w:szCs w:val="16"/>
          <w:color w:val="auto"/>
        </w:rPr>
        <w:t>[***]</w:t>
      </w:r>
      <w:r>
        <w:rPr>
          <w:rFonts w:ascii="Arial" w:cs="Arial" w:eastAsia="Arial" w:hAnsi="Arial"/>
          <w:sz w:val="18"/>
          <w:szCs w:val="18"/>
          <w:color w:val="auto"/>
        </w:rPr>
        <w:t xml:space="preserve"> (</w:t>
      </w:r>
      <w:r>
        <w:rPr>
          <w:rFonts w:ascii="Arial" w:cs="Arial" w:eastAsia="Arial" w:hAnsi="Arial"/>
          <w:sz w:val="16"/>
          <w:szCs w:val="16"/>
          <w:color w:val="auto"/>
        </w:rPr>
        <w:t>[***]</w:t>
      </w:r>
      <w:r>
        <w:rPr>
          <w:rFonts w:ascii="Arial" w:cs="Arial" w:eastAsia="Arial" w:hAnsi="Arial"/>
          <w:sz w:val="18"/>
          <w:szCs w:val="18"/>
          <w:color w:val="auto"/>
        </w:rPr>
        <w:t>) will be included in the Xbox Live Share calculation for Publisher.</w:t>
      </w:r>
    </w:p>
    <w:p>
      <w:pPr>
        <w:spacing w:after="0" w:line="55" w:lineRule="exact"/>
        <w:rPr>
          <w:sz w:val="20"/>
          <w:szCs w:val="20"/>
          <w:color w:val="auto"/>
        </w:rPr>
      </w:pPr>
    </w:p>
    <w:p>
      <w:pPr>
        <w:ind w:right="260" w:firstLine="486"/>
        <w:spacing w:after="0" w:line="292" w:lineRule="auto"/>
        <w:rPr>
          <w:sz w:val="20"/>
          <w:szCs w:val="20"/>
          <w:color w:val="auto"/>
        </w:rPr>
      </w:pPr>
      <w:r>
        <w:rPr>
          <w:rFonts w:ascii="Arial" w:cs="Arial" w:eastAsia="Arial" w:hAnsi="Arial"/>
          <w:sz w:val="18"/>
          <w:szCs w:val="18"/>
          <w:b w:val="1"/>
          <w:bCs w:val="1"/>
          <w:color w:val="auto"/>
        </w:rPr>
        <w:t xml:space="preserve">6.5 Xbox 360 Unique Users Requirement. </w:t>
      </w:r>
      <w:r>
        <w:rPr>
          <w:rFonts w:ascii="Arial" w:cs="Arial" w:eastAsia="Arial" w:hAnsi="Arial"/>
          <w:sz w:val="18"/>
          <w:szCs w:val="18"/>
          <w:color w:val="auto"/>
        </w:rPr>
        <w:t>Only Xbox 360 Unique Users that participate in a presence-enabled Multiplayer Game</w:t>
      </w:r>
      <w:r>
        <w:rPr>
          <w:rFonts w:ascii="Arial" w:cs="Arial" w:eastAsia="Arial" w:hAnsi="Arial"/>
          <w:sz w:val="18"/>
          <w:szCs w:val="18"/>
          <w:b w:val="1"/>
          <w:bCs w:val="1"/>
          <w:color w:val="auto"/>
        </w:rPr>
        <w:t xml:space="preserve"> </w:t>
      </w:r>
      <w:r>
        <w:rPr>
          <w:rFonts w:ascii="Arial" w:cs="Arial" w:eastAsia="Arial" w:hAnsi="Arial"/>
          <w:sz w:val="18"/>
          <w:szCs w:val="18"/>
          <w:color w:val="auto"/>
        </w:rPr>
        <w:t>Session for a Publisher Multiplayer Software Title (</w:t>
      </w:r>
      <w:r>
        <w:rPr>
          <w:rFonts w:ascii="Arial" w:cs="Arial" w:eastAsia="Arial" w:hAnsi="Arial"/>
          <w:sz w:val="16"/>
          <w:szCs w:val="16"/>
          <w:color w:val="auto"/>
        </w:rPr>
        <w:t>[***])</w:t>
      </w:r>
      <w:r>
        <w:rPr>
          <w:rFonts w:ascii="Arial" w:cs="Arial" w:eastAsia="Arial" w:hAnsi="Arial"/>
          <w:sz w:val="18"/>
          <w:szCs w:val="18"/>
          <w:color w:val="auto"/>
        </w:rPr>
        <w:t xml:space="preserve"> containing two or more Unique Users during an Accounting Period will be included in the Xbox Live Share calculation for Publisher.</w:t>
      </w:r>
    </w:p>
    <w:p>
      <w:pPr>
        <w:spacing w:after="0" w:line="55" w:lineRule="exact"/>
        <w:rPr>
          <w:sz w:val="20"/>
          <w:szCs w:val="20"/>
          <w:color w:val="auto"/>
        </w:rPr>
      </w:pPr>
    </w:p>
    <w:p>
      <w:pPr>
        <w:ind w:left="500"/>
        <w:spacing w:after="0"/>
        <w:tabs>
          <w:tab w:leader="none" w:pos="900" w:val="left"/>
        </w:tabs>
        <w:rPr>
          <w:sz w:val="20"/>
          <w:szCs w:val="20"/>
          <w:color w:val="auto"/>
        </w:rPr>
      </w:pPr>
      <w:r>
        <w:rPr>
          <w:rFonts w:ascii="Arial" w:cs="Arial" w:eastAsia="Arial" w:hAnsi="Arial"/>
          <w:sz w:val="18"/>
          <w:szCs w:val="18"/>
          <w:b w:val="1"/>
          <w:bCs w:val="1"/>
          <w:color w:val="auto"/>
        </w:rPr>
        <w:t>6.6</w:t>
        <w:tab/>
        <w:t xml:space="preserve">Code to Content Program Participation. </w:t>
      </w:r>
      <w:r>
        <w:rPr>
          <w:rFonts w:ascii="Arial" w:cs="Arial" w:eastAsia="Arial" w:hAnsi="Arial"/>
          <w:sz w:val="18"/>
          <w:szCs w:val="18"/>
          <w:color w:val="auto"/>
        </w:rPr>
        <w:t>Any Multiplayer Software Title that (i) is not subject to an</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color w:val="auto"/>
        </w:rPr>
        <w:t>; and (ii) does not meet the</w:t>
      </w:r>
    </w:p>
    <w:p>
      <w:pPr>
        <w:spacing w:after="0" w:line="58" w:lineRule="exact"/>
        <w:rPr>
          <w:sz w:val="20"/>
          <w:szCs w:val="20"/>
          <w:color w:val="auto"/>
        </w:rPr>
      </w:pPr>
    </w:p>
    <w:p>
      <w:pPr>
        <w:ind w:right="80" w:firstLine="8"/>
        <w:spacing w:after="0" w:line="298" w:lineRule="auto"/>
        <w:tabs>
          <w:tab w:leader="none" w:pos="329" w:val="left"/>
        </w:tabs>
        <w:numPr>
          <w:ilvl w:val="0"/>
          <w:numId w:val="50"/>
        </w:numPr>
        <w:rPr>
          <w:rFonts w:ascii="Arial" w:cs="Arial" w:eastAsia="Arial" w:hAnsi="Arial"/>
          <w:sz w:val="15"/>
          <w:szCs w:val="15"/>
          <w:color w:val="auto"/>
        </w:rPr>
      </w:pPr>
      <w:r>
        <w:rPr>
          <w:rFonts w:ascii="Arial" w:cs="Arial" w:eastAsia="Arial" w:hAnsi="Arial"/>
          <w:sz w:val="17"/>
          <w:szCs w:val="17"/>
          <w:color w:val="auto"/>
        </w:rPr>
        <w:t xml:space="preserve">will not be included in the Xbox Live Share calculation for Publisher. For all Software Titles that Publisher initially Commercially Released after </w:t>
      </w:r>
      <w:r>
        <w:rPr>
          <w:rFonts w:ascii="Arial" w:cs="Arial" w:eastAsia="Arial" w:hAnsi="Arial"/>
          <w:sz w:val="15"/>
          <w:szCs w:val="15"/>
          <w:color w:val="auto"/>
        </w:rPr>
        <w:t>[***]</w:t>
      </w:r>
      <w:r>
        <w:rPr>
          <w:rFonts w:ascii="Arial" w:cs="Arial" w:eastAsia="Arial" w:hAnsi="Arial"/>
          <w:sz w:val="17"/>
          <w:szCs w:val="17"/>
          <w:color w:val="auto"/>
        </w:rPr>
        <w:t xml:space="preserve"> with a worldwide initial manufacturing order quantity of at least </w:t>
      </w:r>
      <w:r>
        <w:rPr>
          <w:rFonts w:ascii="Arial" w:cs="Arial" w:eastAsia="Arial" w:hAnsi="Arial"/>
          <w:sz w:val="15"/>
          <w:szCs w:val="15"/>
          <w:color w:val="auto"/>
        </w:rPr>
        <w:t>[***]</w:t>
      </w:r>
      <w:r>
        <w:rPr>
          <w:rFonts w:ascii="Arial" w:cs="Arial" w:eastAsia="Arial" w:hAnsi="Arial"/>
          <w:sz w:val="17"/>
          <w:szCs w:val="17"/>
          <w:color w:val="auto"/>
        </w:rPr>
        <w:t xml:space="preserve"> prior to the Software Title’s first Commercial Release in any country, the Code to Content Program Participation requirements are: Publisher must submit (i) the </w:t>
      </w:r>
      <w:r>
        <w:rPr>
          <w:rFonts w:ascii="Arial" w:cs="Arial" w:eastAsia="Arial" w:hAnsi="Arial"/>
          <w:sz w:val="15"/>
          <w:szCs w:val="15"/>
          <w:color w:val="auto"/>
        </w:rPr>
        <w:t>[***]</w:t>
      </w:r>
      <w:r>
        <w:rPr>
          <w:rFonts w:ascii="Arial" w:cs="Arial" w:eastAsia="Arial" w:hAnsi="Arial"/>
          <w:sz w:val="17"/>
          <w:szCs w:val="17"/>
          <w:color w:val="auto"/>
        </w:rPr>
        <w:t xml:space="preserve">), (ii) the </w:t>
      </w:r>
      <w:r>
        <w:rPr>
          <w:rFonts w:ascii="Arial" w:cs="Arial" w:eastAsia="Arial" w:hAnsi="Arial"/>
          <w:sz w:val="15"/>
          <w:szCs w:val="15"/>
          <w:color w:val="auto"/>
        </w:rPr>
        <w:t>[***]</w:t>
      </w:r>
      <w:r>
        <w:rPr>
          <w:rFonts w:ascii="Arial" w:cs="Arial" w:eastAsia="Arial" w:hAnsi="Arial"/>
          <w:sz w:val="17"/>
          <w:szCs w:val="17"/>
          <w:color w:val="auto"/>
        </w:rPr>
        <w:t xml:space="preserve"> and (iii) </w:t>
      </w:r>
      <w:r>
        <w:rPr>
          <w:rFonts w:ascii="Arial" w:cs="Arial" w:eastAsia="Arial" w:hAnsi="Arial"/>
          <w:sz w:val="15"/>
          <w:szCs w:val="15"/>
          <w:color w:val="auto"/>
        </w:rPr>
        <w:t>[***]</w:t>
      </w:r>
      <w:r>
        <w:rPr>
          <w:rFonts w:ascii="Arial" w:cs="Arial" w:eastAsia="Arial" w:hAnsi="Arial"/>
          <w:sz w:val="17"/>
          <w:szCs w:val="17"/>
          <w:color w:val="auto"/>
        </w:rPr>
        <w:t xml:space="preserve"> in accordance with the </w:t>
      </w:r>
      <w:r>
        <w:rPr>
          <w:rFonts w:ascii="Arial" w:cs="Arial" w:eastAsia="Arial" w:hAnsi="Arial"/>
          <w:sz w:val="15"/>
          <w:szCs w:val="15"/>
          <w:color w:val="auto"/>
        </w:rPr>
        <w:t>[***]</w:t>
      </w:r>
      <w:r>
        <w:rPr>
          <w:rFonts w:ascii="Arial" w:cs="Arial" w:eastAsia="Arial" w:hAnsi="Arial"/>
          <w:sz w:val="17"/>
          <w:szCs w:val="17"/>
          <w:color w:val="auto"/>
        </w:rPr>
        <w:t xml:space="preserve"> and its associated publisher guide. Such submission must be made in order to allow </w:t>
      </w:r>
      <w:r>
        <w:rPr>
          <w:rFonts w:ascii="Arial" w:cs="Arial" w:eastAsia="Arial" w:hAnsi="Arial"/>
          <w:sz w:val="15"/>
          <w:szCs w:val="15"/>
          <w:color w:val="auto"/>
        </w:rPr>
        <w:t>[***]</w:t>
      </w:r>
      <w:r>
        <w:rPr>
          <w:rFonts w:ascii="Arial" w:cs="Arial" w:eastAsia="Arial" w:hAnsi="Arial"/>
          <w:sz w:val="17"/>
          <w:szCs w:val="17"/>
          <w:color w:val="auto"/>
        </w:rPr>
        <w:t xml:space="preserve"> simultaneously with the corresponding</w:t>
      </w:r>
    </w:p>
    <w:p>
      <w:pPr>
        <w:spacing w:after="0" w:line="1" w:lineRule="exact"/>
        <w:rPr>
          <w:rFonts w:ascii="Arial" w:cs="Arial" w:eastAsia="Arial" w:hAnsi="Arial"/>
          <w:sz w:val="15"/>
          <w:szCs w:val="15"/>
          <w:color w:val="auto"/>
        </w:rPr>
      </w:pPr>
    </w:p>
    <w:p>
      <w:pPr>
        <w:ind w:left="340" w:hanging="332"/>
        <w:spacing w:after="0"/>
        <w:tabs>
          <w:tab w:leader="none" w:pos="340" w:val="left"/>
        </w:tabs>
        <w:numPr>
          <w:ilvl w:val="0"/>
          <w:numId w:val="50"/>
        </w:numPr>
        <w:rPr>
          <w:rFonts w:ascii="Arial" w:cs="Arial" w:eastAsia="Arial" w:hAnsi="Arial"/>
          <w:sz w:val="16"/>
          <w:szCs w:val="16"/>
          <w:color w:val="auto"/>
        </w:rPr>
      </w:pPr>
      <w:r>
        <w:rPr>
          <w:rFonts w:ascii="Arial" w:cs="Arial" w:eastAsia="Arial" w:hAnsi="Arial"/>
          <w:sz w:val="18"/>
          <w:szCs w:val="18"/>
          <w:color w:val="auto"/>
        </w:rPr>
        <w:t>on a country-by-country basis.</w:t>
      </w:r>
    </w:p>
    <w:p>
      <w:pPr>
        <w:spacing w:after="0" w:line="122" w:lineRule="exact"/>
        <w:rPr>
          <w:sz w:val="20"/>
          <w:szCs w:val="20"/>
          <w:color w:val="auto"/>
        </w:rPr>
      </w:pPr>
    </w:p>
    <w:p>
      <w:pPr>
        <w:jc w:val="both"/>
        <w:ind w:left="500" w:hanging="492"/>
        <w:spacing w:after="0" w:line="284" w:lineRule="auto"/>
        <w:tabs>
          <w:tab w:leader="none" w:pos="500" w:val="left"/>
        </w:tabs>
        <w:numPr>
          <w:ilvl w:val="0"/>
          <w:numId w:val="51"/>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Program Term, Termination, and Changes. </w:t>
      </w:r>
      <w:r>
        <w:rPr>
          <w:rFonts w:ascii="Arial" w:cs="Arial" w:eastAsia="Arial" w:hAnsi="Arial"/>
          <w:sz w:val="18"/>
          <w:szCs w:val="18"/>
          <w:color w:val="auto"/>
        </w:rPr>
        <w:t>This Xbox Live Incentive Program will commence on January 1, 2018, and will be available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until December 31, 2018, unless earlier terminated by Microsoft upon written notice to Publisher (“Program Term”). Microsoft may change or discontinue the Xbox Live Incentive Program by providing Publisher with </w:t>
      </w:r>
      <w:r>
        <w:rPr>
          <w:rFonts w:ascii="Arial" w:cs="Arial" w:eastAsia="Arial" w:hAnsi="Arial"/>
          <w:sz w:val="16"/>
          <w:szCs w:val="16"/>
          <w:color w:val="auto"/>
        </w:rPr>
        <w:t>[***]</w:t>
      </w:r>
      <w:r>
        <w:rPr>
          <w:rFonts w:ascii="Arial" w:cs="Arial" w:eastAsia="Arial" w:hAnsi="Arial"/>
          <w:sz w:val="18"/>
          <w:szCs w:val="18"/>
          <w:color w:val="auto"/>
        </w:rPr>
        <w:t xml:space="preserve"> advance written notice.</w:t>
      </w:r>
    </w:p>
    <w:p>
      <w:pPr>
        <w:sectPr>
          <w:pgSz w:w="11900" w:h="16838" w:orient="portrait"/>
          <w:cols w:equalWidth="0" w:num="1">
            <w:col w:w="11400"/>
          </w:cols>
          <w:pgMar w:left="240" w:top="359" w:right="259" w:bottom="1440" w:gutter="0" w:footer="0" w:header="0"/>
        </w:sectPr>
      </w:pPr>
    </w:p>
    <w:p>
      <w:pPr>
        <w:spacing w:after="0" w:line="200" w:lineRule="exact"/>
        <w:rPr>
          <w:sz w:val="20"/>
          <w:szCs w:val="20"/>
          <w:color w:val="auto"/>
        </w:rPr>
      </w:pPr>
    </w:p>
    <w:p>
      <w:pPr>
        <w:spacing w:after="0" w:line="226" w:lineRule="exact"/>
        <w:rPr>
          <w:sz w:val="20"/>
          <w:szCs w:val="20"/>
          <w:color w:val="auto"/>
        </w:rPr>
      </w:pPr>
    </w:p>
    <w:p>
      <w:pPr>
        <w:spacing w:after="0" w:line="369" w:lineRule="auto"/>
        <w:rPr>
          <w:sz w:val="20"/>
          <w:szCs w:val="20"/>
          <w:color w:val="auto"/>
        </w:rPr>
      </w:pPr>
      <w:r>
        <w:rPr>
          <w:rFonts w:ascii="Arial" w:cs="Arial" w:eastAsia="Arial" w:hAnsi="Arial"/>
          <w:sz w:val="14"/>
          <w:szCs w:val="14"/>
          <w:color w:val="auto"/>
        </w:rPr>
        <w:t>Microsoft Confidential AOC v1 September 2017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Arial" w:cs="Arial" w:eastAsia="Arial" w:hAnsi="Arial"/>
          <w:sz w:val="14"/>
          <w:szCs w:val="14"/>
          <w:color w:val="auto"/>
        </w:rPr>
        <w:t>Page 8 of 11</w:t>
      </w:r>
    </w:p>
    <w:p>
      <w:pPr>
        <w:sectPr>
          <w:pgSz w:w="11900" w:h="16838" w:orient="portrait"/>
          <w:cols w:equalWidth="0" w:num="2">
            <w:col w:w="1660" w:space="160"/>
            <w:col w:w="9580"/>
          </w:cols>
          <w:pgMar w:left="240" w:top="359" w:right="259" w:bottom="1440" w:gutter="0" w:footer="0" w:header="0"/>
          <w:type w:val="continuous"/>
        </w:sectPr>
      </w:pPr>
    </w:p>
    <w:bookmarkStart w:id="99" w:name="page100"/>
    <w:bookmarkEnd w:id="99"/>
    <w:p>
      <w:pPr>
        <w:spacing w:after="0"/>
        <w:rPr>
          <w:sz w:val="20"/>
          <w:szCs w:val="20"/>
          <w:color w:val="auto"/>
        </w:rPr>
      </w:pPr>
      <w:r>
        <w:rPr>
          <w:rFonts w:ascii="Arial" w:cs="Arial" w:eastAsia="Arial" w:hAnsi="Arial"/>
          <w:sz w:val="16"/>
          <w:szCs w:val="16"/>
          <w:color w:val="auto"/>
        </w:rPr>
        <w:t>DocuSign Envelope ID: 4C2579D7-B77B-4D46-AF9B-741487D134D7</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EXHIBIT 10 – MIXER INCENTIVE PROGRAM</w:t>
      </w:r>
    </w:p>
    <w:p>
      <w:pPr>
        <w:spacing w:after="0" w:line="131" w:lineRule="exact"/>
        <w:rPr>
          <w:sz w:val="20"/>
          <w:szCs w:val="20"/>
          <w:color w:val="auto"/>
        </w:rPr>
      </w:pPr>
    </w:p>
    <w:p>
      <w:pPr>
        <w:ind w:left="500" w:hanging="492"/>
        <w:spacing w:after="0"/>
        <w:tabs>
          <w:tab w:leader="none" w:pos="500" w:val="left"/>
        </w:tabs>
        <w:numPr>
          <w:ilvl w:val="0"/>
          <w:numId w:val="52"/>
        </w:numPr>
        <w:rPr>
          <w:rFonts w:ascii="Arial" w:cs="Arial" w:eastAsia="Arial" w:hAnsi="Arial"/>
          <w:sz w:val="18"/>
          <w:szCs w:val="18"/>
          <w:b w:val="1"/>
          <w:bCs w:val="1"/>
          <w:color w:val="auto"/>
        </w:rPr>
      </w:pPr>
      <w:r>
        <w:rPr>
          <w:rFonts w:ascii="Arial" w:cs="Arial" w:eastAsia="Arial" w:hAnsi="Arial"/>
          <w:sz w:val="18"/>
          <w:szCs w:val="18"/>
          <w:b w:val="1"/>
          <w:bCs w:val="1"/>
          <w:color w:val="auto"/>
        </w:rPr>
        <w:t>Mixer Incentive Program</w:t>
      </w:r>
    </w:p>
    <w:p>
      <w:pPr>
        <w:spacing w:after="0" w:line="153" w:lineRule="exact"/>
        <w:rPr>
          <w:sz w:val="20"/>
          <w:szCs w:val="20"/>
          <w:color w:val="auto"/>
        </w:rPr>
      </w:pPr>
    </w:p>
    <w:p>
      <w:pPr>
        <w:ind w:firstLine="648"/>
        <w:spacing w:after="0" w:line="279" w:lineRule="auto"/>
        <w:rPr>
          <w:sz w:val="20"/>
          <w:szCs w:val="20"/>
          <w:color w:val="auto"/>
        </w:rPr>
      </w:pPr>
      <w:r>
        <w:rPr>
          <w:rFonts w:ascii="Arial" w:cs="Arial" w:eastAsia="Arial" w:hAnsi="Arial"/>
          <w:sz w:val="18"/>
          <w:szCs w:val="18"/>
          <w:color w:val="auto"/>
        </w:rPr>
        <w:t xml:space="preserve">In order to encourage Publisher to support Native Interactivity and drive increased usage of Mixer, Publisher may qualify for certain </w:t>
      </w:r>
      <w:r>
        <w:rPr>
          <w:rFonts w:ascii="Arial" w:cs="Arial" w:eastAsia="Arial" w:hAnsi="Arial"/>
          <w:sz w:val="16"/>
          <w:szCs w:val="16"/>
          <w:color w:val="auto"/>
        </w:rPr>
        <w:t>[***]</w:t>
      </w:r>
      <w:r>
        <w:rPr>
          <w:rFonts w:ascii="Arial" w:cs="Arial" w:eastAsia="Arial" w:hAnsi="Arial"/>
          <w:sz w:val="18"/>
          <w:szCs w:val="18"/>
          <w:color w:val="auto"/>
        </w:rPr>
        <w:t xml:space="preserve"> incentive payments based on the amount of Mixer Native Interactivity Viewing Share generated by Publisher’s software titles with Native Interactivity, as described in this Exhibit.</w:t>
      </w:r>
    </w:p>
    <w:p>
      <w:pPr>
        <w:spacing w:after="0" w:line="88" w:lineRule="exact"/>
        <w:rPr>
          <w:sz w:val="20"/>
          <w:szCs w:val="20"/>
          <w:color w:val="auto"/>
        </w:rPr>
      </w:pPr>
    </w:p>
    <w:p>
      <w:pPr>
        <w:ind w:right="60" w:firstLine="648"/>
        <w:spacing w:after="0" w:line="276" w:lineRule="auto"/>
        <w:rPr>
          <w:sz w:val="20"/>
          <w:szCs w:val="20"/>
          <w:color w:val="auto"/>
        </w:rPr>
      </w:pPr>
      <w:r>
        <w:rPr>
          <w:rFonts w:ascii="Arial" w:cs="Arial" w:eastAsia="Arial" w:hAnsi="Arial"/>
          <w:sz w:val="18"/>
          <w:szCs w:val="18"/>
          <w:color w:val="auto"/>
        </w:rPr>
        <w:t xml:space="preserve">Each Accounting Period, Microsoft will calculate Publisher’s Mixer Native Interactivity Viewing Share, and if: (i) Publisher is ranked in </w:t>
      </w:r>
      <w:r>
        <w:rPr>
          <w:rFonts w:ascii="Arial" w:cs="Arial" w:eastAsia="Arial" w:hAnsi="Arial"/>
          <w:sz w:val="16"/>
          <w:szCs w:val="16"/>
          <w:color w:val="auto"/>
        </w:rPr>
        <w:t>[***]</w:t>
      </w:r>
      <w:r>
        <w:rPr>
          <w:rFonts w:ascii="Arial" w:cs="Arial" w:eastAsia="Arial" w:hAnsi="Arial"/>
          <w:sz w:val="18"/>
          <w:szCs w:val="18"/>
          <w:color w:val="auto"/>
        </w:rPr>
        <w:t>Mixer Native Interactivity Viewing Share in the applicable Accounting Period; (ii) the aggregate number of eligible software titles with Native</w:t>
      </w:r>
      <w:r>
        <w:rPr>
          <w:rFonts w:ascii="Arial" w:cs="Arial" w:eastAsia="Arial" w:hAnsi="Arial"/>
          <w:sz w:val="16"/>
          <w:szCs w:val="16"/>
          <w:color w:val="auto"/>
        </w:rPr>
        <w:t xml:space="preserve"> </w:t>
      </w:r>
      <w:r>
        <w:rPr>
          <w:rFonts w:ascii="Arial" w:cs="Arial" w:eastAsia="Arial" w:hAnsi="Arial"/>
          <w:sz w:val="18"/>
          <w:szCs w:val="18"/>
          <w:color w:val="auto"/>
        </w:rPr>
        <w:t xml:space="preserve">Interactivity </w:t>
      </w:r>
      <w:r>
        <w:rPr>
          <w:rFonts w:ascii="Arial" w:cs="Arial" w:eastAsia="Arial" w:hAnsi="Arial"/>
          <w:sz w:val="16"/>
          <w:szCs w:val="16"/>
          <w:color w:val="auto"/>
        </w:rPr>
        <w:t>[***]</w:t>
      </w:r>
      <w:r>
        <w:rPr>
          <w:rFonts w:ascii="Arial" w:cs="Arial" w:eastAsia="Arial" w:hAnsi="Arial"/>
          <w:sz w:val="18"/>
          <w:szCs w:val="18"/>
          <w:color w:val="auto"/>
        </w:rPr>
        <w:t xml:space="preserve"> (1); (iii) Publisher is up-to-date on all payments owed to Microsoft; (iv) Publisher has executed all amendments to the Agreement, and (v) Publisher is in full compliance with the Agreement (including the requirements of this Mixer Incentive Program), then Microsoft will pay Publisher the quarterly incentive payment set forth in Section 4.</w:t>
      </w:r>
    </w:p>
    <w:p>
      <w:pPr>
        <w:spacing w:after="0" w:line="71" w:lineRule="exact"/>
        <w:rPr>
          <w:sz w:val="20"/>
          <w:szCs w:val="20"/>
          <w:color w:val="auto"/>
        </w:rPr>
      </w:pPr>
    </w:p>
    <w:p>
      <w:pPr>
        <w:ind w:left="500" w:hanging="492"/>
        <w:spacing w:after="0"/>
        <w:tabs>
          <w:tab w:leader="none" w:pos="500" w:val="left"/>
        </w:tabs>
        <w:numPr>
          <w:ilvl w:val="0"/>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Definitions</w:t>
      </w:r>
    </w:p>
    <w:p>
      <w:pPr>
        <w:spacing w:after="0" w:line="130" w:lineRule="exact"/>
        <w:rPr>
          <w:rFonts w:ascii="Arial" w:cs="Arial" w:eastAsia="Arial" w:hAnsi="Arial"/>
          <w:sz w:val="18"/>
          <w:szCs w:val="18"/>
          <w:b w:val="1"/>
          <w:bCs w:val="1"/>
          <w:color w:val="auto"/>
        </w:rPr>
      </w:pPr>
    </w:p>
    <w:p>
      <w:pPr>
        <w:ind w:right="260" w:firstLine="494"/>
        <w:spacing w:after="0" w:line="318" w:lineRule="auto"/>
        <w:tabs>
          <w:tab w:leader="none" w:pos="886" w:val="left"/>
        </w:tabs>
        <w:numPr>
          <w:ilvl w:val="1"/>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“Accounting Period” </w:t>
      </w:r>
      <w:r>
        <w:rPr>
          <w:rFonts w:ascii="Arial" w:cs="Arial" w:eastAsia="Arial" w:hAnsi="Arial"/>
          <w:sz w:val="18"/>
          <w:szCs w:val="18"/>
          <w:color w:val="auto"/>
        </w:rPr>
        <w:t>means each Microsoft</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within the Program Term, provided that if the Program Term ends within such a</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color w:val="auto"/>
        </w:rPr>
        <w:t>, then the applicable payment calculation set forth below shall be made for a partial Accounting Period.</w:t>
      </w:r>
    </w:p>
    <w:p>
      <w:pPr>
        <w:spacing w:after="0" w:line="45" w:lineRule="exact"/>
        <w:rPr>
          <w:rFonts w:ascii="Arial" w:cs="Arial" w:eastAsia="Arial" w:hAnsi="Arial"/>
          <w:sz w:val="18"/>
          <w:szCs w:val="18"/>
          <w:b w:val="1"/>
          <w:bCs w:val="1"/>
          <w:color w:val="auto"/>
        </w:rPr>
      </w:pPr>
    </w:p>
    <w:p>
      <w:pPr>
        <w:ind w:right="220" w:firstLine="494"/>
        <w:spacing w:after="0" w:line="303" w:lineRule="auto"/>
        <w:tabs>
          <w:tab w:leader="none" w:pos="896" w:val="left"/>
        </w:tabs>
        <w:numPr>
          <w:ilvl w:val="1"/>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“Eligible Native Interactivity Title” </w:t>
      </w:r>
      <w:r>
        <w:rPr>
          <w:rFonts w:ascii="Arial" w:cs="Arial" w:eastAsia="Arial" w:hAnsi="Arial"/>
          <w:sz w:val="18"/>
          <w:szCs w:val="18"/>
          <w:color w:val="auto"/>
        </w:rPr>
        <w:t>means a Native Interactivity Title that (i) is available in the Xbox One Store in addition to any</w:t>
      </w:r>
      <w:r>
        <w:rPr>
          <w:rFonts w:ascii="Arial" w:cs="Arial" w:eastAsia="Arial" w:hAnsi="Arial"/>
          <w:sz w:val="18"/>
          <w:szCs w:val="18"/>
          <w:b w:val="1"/>
          <w:bCs w:val="1"/>
          <w:color w:val="auto"/>
        </w:rPr>
        <w:t xml:space="preserve"> </w:t>
      </w:r>
      <w:r>
        <w:rPr>
          <w:rFonts w:ascii="Arial" w:cs="Arial" w:eastAsia="Arial" w:hAnsi="Arial"/>
          <w:sz w:val="18"/>
          <w:szCs w:val="18"/>
          <w:color w:val="auto"/>
        </w:rPr>
        <w:t>other gaming platforms on which it is available, and (ii) is Xbox Live enabled.</w:t>
      </w:r>
    </w:p>
    <w:p>
      <w:pPr>
        <w:spacing w:after="0" w:line="44" w:lineRule="exact"/>
        <w:rPr>
          <w:rFonts w:ascii="Arial" w:cs="Arial" w:eastAsia="Arial" w:hAnsi="Arial"/>
          <w:sz w:val="18"/>
          <w:szCs w:val="18"/>
          <w:b w:val="1"/>
          <w:bCs w:val="1"/>
          <w:color w:val="auto"/>
        </w:rPr>
      </w:pPr>
    </w:p>
    <w:p>
      <w:pPr>
        <w:ind w:left="900" w:hanging="406"/>
        <w:spacing w:after="0"/>
        <w:tabs>
          <w:tab w:leader="none" w:pos="900" w:val="left"/>
        </w:tabs>
        <w:numPr>
          <w:ilvl w:val="1"/>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“Native Interactivity” </w:t>
      </w:r>
      <w:r>
        <w:rPr>
          <w:rFonts w:ascii="Arial" w:cs="Arial" w:eastAsia="Arial" w:hAnsi="Arial"/>
          <w:sz w:val="18"/>
          <w:szCs w:val="18"/>
          <w:color w:val="auto"/>
        </w:rPr>
        <w:t>means a software title that integrates with</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of the Mixer interactive SDKs that implement the Mixer</w:t>
      </w:r>
    </w:p>
    <w:p>
      <w:pPr>
        <w:spacing w:after="0" w:line="58" w:lineRule="exact"/>
        <w:rPr>
          <w:rFonts w:ascii="Arial" w:cs="Arial" w:eastAsia="Arial" w:hAnsi="Arial"/>
          <w:sz w:val="18"/>
          <w:szCs w:val="18"/>
          <w:b w:val="1"/>
          <w:bCs w:val="1"/>
          <w:color w:val="auto"/>
        </w:rPr>
      </w:pPr>
    </w:p>
    <w:p>
      <w:pPr>
        <w:ind w:right="160"/>
        <w:spacing w:after="0" w:line="277" w:lineRule="auto"/>
        <w:rPr>
          <w:rFonts w:ascii="Arial" w:cs="Arial" w:eastAsia="Arial" w:hAnsi="Arial"/>
          <w:sz w:val="18"/>
          <w:szCs w:val="18"/>
          <w:b w:val="1"/>
          <w:bCs w:val="1"/>
          <w:color w:val="auto"/>
        </w:rPr>
      </w:pPr>
      <w:r>
        <w:rPr>
          <w:rFonts w:ascii="Arial" w:cs="Arial" w:eastAsia="Arial" w:hAnsi="Arial"/>
          <w:sz w:val="18"/>
          <w:szCs w:val="18"/>
          <w:color w:val="auto"/>
        </w:rPr>
        <w:t>interactive protocol at a game client or service level where such integration enables Mixer viewers to meaningfully participate in gameplay via Mixer interactivity controls.</w:t>
      </w:r>
    </w:p>
    <w:p>
      <w:pPr>
        <w:spacing w:after="0" w:line="67" w:lineRule="exact"/>
        <w:rPr>
          <w:rFonts w:ascii="Arial" w:cs="Arial" w:eastAsia="Arial" w:hAnsi="Arial"/>
          <w:sz w:val="18"/>
          <w:szCs w:val="18"/>
          <w:b w:val="1"/>
          <w:bCs w:val="1"/>
          <w:color w:val="auto"/>
        </w:rPr>
      </w:pPr>
    </w:p>
    <w:p>
      <w:pPr>
        <w:ind w:left="900" w:hanging="406"/>
        <w:spacing w:after="0"/>
        <w:tabs>
          <w:tab w:leader="none" w:pos="900" w:val="left"/>
        </w:tabs>
        <w:numPr>
          <w:ilvl w:val="1"/>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“Native Interactivity Title(s)” </w:t>
      </w:r>
      <w:r>
        <w:rPr>
          <w:rFonts w:ascii="Arial" w:cs="Arial" w:eastAsia="Arial" w:hAnsi="Arial"/>
          <w:sz w:val="18"/>
          <w:szCs w:val="18"/>
          <w:color w:val="auto"/>
        </w:rPr>
        <w:t>means a software title that supports Native Interactivity during an Accounting Period.</w:t>
      </w:r>
    </w:p>
    <w:p>
      <w:pPr>
        <w:spacing w:after="0" w:line="130" w:lineRule="exact"/>
        <w:rPr>
          <w:rFonts w:ascii="Arial" w:cs="Arial" w:eastAsia="Arial" w:hAnsi="Arial"/>
          <w:sz w:val="18"/>
          <w:szCs w:val="18"/>
          <w:b w:val="1"/>
          <w:bCs w:val="1"/>
          <w:color w:val="auto"/>
        </w:rPr>
      </w:pPr>
    </w:p>
    <w:p>
      <w:pPr>
        <w:ind w:left="900" w:hanging="406"/>
        <w:spacing w:after="0"/>
        <w:tabs>
          <w:tab w:leader="none" w:pos="900" w:val="left"/>
        </w:tabs>
        <w:numPr>
          <w:ilvl w:val="1"/>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“Native Interactivity Viewing Hour” </w:t>
      </w:r>
      <w:r>
        <w:rPr>
          <w:rFonts w:ascii="Arial" w:cs="Arial" w:eastAsia="Arial" w:hAnsi="Arial"/>
          <w:sz w:val="18"/>
          <w:szCs w:val="18"/>
          <w:color w:val="auto"/>
        </w:rPr>
        <w:t>means</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of aggregate time spent viewing a Native Interactivity Title on Mixer.</w:t>
      </w:r>
    </w:p>
    <w:p>
      <w:pPr>
        <w:spacing w:after="0" w:line="144" w:lineRule="exact"/>
        <w:rPr>
          <w:rFonts w:ascii="Arial" w:cs="Arial" w:eastAsia="Arial" w:hAnsi="Arial"/>
          <w:sz w:val="18"/>
          <w:szCs w:val="18"/>
          <w:b w:val="1"/>
          <w:bCs w:val="1"/>
          <w:color w:val="auto"/>
        </w:rPr>
      </w:pPr>
    </w:p>
    <w:p>
      <w:pPr>
        <w:ind w:left="860" w:hanging="366"/>
        <w:spacing w:after="0"/>
        <w:tabs>
          <w:tab w:leader="none" w:pos="860" w:val="left"/>
        </w:tabs>
        <w:numPr>
          <w:ilvl w:val="1"/>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“Official Mixer Channel(s)” </w:t>
      </w:r>
      <w:r>
        <w:rPr>
          <w:rFonts w:ascii="Arial" w:cs="Arial" w:eastAsia="Arial" w:hAnsi="Arial"/>
          <w:sz w:val="18"/>
          <w:szCs w:val="18"/>
          <w:color w:val="auto"/>
        </w:rPr>
        <w:t>means at least</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official Mixer channel provided and managed by Publisher during the Accounting</w:t>
      </w:r>
    </w:p>
    <w:p>
      <w:pPr>
        <w:spacing w:after="0" w:line="58" w:lineRule="exact"/>
        <w:rPr>
          <w:rFonts w:ascii="Arial" w:cs="Arial" w:eastAsia="Arial" w:hAnsi="Arial"/>
          <w:sz w:val="18"/>
          <w:szCs w:val="18"/>
          <w:b w:val="1"/>
          <w:bCs w:val="1"/>
          <w:color w:val="auto"/>
        </w:rPr>
      </w:pPr>
    </w:p>
    <w:p>
      <w:pPr>
        <w:spacing w:after="0"/>
        <w:rPr>
          <w:rFonts w:ascii="Arial" w:cs="Arial" w:eastAsia="Arial" w:hAnsi="Arial"/>
          <w:sz w:val="18"/>
          <w:szCs w:val="18"/>
          <w:b w:val="1"/>
          <w:bCs w:val="1"/>
          <w:color w:val="auto"/>
        </w:rPr>
      </w:pPr>
      <w:r>
        <w:rPr>
          <w:rFonts w:ascii="Arial" w:cs="Arial" w:eastAsia="Arial" w:hAnsi="Arial"/>
          <w:sz w:val="18"/>
          <w:szCs w:val="18"/>
          <w:color w:val="auto"/>
        </w:rPr>
        <w:t>Period.</w:t>
      </w:r>
    </w:p>
    <w:p>
      <w:pPr>
        <w:spacing w:after="0" w:line="108" w:lineRule="exact"/>
        <w:rPr>
          <w:rFonts w:ascii="Arial" w:cs="Arial" w:eastAsia="Arial" w:hAnsi="Arial"/>
          <w:sz w:val="18"/>
          <w:szCs w:val="18"/>
          <w:b w:val="1"/>
          <w:bCs w:val="1"/>
          <w:color w:val="auto"/>
        </w:rPr>
      </w:pPr>
    </w:p>
    <w:p>
      <w:pPr>
        <w:ind w:right="300" w:firstLine="494"/>
        <w:spacing w:after="0" w:line="318" w:lineRule="auto"/>
        <w:tabs>
          <w:tab w:leader="none" w:pos="896" w:val="left"/>
        </w:tabs>
        <w:numPr>
          <w:ilvl w:val="1"/>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“Official Mixer Channel Multiplier” </w:t>
      </w:r>
      <w:r>
        <w:rPr>
          <w:rFonts w:ascii="Arial" w:cs="Arial" w:eastAsia="Arial" w:hAnsi="Arial"/>
          <w:sz w:val="18"/>
          <w:szCs w:val="18"/>
          <w:color w:val="auto"/>
        </w:rPr>
        <w:t>or</w:t>
      </w:r>
      <w:r>
        <w:rPr>
          <w:rFonts w:ascii="Arial" w:cs="Arial" w:eastAsia="Arial" w:hAnsi="Arial"/>
          <w:sz w:val="18"/>
          <w:szCs w:val="18"/>
          <w:b w:val="1"/>
          <w:bCs w:val="1"/>
          <w:color w:val="auto"/>
        </w:rPr>
        <w:t xml:space="preserve"> “Multiplier” </w:t>
      </w:r>
      <w:r>
        <w:rPr>
          <w:rFonts w:ascii="Arial" w:cs="Arial" w:eastAsia="Arial" w:hAnsi="Arial"/>
          <w:sz w:val="18"/>
          <w:szCs w:val="18"/>
          <w:color w:val="auto"/>
        </w:rPr>
        <w:t>means a</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multiplier applied to the sum of Publisher’s Native Interactivity</w:t>
      </w:r>
      <w:r>
        <w:rPr>
          <w:rFonts w:ascii="Arial" w:cs="Arial" w:eastAsia="Arial" w:hAnsi="Arial"/>
          <w:sz w:val="18"/>
          <w:szCs w:val="18"/>
          <w:b w:val="1"/>
          <w:bCs w:val="1"/>
          <w:color w:val="auto"/>
        </w:rPr>
        <w:t xml:space="preserve"> </w:t>
      </w:r>
      <w:r>
        <w:rPr>
          <w:rFonts w:ascii="Arial" w:cs="Arial" w:eastAsia="Arial" w:hAnsi="Arial"/>
          <w:sz w:val="18"/>
          <w:szCs w:val="18"/>
          <w:color w:val="auto"/>
        </w:rPr>
        <w:t>Viewing Hours for the Accounting Period.</w:t>
      </w:r>
    </w:p>
    <w:p>
      <w:pPr>
        <w:spacing w:after="0" w:line="32" w:lineRule="exact"/>
        <w:rPr>
          <w:rFonts w:ascii="Arial" w:cs="Arial" w:eastAsia="Arial" w:hAnsi="Arial"/>
          <w:sz w:val="18"/>
          <w:szCs w:val="18"/>
          <w:b w:val="1"/>
          <w:bCs w:val="1"/>
          <w:color w:val="auto"/>
        </w:rPr>
      </w:pPr>
    </w:p>
    <w:p>
      <w:pPr>
        <w:ind w:left="900" w:hanging="406"/>
        <w:spacing w:after="0"/>
        <w:tabs>
          <w:tab w:leader="none" w:pos="900" w:val="left"/>
        </w:tabs>
        <w:numPr>
          <w:ilvl w:val="1"/>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“Program Term” </w:t>
      </w:r>
      <w:r>
        <w:rPr>
          <w:rFonts w:ascii="Arial" w:cs="Arial" w:eastAsia="Arial" w:hAnsi="Arial"/>
          <w:sz w:val="18"/>
          <w:szCs w:val="18"/>
          <w:color w:val="auto"/>
        </w:rPr>
        <w:t>means January 1, 2018 until December 31, 2018.</w:t>
      </w:r>
    </w:p>
    <w:p>
      <w:pPr>
        <w:spacing w:after="0" w:line="130" w:lineRule="exact"/>
        <w:rPr>
          <w:rFonts w:ascii="Arial" w:cs="Arial" w:eastAsia="Arial" w:hAnsi="Arial"/>
          <w:sz w:val="18"/>
          <w:szCs w:val="18"/>
          <w:b w:val="1"/>
          <w:bCs w:val="1"/>
          <w:color w:val="auto"/>
        </w:rPr>
      </w:pPr>
    </w:p>
    <w:p>
      <w:pPr>
        <w:ind w:left="840" w:hanging="346"/>
        <w:spacing w:after="0"/>
        <w:tabs>
          <w:tab w:leader="none" w:pos="840" w:val="left"/>
        </w:tabs>
        <w:numPr>
          <w:ilvl w:val="1"/>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“Viewing Hour” </w:t>
      </w:r>
      <w:r>
        <w:rPr>
          <w:rFonts w:ascii="Arial" w:cs="Arial" w:eastAsia="Arial" w:hAnsi="Arial"/>
          <w:sz w:val="18"/>
          <w:szCs w:val="18"/>
          <w:color w:val="auto"/>
        </w:rPr>
        <w:t>means</w:t>
      </w:r>
      <w:r>
        <w:rPr>
          <w:rFonts w:ascii="Arial" w:cs="Arial" w:eastAsia="Arial" w:hAnsi="Arial"/>
          <w:sz w:val="18"/>
          <w:szCs w:val="18"/>
          <w:b w:val="1"/>
          <w:bCs w:val="1"/>
          <w:color w:val="auto"/>
        </w:rPr>
        <w:t xml:space="preserve"> </w:t>
      </w:r>
      <w:r>
        <w:rPr>
          <w:rFonts w:ascii="Arial" w:cs="Arial" w:eastAsia="Arial" w:hAnsi="Arial"/>
          <w:sz w:val="16"/>
          <w:szCs w:val="16"/>
          <w:color w:val="auto"/>
        </w:rPr>
        <w:t>[***]</w:t>
      </w:r>
      <w:r>
        <w:rPr>
          <w:rFonts w:ascii="Arial" w:cs="Arial" w:eastAsia="Arial" w:hAnsi="Arial"/>
          <w:sz w:val="18"/>
          <w:szCs w:val="18"/>
          <w:b w:val="1"/>
          <w:bCs w:val="1"/>
          <w:color w:val="auto"/>
        </w:rPr>
        <w:t xml:space="preserve"> </w:t>
      </w:r>
      <w:r>
        <w:rPr>
          <w:rFonts w:ascii="Arial" w:cs="Arial" w:eastAsia="Arial" w:hAnsi="Arial"/>
          <w:sz w:val="18"/>
          <w:szCs w:val="18"/>
          <w:color w:val="auto"/>
        </w:rPr>
        <w:t>of aggregate time spent viewing a software title streamed on Mixer.</w:t>
      </w:r>
    </w:p>
    <w:p>
      <w:pPr>
        <w:spacing w:after="0" w:line="144" w:lineRule="exact"/>
        <w:rPr>
          <w:rFonts w:ascii="Arial" w:cs="Arial" w:eastAsia="Arial" w:hAnsi="Arial"/>
          <w:sz w:val="18"/>
          <w:szCs w:val="18"/>
          <w:b w:val="1"/>
          <w:bCs w:val="1"/>
          <w:color w:val="auto"/>
        </w:rPr>
      </w:pPr>
    </w:p>
    <w:p>
      <w:pPr>
        <w:ind w:right="60" w:firstLine="494"/>
        <w:spacing w:after="0" w:line="303" w:lineRule="auto"/>
        <w:tabs>
          <w:tab w:leader="none" w:pos="836" w:val="left"/>
        </w:tabs>
        <w:numPr>
          <w:ilvl w:val="1"/>
          <w:numId w:val="5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“Viewing Hour Share” </w:t>
      </w:r>
      <w:r>
        <w:rPr>
          <w:rFonts w:ascii="Arial" w:cs="Arial" w:eastAsia="Arial" w:hAnsi="Arial"/>
          <w:sz w:val="18"/>
          <w:szCs w:val="18"/>
          <w:color w:val="auto"/>
        </w:rPr>
        <w:t>means the sum of all Viewing Hours for all Publisher’s software titles on Mixer during the Accounting Period</w:t>
      </w:r>
      <w:r>
        <w:rPr>
          <w:rFonts w:ascii="Arial" w:cs="Arial" w:eastAsia="Arial" w:hAnsi="Arial"/>
          <w:sz w:val="18"/>
          <w:szCs w:val="18"/>
          <w:b w:val="1"/>
          <w:bCs w:val="1"/>
          <w:color w:val="auto"/>
        </w:rPr>
        <w:t xml:space="preserve"> </w:t>
      </w:r>
      <w:r>
        <w:rPr>
          <w:rFonts w:ascii="Arial" w:cs="Arial" w:eastAsia="Arial" w:hAnsi="Arial"/>
          <w:sz w:val="18"/>
          <w:szCs w:val="18"/>
          <w:color w:val="auto"/>
        </w:rPr>
        <w:t>divided by the total Viewing Hours for all software titles on Mixer during the Accounting Period.</w:t>
      </w:r>
    </w:p>
    <w:p>
      <w:pPr>
        <w:sectPr>
          <w:pgSz w:w="11900" w:h="16838" w:orient="portrait"/>
          <w:cols w:equalWidth="0" w:num="1">
            <w:col w:w="11380"/>
          </w:cols>
          <w:pgMar w:left="240" w:top="359" w:right="279" w:bottom="1440" w:gutter="0" w:footer="0" w:header="0"/>
        </w:sectPr>
      </w:pPr>
    </w:p>
    <w:p>
      <w:pPr>
        <w:spacing w:after="0" w:line="287" w:lineRule="exact"/>
        <w:rPr>
          <w:sz w:val="20"/>
          <w:szCs w:val="20"/>
          <w:color w:val="auto"/>
        </w:rPr>
      </w:pPr>
    </w:p>
    <w:p>
      <w:pPr>
        <w:spacing w:after="0" w:line="369" w:lineRule="auto"/>
        <w:rPr>
          <w:sz w:val="20"/>
          <w:szCs w:val="20"/>
          <w:color w:val="auto"/>
        </w:rPr>
      </w:pPr>
      <w:r>
        <w:rPr>
          <w:rFonts w:ascii="Arial" w:cs="Arial" w:eastAsia="Arial" w:hAnsi="Arial"/>
          <w:sz w:val="14"/>
          <w:szCs w:val="14"/>
          <w:color w:val="auto"/>
        </w:rPr>
        <w:t>Microsoft Confidential AOC v1 September 2017</w:t>
      </w:r>
    </w:p>
    <w:p>
      <w:pPr>
        <w:spacing w:after="0" w:line="20" w:lineRule="exact"/>
        <w:rPr>
          <w:sz w:val="20"/>
          <w:szCs w:val="20"/>
          <w:color w:val="auto"/>
        </w:rPr>
      </w:pPr>
      <w:r>
        <w:rPr>
          <w:sz w:val="20"/>
          <w:szCs w:val="20"/>
          <w:color w:val="auto"/>
        </w:rPr>
        <w:br w:type="column"/>
      </w:r>
    </w:p>
    <w:p>
      <w:pPr>
        <w:spacing w:after="0" w:line="267" w:lineRule="exact"/>
        <w:rPr>
          <w:sz w:val="20"/>
          <w:szCs w:val="20"/>
          <w:color w:val="auto"/>
        </w:rPr>
      </w:pPr>
    </w:p>
    <w:p>
      <w:pPr>
        <w:spacing w:after="0"/>
        <w:rPr>
          <w:sz w:val="20"/>
          <w:szCs w:val="20"/>
          <w:color w:val="auto"/>
        </w:rPr>
      </w:pPr>
      <w:r>
        <w:rPr>
          <w:rFonts w:ascii="Arial" w:cs="Arial" w:eastAsia="Arial" w:hAnsi="Arial"/>
          <w:sz w:val="14"/>
          <w:szCs w:val="14"/>
          <w:color w:val="auto"/>
        </w:rPr>
        <w:t>Page 9 of 11</w:t>
      </w:r>
    </w:p>
    <w:p>
      <w:pPr>
        <w:sectPr>
          <w:pgSz w:w="11900" w:h="16838" w:orient="portrait"/>
          <w:cols w:equalWidth="0" w:num="2">
            <w:col w:w="1660" w:space="160"/>
            <w:col w:w="9560"/>
          </w:cols>
          <w:pgMar w:left="240" w:top="359" w:right="279" w:bottom="1440" w:gutter="0" w:footer="0" w:header="0"/>
          <w:type w:val="continuous"/>
        </w:sectPr>
      </w:pPr>
    </w:p>
    <w:bookmarkStart w:id="100" w:name="page101"/>
    <w:bookmarkEnd w:id="100"/>
    <w:p>
      <w:pPr>
        <w:spacing w:after="0"/>
        <w:rPr>
          <w:sz w:val="20"/>
          <w:szCs w:val="20"/>
          <w:color w:val="auto"/>
        </w:rPr>
      </w:pPr>
      <w:r>
        <w:rPr>
          <w:rFonts w:ascii="Arial" w:cs="Arial" w:eastAsia="Arial" w:hAnsi="Arial"/>
          <w:sz w:val="16"/>
          <w:szCs w:val="16"/>
          <w:color w:val="auto"/>
        </w:rPr>
        <w:t>DocuSign Envelope ID: 4C2579D7-B77B-4D46-AF9B-741487D134D7</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500" w:right="240" w:hanging="492"/>
        <w:spacing w:after="0" w:line="284" w:lineRule="auto"/>
        <w:tabs>
          <w:tab w:leader="none" w:pos="500" w:val="left"/>
        </w:tabs>
        <w:numPr>
          <w:ilvl w:val="0"/>
          <w:numId w:val="54"/>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Mixer Native Interactivity Viewing Share. </w:t>
      </w:r>
      <w:r>
        <w:rPr>
          <w:rFonts w:ascii="Arial" w:cs="Arial" w:eastAsia="Arial" w:hAnsi="Arial"/>
          <w:sz w:val="18"/>
          <w:szCs w:val="18"/>
          <w:color w:val="auto"/>
        </w:rPr>
        <w:t>Publisher’s “Mixer Native Interactivity Viewing Share” will be the sum of Native Interactivity</w:t>
      </w:r>
      <w:r>
        <w:rPr>
          <w:rFonts w:ascii="Arial" w:cs="Arial" w:eastAsia="Arial" w:hAnsi="Arial"/>
          <w:sz w:val="18"/>
          <w:szCs w:val="18"/>
          <w:b w:val="1"/>
          <w:bCs w:val="1"/>
          <w:color w:val="auto"/>
        </w:rPr>
        <w:t xml:space="preserve"> </w:t>
      </w:r>
      <w:r>
        <w:rPr>
          <w:rFonts w:ascii="Arial" w:cs="Arial" w:eastAsia="Arial" w:hAnsi="Arial"/>
          <w:sz w:val="18"/>
          <w:szCs w:val="18"/>
          <w:color w:val="auto"/>
        </w:rPr>
        <w:t>Viewing Hours for all of Publisher’s Eligible Native Interactivity Titles during the Accounting Period divided by the sum of all Native Interactivity Viewing Hours for all Native Interactivity Titles during the Accounting Period.</w:t>
      </w:r>
    </w:p>
    <w:p>
      <w:pPr>
        <w:spacing w:after="0" w:line="62" w:lineRule="exact"/>
        <w:rPr>
          <w:rFonts w:ascii="Arial" w:cs="Arial" w:eastAsia="Arial" w:hAnsi="Arial"/>
          <w:sz w:val="18"/>
          <w:szCs w:val="18"/>
          <w:b w:val="1"/>
          <w:bCs w:val="1"/>
          <w:color w:val="auto"/>
        </w:rPr>
      </w:pPr>
    </w:p>
    <w:p>
      <w:pPr>
        <w:ind w:left="500" w:hanging="492"/>
        <w:spacing w:after="0" w:line="292" w:lineRule="auto"/>
        <w:tabs>
          <w:tab w:leader="none" w:pos="500" w:val="left"/>
        </w:tabs>
        <w:numPr>
          <w:ilvl w:val="0"/>
          <w:numId w:val="54"/>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Incentive Payment. </w:t>
      </w:r>
      <w:r>
        <w:rPr>
          <w:rFonts w:ascii="Arial" w:cs="Arial" w:eastAsia="Arial" w:hAnsi="Arial"/>
          <w:sz w:val="18"/>
          <w:szCs w:val="18"/>
          <w:color w:val="auto"/>
        </w:rPr>
        <w:t>The amount of each incentive payment shall be determined based on the aggregate number of all Eligible Native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Interactivity Titles at the close of each Accounting Period pursuant to Table 1 below. In no event will more than </w:t>
      </w:r>
      <w:r>
        <w:rPr>
          <w:rFonts w:ascii="Arial" w:cs="Arial" w:eastAsia="Arial" w:hAnsi="Arial"/>
          <w:sz w:val="16"/>
          <w:szCs w:val="16"/>
          <w:color w:val="auto"/>
        </w:rPr>
        <w:t>[***]</w:t>
      </w:r>
      <w:r>
        <w:rPr>
          <w:rFonts w:ascii="Arial" w:cs="Arial" w:eastAsia="Arial" w:hAnsi="Arial"/>
          <w:sz w:val="18"/>
          <w:szCs w:val="18"/>
          <w:color w:val="auto"/>
        </w:rPr>
        <w:t xml:space="preserve"> incentive payments be paid each Accounting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297815</wp:posOffset>
            </wp:positionV>
            <wp:extent cx="7220585" cy="8661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9">
                      <a:extLst>
                        <a:ext uri="{28A0092B-C50C-407E-A947-70E740481C1C}"/>
                      </a:extLst>
                    </a:blip>
                    <a:srcRect/>
                    <a:stretch>
                      <a:fillRect/>
                    </a:stretch>
                  </pic:blipFill>
                  <pic:spPr bwMode="auto">
                    <a:xfrm>
                      <a:off x="0" y="0"/>
                      <a:ext cx="7220585" cy="866140"/>
                    </a:xfrm>
                    <a:prstGeom prst="rect">
                      <a:avLst/>
                    </a:prstGeom>
                    <a:noFill/>
                  </pic:spPr>
                </pic:pic>
              </a:graphicData>
            </a:graphic>
          </wp:anchor>
        </w:drawing>
      </w:r>
    </w:p>
    <w:p>
      <w:pPr>
        <w:spacing w:after="0" w:line="200" w:lineRule="exact"/>
        <w:rPr>
          <w:sz w:val="20"/>
          <w:szCs w:val="20"/>
          <w:color w:val="auto"/>
        </w:rPr>
      </w:pPr>
    </w:p>
    <w:p>
      <w:pPr>
        <w:spacing w:after="0" w:line="26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Table 1: Incentive Payment</w:t>
      </w:r>
    </w:p>
    <w:p>
      <w:pPr>
        <w:spacing w:after="0" w:line="32"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2320" w:type="dxa"/>
            <w:vAlign w:val="bottom"/>
            <w:tcBorders>
              <w:top w:val="single" w:sz="8" w:color="00000A"/>
              <w:bottom w:val="single" w:sz="8" w:color="00000A"/>
              <w:right w:val="single" w:sz="8" w:color="00000A"/>
            </w:tcBorders>
            <w:shd w:val="clear" w:color="auto" w:fill="E7E6E6"/>
          </w:tcPr>
          <w:p>
            <w:pPr>
              <w:ind w:left="40"/>
              <w:spacing w:after="0"/>
              <w:rPr>
                <w:sz w:val="20"/>
                <w:szCs w:val="20"/>
                <w:color w:val="auto"/>
              </w:rPr>
            </w:pPr>
            <w:r>
              <w:rPr>
                <w:rFonts w:ascii="Arial" w:cs="Arial" w:eastAsia="Arial" w:hAnsi="Arial"/>
                <w:sz w:val="18"/>
                <w:szCs w:val="18"/>
                <w:b w:val="1"/>
                <w:bCs w:val="1"/>
                <w:color w:val="auto"/>
              </w:rPr>
              <w:t>Rank</w:t>
            </w:r>
          </w:p>
        </w:tc>
        <w:tc>
          <w:tcPr>
            <w:tcW w:w="2260" w:type="dxa"/>
            <w:vAlign w:val="bottom"/>
            <w:tcBorders>
              <w:top w:val="single" w:sz="8" w:color="00000A"/>
              <w:bottom w:val="single" w:sz="8" w:color="00000A"/>
              <w:right w:val="single" w:sz="8" w:color="00000A"/>
            </w:tcBorders>
          </w:tcPr>
          <w:p>
            <w:pPr>
              <w:jc w:val="right"/>
              <w:ind w:right="1879"/>
              <w:spacing w:after="0"/>
              <w:rPr>
                <w:sz w:val="20"/>
                <w:szCs w:val="20"/>
                <w:color w:val="auto"/>
              </w:rPr>
            </w:pPr>
            <w:r>
              <w:rPr>
                <w:rFonts w:ascii="Arial" w:cs="Arial" w:eastAsia="Arial" w:hAnsi="Arial"/>
                <w:sz w:val="16"/>
                <w:szCs w:val="16"/>
                <w:color w:val="auto"/>
              </w:rPr>
              <w:t>[***]</w:t>
            </w:r>
          </w:p>
        </w:tc>
        <w:tc>
          <w:tcPr>
            <w:tcW w:w="2260" w:type="dxa"/>
            <w:vAlign w:val="bottom"/>
            <w:tcBorders>
              <w:top w:val="single" w:sz="8" w:color="00000A"/>
              <w:bottom w:val="single" w:sz="8" w:color="00000A"/>
              <w:right w:val="single" w:sz="8" w:color="00000A"/>
            </w:tcBorders>
          </w:tcPr>
          <w:p>
            <w:pPr>
              <w:jc w:val="right"/>
              <w:ind w:right="1879"/>
              <w:spacing w:after="0"/>
              <w:rPr>
                <w:sz w:val="20"/>
                <w:szCs w:val="20"/>
                <w:color w:val="auto"/>
              </w:rPr>
            </w:pPr>
            <w:r>
              <w:rPr>
                <w:rFonts w:ascii="Arial" w:cs="Arial" w:eastAsia="Arial" w:hAnsi="Arial"/>
                <w:sz w:val="16"/>
                <w:szCs w:val="16"/>
                <w:color w:val="auto"/>
              </w:rPr>
              <w:t>[***]</w:t>
            </w:r>
          </w:p>
        </w:tc>
        <w:tc>
          <w:tcPr>
            <w:tcW w:w="2280" w:type="dxa"/>
            <w:vAlign w:val="bottom"/>
            <w:tcBorders>
              <w:top w:val="single" w:sz="8" w:color="00000A"/>
              <w:bottom w:val="single" w:sz="8" w:color="00000A"/>
              <w:right w:val="single" w:sz="8" w:color="00000A"/>
            </w:tcBorders>
          </w:tcPr>
          <w:p>
            <w:pPr>
              <w:jc w:val="right"/>
              <w:ind w:right="1899"/>
              <w:spacing w:after="0"/>
              <w:rPr>
                <w:sz w:val="20"/>
                <w:szCs w:val="20"/>
                <w:color w:val="auto"/>
              </w:rPr>
            </w:pPr>
            <w:r>
              <w:rPr>
                <w:rFonts w:ascii="Arial" w:cs="Arial" w:eastAsia="Arial" w:hAnsi="Arial"/>
                <w:sz w:val="16"/>
                <w:szCs w:val="16"/>
                <w:color w:val="auto"/>
              </w:rPr>
              <w:t>[***]</w:t>
            </w:r>
          </w:p>
        </w:tc>
        <w:tc>
          <w:tcPr>
            <w:tcW w:w="2240" w:type="dxa"/>
            <w:vAlign w:val="bottom"/>
            <w:tcBorders>
              <w:top w:val="single" w:sz="8" w:color="00000A"/>
              <w:bottom w:val="single" w:sz="8" w:color="00000A"/>
            </w:tcBorders>
          </w:tcPr>
          <w:p>
            <w:pPr>
              <w:jc w:val="right"/>
              <w:ind w:right="1859"/>
              <w:spacing w:after="0"/>
              <w:rPr>
                <w:sz w:val="20"/>
                <w:szCs w:val="20"/>
                <w:color w:val="auto"/>
              </w:rPr>
            </w:pPr>
            <w:r>
              <w:rPr>
                <w:rFonts w:ascii="Arial" w:cs="Arial" w:eastAsia="Arial" w:hAnsi="Arial"/>
                <w:sz w:val="16"/>
                <w:szCs w:val="16"/>
                <w:color w:val="auto"/>
              </w:rPr>
              <w:t>[***]</w:t>
            </w:r>
          </w:p>
        </w:tc>
        <w:tc>
          <w:tcPr>
            <w:tcW w:w="20" w:type="dxa"/>
            <w:vAlign w:val="bottom"/>
            <w:tcBorders>
              <w:top w:val="single" w:sz="8" w:color="00000A"/>
              <w:bottom w:val="single" w:sz="8" w:color="00000A"/>
            </w:tcBorders>
          </w:tcPr>
          <w:p>
            <w:pPr>
              <w:spacing w:after="0"/>
              <w:rPr>
                <w:sz w:val="22"/>
                <w:szCs w:val="22"/>
                <w:color w:val="auto"/>
              </w:rPr>
            </w:pPr>
          </w:p>
        </w:tc>
      </w:tr>
      <w:tr>
        <w:trPr>
          <w:trHeight w:val="250"/>
        </w:trPr>
        <w:tc>
          <w:tcPr>
            <w:tcW w:w="2320" w:type="dxa"/>
            <w:vAlign w:val="bottom"/>
            <w:tcBorders>
              <w:bottom w:val="single" w:sz="8" w:color="00000A"/>
              <w:right w:val="single" w:sz="8" w:color="00000A"/>
            </w:tcBorders>
            <w:shd w:val="clear" w:color="auto" w:fill="E7E6E6"/>
          </w:tcPr>
          <w:p>
            <w:pPr>
              <w:ind w:left="40"/>
              <w:spacing w:after="0"/>
              <w:rPr>
                <w:sz w:val="20"/>
                <w:szCs w:val="20"/>
                <w:color w:val="auto"/>
              </w:rPr>
            </w:pPr>
            <w:r>
              <w:rPr>
                <w:rFonts w:ascii="Arial" w:cs="Arial" w:eastAsia="Arial" w:hAnsi="Arial"/>
                <w:sz w:val="18"/>
                <w:szCs w:val="18"/>
                <w:b w:val="1"/>
                <w:bCs w:val="1"/>
                <w:color w:val="auto"/>
              </w:rPr>
              <w:t>First</w:t>
            </w:r>
          </w:p>
        </w:tc>
        <w:tc>
          <w:tcPr>
            <w:tcW w:w="2260" w:type="dxa"/>
            <w:vAlign w:val="bottom"/>
            <w:tcBorders>
              <w:bottom w:val="single" w:sz="8" w:color="00000A"/>
              <w:right w:val="single" w:sz="8" w:color="00000A"/>
            </w:tcBorders>
            <w:shd w:val="clear" w:color="auto" w:fill="E7E6E6"/>
          </w:tcPr>
          <w:p>
            <w:pPr>
              <w:jc w:val="right"/>
              <w:ind w:right="1879"/>
              <w:spacing w:after="0"/>
              <w:rPr>
                <w:sz w:val="20"/>
                <w:szCs w:val="20"/>
                <w:color w:val="auto"/>
              </w:rPr>
            </w:pPr>
            <w:r>
              <w:rPr>
                <w:rFonts w:ascii="Arial" w:cs="Arial" w:eastAsia="Arial" w:hAnsi="Arial"/>
                <w:sz w:val="16"/>
                <w:szCs w:val="16"/>
                <w:color w:val="auto"/>
              </w:rPr>
              <w:t>[***]</w:t>
            </w:r>
          </w:p>
        </w:tc>
        <w:tc>
          <w:tcPr>
            <w:tcW w:w="2260" w:type="dxa"/>
            <w:vAlign w:val="bottom"/>
            <w:tcBorders>
              <w:bottom w:val="single" w:sz="8" w:color="00000A"/>
              <w:right w:val="single" w:sz="8" w:color="00000A"/>
            </w:tcBorders>
            <w:shd w:val="clear" w:color="auto" w:fill="E7E6E6"/>
          </w:tcPr>
          <w:p>
            <w:pPr>
              <w:jc w:val="right"/>
              <w:ind w:right="1879"/>
              <w:spacing w:after="0"/>
              <w:rPr>
                <w:sz w:val="20"/>
                <w:szCs w:val="20"/>
                <w:color w:val="auto"/>
              </w:rPr>
            </w:pPr>
            <w:r>
              <w:rPr>
                <w:rFonts w:ascii="Arial" w:cs="Arial" w:eastAsia="Arial" w:hAnsi="Arial"/>
                <w:sz w:val="16"/>
                <w:szCs w:val="16"/>
                <w:color w:val="auto"/>
              </w:rPr>
              <w:t>[***]</w:t>
            </w:r>
          </w:p>
        </w:tc>
        <w:tc>
          <w:tcPr>
            <w:tcW w:w="2280" w:type="dxa"/>
            <w:vAlign w:val="bottom"/>
            <w:tcBorders>
              <w:bottom w:val="single" w:sz="8" w:color="00000A"/>
              <w:right w:val="single" w:sz="8" w:color="00000A"/>
            </w:tcBorders>
            <w:shd w:val="clear" w:color="auto" w:fill="E7E6E6"/>
          </w:tcPr>
          <w:p>
            <w:pPr>
              <w:jc w:val="right"/>
              <w:ind w:right="1899"/>
              <w:spacing w:after="0"/>
              <w:rPr>
                <w:sz w:val="20"/>
                <w:szCs w:val="20"/>
                <w:color w:val="auto"/>
              </w:rPr>
            </w:pPr>
            <w:r>
              <w:rPr>
                <w:rFonts w:ascii="Arial" w:cs="Arial" w:eastAsia="Arial" w:hAnsi="Arial"/>
                <w:sz w:val="16"/>
                <w:szCs w:val="16"/>
                <w:color w:val="auto"/>
              </w:rPr>
              <w:t>[***]</w:t>
            </w:r>
          </w:p>
        </w:tc>
        <w:tc>
          <w:tcPr>
            <w:tcW w:w="2240" w:type="dxa"/>
            <w:vAlign w:val="bottom"/>
            <w:tcBorders>
              <w:bottom w:val="single" w:sz="8" w:color="00000A"/>
            </w:tcBorders>
            <w:shd w:val="clear" w:color="auto" w:fill="E7E6E6"/>
          </w:tcPr>
          <w:p>
            <w:pPr>
              <w:jc w:val="right"/>
              <w:ind w:right="1859"/>
              <w:spacing w:after="0"/>
              <w:rPr>
                <w:sz w:val="20"/>
                <w:szCs w:val="20"/>
                <w:color w:val="auto"/>
              </w:rPr>
            </w:pPr>
            <w:r>
              <w:rPr>
                <w:rFonts w:ascii="Arial" w:cs="Arial" w:eastAsia="Arial" w:hAnsi="Arial"/>
                <w:sz w:val="16"/>
                <w:szCs w:val="16"/>
                <w:color w:val="auto"/>
              </w:rPr>
              <w:t>[***]</w:t>
            </w:r>
          </w:p>
        </w:tc>
        <w:tc>
          <w:tcPr>
            <w:tcW w:w="20" w:type="dxa"/>
            <w:vAlign w:val="bottom"/>
            <w:tcBorders>
              <w:bottom w:val="single" w:sz="8" w:color="00000A"/>
            </w:tcBorders>
          </w:tcPr>
          <w:p>
            <w:pPr>
              <w:spacing w:after="0"/>
              <w:rPr>
                <w:sz w:val="21"/>
                <w:szCs w:val="21"/>
                <w:color w:val="auto"/>
              </w:rPr>
            </w:pPr>
          </w:p>
        </w:tc>
      </w:tr>
      <w:tr>
        <w:trPr>
          <w:trHeight w:val="250"/>
        </w:trPr>
        <w:tc>
          <w:tcPr>
            <w:tcW w:w="2320" w:type="dxa"/>
            <w:vAlign w:val="bottom"/>
            <w:tcBorders>
              <w:bottom w:val="single" w:sz="8" w:color="00000A"/>
              <w:right w:val="single" w:sz="8" w:color="00000A"/>
            </w:tcBorders>
            <w:shd w:val="clear" w:color="auto" w:fill="E7E6E6"/>
          </w:tcPr>
          <w:p>
            <w:pPr>
              <w:ind w:left="40"/>
              <w:spacing w:after="0"/>
              <w:rPr>
                <w:sz w:val="20"/>
                <w:szCs w:val="20"/>
                <w:color w:val="auto"/>
              </w:rPr>
            </w:pPr>
            <w:r>
              <w:rPr>
                <w:rFonts w:ascii="Arial" w:cs="Arial" w:eastAsia="Arial" w:hAnsi="Arial"/>
                <w:sz w:val="18"/>
                <w:szCs w:val="18"/>
                <w:b w:val="1"/>
                <w:bCs w:val="1"/>
                <w:color w:val="auto"/>
              </w:rPr>
              <w:t>Second</w:t>
            </w:r>
          </w:p>
        </w:tc>
        <w:tc>
          <w:tcPr>
            <w:tcW w:w="2260" w:type="dxa"/>
            <w:vAlign w:val="bottom"/>
            <w:tcBorders>
              <w:bottom w:val="single" w:sz="8" w:color="00000A"/>
              <w:right w:val="single" w:sz="8" w:color="00000A"/>
            </w:tcBorders>
            <w:shd w:val="clear" w:color="auto" w:fill="E7E6E6"/>
          </w:tcPr>
          <w:p>
            <w:pPr>
              <w:jc w:val="right"/>
              <w:ind w:right="1879"/>
              <w:spacing w:after="0"/>
              <w:rPr>
                <w:sz w:val="20"/>
                <w:szCs w:val="20"/>
                <w:color w:val="auto"/>
              </w:rPr>
            </w:pPr>
            <w:r>
              <w:rPr>
                <w:rFonts w:ascii="Arial" w:cs="Arial" w:eastAsia="Arial" w:hAnsi="Arial"/>
                <w:sz w:val="16"/>
                <w:szCs w:val="16"/>
                <w:color w:val="auto"/>
              </w:rPr>
              <w:t>[***]</w:t>
            </w:r>
          </w:p>
        </w:tc>
        <w:tc>
          <w:tcPr>
            <w:tcW w:w="2260" w:type="dxa"/>
            <w:vAlign w:val="bottom"/>
            <w:tcBorders>
              <w:bottom w:val="single" w:sz="8" w:color="00000A"/>
              <w:right w:val="single" w:sz="8" w:color="00000A"/>
            </w:tcBorders>
            <w:shd w:val="clear" w:color="auto" w:fill="E7E6E6"/>
          </w:tcPr>
          <w:p>
            <w:pPr>
              <w:jc w:val="right"/>
              <w:ind w:right="1879"/>
              <w:spacing w:after="0"/>
              <w:rPr>
                <w:sz w:val="20"/>
                <w:szCs w:val="20"/>
                <w:color w:val="auto"/>
              </w:rPr>
            </w:pPr>
            <w:r>
              <w:rPr>
                <w:rFonts w:ascii="Arial" w:cs="Arial" w:eastAsia="Arial" w:hAnsi="Arial"/>
                <w:sz w:val="16"/>
                <w:szCs w:val="16"/>
                <w:color w:val="auto"/>
              </w:rPr>
              <w:t>[***]</w:t>
            </w:r>
          </w:p>
        </w:tc>
        <w:tc>
          <w:tcPr>
            <w:tcW w:w="2280" w:type="dxa"/>
            <w:vAlign w:val="bottom"/>
            <w:tcBorders>
              <w:bottom w:val="single" w:sz="8" w:color="00000A"/>
              <w:right w:val="single" w:sz="8" w:color="00000A"/>
            </w:tcBorders>
            <w:shd w:val="clear" w:color="auto" w:fill="E7E6E6"/>
          </w:tcPr>
          <w:p>
            <w:pPr>
              <w:jc w:val="right"/>
              <w:ind w:right="1899"/>
              <w:spacing w:after="0"/>
              <w:rPr>
                <w:sz w:val="20"/>
                <w:szCs w:val="20"/>
                <w:color w:val="auto"/>
              </w:rPr>
            </w:pPr>
            <w:r>
              <w:rPr>
                <w:rFonts w:ascii="Arial" w:cs="Arial" w:eastAsia="Arial" w:hAnsi="Arial"/>
                <w:sz w:val="16"/>
                <w:szCs w:val="16"/>
                <w:color w:val="auto"/>
              </w:rPr>
              <w:t>[***]</w:t>
            </w:r>
          </w:p>
        </w:tc>
        <w:tc>
          <w:tcPr>
            <w:tcW w:w="2240" w:type="dxa"/>
            <w:vAlign w:val="bottom"/>
            <w:tcBorders>
              <w:bottom w:val="single" w:sz="8" w:color="00000A"/>
            </w:tcBorders>
            <w:shd w:val="clear" w:color="auto" w:fill="E7E6E6"/>
          </w:tcPr>
          <w:p>
            <w:pPr>
              <w:jc w:val="right"/>
              <w:ind w:right="1859"/>
              <w:spacing w:after="0"/>
              <w:rPr>
                <w:sz w:val="20"/>
                <w:szCs w:val="20"/>
                <w:color w:val="auto"/>
              </w:rPr>
            </w:pPr>
            <w:r>
              <w:rPr>
                <w:rFonts w:ascii="Arial" w:cs="Arial" w:eastAsia="Arial" w:hAnsi="Arial"/>
                <w:sz w:val="16"/>
                <w:szCs w:val="16"/>
                <w:color w:val="auto"/>
              </w:rPr>
              <w:t>[***]</w:t>
            </w:r>
          </w:p>
        </w:tc>
        <w:tc>
          <w:tcPr>
            <w:tcW w:w="20" w:type="dxa"/>
            <w:vAlign w:val="bottom"/>
            <w:tcBorders>
              <w:bottom w:val="single" w:sz="8" w:color="00000A"/>
            </w:tcBorders>
          </w:tcPr>
          <w:p>
            <w:pPr>
              <w:spacing w:after="0"/>
              <w:rPr>
                <w:sz w:val="21"/>
                <w:szCs w:val="21"/>
                <w:color w:val="auto"/>
              </w:rPr>
            </w:pPr>
          </w:p>
        </w:tc>
      </w:tr>
      <w:tr>
        <w:trPr>
          <w:trHeight w:val="250"/>
        </w:trPr>
        <w:tc>
          <w:tcPr>
            <w:tcW w:w="2320" w:type="dxa"/>
            <w:vAlign w:val="bottom"/>
            <w:tcBorders>
              <w:bottom w:val="single" w:sz="8" w:color="00000A"/>
              <w:right w:val="single" w:sz="8" w:color="00000A"/>
            </w:tcBorders>
            <w:shd w:val="clear" w:color="auto" w:fill="E7E6E6"/>
          </w:tcPr>
          <w:p>
            <w:pPr>
              <w:ind w:left="40"/>
              <w:spacing w:after="0"/>
              <w:rPr>
                <w:sz w:val="20"/>
                <w:szCs w:val="20"/>
                <w:color w:val="auto"/>
              </w:rPr>
            </w:pPr>
            <w:r>
              <w:rPr>
                <w:rFonts w:ascii="Arial" w:cs="Arial" w:eastAsia="Arial" w:hAnsi="Arial"/>
                <w:sz w:val="18"/>
                <w:szCs w:val="18"/>
                <w:b w:val="1"/>
                <w:bCs w:val="1"/>
                <w:color w:val="auto"/>
              </w:rPr>
              <w:t>Third</w:t>
            </w:r>
          </w:p>
        </w:tc>
        <w:tc>
          <w:tcPr>
            <w:tcW w:w="2260" w:type="dxa"/>
            <w:vAlign w:val="bottom"/>
            <w:tcBorders>
              <w:bottom w:val="single" w:sz="8" w:color="00000A"/>
              <w:right w:val="single" w:sz="8" w:color="00000A"/>
            </w:tcBorders>
            <w:shd w:val="clear" w:color="auto" w:fill="E7E6E6"/>
          </w:tcPr>
          <w:p>
            <w:pPr>
              <w:jc w:val="right"/>
              <w:ind w:right="1879"/>
              <w:spacing w:after="0"/>
              <w:rPr>
                <w:sz w:val="20"/>
                <w:szCs w:val="20"/>
                <w:color w:val="auto"/>
              </w:rPr>
            </w:pPr>
            <w:r>
              <w:rPr>
                <w:rFonts w:ascii="Arial" w:cs="Arial" w:eastAsia="Arial" w:hAnsi="Arial"/>
                <w:sz w:val="16"/>
                <w:szCs w:val="16"/>
                <w:color w:val="auto"/>
              </w:rPr>
              <w:t>[***]</w:t>
            </w:r>
          </w:p>
        </w:tc>
        <w:tc>
          <w:tcPr>
            <w:tcW w:w="2260" w:type="dxa"/>
            <w:vAlign w:val="bottom"/>
            <w:tcBorders>
              <w:bottom w:val="single" w:sz="8" w:color="00000A"/>
              <w:right w:val="single" w:sz="8" w:color="00000A"/>
            </w:tcBorders>
            <w:shd w:val="clear" w:color="auto" w:fill="E7E6E6"/>
          </w:tcPr>
          <w:p>
            <w:pPr>
              <w:jc w:val="right"/>
              <w:ind w:right="1879"/>
              <w:spacing w:after="0"/>
              <w:rPr>
                <w:sz w:val="20"/>
                <w:szCs w:val="20"/>
                <w:color w:val="auto"/>
              </w:rPr>
            </w:pPr>
            <w:r>
              <w:rPr>
                <w:rFonts w:ascii="Arial" w:cs="Arial" w:eastAsia="Arial" w:hAnsi="Arial"/>
                <w:sz w:val="16"/>
                <w:szCs w:val="16"/>
                <w:color w:val="auto"/>
              </w:rPr>
              <w:t>[***]</w:t>
            </w:r>
          </w:p>
        </w:tc>
        <w:tc>
          <w:tcPr>
            <w:tcW w:w="2280" w:type="dxa"/>
            <w:vAlign w:val="bottom"/>
            <w:tcBorders>
              <w:bottom w:val="single" w:sz="8" w:color="00000A"/>
              <w:right w:val="single" w:sz="8" w:color="00000A"/>
            </w:tcBorders>
            <w:shd w:val="clear" w:color="auto" w:fill="E7E6E6"/>
          </w:tcPr>
          <w:p>
            <w:pPr>
              <w:jc w:val="right"/>
              <w:ind w:right="1899"/>
              <w:spacing w:after="0"/>
              <w:rPr>
                <w:sz w:val="20"/>
                <w:szCs w:val="20"/>
                <w:color w:val="auto"/>
              </w:rPr>
            </w:pPr>
            <w:r>
              <w:rPr>
                <w:rFonts w:ascii="Arial" w:cs="Arial" w:eastAsia="Arial" w:hAnsi="Arial"/>
                <w:sz w:val="16"/>
                <w:szCs w:val="16"/>
                <w:color w:val="auto"/>
              </w:rPr>
              <w:t>[***]</w:t>
            </w:r>
          </w:p>
        </w:tc>
        <w:tc>
          <w:tcPr>
            <w:tcW w:w="2240" w:type="dxa"/>
            <w:vAlign w:val="bottom"/>
            <w:tcBorders>
              <w:bottom w:val="single" w:sz="8" w:color="00000A"/>
            </w:tcBorders>
            <w:shd w:val="clear" w:color="auto" w:fill="E7E6E6"/>
          </w:tcPr>
          <w:p>
            <w:pPr>
              <w:jc w:val="right"/>
              <w:ind w:right="1859"/>
              <w:spacing w:after="0"/>
              <w:rPr>
                <w:sz w:val="20"/>
                <w:szCs w:val="20"/>
                <w:color w:val="auto"/>
              </w:rPr>
            </w:pPr>
            <w:r>
              <w:rPr>
                <w:rFonts w:ascii="Arial" w:cs="Arial" w:eastAsia="Arial" w:hAnsi="Arial"/>
                <w:sz w:val="16"/>
                <w:szCs w:val="16"/>
                <w:color w:val="auto"/>
              </w:rPr>
              <w:t>[***]</w:t>
            </w:r>
          </w:p>
        </w:tc>
        <w:tc>
          <w:tcPr>
            <w:tcW w:w="20" w:type="dxa"/>
            <w:vAlign w:val="bottom"/>
            <w:tcBorders>
              <w:bottom w:val="single" w:sz="8" w:color="00000A"/>
            </w:tcBorders>
          </w:tcPr>
          <w:p>
            <w:pPr>
              <w:spacing w:after="0"/>
              <w:rPr>
                <w:sz w:val="21"/>
                <w:szCs w:val="21"/>
                <w:color w:val="auto"/>
              </w:rPr>
            </w:pPr>
          </w:p>
        </w:tc>
      </w:tr>
    </w:tbl>
    <w:p>
      <w:pPr>
        <w:spacing w:after="0" w:line="261" w:lineRule="exact"/>
        <w:rPr>
          <w:sz w:val="20"/>
          <w:szCs w:val="20"/>
          <w:color w:val="auto"/>
        </w:rPr>
      </w:pPr>
    </w:p>
    <w:p>
      <w:pPr>
        <w:ind w:left="500" w:hanging="492"/>
        <w:spacing w:after="0"/>
        <w:tabs>
          <w:tab w:leader="none" w:pos="500" w:val="left"/>
        </w:tabs>
        <w:numPr>
          <w:ilvl w:val="0"/>
          <w:numId w:val="55"/>
        </w:numPr>
        <w:rPr>
          <w:rFonts w:ascii="Arial" w:cs="Arial" w:eastAsia="Arial" w:hAnsi="Arial"/>
          <w:sz w:val="18"/>
          <w:szCs w:val="18"/>
          <w:b w:val="1"/>
          <w:bCs w:val="1"/>
          <w:color w:val="auto"/>
        </w:rPr>
      </w:pPr>
      <w:r>
        <w:rPr>
          <w:rFonts w:ascii="Arial" w:cs="Arial" w:eastAsia="Arial" w:hAnsi="Arial"/>
          <w:sz w:val="18"/>
          <w:szCs w:val="18"/>
          <w:b w:val="1"/>
          <w:bCs w:val="1"/>
          <w:color w:val="auto"/>
        </w:rPr>
        <w:t>Examples.</w:t>
      </w:r>
    </w:p>
    <w:p>
      <w:pPr>
        <w:spacing w:after="0" w:line="126"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 xml:space="preserve">Standard Example. </w:t>
      </w:r>
      <w:r>
        <w:rPr>
          <w:rFonts w:ascii="Arial" w:cs="Arial" w:eastAsia="Arial" w:hAnsi="Arial"/>
          <w:sz w:val="19"/>
          <w:szCs w:val="19"/>
          <w:color w:val="auto"/>
        </w:rPr>
        <w:t>Assume the aggregate number of Native Interactivity Titles for the Accounting Period</w:t>
      </w:r>
      <w:r>
        <w:rPr>
          <w:rFonts w:ascii="Arial" w:cs="Arial" w:eastAsia="Arial" w:hAnsi="Arial"/>
          <w:sz w:val="19"/>
          <w:szCs w:val="19"/>
          <w:b w:val="1"/>
          <w:bCs w:val="1"/>
          <w:color w:val="auto"/>
        </w:rPr>
        <w:t xml:space="preserve"> </w:t>
      </w:r>
      <w:r>
        <w:rPr>
          <w:rFonts w:ascii="Arial" w:cs="Arial" w:eastAsia="Arial" w:hAnsi="Arial"/>
          <w:sz w:val="14"/>
          <w:szCs w:val="14"/>
          <w:color w:val="auto"/>
        </w:rPr>
        <w:t>[***]</w:t>
      </w:r>
      <w:r>
        <w:rPr>
          <w:rFonts w:ascii="Arial" w:cs="Arial" w:eastAsia="Arial" w:hAnsi="Arial"/>
          <w:sz w:val="19"/>
          <w:szCs w:val="19"/>
          <w:color w:val="auto"/>
        </w:rPr>
        <w:t>, and Publisher has</w:t>
      </w:r>
    </w:p>
    <w:p>
      <w:pPr>
        <w:spacing w:after="0" w:line="71" w:lineRule="exact"/>
        <w:rPr>
          <w:sz w:val="20"/>
          <w:szCs w:val="20"/>
          <w:color w:val="auto"/>
        </w:rPr>
      </w:pPr>
    </w:p>
    <w:p>
      <w:pPr>
        <w:ind w:left="880" w:hanging="386"/>
        <w:spacing w:after="0"/>
        <w:tabs>
          <w:tab w:leader="none" w:pos="880" w:val="left"/>
        </w:tabs>
        <w:numPr>
          <w:ilvl w:val="1"/>
          <w:numId w:val="56"/>
        </w:numPr>
        <w:rPr>
          <w:rFonts w:ascii="Arial" w:cs="Arial" w:eastAsia="Arial" w:hAnsi="Arial"/>
          <w:sz w:val="16"/>
          <w:szCs w:val="16"/>
          <w:color w:val="auto"/>
        </w:rPr>
      </w:pPr>
      <w:r>
        <w:rPr>
          <w:rFonts w:ascii="Arial" w:cs="Arial" w:eastAsia="Arial" w:hAnsi="Arial"/>
          <w:sz w:val="22"/>
          <w:szCs w:val="22"/>
          <w:color w:val="auto"/>
        </w:rPr>
        <w:t>Eligible Native Interactivity Titles that generated, on aggregate:</w:t>
      </w:r>
    </w:p>
    <w:p>
      <w:pPr>
        <w:spacing w:after="0" w:line="186" w:lineRule="exact"/>
        <w:rPr>
          <w:rFonts w:ascii="Arial" w:cs="Arial" w:eastAsia="Arial" w:hAnsi="Arial"/>
          <w:sz w:val="16"/>
          <w:szCs w:val="16"/>
          <w:color w:val="auto"/>
        </w:rPr>
      </w:pPr>
    </w:p>
    <w:p>
      <w:pPr>
        <w:ind w:left="340" w:hanging="332"/>
        <w:spacing w:after="0"/>
        <w:tabs>
          <w:tab w:leader="none" w:pos="340" w:val="left"/>
        </w:tabs>
        <w:numPr>
          <w:ilvl w:val="0"/>
          <w:numId w:val="56"/>
        </w:numPr>
        <w:rPr>
          <w:rFonts w:ascii="Arial" w:cs="Arial" w:eastAsia="Arial" w:hAnsi="Arial"/>
          <w:sz w:val="18"/>
          <w:szCs w:val="18"/>
          <w:color w:val="auto"/>
        </w:rPr>
      </w:pPr>
      <w:r>
        <w:rPr>
          <w:rFonts w:ascii="Arial" w:cs="Arial" w:eastAsia="Arial" w:hAnsi="Arial"/>
          <w:sz w:val="18"/>
          <w:szCs w:val="18"/>
          <w:color w:val="auto"/>
        </w:rPr>
        <w:t xml:space="preserve">Title A: </w:t>
      </w:r>
      <w:r>
        <w:rPr>
          <w:rFonts w:ascii="Arial" w:cs="Arial" w:eastAsia="Arial" w:hAnsi="Arial"/>
          <w:sz w:val="16"/>
          <w:szCs w:val="16"/>
          <w:color w:val="auto"/>
        </w:rPr>
        <w:t>[***]</w:t>
      </w:r>
      <w:r>
        <w:rPr>
          <w:rFonts w:ascii="Arial" w:cs="Arial" w:eastAsia="Arial" w:hAnsi="Arial"/>
          <w:sz w:val="18"/>
          <w:szCs w:val="18"/>
          <w:color w:val="auto"/>
        </w:rPr>
        <w:t xml:space="preserve"> Native Interactivity Viewing Hours (aggregation in Accounting Period, inclusive of any Multipliers)</w:t>
      </w:r>
    </w:p>
    <w:p>
      <w:pPr>
        <w:spacing w:after="0" w:line="171" w:lineRule="exact"/>
        <w:rPr>
          <w:rFonts w:ascii="Arial" w:cs="Arial" w:eastAsia="Arial" w:hAnsi="Arial"/>
          <w:sz w:val="18"/>
          <w:szCs w:val="18"/>
          <w:color w:val="auto"/>
        </w:rPr>
      </w:pPr>
    </w:p>
    <w:p>
      <w:pPr>
        <w:ind w:left="340" w:hanging="332"/>
        <w:spacing w:after="0"/>
        <w:tabs>
          <w:tab w:leader="none" w:pos="340" w:val="left"/>
        </w:tabs>
        <w:numPr>
          <w:ilvl w:val="0"/>
          <w:numId w:val="56"/>
        </w:numPr>
        <w:rPr>
          <w:rFonts w:ascii="Arial" w:cs="Arial" w:eastAsia="Arial" w:hAnsi="Arial"/>
          <w:sz w:val="18"/>
          <w:szCs w:val="18"/>
          <w:color w:val="auto"/>
        </w:rPr>
      </w:pPr>
      <w:r>
        <w:rPr>
          <w:rFonts w:ascii="Arial" w:cs="Arial" w:eastAsia="Arial" w:hAnsi="Arial"/>
          <w:sz w:val="18"/>
          <w:szCs w:val="18"/>
          <w:color w:val="auto"/>
        </w:rPr>
        <w:t xml:space="preserve">Title B: </w:t>
      </w:r>
      <w:r>
        <w:rPr>
          <w:rFonts w:ascii="Arial" w:cs="Arial" w:eastAsia="Arial" w:hAnsi="Arial"/>
          <w:sz w:val="16"/>
          <w:szCs w:val="16"/>
          <w:color w:val="auto"/>
        </w:rPr>
        <w:t>[***]</w:t>
      </w:r>
      <w:r>
        <w:rPr>
          <w:rFonts w:ascii="Arial" w:cs="Arial" w:eastAsia="Arial" w:hAnsi="Arial"/>
          <w:sz w:val="18"/>
          <w:szCs w:val="18"/>
          <w:color w:val="auto"/>
        </w:rPr>
        <w:t xml:space="preserve"> Native Interactivity Viewing Hours (aggregation in Accounting Period, inclusive of any Multipliers)</w:t>
      </w:r>
    </w:p>
    <w:p>
      <w:pPr>
        <w:spacing w:after="0" w:line="151" w:lineRule="exact"/>
        <w:rPr>
          <w:sz w:val="20"/>
          <w:szCs w:val="20"/>
          <w:color w:val="auto"/>
        </w:rPr>
      </w:pPr>
    </w:p>
    <w:p>
      <w:pPr>
        <w:ind w:right="180"/>
        <w:spacing w:after="0" w:line="289" w:lineRule="auto"/>
        <w:rPr>
          <w:sz w:val="20"/>
          <w:szCs w:val="20"/>
          <w:color w:val="auto"/>
        </w:rPr>
      </w:pPr>
      <w:r>
        <w:rPr>
          <w:rFonts w:ascii="Arial" w:cs="Arial" w:eastAsia="Arial" w:hAnsi="Arial"/>
          <w:sz w:val="22"/>
          <w:szCs w:val="22"/>
          <w:color w:val="auto"/>
        </w:rPr>
        <w:t xml:space="preserve">Next, assume all Native Interactivity Titles combined generated, on aggregate for the Accounting Period, </w:t>
      </w:r>
      <w:r>
        <w:rPr>
          <w:rFonts w:ascii="Arial" w:cs="Arial" w:eastAsia="Arial" w:hAnsi="Arial"/>
          <w:sz w:val="16"/>
          <w:szCs w:val="16"/>
          <w:color w:val="auto"/>
        </w:rPr>
        <w:t>[***]</w:t>
      </w:r>
      <w:r>
        <w:rPr>
          <w:rFonts w:ascii="Arial" w:cs="Arial" w:eastAsia="Arial" w:hAnsi="Arial"/>
          <w:sz w:val="22"/>
          <w:szCs w:val="22"/>
          <w:color w:val="auto"/>
        </w:rPr>
        <w:t xml:space="preserve"> Native Interactivity Viewing Hours (inclusive of any Multipliers).</w:t>
      </w:r>
    </w:p>
    <w:p>
      <w:pPr>
        <w:spacing w:after="0" w:line="80" w:lineRule="exact"/>
        <w:rPr>
          <w:sz w:val="20"/>
          <w:szCs w:val="20"/>
          <w:color w:val="auto"/>
        </w:rPr>
      </w:pPr>
    </w:p>
    <w:p>
      <w:pPr>
        <w:spacing w:after="0"/>
        <w:rPr>
          <w:sz w:val="20"/>
          <w:szCs w:val="20"/>
          <w:color w:val="auto"/>
        </w:rPr>
      </w:pPr>
      <w:r>
        <w:rPr>
          <w:rFonts w:ascii="Arial" w:cs="Arial" w:eastAsia="Arial" w:hAnsi="Arial"/>
          <w:sz w:val="22"/>
          <w:szCs w:val="22"/>
          <w:color w:val="auto"/>
        </w:rPr>
        <w:t xml:space="preserve">As a result, Publisher’s Native Interactivity Viewing Share would be: </w:t>
      </w:r>
      <w:r>
        <w:rPr>
          <w:rFonts w:ascii="Arial" w:cs="Arial" w:eastAsia="Arial" w:hAnsi="Arial"/>
          <w:sz w:val="16"/>
          <w:szCs w:val="16"/>
          <w:color w:val="auto"/>
        </w:rPr>
        <w:t>[***]</w:t>
      </w:r>
    </w:p>
    <w:p>
      <w:pPr>
        <w:spacing w:after="0" w:line="166" w:lineRule="exact"/>
        <w:rPr>
          <w:sz w:val="20"/>
          <w:szCs w:val="20"/>
          <w:color w:val="auto"/>
        </w:rPr>
      </w:pPr>
    </w:p>
    <w:p>
      <w:pPr>
        <w:ind w:right="800"/>
        <w:spacing w:after="0" w:line="289" w:lineRule="auto"/>
        <w:rPr>
          <w:sz w:val="20"/>
          <w:szCs w:val="20"/>
          <w:color w:val="auto"/>
        </w:rPr>
      </w:pPr>
      <w:r>
        <w:rPr>
          <w:rFonts w:ascii="Arial" w:cs="Arial" w:eastAsia="Arial" w:hAnsi="Arial"/>
          <w:sz w:val="22"/>
          <w:szCs w:val="22"/>
          <w:color w:val="auto"/>
        </w:rPr>
        <w:t xml:space="preserve">If the aggregate number of Eligible Native Interactivity Titles for the Accounting Period </w:t>
      </w:r>
      <w:r>
        <w:rPr>
          <w:rFonts w:ascii="Arial" w:cs="Arial" w:eastAsia="Arial" w:hAnsi="Arial"/>
          <w:sz w:val="16"/>
          <w:szCs w:val="16"/>
          <w:color w:val="auto"/>
        </w:rPr>
        <w:t>[***]</w:t>
      </w:r>
      <w:r>
        <w:rPr>
          <w:rFonts w:ascii="Arial" w:cs="Arial" w:eastAsia="Arial" w:hAnsi="Arial"/>
          <w:sz w:val="22"/>
          <w:szCs w:val="22"/>
          <w:color w:val="auto"/>
        </w:rPr>
        <w:t xml:space="preserve"> the incentive payment for the Accounting Period to Publisher would be </w:t>
      </w:r>
      <w:r>
        <w:rPr>
          <w:rFonts w:ascii="Arial" w:cs="Arial" w:eastAsia="Arial" w:hAnsi="Arial"/>
          <w:sz w:val="16"/>
          <w:szCs w:val="16"/>
          <w:color w:val="auto"/>
        </w:rPr>
        <w:t>[***].</w:t>
      </w:r>
    </w:p>
    <w:p>
      <w:pPr>
        <w:sectPr>
          <w:pgSz w:w="11900" w:h="16838" w:orient="portrait"/>
          <w:cols w:equalWidth="0" w:num="1">
            <w:col w:w="11420"/>
          </w:cols>
          <w:pgMar w:left="240" w:top="359" w:right="239" w:bottom="1440" w:gutter="0" w:footer="0" w:header="0"/>
        </w:sectPr>
      </w:pPr>
    </w:p>
    <w:p>
      <w:pPr>
        <w:spacing w:after="0" w:line="334" w:lineRule="exact"/>
        <w:rPr>
          <w:sz w:val="20"/>
          <w:szCs w:val="20"/>
          <w:color w:val="auto"/>
        </w:rPr>
      </w:pPr>
    </w:p>
    <w:p>
      <w:pPr>
        <w:spacing w:after="0" w:line="369" w:lineRule="auto"/>
        <w:rPr>
          <w:sz w:val="20"/>
          <w:szCs w:val="20"/>
          <w:color w:val="auto"/>
        </w:rPr>
      </w:pPr>
      <w:r>
        <w:rPr>
          <w:rFonts w:ascii="Arial" w:cs="Arial" w:eastAsia="Arial" w:hAnsi="Arial"/>
          <w:sz w:val="14"/>
          <w:szCs w:val="14"/>
          <w:color w:val="auto"/>
        </w:rPr>
        <w:t>Microsoft Confidential AOC v1 September 2017</w:t>
      </w:r>
    </w:p>
    <w:p>
      <w:pPr>
        <w:spacing w:after="0" w:line="20" w:lineRule="exact"/>
        <w:rPr>
          <w:sz w:val="20"/>
          <w:szCs w:val="20"/>
          <w:color w:val="auto"/>
        </w:rPr>
      </w:pPr>
      <w:r>
        <w:rPr>
          <w:sz w:val="20"/>
          <w:szCs w:val="20"/>
          <w:color w:val="auto"/>
        </w:rPr>
        <w:br w:type="column"/>
      </w:r>
    </w:p>
    <w:p>
      <w:pPr>
        <w:spacing w:after="0" w:line="314" w:lineRule="exact"/>
        <w:rPr>
          <w:sz w:val="20"/>
          <w:szCs w:val="20"/>
          <w:color w:val="auto"/>
        </w:rPr>
      </w:pPr>
    </w:p>
    <w:p>
      <w:pPr>
        <w:spacing w:after="0"/>
        <w:rPr>
          <w:sz w:val="20"/>
          <w:szCs w:val="20"/>
          <w:color w:val="auto"/>
        </w:rPr>
      </w:pPr>
      <w:r>
        <w:rPr>
          <w:rFonts w:ascii="Arial" w:cs="Arial" w:eastAsia="Arial" w:hAnsi="Arial"/>
          <w:sz w:val="14"/>
          <w:szCs w:val="14"/>
          <w:color w:val="auto"/>
        </w:rPr>
        <w:t>Page 10 of 11</w:t>
      </w:r>
    </w:p>
    <w:p>
      <w:pPr>
        <w:sectPr>
          <w:pgSz w:w="11900" w:h="16838" w:orient="portrait"/>
          <w:cols w:equalWidth="0" w:num="2">
            <w:col w:w="1660" w:space="160"/>
            <w:col w:w="9600"/>
          </w:cols>
          <w:pgMar w:left="240" w:top="359" w:right="239" w:bottom="1440" w:gutter="0" w:footer="0" w:header="0"/>
          <w:type w:val="continuous"/>
        </w:sectPr>
      </w:pPr>
    </w:p>
    <w:bookmarkStart w:id="101" w:name="page102"/>
    <w:bookmarkEnd w:id="101"/>
    <w:p>
      <w:pPr>
        <w:spacing w:after="0"/>
        <w:rPr>
          <w:sz w:val="20"/>
          <w:szCs w:val="20"/>
          <w:color w:val="auto"/>
        </w:rPr>
      </w:pPr>
      <w:r>
        <w:rPr>
          <w:rFonts w:ascii="Arial" w:cs="Arial" w:eastAsia="Arial" w:hAnsi="Arial"/>
          <w:sz w:val="16"/>
          <w:szCs w:val="16"/>
          <w:color w:val="auto"/>
        </w:rPr>
        <w:t>DocuSign Envelope ID: 4C2579D7-B77B-4D46-AF9B-741487D134D7</w:t>
      </w: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500" w:right="300" w:hanging="485"/>
        <w:spacing w:after="0" w:line="281" w:lineRule="auto"/>
        <w:rPr>
          <w:sz w:val="20"/>
          <w:szCs w:val="20"/>
          <w:color w:val="auto"/>
        </w:rPr>
      </w:pPr>
      <w:r>
        <w:rPr>
          <w:rFonts w:ascii="Arial" w:cs="Arial" w:eastAsia="Arial" w:hAnsi="Arial"/>
          <w:sz w:val="22"/>
          <w:szCs w:val="22"/>
          <w:b w:val="1"/>
          <w:bCs w:val="1"/>
          <w:color w:val="auto"/>
        </w:rPr>
        <w:t xml:space="preserve">Example illustrating </w:t>
      </w:r>
      <w:r>
        <w:rPr>
          <w:rFonts w:ascii="Arial" w:cs="Arial" w:eastAsia="Arial" w:hAnsi="Arial"/>
          <w:sz w:val="16"/>
          <w:szCs w:val="16"/>
          <w:color w:val="auto"/>
        </w:rPr>
        <w:t>[***]</w:t>
      </w:r>
      <w:r>
        <w:rPr>
          <w:rFonts w:ascii="Arial" w:cs="Arial" w:eastAsia="Arial" w:hAnsi="Arial"/>
          <w:sz w:val="22"/>
          <w:szCs w:val="22"/>
          <w:b w:val="1"/>
          <w:bCs w:val="1"/>
          <w:color w:val="auto"/>
        </w:rPr>
        <w:t xml:space="preserve"> </w:t>
      </w:r>
      <w:r>
        <w:rPr>
          <w:rFonts w:ascii="Arial" w:cs="Arial" w:eastAsia="Arial" w:hAnsi="Arial"/>
          <w:sz w:val="22"/>
          <w:szCs w:val="22"/>
          <w:color w:val="auto"/>
        </w:rPr>
        <w:t>Assume the aggregate number of Eligible Native Interactivity Titles for the Accounting Period equals</w:t>
      </w:r>
      <w:r>
        <w:rPr>
          <w:rFonts w:ascii="Arial" w:cs="Arial" w:eastAsia="Arial" w:hAnsi="Arial"/>
          <w:sz w:val="22"/>
          <w:szCs w:val="22"/>
          <w:b w:val="1"/>
          <w:bCs w:val="1"/>
          <w:color w:val="auto"/>
        </w:rPr>
        <w:t xml:space="preserve"> </w:t>
      </w:r>
      <w:r>
        <w:rPr>
          <w:rFonts w:ascii="Arial" w:cs="Arial" w:eastAsia="Arial" w:hAnsi="Arial"/>
          <w:sz w:val="16"/>
          <w:szCs w:val="16"/>
          <w:color w:val="auto"/>
        </w:rPr>
        <w:t>[***]</w:t>
      </w:r>
      <w:r>
        <w:rPr>
          <w:rFonts w:ascii="Arial" w:cs="Arial" w:eastAsia="Arial" w:hAnsi="Arial"/>
          <w:sz w:val="21"/>
          <w:szCs w:val="21"/>
          <w:color w:val="auto"/>
        </w:rPr>
        <w:t>, and Publisher has one Eligible Native Interactivity Title for the Accounting Period. The following demonstrates the</w:t>
      </w:r>
      <w:r>
        <w:rPr>
          <w:rFonts w:ascii="Arial" w:cs="Arial" w:eastAsia="Arial" w:hAnsi="Arial"/>
          <w:sz w:val="16"/>
          <w:szCs w:val="16"/>
          <w:color w:val="auto"/>
        </w:rPr>
        <w:t xml:space="preserve"> </w:t>
      </w:r>
      <w:r>
        <w:rPr>
          <w:rFonts w:ascii="Arial" w:cs="Arial" w:eastAsia="Arial" w:hAnsi="Arial"/>
          <w:sz w:val="21"/>
          <w:szCs w:val="21"/>
          <w:color w:val="auto"/>
        </w:rPr>
        <w:t xml:space="preserve">results of (a) Publisher’s Eligible Native Interactivity Title “A” without the Multiplier, and (b) Publisher’s Eligible Native Interactivity Title “A” with the Multiplier of </w:t>
      </w:r>
      <w:r>
        <w:rPr>
          <w:rFonts w:ascii="Arial" w:cs="Arial" w:eastAsia="Arial" w:hAnsi="Arial"/>
          <w:sz w:val="16"/>
          <w:szCs w:val="16"/>
          <w:color w:val="auto"/>
        </w:rPr>
        <w:t>[***]</w:t>
      </w:r>
      <w:r>
        <w:rPr>
          <w:rFonts w:ascii="Arial" w:cs="Arial" w:eastAsia="Arial" w:hAnsi="Arial"/>
          <w:sz w:val="21"/>
          <w:szCs w:val="21"/>
          <w:color w:val="auto"/>
        </w:rPr>
        <w:t>.</w:t>
      </w:r>
    </w:p>
    <w:p>
      <w:pPr>
        <w:spacing w:after="0" w:line="227" w:lineRule="exact"/>
        <w:rPr>
          <w:sz w:val="20"/>
          <w:szCs w:val="20"/>
          <w:color w:val="auto"/>
        </w:rPr>
      </w:pPr>
    </w:p>
    <w:tbl>
      <w:tblPr>
        <w:tblLayout w:type="fixed"/>
        <w:tblInd w:w="10" w:type="dxa"/>
        <w:tblCellMar>
          <w:top w:w="0" w:type="dxa"/>
          <w:left w:w="0" w:type="dxa"/>
          <w:bottom w:w="0" w:type="dxa"/>
          <w:right w:w="0" w:type="dxa"/>
        </w:tblCellMar>
      </w:tblPr>
      <w:tr>
        <w:trPr>
          <w:trHeight w:val="220"/>
        </w:trPr>
        <w:tc>
          <w:tcPr>
            <w:tcW w:w="4020" w:type="dxa"/>
            <w:vAlign w:val="bottom"/>
            <w:tcBorders>
              <w:top w:val="single" w:sz="8" w:color="00000A"/>
              <w:left w:val="single" w:sz="8" w:color="00000A"/>
              <w:right w:val="single" w:sz="8" w:color="00000A"/>
            </w:tcBorders>
          </w:tcPr>
          <w:p>
            <w:pPr>
              <w:ind w:left="40"/>
              <w:spacing w:after="0"/>
              <w:rPr>
                <w:sz w:val="20"/>
                <w:szCs w:val="20"/>
                <w:color w:val="auto"/>
              </w:rPr>
            </w:pPr>
            <w:r>
              <w:rPr>
                <w:rFonts w:ascii="Arial" w:cs="Arial" w:eastAsia="Arial" w:hAnsi="Arial"/>
                <w:sz w:val="18"/>
                <w:szCs w:val="18"/>
                <w:b w:val="1"/>
                <w:bCs w:val="1"/>
                <w:color w:val="auto"/>
              </w:rPr>
              <w:t>Accounting Period Aggregate</w:t>
            </w:r>
          </w:p>
        </w:tc>
        <w:tc>
          <w:tcPr>
            <w:tcW w:w="3660" w:type="dxa"/>
            <w:vAlign w:val="bottom"/>
            <w:tcBorders>
              <w:top w:val="single" w:sz="8" w:color="00000A"/>
              <w:right w:val="single" w:sz="8" w:color="00000A"/>
            </w:tcBorders>
          </w:tcPr>
          <w:p>
            <w:pPr>
              <w:ind w:left="20"/>
              <w:spacing w:after="0"/>
              <w:rPr>
                <w:sz w:val="20"/>
                <w:szCs w:val="20"/>
                <w:color w:val="auto"/>
              </w:rPr>
            </w:pPr>
            <w:r>
              <w:rPr>
                <w:rFonts w:ascii="Arial" w:cs="Arial" w:eastAsia="Arial" w:hAnsi="Arial"/>
                <w:sz w:val="18"/>
                <w:szCs w:val="18"/>
                <w:b w:val="1"/>
                <w:bCs w:val="1"/>
                <w:color w:val="auto"/>
              </w:rPr>
              <w:t>(a) Eligible Native Interactivity</w:t>
            </w:r>
          </w:p>
        </w:tc>
        <w:tc>
          <w:tcPr>
            <w:tcW w:w="3760" w:type="dxa"/>
            <w:vAlign w:val="bottom"/>
            <w:tcBorders>
              <w:top w:val="single" w:sz="8" w:color="00000A"/>
              <w:right w:val="single" w:sz="8" w:color="00000A"/>
            </w:tcBorders>
          </w:tcPr>
          <w:p>
            <w:pPr>
              <w:ind w:left="20"/>
              <w:spacing w:after="0"/>
              <w:rPr>
                <w:sz w:val="20"/>
                <w:szCs w:val="20"/>
                <w:color w:val="auto"/>
              </w:rPr>
            </w:pPr>
            <w:r>
              <w:rPr>
                <w:rFonts w:ascii="Arial" w:cs="Arial" w:eastAsia="Arial" w:hAnsi="Arial"/>
                <w:sz w:val="18"/>
                <w:szCs w:val="18"/>
                <w:b w:val="1"/>
                <w:bCs w:val="1"/>
                <w:color w:val="auto"/>
              </w:rPr>
              <w:t>(b) Eligible Native Interactivity Title “A”</w:t>
            </w:r>
          </w:p>
        </w:tc>
      </w:tr>
      <w:tr>
        <w:trPr>
          <w:trHeight w:val="203"/>
        </w:trPr>
        <w:tc>
          <w:tcPr>
            <w:tcW w:w="4020" w:type="dxa"/>
            <w:vAlign w:val="bottom"/>
            <w:tcBorders>
              <w:left w:val="single" w:sz="8" w:color="00000A"/>
              <w:right w:val="single" w:sz="8" w:color="00000A"/>
            </w:tcBorders>
          </w:tcPr>
          <w:p>
            <w:pPr>
              <w:spacing w:after="0"/>
              <w:rPr>
                <w:sz w:val="17"/>
                <w:szCs w:val="17"/>
                <w:color w:val="auto"/>
              </w:rPr>
            </w:pPr>
          </w:p>
        </w:tc>
        <w:tc>
          <w:tcPr>
            <w:tcW w:w="3660" w:type="dxa"/>
            <w:vAlign w:val="bottom"/>
            <w:tcBorders>
              <w:right w:val="single" w:sz="8" w:color="00000A"/>
            </w:tcBorders>
          </w:tcPr>
          <w:p>
            <w:pPr>
              <w:ind w:left="20"/>
              <w:spacing w:after="0" w:line="202" w:lineRule="exact"/>
              <w:rPr>
                <w:sz w:val="20"/>
                <w:szCs w:val="20"/>
                <w:color w:val="auto"/>
              </w:rPr>
            </w:pPr>
            <w:r>
              <w:rPr>
                <w:rFonts w:ascii="Arial" w:cs="Arial" w:eastAsia="Arial" w:hAnsi="Arial"/>
                <w:sz w:val="18"/>
                <w:szCs w:val="18"/>
                <w:b w:val="1"/>
                <w:bCs w:val="1"/>
                <w:color w:val="auto"/>
              </w:rPr>
              <w:t>Title “A”</w:t>
            </w:r>
          </w:p>
        </w:tc>
        <w:tc>
          <w:tcPr>
            <w:tcW w:w="3760" w:type="dxa"/>
            <w:vAlign w:val="bottom"/>
            <w:tcBorders>
              <w:right w:val="single" w:sz="8" w:color="00000A"/>
            </w:tcBorders>
          </w:tcPr>
          <w:p>
            <w:pPr>
              <w:ind w:left="20"/>
              <w:spacing w:after="0" w:line="202" w:lineRule="exact"/>
              <w:rPr>
                <w:sz w:val="20"/>
                <w:szCs w:val="20"/>
                <w:color w:val="auto"/>
              </w:rPr>
            </w:pPr>
            <w:r>
              <w:rPr>
                <w:rFonts w:ascii="Arial" w:cs="Arial" w:eastAsia="Arial" w:hAnsi="Arial"/>
                <w:sz w:val="18"/>
                <w:szCs w:val="18"/>
                <w:b w:val="1"/>
                <w:bCs w:val="1"/>
                <w:color w:val="auto"/>
              </w:rPr>
              <w:t xml:space="preserve">(With Multiplier of </w:t>
            </w:r>
            <w:r>
              <w:rPr>
                <w:rFonts w:ascii="Arial" w:cs="Arial" w:eastAsia="Arial" w:hAnsi="Arial"/>
                <w:sz w:val="16"/>
                <w:szCs w:val="16"/>
                <w:color w:val="auto"/>
              </w:rPr>
              <w:t>[***]</w:t>
            </w:r>
            <w:r>
              <w:rPr>
                <w:rFonts w:ascii="Arial" w:cs="Arial" w:eastAsia="Arial" w:hAnsi="Arial"/>
                <w:sz w:val="18"/>
                <w:szCs w:val="18"/>
                <w:b w:val="1"/>
                <w:bCs w:val="1"/>
                <w:color w:val="auto"/>
              </w:rPr>
              <w:t>)</w:t>
            </w:r>
          </w:p>
        </w:tc>
      </w:tr>
      <w:tr>
        <w:trPr>
          <w:trHeight w:val="246"/>
        </w:trPr>
        <w:tc>
          <w:tcPr>
            <w:tcW w:w="4020" w:type="dxa"/>
            <w:vAlign w:val="bottom"/>
            <w:tcBorders>
              <w:left w:val="single" w:sz="8" w:color="00000A"/>
              <w:bottom w:val="single" w:sz="8" w:color="00000A"/>
              <w:right w:val="single" w:sz="8" w:color="00000A"/>
            </w:tcBorders>
          </w:tcPr>
          <w:p>
            <w:pPr>
              <w:spacing w:after="0"/>
              <w:rPr>
                <w:sz w:val="21"/>
                <w:szCs w:val="21"/>
                <w:color w:val="auto"/>
              </w:rPr>
            </w:pPr>
          </w:p>
        </w:tc>
        <w:tc>
          <w:tcPr>
            <w:tcW w:w="3660" w:type="dxa"/>
            <w:vAlign w:val="bottom"/>
            <w:tcBorders>
              <w:bottom w:val="single" w:sz="8" w:color="00000A"/>
              <w:right w:val="single" w:sz="8" w:color="00000A"/>
            </w:tcBorders>
          </w:tcPr>
          <w:p>
            <w:pPr>
              <w:ind w:left="20"/>
              <w:spacing w:after="0"/>
              <w:rPr>
                <w:sz w:val="20"/>
                <w:szCs w:val="20"/>
                <w:color w:val="auto"/>
              </w:rPr>
            </w:pPr>
            <w:r>
              <w:rPr>
                <w:rFonts w:ascii="Arial" w:cs="Arial" w:eastAsia="Arial" w:hAnsi="Arial"/>
                <w:sz w:val="18"/>
                <w:szCs w:val="18"/>
                <w:b w:val="1"/>
                <w:bCs w:val="1"/>
                <w:color w:val="auto"/>
              </w:rPr>
              <w:t>(Without Multiplier)</w:t>
            </w:r>
          </w:p>
        </w:tc>
        <w:tc>
          <w:tcPr>
            <w:tcW w:w="3760" w:type="dxa"/>
            <w:vAlign w:val="bottom"/>
            <w:tcBorders>
              <w:bottom w:val="single" w:sz="8" w:color="00000A"/>
              <w:right w:val="single" w:sz="8" w:color="00000A"/>
            </w:tcBorders>
          </w:tcPr>
          <w:p>
            <w:pPr>
              <w:spacing w:after="0"/>
              <w:rPr>
                <w:sz w:val="21"/>
                <w:szCs w:val="21"/>
                <w:color w:val="auto"/>
              </w:rPr>
            </w:pPr>
          </w:p>
        </w:tc>
      </w:tr>
      <w:tr>
        <w:trPr>
          <w:trHeight w:val="250"/>
        </w:trPr>
        <w:tc>
          <w:tcPr>
            <w:tcW w:w="4020" w:type="dxa"/>
            <w:vAlign w:val="bottom"/>
            <w:tcBorders>
              <w:left w:val="single" w:sz="8" w:color="00000A"/>
              <w:bottom w:val="single" w:sz="8" w:color="00000A"/>
              <w:right w:val="single" w:sz="8" w:color="00000A"/>
            </w:tcBorders>
          </w:tcPr>
          <w:p>
            <w:pPr>
              <w:ind w:left="40"/>
              <w:spacing w:after="0"/>
              <w:rPr>
                <w:sz w:val="20"/>
                <w:szCs w:val="20"/>
                <w:color w:val="auto"/>
              </w:rPr>
            </w:pPr>
            <w:r>
              <w:rPr>
                <w:rFonts w:ascii="Arial" w:cs="Arial" w:eastAsia="Arial" w:hAnsi="Arial"/>
                <w:sz w:val="18"/>
                <w:szCs w:val="18"/>
                <w:b w:val="1"/>
                <w:bCs w:val="1"/>
                <w:color w:val="auto"/>
              </w:rPr>
              <w:t>Native Interactivity Viewing Hours</w:t>
            </w:r>
          </w:p>
        </w:tc>
        <w:tc>
          <w:tcPr>
            <w:tcW w:w="3660" w:type="dxa"/>
            <w:vAlign w:val="bottom"/>
            <w:tcBorders>
              <w:bottom w:val="single" w:sz="8" w:color="00000A"/>
              <w:right w:val="single" w:sz="8" w:color="00000A"/>
            </w:tcBorders>
          </w:tcPr>
          <w:p>
            <w:pPr>
              <w:ind w:left="20"/>
              <w:spacing w:after="0"/>
              <w:rPr>
                <w:sz w:val="20"/>
                <w:szCs w:val="20"/>
                <w:color w:val="auto"/>
              </w:rPr>
            </w:pPr>
            <w:r>
              <w:rPr>
                <w:rFonts w:ascii="Arial" w:cs="Arial" w:eastAsia="Arial" w:hAnsi="Arial"/>
                <w:sz w:val="16"/>
                <w:szCs w:val="16"/>
                <w:color w:val="auto"/>
              </w:rPr>
              <w:t>[***]</w:t>
            </w:r>
          </w:p>
        </w:tc>
        <w:tc>
          <w:tcPr>
            <w:tcW w:w="3760" w:type="dxa"/>
            <w:vAlign w:val="bottom"/>
            <w:tcBorders>
              <w:bottom w:val="single" w:sz="8" w:color="00000A"/>
              <w:right w:val="single" w:sz="8" w:color="00000A"/>
            </w:tcBorders>
          </w:tcPr>
          <w:p>
            <w:pPr>
              <w:ind w:left="20"/>
              <w:spacing w:after="0"/>
              <w:rPr>
                <w:sz w:val="20"/>
                <w:szCs w:val="20"/>
                <w:color w:val="auto"/>
              </w:rPr>
            </w:pPr>
            <w:r>
              <w:rPr>
                <w:rFonts w:ascii="Arial" w:cs="Arial" w:eastAsia="Arial" w:hAnsi="Arial"/>
                <w:sz w:val="16"/>
                <w:szCs w:val="16"/>
                <w:color w:val="auto"/>
              </w:rPr>
              <w:t>[***]</w:t>
            </w:r>
          </w:p>
        </w:tc>
      </w:tr>
    </w:tbl>
    <w:p>
      <w:pPr>
        <w:spacing w:after="0" w:line="208" w:lineRule="exact"/>
        <w:rPr>
          <w:sz w:val="20"/>
          <w:szCs w:val="20"/>
          <w:color w:val="auto"/>
        </w:rPr>
      </w:pPr>
    </w:p>
    <w:p>
      <w:pPr>
        <w:ind w:right="900"/>
        <w:spacing w:after="0" w:line="259" w:lineRule="auto"/>
        <w:rPr>
          <w:sz w:val="20"/>
          <w:szCs w:val="20"/>
          <w:color w:val="auto"/>
        </w:rPr>
      </w:pPr>
      <w:r>
        <w:rPr>
          <w:rFonts w:ascii="Arial" w:cs="Arial" w:eastAsia="Arial" w:hAnsi="Arial"/>
          <w:sz w:val="22"/>
          <w:szCs w:val="22"/>
          <w:color w:val="auto"/>
        </w:rPr>
        <w:t>Next, assume that all Native Interactivity Titles combined generated the following Native Interactivity Viewing Hours, on aggregate:</w:t>
      </w:r>
    </w:p>
    <w:p>
      <w:pPr>
        <w:spacing w:after="0" w:line="15" w:lineRule="exact"/>
        <w:rPr>
          <w:sz w:val="20"/>
          <w:szCs w:val="20"/>
          <w:color w:val="auto"/>
        </w:rPr>
      </w:pPr>
    </w:p>
    <w:p>
      <w:pPr>
        <w:ind w:left="660" w:hanging="328"/>
        <w:spacing w:after="0"/>
        <w:tabs>
          <w:tab w:leader="none" w:pos="660" w:val="left"/>
        </w:tabs>
        <w:numPr>
          <w:ilvl w:val="0"/>
          <w:numId w:val="57"/>
        </w:numPr>
        <w:rPr>
          <w:rFonts w:ascii="Arial" w:cs="Arial" w:eastAsia="Arial" w:hAnsi="Arial"/>
          <w:sz w:val="18"/>
          <w:szCs w:val="18"/>
          <w:color w:val="auto"/>
        </w:rPr>
      </w:pPr>
      <w:r>
        <w:rPr>
          <w:rFonts w:ascii="Arial" w:cs="Arial" w:eastAsia="Arial" w:hAnsi="Arial"/>
          <w:sz w:val="18"/>
          <w:szCs w:val="18"/>
          <w:color w:val="auto"/>
        </w:rPr>
        <w:t xml:space="preserve">Without the Multiplier: </w:t>
      </w:r>
      <w:r>
        <w:rPr>
          <w:rFonts w:ascii="Arial" w:cs="Arial" w:eastAsia="Arial" w:hAnsi="Arial"/>
          <w:sz w:val="16"/>
          <w:szCs w:val="16"/>
          <w:color w:val="auto"/>
        </w:rPr>
        <w:t>[***]</w:t>
      </w:r>
      <w:r>
        <w:rPr>
          <w:rFonts w:ascii="Arial" w:cs="Arial" w:eastAsia="Arial" w:hAnsi="Arial"/>
          <w:sz w:val="18"/>
          <w:szCs w:val="18"/>
          <w:color w:val="auto"/>
        </w:rPr>
        <w:t xml:space="preserve"> (aggregation in Accounting Period, inclusive of any Multipliers applicable to other publishers)</w:t>
      </w:r>
    </w:p>
    <w:p>
      <w:pPr>
        <w:spacing w:after="0" w:line="144" w:lineRule="exact"/>
        <w:rPr>
          <w:rFonts w:ascii="Arial" w:cs="Arial" w:eastAsia="Arial" w:hAnsi="Arial"/>
          <w:sz w:val="18"/>
          <w:szCs w:val="18"/>
          <w:color w:val="auto"/>
        </w:rPr>
      </w:pPr>
    </w:p>
    <w:p>
      <w:pPr>
        <w:ind w:left="660" w:hanging="328"/>
        <w:spacing w:after="0"/>
        <w:tabs>
          <w:tab w:leader="none" w:pos="660" w:val="left"/>
        </w:tabs>
        <w:numPr>
          <w:ilvl w:val="0"/>
          <w:numId w:val="57"/>
        </w:numPr>
        <w:rPr>
          <w:rFonts w:ascii="Arial" w:cs="Arial" w:eastAsia="Arial" w:hAnsi="Arial"/>
          <w:sz w:val="18"/>
          <w:szCs w:val="18"/>
          <w:color w:val="auto"/>
        </w:rPr>
      </w:pPr>
      <w:r>
        <w:rPr>
          <w:rFonts w:ascii="Arial" w:cs="Arial" w:eastAsia="Arial" w:hAnsi="Arial"/>
          <w:sz w:val="18"/>
          <w:szCs w:val="18"/>
          <w:color w:val="auto"/>
        </w:rPr>
        <w:t xml:space="preserve">With the Multiplier: </w:t>
      </w:r>
      <w:r>
        <w:rPr>
          <w:rFonts w:ascii="Arial" w:cs="Arial" w:eastAsia="Arial" w:hAnsi="Arial"/>
          <w:sz w:val="16"/>
          <w:szCs w:val="16"/>
          <w:color w:val="auto"/>
        </w:rPr>
        <w:t>[***]</w:t>
      </w:r>
      <w:r>
        <w:rPr>
          <w:rFonts w:ascii="Arial" w:cs="Arial" w:eastAsia="Arial" w:hAnsi="Arial"/>
          <w:sz w:val="18"/>
          <w:szCs w:val="18"/>
          <w:color w:val="auto"/>
        </w:rPr>
        <w:t xml:space="preserve"> (aggregation in Accounting Period, inclusive of any Multipliers applicable to other publishers)</w:t>
      </w:r>
    </w:p>
    <w:p>
      <w:pPr>
        <w:spacing w:after="0" w:line="151" w:lineRule="exact"/>
        <w:rPr>
          <w:sz w:val="20"/>
          <w:szCs w:val="20"/>
          <w:color w:val="auto"/>
        </w:rPr>
      </w:pPr>
    </w:p>
    <w:p>
      <w:pPr>
        <w:spacing w:after="0"/>
        <w:rPr>
          <w:sz w:val="20"/>
          <w:szCs w:val="20"/>
          <w:color w:val="auto"/>
        </w:rPr>
      </w:pPr>
      <w:r>
        <w:rPr>
          <w:rFonts w:ascii="Arial" w:cs="Arial" w:eastAsia="Arial" w:hAnsi="Arial"/>
          <w:sz w:val="22"/>
          <w:szCs w:val="22"/>
          <w:color w:val="auto"/>
        </w:rPr>
        <w:t>As a result, Publisher’s Native Interactivity Viewing Share would be:</w:t>
      </w:r>
    </w:p>
    <w:p>
      <w:pPr>
        <w:spacing w:after="0" w:line="38" w:lineRule="exact"/>
        <w:rPr>
          <w:sz w:val="20"/>
          <w:szCs w:val="20"/>
          <w:color w:val="auto"/>
        </w:rPr>
      </w:pPr>
    </w:p>
    <w:p>
      <w:pPr>
        <w:ind w:left="660" w:hanging="328"/>
        <w:spacing w:after="0"/>
        <w:tabs>
          <w:tab w:leader="none" w:pos="660" w:val="left"/>
        </w:tabs>
        <w:numPr>
          <w:ilvl w:val="1"/>
          <w:numId w:val="58"/>
        </w:numPr>
        <w:rPr>
          <w:rFonts w:ascii="Arial" w:cs="Arial" w:eastAsia="Arial" w:hAnsi="Arial"/>
          <w:sz w:val="18"/>
          <w:szCs w:val="18"/>
          <w:color w:val="auto"/>
        </w:rPr>
      </w:pPr>
      <w:r>
        <w:rPr>
          <w:rFonts w:ascii="Arial" w:cs="Arial" w:eastAsia="Arial" w:hAnsi="Arial"/>
          <w:sz w:val="18"/>
          <w:szCs w:val="18"/>
          <w:color w:val="auto"/>
        </w:rPr>
        <w:t xml:space="preserve">Eligible Native Interactivity Title “A” (without Multiplier) = </w:t>
      </w:r>
      <w:r>
        <w:rPr>
          <w:rFonts w:ascii="Arial" w:cs="Arial" w:eastAsia="Arial" w:hAnsi="Arial"/>
          <w:sz w:val="16"/>
          <w:szCs w:val="16"/>
          <w:color w:val="auto"/>
        </w:rPr>
        <w:t>[***]</w:t>
      </w:r>
    </w:p>
    <w:p>
      <w:pPr>
        <w:spacing w:after="0" w:line="144" w:lineRule="exact"/>
        <w:rPr>
          <w:rFonts w:ascii="Arial" w:cs="Arial" w:eastAsia="Arial" w:hAnsi="Arial"/>
          <w:sz w:val="18"/>
          <w:szCs w:val="18"/>
          <w:color w:val="auto"/>
        </w:rPr>
      </w:pPr>
    </w:p>
    <w:p>
      <w:pPr>
        <w:ind w:left="660" w:hanging="328"/>
        <w:spacing w:after="0"/>
        <w:tabs>
          <w:tab w:leader="none" w:pos="660" w:val="left"/>
        </w:tabs>
        <w:numPr>
          <w:ilvl w:val="1"/>
          <w:numId w:val="58"/>
        </w:numPr>
        <w:rPr>
          <w:rFonts w:ascii="Arial" w:cs="Arial" w:eastAsia="Arial" w:hAnsi="Arial"/>
          <w:sz w:val="18"/>
          <w:szCs w:val="18"/>
          <w:color w:val="auto"/>
        </w:rPr>
      </w:pPr>
      <w:r>
        <w:rPr>
          <w:rFonts w:ascii="Arial" w:cs="Arial" w:eastAsia="Arial" w:hAnsi="Arial"/>
          <w:sz w:val="18"/>
          <w:szCs w:val="18"/>
          <w:color w:val="auto"/>
        </w:rPr>
        <w:t xml:space="preserve">Eligible Native Interactivity Title “A” (with Multiplier of </w:t>
      </w:r>
      <w:r>
        <w:rPr>
          <w:rFonts w:ascii="Arial" w:cs="Arial" w:eastAsia="Arial" w:hAnsi="Arial"/>
          <w:sz w:val="16"/>
          <w:szCs w:val="16"/>
          <w:color w:val="auto"/>
        </w:rPr>
        <w:t>[***]</w:t>
      </w:r>
      <w:r>
        <w:rPr>
          <w:rFonts w:ascii="Arial" w:cs="Arial" w:eastAsia="Arial" w:hAnsi="Arial"/>
          <w:sz w:val="18"/>
          <w:szCs w:val="18"/>
          <w:color w:val="auto"/>
        </w:rPr>
        <w:t xml:space="preserve">) = </w:t>
      </w:r>
      <w:r>
        <w:rPr>
          <w:rFonts w:ascii="Arial" w:cs="Arial" w:eastAsia="Arial" w:hAnsi="Arial"/>
          <w:sz w:val="16"/>
          <w:szCs w:val="16"/>
          <w:color w:val="auto"/>
        </w:rPr>
        <w:t>[***]</w:t>
      </w:r>
    </w:p>
    <w:p>
      <w:pPr>
        <w:spacing w:after="0" w:line="149" w:lineRule="exact"/>
        <w:rPr>
          <w:rFonts w:ascii="Arial" w:cs="Arial" w:eastAsia="Arial" w:hAnsi="Arial"/>
          <w:sz w:val="18"/>
          <w:szCs w:val="18"/>
          <w:color w:val="auto"/>
        </w:rPr>
      </w:pPr>
    </w:p>
    <w:p>
      <w:pPr>
        <w:ind w:left="500" w:right="180" w:hanging="492"/>
        <w:spacing w:after="0" w:line="335" w:lineRule="auto"/>
        <w:tabs>
          <w:tab w:leader="none" w:pos="500" w:val="left"/>
        </w:tabs>
        <w:numPr>
          <w:ilvl w:val="0"/>
          <w:numId w:val="58"/>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Payments. </w:t>
      </w:r>
      <w:r>
        <w:rPr>
          <w:rFonts w:ascii="Arial" w:cs="Arial" w:eastAsia="Arial" w:hAnsi="Arial"/>
          <w:sz w:val="17"/>
          <w:szCs w:val="17"/>
          <w:color w:val="auto"/>
        </w:rPr>
        <w:t>In the event Publisher qualifies for an incentive payment under the Mixer Incentive Program during an Accounting Period,</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Microsoft will provide payment for any amount due to Publisher in US Dollars (USD) within </w:t>
      </w:r>
      <w:r>
        <w:rPr>
          <w:rFonts w:ascii="Arial" w:cs="Arial" w:eastAsia="Arial" w:hAnsi="Arial"/>
          <w:sz w:val="15"/>
          <w:szCs w:val="15"/>
          <w:color w:val="auto"/>
        </w:rPr>
        <w:t>[***]</w:t>
      </w:r>
      <w:r>
        <w:rPr>
          <w:rFonts w:ascii="Arial" w:cs="Arial" w:eastAsia="Arial" w:hAnsi="Arial"/>
          <w:sz w:val="17"/>
          <w:szCs w:val="17"/>
          <w:color w:val="auto"/>
        </w:rPr>
        <w:t xml:space="preserve"> after the end of each Accounting Period.</w:t>
      </w:r>
    </w:p>
    <w:p>
      <w:pPr>
        <w:spacing w:after="0" w:line="35" w:lineRule="exact"/>
        <w:rPr>
          <w:rFonts w:ascii="Arial" w:cs="Arial" w:eastAsia="Arial" w:hAnsi="Arial"/>
          <w:sz w:val="17"/>
          <w:szCs w:val="17"/>
          <w:b w:val="1"/>
          <w:bCs w:val="1"/>
          <w:color w:val="auto"/>
        </w:rPr>
      </w:pPr>
    </w:p>
    <w:p>
      <w:pPr>
        <w:ind w:left="500" w:hanging="492"/>
        <w:spacing w:after="0"/>
        <w:tabs>
          <w:tab w:leader="none" w:pos="500" w:val="left"/>
        </w:tabs>
        <w:numPr>
          <w:ilvl w:val="0"/>
          <w:numId w:val="58"/>
        </w:numPr>
        <w:rPr>
          <w:rFonts w:ascii="Arial" w:cs="Arial" w:eastAsia="Arial" w:hAnsi="Arial"/>
          <w:sz w:val="18"/>
          <w:szCs w:val="18"/>
          <w:b w:val="1"/>
          <w:bCs w:val="1"/>
          <w:color w:val="auto"/>
        </w:rPr>
      </w:pPr>
      <w:r>
        <w:rPr>
          <w:rFonts w:ascii="Arial" w:cs="Arial" w:eastAsia="Arial" w:hAnsi="Arial"/>
          <w:sz w:val="18"/>
          <w:szCs w:val="18"/>
          <w:b w:val="1"/>
          <w:bCs w:val="1"/>
          <w:color w:val="auto"/>
        </w:rPr>
        <w:t>Other Mixer Incentive Program Requirements.</w:t>
      </w:r>
    </w:p>
    <w:p>
      <w:pPr>
        <w:spacing w:after="0" w:line="131" w:lineRule="exact"/>
        <w:rPr>
          <w:sz w:val="20"/>
          <w:szCs w:val="20"/>
          <w:color w:val="auto"/>
        </w:rPr>
      </w:pPr>
    </w:p>
    <w:p>
      <w:pPr>
        <w:ind w:right="100" w:firstLine="486"/>
        <w:spacing w:after="0" w:line="275" w:lineRule="auto"/>
        <w:rPr>
          <w:sz w:val="20"/>
          <w:szCs w:val="20"/>
          <w:color w:val="auto"/>
        </w:rPr>
      </w:pPr>
      <w:r>
        <w:rPr>
          <w:rFonts w:ascii="Arial" w:cs="Arial" w:eastAsia="Arial" w:hAnsi="Arial"/>
          <w:sz w:val="18"/>
          <w:szCs w:val="18"/>
          <w:b w:val="1"/>
          <w:bCs w:val="1"/>
          <w:color w:val="auto"/>
        </w:rPr>
        <w:t xml:space="preserve">7.1 </w:t>
      </w:r>
      <w:r>
        <w:rPr>
          <w:rFonts w:ascii="Arial" w:cs="Arial" w:eastAsia="Arial" w:hAnsi="Arial"/>
          <w:sz w:val="18"/>
          <w:szCs w:val="18"/>
          <w:color w:val="auto"/>
        </w:rPr>
        <w:t>Mixer Native Interactivity Title simship, feature and content parity. Each Eligible Native Interactivity Title that does not maintain</w:t>
      </w:r>
      <w:r>
        <w:rPr>
          <w:rFonts w:ascii="Arial" w:cs="Arial" w:eastAsia="Arial" w:hAnsi="Arial"/>
          <w:sz w:val="18"/>
          <w:szCs w:val="18"/>
          <w:b w:val="1"/>
          <w:bCs w:val="1"/>
          <w:color w:val="auto"/>
        </w:rPr>
        <w:t xml:space="preserve"> </w:t>
      </w:r>
      <w:r>
        <w:rPr>
          <w:rFonts w:ascii="Arial" w:cs="Arial" w:eastAsia="Arial" w:hAnsi="Arial"/>
          <w:sz w:val="18"/>
          <w:szCs w:val="18"/>
          <w:color w:val="auto"/>
        </w:rPr>
        <w:t>feature and content parity relative to native interactivity features offered on competitive streaming platforms (e.g., Twitch, YouTube, Facebook), subject to platform limitations, and does not release such native interactivity features on Mixer at least simultaneously with such native interactivity features offered on competitive streaming platforms, will not be included in the Native Interactivity Viewing Share calculation for Publisher.</w:t>
      </w:r>
    </w:p>
    <w:p>
      <w:pPr>
        <w:spacing w:after="0" w:line="70" w:lineRule="exact"/>
        <w:rPr>
          <w:sz w:val="20"/>
          <w:szCs w:val="20"/>
          <w:color w:val="auto"/>
        </w:rPr>
      </w:pPr>
    </w:p>
    <w:p>
      <w:pPr>
        <w:ind w:right="460" w:firstLine="486"/>
        <w:spacing w:after="0" w:line="303" w:lineRule="auto"/>
        <w:rPr>
          <w:sz w:val="20"/>
          <w:szCs w:val="20"/>
          <w:color w:val="auto"/>
        </w:rPr>
      </w:pPr>
      <w:r>
        <w:rPr>
          <w:rFonts w:ascii="Arial" w:cs="Arial" w:eastAsia="Arial" w:hAnsi="Arial"/>
          <w:sz w:val="18"/>
          <w:szCs w:val="18"/>
          <w:b w:val="1"/>
          <w:bCs w:val="1"/>
          <w:color w:val="auto"/>
        </w:rPr>
        <w:t xml:space="preserve">7.2 </w:t>
      </w:r>
      <w:r>
        <w:rPr>
          <w:rFonts w:ascii="Arial" w:cs="Arial" w:eastAsia="Arial" w:hAnsi="Arial"/>
          <w:sz w:val="18"/>
          <w:szCs w:val="18"/>
          <w:color w:val="auto"/>
        </w:rPr>
        <w:t>Minimum Viewing Hour Share Threshold. To qualify for the Mixer Incentive Program, Publisher’s minimum Viewing Hour Share</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must be </w:t>
      </w:r>
      <w:r>
        <w:rPr>
          <w:rFonts w:ascii="Arial" w:cs="Arial" w:eastAsia="Arial" w:hAnsi="Arial"/>
          <w:sz w:val="16"/>
          <w:szCs w:val="16"/>
          <w:color w:val="auto"/>
        </w:rPr>
        <w:t>[***]</w:t>
      </w:r>
      <w:r>
        <w:rPr>
          <w:rFonts w:ascii="Arial" w:cs="Arial" w:eastAsia="Arial" w:hAnsi="Arial"/>
          <w:sz w:val="18"/>
          <w:szCs w:val="18"/>
          <w:color w:val="auto"/>
        </w:rPr>
        <w:t xml:space="preserve"> for all software titles on Mixer during the Accounting Period.</w:t>
      </w:r>
    </w:p>
    <w:p>
      <w:pPr>
        <w:spacing w:after="0" w:line="58" w:lineRule="exact"/>
        <w:rPr>
          <w:sz w:val="20"/>
          <w:szCs w:val="20"/>
          <w:color w:val="auto"/>
        </w:rPr>
      </w:pPr>
    </w:p>
    <w:p>
      <w:pPr>
        <w:ind w:right="120" w:firstLine="486"/>
        <w:spacing w:after="0" w:line="284" w:lineRule="auto"/>
        <w:rPr>
          <w:sz w:val="20"/>
          <w:szCs w:val="20"/>
          <w:color w:val="auto"/>
        </w:rPr>
      </w:pPr>
      <w:r>
        <w:rPr>
          <w:rFonts w:ascii="Arial" w:cs="Arial" w:eastAsia="Arial" w:hAnsi="Arial"/>
          <w:sz w:val="18"/>
          <w:szCs w:val="18"/>
          <w:b w:val="1"/>
          <w:bCs w:val="1"/>
          <w:color w:val="auto"/>
        </w:rPr>
        <w:t xml:space="preserve">7.3 </w:t>
      </w:r>
      <w:r>
        <w:rPr>
          <w:rFonts w:ascii="Arial" w:cs="Arial" w:eastAsia="Arial" w:hAnsi="Arial"/>
          <w:sz w:val="18"/>
          <w:szCs w:val="18"/>
          <w:color w:val="auto"/>
        </w:rPr>
        <w:t>To qualify for the Multiplier, the Official Mixer Channel must broadcast a substantially similar (as determined by Microsoft acting</w:t>
      </w:r>
      <w:r>
        <w:rPr>
          <w:rFonts w:ascii="Arial" w:cs="Arial" w:eastAsia="Arial" w:hAnsi="Arial"/>
          <w:sz w:val="18"/>
          <w:szCs w:val="18"/>
          <w:b w:val="1"/>
          <w:bCs w:val="1"/>
          <w:color w:val="auto"/>
        </w:rPr>
        <w:t xml:space="preserve"> </w:t>
      </w:r>
      <w:r>
        <w:rPr>
          <w:rFonts w:ascii="Arial" w:cs="Arial" w:eastAsia="Arial" w:hAnsi="Arial"/>
          <w:sz w:val="18"/>
          <w:szCs w:val="18"/>
          <w:color w:val="auto"/>
        </w:rPr>
        <w:t>reasonably and in good faith) type and volume of content relative to Publisher’s official channels on Mixer’s competitive platforms (e.g., Twitch, YouTube, Facebook).</w:t>
      </w:r>
    </w:p>
    <w:p>
      <w:pPr>
        <w:spacing w:after="0" w:line="62" w:lineRule="exact"/>
        <w:rPr>
          <w:sz w:val="20"/>
          <w:szCs w:val="20"/>
          <w:color w:val="auto"/>
        </w:rPr>
      </w:pPr>
    </w:p>
    <w:p>
      <w:pPr>
        <w:ind w:left="500" w:right="180" w:hanging="492"/>
        <w:spacing w:after="0" w:line="284" w:lineRule="auto"/>
        <w:tabs>
          <w:tab w:leader="none" w:pos="500" w:val="left"/>
        </w:tabs>
        <w:numPr>
          <w:ilvl w:val="0"/>
          <w:numId w:val="59"/>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Program Term, Termination, and Changes. </w:t>
      </w:r>
      <w:r>
        <w:rPr>
          <w:rFonts w:ascii="Arial" w:cs="Arial" w:eastAsia="Arial" w:hAnsi="Arial"/>
          <w:sz w:val="18"/>
          <w:szCs w:val="18"/>
          <w:color w:val="auto"/>
        </w:rPr>
        <w:t>This Mixer Incentive Program will be available during the Program Term unless earlier</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terminated by Microsoft upon written notice to Publisher. Microsoft may change or discontinue the Mixer Incentive Program by providing Publisher with </w:t>
      </w:r>
      <w:r>
        <w:rPr>
          <w:rFonts w:ascii="Arial" w:cs="Arial" w:eastAsia="Arial" w:hAnsi="Arial"/>
          <w:sz w:val="16"/>
          <w:szCs w:val="16"/>
          <w:color w:val="auto"/>
        </w:rPr>
        <w:t>[***].</w:t>
      </w:r>
    </w:p>
    <w:p>
      <w:pPr>
        <w:sectPr>
          <w:pgSz w:w="11900" w:h="16838" w:orient="portrait"/>
          <w:cols w:equalWidth="0" w:num="1">
            <w:col w:w="11440"/>
          </w:cols>
          <w:pgMar w:left="240" w:top="359" w:right="219" w:bottom="1440" w:gutter="0" w:footer="0" w:header="0"/>
        </w:sectPr>
      </w:pPr>
    </w:p>
    <w:p>
      <w:pPr>
        <w:spacing w:after="0" w:line="210" w:lineRule="exact"/>
        <w:rPr>
          <w:sz w:val="20"/>
          <w:szCs w:val="20"/>
          <w:color w:val="auto"/>
        </w:rPr>
      </w:pPr>
    </w:p>
    <w:p>
      <w:pPr>
        <w:spacing w:after="0" w:line="369" w:lineRule="auto"/>
        <w:rPr>
          <w:sz w:val="20"/>
          <w:szCs w:val="20"/>
          <w:color w:val="auto"/>
        </w:rPr>
      </w:pPr>
      <w:r>
        <w:rPr>
          <w:rFonts w:ascii="Arial" w:cs="Arial" w:eastAsia="Arial" w:hAnsi="Arial"/>
          <w:sz w:val="14"/>
          <w:szCs w:val="14"/>
          <w:color w:val="auto"/>
        </w:rPr>
        <w:t>Microsoft Confidential AOC v1 September 2017</w:t>
      </w:r>
    </w:p>
    <w:p>
      <w:pPr>
        <w:spacing w:after="0" w:line="20" w:lineRule="exact"/>
        <w:rPr>
          <w:sz w:val="20"/>
          <w:szCs w:val="20"/>
          <w:color w:val="auto"/>
        </w:rPr>
      </w:pPr>
      <w:r>
        <w:rPr>
          <w:sz w:val="20"/>
          <w:szCs w:val="20"/>
          <w:color w:val="auto"/>
        </w:rPr>
        <w:br w:type="column"/>
      </w:r>
    </w:p>
    <w:p>
      <w:pPr>
        <w:spacing w:after="0" w:line="190" w:lineRule="exact"/>
        <w:rPr>
          <w:sz w:val="20"/>
          <w:szCs w:val="20"/>
          <w:color w:val="auto"/>
        </w:rPr>
      </w:pPr>
    </w:p>
    <w:p>
      <w:pPr>
        <w:spacing w:after="0"/>
        <w:rPr>
          <w:sz w:val="20"/>
          <w:szCs w:val="20"/>
          <w:color w:val="auto"/>
        </w:rPr>
      </w:pPr>
      <w:r>
        <w:rPr>
          <w:rFonts w:ascii="Arial" w:cs="Arial" w:eastAsia="Arial" w:hAnsi="Arial"/>
          <w:sz w:val="14"/>
          <w:szCs w:val="14"/>
          <w:color w:val="auto"/>
        </w:rPr>
        <w:t>Page 11 of 11</w:t>
      </w:r>
    </w:p>
    <w:p>
      <w:pPr>
        <w:sectPr>
          <w:pgSz w:w="11900" w:h="16838" w:orient="portrait"/>
          <w:cols w:equalWidth="0" w:num="2">
            <w:col w:w="1660" w:space="160"/>
            <w:col w:w="9620"/>
          </w:cols>
          <w:pgMar w:left="240" w:top="359" w:right="219" w:bottom="1440" w:gutter="0" w:footer="0" w:header="0"/>
          <w:type w:val="continuous"/>
        </w:sectPr>
      </w:pPr>
    </w:p>
    <w:bookmarkStart w:id="102" w:name="page103"/>
    <w:bookmarkEnd w:id="10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20"/>
        <w:spacing w:after="0"/>
        <w:rPr>
          <w:sz w:val="20"/>
          <w:szCs w:val="20"/>
          <w:color w:val="auto"/>
        </w:rPr>
      </w:pPr>
      <w:r>
        <w:rPr>
          <w:rFonts w:ascii="Arial" w:cs="Arial" w:eastAsia="Arial" w:hAnsi="Arial"/>
          <w:sz w:val="14"/>
          <w:szCs w:val="14"/>
          <w:b w:val="1"/>
          <w:bCs w:val="1"/>
          <w:u w:val="single" w:color="auto"/>
          <w:color w:val="auto"/>
        </w:rPr>
        <w:t>Name</w:t>
      </w:r>
    </w:p>
    <w:p>
      <w:pPr>
        <w:spacing w:after="0" w:line="40" w:lineRule="exact"/>
        <w:rPr>
          <w:sz w:val="20"/>
          <w:szCs w:val="20"/>
          <w:color w:val="auto"/>
        </w:rPr>
      </w:pPr>
    </w:p>
    <w:p>
      <w:pPr>
        <w:spacing w:after="0"/>
        <w:rPr>
          <w:sz w:val="20"/>
          <w:szCs w:val="20"/>
          <w:color w:val="auto"/>
        </w:rPr>
      </w:pPr>
      <w:r>
        <w:rPr>
          <w:rFonts w:ascii="Arial" w:cs="Arial" w:eastAsia="Arial" w:hAnsi="Arial"/>
          <w:sz w:val="18"/>
          <w:szCs w:val="18"/>
          <w:color w:val="auto"/>
        </w:rPr>
        <w:t>2K Czech, s.r.o.</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2K Games (Chengdu) Co., Ltd.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2K Games (Shanghai) Co., Ltd.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2K Games,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2K,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2K Marin,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2K Play,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2K Games Songs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2K Games Sounds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2K Games Tunes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2K Vegas,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2KSports,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A.C.N. 617 406 550 Pty Ltd.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Cat Daddy Games,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Digital Productions S.A.</w:t>
      </w:r>
    </w:p>
    <w:p>
      <w:pPr>
        <w:spacing w:after="0" w:line="144" w:lineRule="exact"/>
        <w:rPr>
          <w:sz w:val="20"/>
          <w:szCs w:val="20"/>
          <w:color w:val="auto"/>
        </w:rPr>
      </w:pPr>
    </w:p>
    <w:p>
      <w:pPr>
        <w:ind w:right="700"/>
        <w:spacing w:after="0" w:line="407" w:lineRule="auto"/>
        <w:rPr>
          <w:sz w:val="20"/>
          <w:szCs w:val="20"/>
          <w:color w:val="auto"/>
        </w:rPr>
      </w:pPr>
      <w:r>
        <w:rPr>
          <w:rFonts w:ascii="Arial" w:cs="Arial" w:eastAsia="Arial" w:hAnsi="Arial"/>
          <w:sz w:val="18"/>
          <w:szCs w:val="18"/>
          <w:color w:val="auto"/>
        </w:rPr>
        <w:t>DMA Design Holdings Limited Double Take LLC</w:t>
      </w:r>
    </w:p>
    <w:p>
      <w:pPr>
        <w:ind w:right="860"/>
        <w:spacing w:after="0" w:line="431" w:lineRule="auto"/>
        <w:rPr>
          <w:sz w:val="20"/>
          <w:szCs w:val="20"/>
          <w:color w:val="auto"/>
        </w:rPr>
      </w:pPr>
      <w:r>
        <w:rPr>
          <w:rFonts w:ascii="Arial" w:cs="Arial" w:eastAsia="Arial" w:hAnsi="Arial"/>
          <w:sz w:val="17"/>
          <w:szCs w:val="17"/>
          <w:color w:val="auto"/>
        </w:rPr>
        <w:t>Firaxis Games, Inc. Frog City Software, Inc. Gathering of Developers, Inc. Gearhead Entertainment, Inc. Glennco Games, LLC Hangar 13 UK Limited Indie Built, Inc.</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Inventory Management Systems, Inc.</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Ghost Story Games,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Jack of All Games Norge A.S.</w:t>
      </w:r>
    </w:p>
    <w:p>
      <w:pPr>
        <w:spacing w:after="0" w:line="144" w:lineRule="exact"/>
        <w:rPr>
          <w:sz w:val="20"/>
          <w:szCs w:val="20"/>
          <w:color w:val="auto"/>
        </w:rPr>
      </w:pPr>
    </w:p>
    <w:p>
      <w:pPr>
        <w:spacing w:after="0"/>
        <w:rPr>
          <w:sz w:val="20"/>
          <w:szCs w:val="20"/>
          <w:color w:val="auto"/>
        </w:rPr>
      </w:pPr>
      <w:r>
        <w:rPr>
          <w:rFonts w:ascii="Arial" w:cs="Arial" w:eastAsia="Arial" w:hAnsi="Arial"/>
          <w:sz w:val="16"/>
          <w:szCs w:val="16"/>
          <w:color w:val="auto"/>
        </w:rPr>
        <w:t>Jack of All Games Scandinavia A.S.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Joytech Europe Limited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Joytech Ltd.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Kush Games,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Maxcorp Ltd.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Parrot Games, S.L.U.</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Events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Games,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Games Songs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Games Sounds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Games Toronto ULC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Games Tunes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Games Vancouver ULC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Interactive India LLP</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International Limited</w:t>
      </w:r>
    </w:p>
    <w:p>
      <w:pPr>
        <w:spacing w:after="0" w:line="20" w:lineRule="exact"/>
        <w:rPr>
          <w:sz w:val="20"/>
          <w:szCs w:val="20"/>
          <w:color w:val="auto"/>
        </w:rPr>
      </w:pPr>
      <w:r>
        <w:rPr>
          <w:sz w:val="20"/>
          <w:szCs w:val="20"/>
          <w:color w:val="auto"/>
        </w:rPr>
        <w:br w:type="column"/>
      </w:r>
    </w:p>
    <w:p>
      <w:pPr>
        <w:jc w:val="right"/>
        <w:spacing w:after="0"/>
        <w:rPr>
          <w:sz w:val="20"/>
          <w:szCs w:val="20"/>
          <w:color w:val="auto"/>
        </w:rPr>
      </w:pPr>
      <w:r>
        <w:rPr>
          <w:rFonts w:ascii="Arial" w:cs="Arial" w:eastAsia="Arial" w:hAnsi="Arial"/>
          <w:sz w:val="18"/>
          <w:szCs w:val="18"/>
          <w:b w:val="1"/>
          <w:bCs w:val="1"/>
          <w:color w:val="auto"/>
        </w:rPr>
        <w:t>Exhibit 21.1</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Subsidiaries of Take-Two Interactive Software, Inc.</w:t>
      </w:r>
    </w:p>
    <w:p>
      <w:pPr>
        <w:spacing w:after="0" w:line="325" w:lineRule="exact"/>
        <w:rPr>
          <w:sz w:val="20"/>
          <w:szCs w:val="20"/>
          <w:color w:val="auto"/>
        </w:rPr>
      </w:pPr>
    </w:p>
    <w:p>
      <w:pPr>
        <w:ind w:left="5020"/>
        <w:spacing w:after="0"/>
        <w:rPr>
          <w:sz w:val="20"/>
          <w:szCs w:val="20"/>
          <w:color w:val="auto"/>
        </w:rPr>
      </w:pPr>
      <w:r>
        <w:rPr>
          <w:rFonts w:ascii="Arial" w:cs="Arial" w:eastAsia="Arial" w:hAnsi="Arial"/>
          <w:sz w:val="14"/>
          <w:szCs w:val="14"/>
          <w:b w:val="1"/>
          <w:bCs w:val="1"/>
          <w:u w:val="single" w:color="auto"/>
          <w:color w:val="auto"/>
        </w:rPr>
        <w:t>Jurisdiction of Incorporation</w:t>
      </w:r>
    </w:p>
    <w:p>
      <w:pPr>
        <w:spacing w:after="0" w:line="121"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Czech Republic</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China</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China</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New York</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Australia</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Washington</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Luxembourg</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Texas</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Pennsylvania</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Norway</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Norway</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Hong Kong</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California</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Bermuda</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Spain</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New York</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British Columbia</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British Columbia</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India</w:t>
      </w:r>
    </w:p>
    <w:p>
      <w:pPr>
        <w:spacing w:after="0" w:line="144" w:lineRule="exact"/>
        <w:rPr>
          <w:sz w:val="20"/>
          <w:szCs w:val="20"/>
          <w:color w:val="auto"/>
        </w:rPr>
      </w:pPr>
    </w:p>
    <w:p>
      <w:pPr>
        <w:ind w:left="4060"/>
        <w:spacing w:after="0"/>
        <w:rPr>
          <w:sz w:val="20"/>
          <w:szCs w:val="20"/>
          <w:color w:val="auto"/>
        </w:rPr>
      </w:pPr>
      <w:r>
        <w:rPr>
          <w:rFonts w:ascii="Arial" w:cs="Arial" w:eastAsia="Arial" w:hAnsi="Arial"/>
          <w:sz w:val="18"/>
          <w:szCs w:val="18"/>
          <w:color w:val="auto"/>
        </w:rPr>
        <w:t>United Kingdom</w:t>
      </w:r>
    </w:p>
    <w:p>
      <w:pPr>
        <w:spacing w:after="0" w:line="200" w:lineRule="exact"/>
        <w:rPr>
          <w:sz w:val="20"/>
          <w:szCs w:val="20"/>
          <w:color w:val="auto"/>
        </w:rPr>
      </w:pPr>
    </w:p>
    <w:p>
      <w:pPr>
        <w:sectPr>
          <w:pgSz w:w="11900" w:h="16838" w:orient="portrait"/>
          <w:cols w:equalWidth="0" w:num="2">
            <w:col w:w="3000" w:space="720"/>
            <w:col w:w="7680"/>
          </w:cols>
          <w:pgMar w:left="260" w:top="364" w:right="239" w:bottom="0" w:gutter="0" w:footer="0" w:header="0"/>
        </w:sectPr>
      </w:pPr>
    </w:p>
    <w:p>
      <w:pPr>
        <w:spacing w:after="0" w:line="86" w:lineRule="exact"/>
        <w:rPr>
          <w:sz w:val="20"/>
          <w:szCs w:val="20"/>
          <w:color w:val="auto"/>
        </w:rPr>
      </w:pPr>
    </w:p>
    <w:p>
      <w:pPr>
        <w:jc w:val="center"/>
        <w:ind w:right="20"/>
        <w:spacing w:after="0"/>
        <w:rPr>
          <w:sz w:val="20"/>
          <w:szCs w:val="20"/>
          <w:color w:val="auto"/>
        </w:rPr>
      </w:pPr>
      <w:r>
        <w:rPr>
          <w:rFonts w:ascii="Arial" w:cs="Arial" w:eastAsia="Arial" w:hAnsi="Arial"/>
          <w:sz w:val="17"/>
          <w:szCs w:val="17"/>
          <w:color w:val="auto"/>
        </w:rPr>
        <w:t>1</w:t>
      </w:r>
    </w:p>
    <w:p>
      <w:pPr>
        <w:sectPr>
          <w:pgSz w:w="11900" w:h="16838" w:orient="portrait"/>
          <w:cols w:equalWidth="0" w:num="1">
            <w:col w:w="11400"/>
          </w:cols>
          <w:pgMar w:left="260" w:top="364" w:right="239" w:bottom="0" w:gutter="0" w:footer="0" w:header="0"/>
          <w:type w:val="continuous"/>
        </w:sectPr>
      </w:pPr>
    </w:p>
    <w:bookmarkStart w:id="103" w:name="page104"/>
    <w:bookmarkEnd w:id="103"/>
    <w:p>
      <w:pPr>
        <w:jc w:val="center"/>
        <w:spacing w:after="0"/>
        <w:rPr>
          <w:sz w:val="20"/>
          <w:szCs w:val="20"/>
          <w:color w:val="auto"/>
        </w:rPr>
      </w:pPr>
    </w:p>
    <w:p>
      <w:pPr>
        <w:sectPr>
          <w:pgSz w:w="11900" w:h="16838" w:orient="portrait"/>
          <w:cols w:equalWidth="1" w:num="1" w:space="0"/>
          <w:pgMar w:left="1440" w:top="1440" w:right="1440" w:bottom="875" w:gutter="0" w:footer="0" w:header="0"/>
        </w:sectPr>
      </w:pPr>
    </w:p>
    <w:bookmarkStart w:id="104" w:name="page105"/>
    <w:bookmarkEnd w:id="104"/>
    <w:p>
      <w:pPr>
        <w:ind w:left="20"/>
        <w:spacing w:after="0"/>
        <w:rPr>
          <w:sz w:val="20"/>
          <w:szCs w:val="20"/>
          <w:color w:val="auto"/>
        </w:rPr>
      </w:pPr>
      <w:r>
        <w:rPr>
          <w:rFonts w:ascii="Arial" w:cs="Arial" w:eastAsia="Arial" w:hAnsi="Arial"/>
          <w:sz w:val="14"/>
          <w:szCs w:val="14"/>
          <w:b w:val="1"/>
          <w:bCs w:val="1"/>
          <w:u w:val="single" w:color="auto"/>
          <w:color w:val="auto"/>
        </w:rPr>
        <w:t>Name</w:t>
      </w:r>
    </w:p>
    <w:p>
      <w:pPr>
        <w:spacing w:after="0" w:line="40" w:lineRule="exact"/>
        <w:rPr>
          <w:sz w:val="20"/>
          <w:szCs w:val="20"/>
          <w:color w:val="auto"/>
        </w:rPr>
      </w:pPr>
    </w:p>
    <w:p>
      <w:pPr>
        <w:spacing w:after="0"/>
        <w:rPr>
          <w:sz w:val="20"/>
          <w:szCs w:val="20"/>
          <w:color w:val="auto"/>
        </w:rPr>
      </w:pPr>
      <w:r>
        <w:rPr>
          <w:rFonts w:ascii="Arial" w:cs="Arial" w:eastAsia="Arial" w:hAnsi="Arial"/>
          <w:sz w:val="18"/>
          <w:szCs w:val="18"/>
          <w:color w:val="auto"/>
        </w:rPr>
        <w:t>Rockstar Leeds Limited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Lincoln Limited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London Limited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New England,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North Limited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Rockstar San Diego,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Social Point, K.K.</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Social Point, S.L.</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T2 Developer,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 2 Interactive Software Pty. Ltd.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 2 Productions,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Asia Pte. Ltd.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Chile SpA</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Esports Holdings,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Europe (Holdings) Limited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GB Limited.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Holdings III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Holdings II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 Two Holdings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Interactive Austria GmbH</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Interactive Benelux B.V.</w:t>
      </w:r>
    </w:p>
    <w:p>
      <w:pPr>
        <w:spacing w:after="0" w:line="144" w:lineRule="exact"/>
        <w:rPr>
          <w:sz w:val="20"/>
          <w:szCs w:val="20"/>
          <w:color w:val="auto"/>
        </w:rPr>
      </w:pPr>
    </w:p>
    <w:p>
      <w:pPr>
        <w:spacing w:after="0"/>
        <w:rPr>
          <w:sz w:val="20"/>
          <w:szCs w:val="20"/>
          <w:color w:val="auto"/>
        </w:rPr>
      </w:pPr>
      <w:r>
        <w:rPr>
          <w:rFonts w:ascii="Arial" w:cs="Arial" w:eastAsia="Arial" w:hAnsi="Arial"/>
          <w:sz w:val="17"/>
          <w:szCs w:val="17"/>
          <w:color w:val="auto"/>
        </w:rPr>
        <w:t>Take-Two Interactive Canada Holdings, Inc.</w:t>
      </w:r>
    </w:p>
    <w:p>
      <w:pPr>
        <w:spacing w:after="0" w:line="156" w:lineRule="exact"/>
        <w:rPr>
          <w:sz w:val="20"/>
          <w:szCs w:val="20"/>
          <w:color w:val="auto"/>
        </w:rPr>
      </w:pPr>
    </w:p>
    <w:p>
      <w:pPr>
        <w:spacing w:after="0"/>
        <w:rPr>
          <w:sz w:val="20"/>
          <w:szCs w:val="20"/>
          <w:color w:val="auto"/>
        </w:rPr>
      </w:pPr>
      <w:r>
        <w:rPr>
          <w:rFonts w:ascii="Arial" w:cs="Arial" w:eastAsia="Arial" w:hAnsi="Arial"/>
          <w:sz w:val="18"/>
          <w:szCs w:val="18"/>
          <w:color w:val="auto"/>
        </w:rPr>
        <w:t>Take-Two Interactive Canada,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Interactive Espana S.L.</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Interactive France SAS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Interactive GmbH</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Interactive Japan G.K.</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Interactive Korea Ltd.</w:t>
      </w:r>
    </w:p>
    <w:p>
      <w:pPr>
        <w:spacing w:after="0" w:line="144" w:lineRule="exact"/>
        <w:rPr>
          <w:sz w:val="20"/>
          <w:szCs w:val="20"/>
          <w:color w:val="auto"/>
        </w:rPr>
      </w:pPr>
    </w:p>
    <w:p>
      <w:pPr>
        <w:spacing w:after="0"/>
        <w:rPr>
          <w:sz w:val="20"/>
          <w:szCs w:val="20"/>
          <w:color w:val="auto"/>
        </w:rPr>
      </w:pPr>
      <w:r>
        <w:rPr>
          <w:rFonts w:ascii="Arial" w:cs="Arial" w:eastAsia="Arial" w:hAnsi="Arial"/>
          <w:sz w:val="16"/>
          <w:szCs w:val="16"/>
          <w:color w:val="auto"/>
        </w:rPr>
        <w:t>Take-Two Interactive Software Europe Limited</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color w:val="auto"/>
        </w:rPr>
        <w:t>Take-Two Interactive Software UK Limited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International B.V.</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International Holdings L.P.</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Invest Espana, S.L.</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Talent,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UK Holdings Limited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Take-Two Vegas, LLC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Take Two International GmbH</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Talonsoft,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Techcorp Ltd.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Venom Games Limited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Visual Concepts China Co., Ltd.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Visual Concepts Entertainment</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Visual Concepts Hungary Kft</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VLM Entertainment Group, Inc.</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WC Holdco, Inc.</w:t>
      </w:r>
    </w:p>
    <w:p>
      <w:pPr>
        <w:spacing w:after="0" w:line="20" w:lineRule="exact"/>
        <w:rPr>
          <w:sz w:val="20"/>
          <w:szCs w:val="20"/>
          <w:color w:val="auto"/>
        </w:rPr>
      </w:pPr>
      <w:r>
        <w:rPr>
          <w:sz w:val="20"/>
          <w:szCs w:val="20"/>
          <w:color w:val="auto"/>
        </w:rPr>
        <w:br w:type="column"/>
      </w:r>
    </w:p>
    <w:p>
      <w:pPr>
        <w:ind w:left="960"/>
        <w:spacing w:after="0"/>
        <w:rPr>
          <w:sz w:val="20"/>
          <w:szCs w:val="20"/>
          <w:color w:val="auto"/>
        </w:rPr>
      </w:pPr>
      <w:r>
        <w:rPr>
          <w:rFonts w:ascii="Arial" w:cs="Arial" w:eastAsia="Arial" w:hAnsi="Arial"/>
          <w:sz w:val="12"/>
          <w:szCs w:val="12"/>
          <w:b w:val="1"/>
          <w:bCs w:val="1"/>
          <w:u w:val="single" w:color="auto"/>
          <w:color w:val="auto"/>
        </w:rPr>
        <w:t>Jurisdiction of Incorporation</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Virginia</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Japan</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Spain</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Australia</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Singapore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Chile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Austria</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Netherlands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Ontario</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Ontario</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Spain</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France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Germany</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Japan</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South Korea</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Netherlands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Cayman Islands</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Spain</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Switzerland</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Hong Kong</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United Kingdom</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China</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California</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Hungary</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Delaware</w:t>
      </w:r>
    </w:p>
    <w:p>
      <w:pPr>
        <w:spacing w:after="0" w:line="144" w:lineRule="exact"/>
        <w:rPr>
          <w:sz w:val="20"/>
          <w:szCs w:val="20"/>
          <w:color w:val="auto"/>
        </w:rPr>
      </w:pPr>
    </w:p>
    <w:p>
      <w:pPr>
        <w:spacing w:after="0"/>
        <w:rPr>
          <w:sz w:val="20"/>
          <w:szCs w:val="20"/>
          <w:color w:val="auto"/>
        </w:rPr>
      </w:pPr>
      <w:r>
        <w:rPr>
          <w:rFonts w:ascii="Arial" w:cs="Arial" w:eastAsia="Arial" w:hAnsi="Arial"/>
          <w:sz w:val="18"/>
          <w:szCs w:val="18"/>
          <w:color w:val="auto"/>
        </w:rPr>
        <w:t>New York</w:t>
      </w:r>
    </w:p>
    <w:p>
      <w:pPr>
        <w:sectPr>
          <w:pgSz w:w="11900" w:h="16838" w:orient="portrait"/>
          <w:cols w:equalWidth="0" w:num="2">
            <w:col w:w="7060" w:space="720"/>
            <w:col w:w="2640"/>
          </w:cols>
          <w:pgMar w:left="260" w:top="599" w:right="1219" w:bottom="0" w:gutter="0" w:footer="0" w:header="0"/>
        </w:sectPr>
      </w:pPr>
    </w:p>
    <w:bookmarkStart w:id="105" w:name="page106"/>
    <w:bookmarkEnd w:id="105"/>
    <w:p>
      <w:pPr>
        <w:jc w:val="center"/>
        <w:spacing w:after="0"/>
        <w:rPr>
          <w:sz w:val="20"/>
          <w:szCs w:val="20"/>
          <w:color w:val="auto"/>
        </w:rPr>
      </w:pPr>
      <w:r>
        <w:rPr>
          <w:rFonts w:ascii="Arial" w:cs="Arial" w:eastAsia="Arial" w:hAnsi="Arial"/>
          <w:sz w:val="17"/>
          <w:szCs w:val="17"/>
          <w:color w:val="auto"/>
        </w:rPr>
        <w:t>2</w:t>
      </w:r>
    </w:p>
    <w:p>
      <w:pPr>
        <w:sectPr>
          <w:pgSz w:w="11900" w:h="16838" w:orient="portrait"/>
          <w:cols w:equalWidth="0" w:num="1">
            <w:col w:w="9019"/>
          </w:cols>
          <w:pgMar w:left="1440" w:top="375" w:right="1440" w:bottom="1440" w:gutter="0" w:footer="0" w:header="0"/>
        </w:sectPr>
      </w:pPr>
    </w:p>
    <w:bookmarkStart w:id="106" w:name="page107"/>
    <w:bookmarkEnd w:id="106"/>
    <w:p>
      <w:pPr>
        <w:jc w:val="right"/>
        <w:spacing w:after="0"/>
        <w:rPr>
          <w:sz w:val="20"/>
          <w:szCs w:val="20"/>
          <w:color w:val="auto"/>
        </w:rPr>
      </w:pPr>
      <w:r>
        <w:rPr>
          <w:rFonts w:ascii="Arial" w:cs="Arial" w:eastAsia="Arial" w:hAnsi="Arial"/>
          <w:sz w:val="18"/>
          <w:szCs w:val="18"/>
          <w:b w:val="1"/>
          <w:bCs w:val="1"/>
          <w:color w:val="auto"/>
        </w:rPr>
        <w:t>Exhibit 23.1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00" w:lineRule="exact"/>
        <w:rPr>
          <w:sz w:val="20"/>
          <w:szCs w:val="20"/>
          <w:color w:val="auto"/>
        </w:rPr>
      </w:pPr>
    </w:p>
    <w:p>
      <w:pPr>
        <w:spacing w:after="0" w:line="326" w:lineRule="exact"/>
        <w:rPr>
          <w:sz w:val="20"/>
          <w:szCs w:val="20"/>
          <w:color w:val="auto"/>
        </w:rPr>
      </w:pPr>
    </w:p>
    <w:p>
      <w:pPr>
        <w:jc w:val="both"/>
        <w:spacing w:after="0" w:line="276" w:lineRule="auto"/>
        <w:rPr>
          <w:sz w:val="20"/>
          <w:szCs w:val="20"/>
          <w:color w:val="auto"/>
        </w:rPr>
      </w:pPr>
      <w:r>
        <w:rPr>
          <w:rFonts w:ascii="Arial" w:cs="Arial" w:eastAsia="Arial" w:hAnsi="Arial"/>
          <w:sz w:val="17"/>
          <w:szCs w:val="17"/>
          <w:color w:val="auto"/>
        </w:rPr>
        <w:t>We consent to the incorporation by reference in the following Registration Statements (Form S-8 Nos. 333-158735, 333-177822, 333-191993, 333-198787, and 333-214285 and 333-220895 and Form S-3 Nos. 333-189246, 333-204318, 333-204339, 333-211473, 333-211474, 333-216019, 333-218235 and 333-224284) of Take-Two Interactive Software, Inc. of our reports dated May 16, 2018, with respect to the consolidated financial statements of Take-Two Interactive Software, Inc. and the effectiveness of internal control over financial reporting of Take-Two Interactive Software, Inc. included in this Annual Report (Form 10-K) of Take-Two Interactive Software, Inc. for the year ended March 31,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spacing w:after="0"/>
        <w:tabs>
          <w:tab w:leader="none" w:pos="3000" w:val="left"/>
        </w:tabs>
        <w:rPr>
          <w:sz w:val="20"/>
          <w:szCs w:val="20"/>
          <w:color w:val="auto"/>
        </w:rPr>
      </w:pPr>
      <w:r>
        <w:rPr>
          <w:rFonts w:ascii="Arial" w:cs="Arial" w:eastAsia="Arial" w:hAnsi="Arial"/>
          <w:sz w:val="18"/>
          <w:szCs w:val="18"/>
          <w:color w:val="auto"/>
        </w:rPr>
        <w:t>New York, New York</w:t>
      </w:r>
      <w:r>
        <w:rPr>
          <w:sz w:val="20"/>
          <w:szCs w:val="20"/>
          <w:color w:val="auto"/>
        </w:rPr>
        <w:tab/>
      </w:r>
      <w:r>
        <w:rPr>
          <w:rFonts w:ascii="Arial" w:cs="Arial" w:eastAsia="Arial" w:hAnsi="Arial"/>
          <w:sz w:val="17"/>
          <w:szCs w:val="17"/>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May 16, 2018</w:t>
      </w:r>
    </w:p>
    <w:p>
      <w:pPr>
        <w:sectPr>
          <w:pgSz w:w="11900" w:h="16838" w:orient="portrait"/>
          <w:cols w:equalWidth="0" w:num="1">
            <w:col w:w="11420"/>
          </w:cols>
          <w:pgMar w:left="240" w:top="121" w:right="239" w:bottom="1440" w:gutter="0" w:footer="0" w:header="0"/>
        </w:sectPr>
      </w:pPr>
    </w:p>
    <w:bookmarkStart w:id="107" w:name="page108"/>
    <w:bookmarkEnd w:id="107"/>
    <w:p>
      <w:pPr>
        <w:ind w:left="10480"/>
        <w:spacing w:after="0"/>
        <w:rPr>
          <w:sz w:val="20"/>
          <w:szCs w:val="20"/>
          <w:color w:val="auto"/>
        </w:rPr>
      </w:pPr>
      <w:r>
        <w:rPr>
          <w:rFonts w:ascii="Arial" w:cs="Arial" w:eastAsia="Arial" w:hAnsi="Arial"/>
          <w:sz w:val="16"/>
          <w:szCs w:val="16"/>
          <w:b w:val="1"/>
          <w:bCs w:val="1"/>
          <w:color w:val="auto"/>
        </w:rPr>
        <w:t>Exhibit 31.1</w:t>
      </w:r>
    </w:p>
    <w:p>
      <w:pPr>
        <w:spacing w:after="0" w:line="248" w:lineRule="exact"/>
        <w:rPr>
          <w:sz w:val="20"/>
          <w:szCs w:val="20"/>
          <w:color w:val="auto"/>
        </w:rPr>
      </w:pPr>
    </w:p>
    <w:p>
      <w:pPr>
        <w:jc w:val="center"/>
        <w:spacing w:after="0" w:line="207" w:lineRule="exact"/>
        <w:rPr>
          <w:sz w:val="20"/>
          <w:szCs w:val="20"/>
          <w:color w:val="auto"/>
        </w:rPr>
      </w:pPr>
      <w:r>
        <w:rPr>
          <w:rFonts w:ascii="Arial" w:cs="Arial" w:eastAsia="Arial" w:hAnsi="Arial"/>
          <w:sz w:val="18"/>
          <w:szCs w:val="18"/>
          <w:b w:val="1"/>
          <w:bCs w:val="1"/>
          <w:color w:val="auto"/>
        </w:rPr>
        <w:t>TAKE</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TWO INTERACTIVE SOFTWARE, INC.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Strauss Zelnick, certify that:</w:t>
      </w:r>
    </w:p>
    <w:p>
      <w:pPr>
        <w:spacing w:after="0" w:line="225" w:lineRule="exact"/>
        <w:rPr>
          <w:sz w:val="20"/>
          <w:szCs w:val="20"/>
          <w:color w:val="auto"/>
        </w:rPr>
      </w:pPr>
    </w:p>
    <w:p>
      <w:pPr>
        <w:ind w:left="320" w:hanging="312"/>
        <w:spacing w:after="0"/>
        <w:tabs>
          <w:tab w:leader="none" w:pos="320" w:val="left"/>
        </w:tabs>
        <w:numPr>
          <w:ilvl w:val="0"/>
          <w:numId w:val="60"/>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Take-Two Interactive Software, Inc. (the “registrant”);</w:t>
      </w:r>
    </w:p>
    <w:p>
      <w:pPr>
        <w:spacing w:after="0" w:line="225" w:lineRule="exact"/>
        <w:rPr>
          <w:rFonts w:ascii="Arial" w:cs="Arial" w:eastAsia="Arial" w:hAnsi="Arial"/>
          <w:sz w:val="18"/>
          <w:szCs w:val="18"/>
          <w:color w:val="auto"/>
        </w:rPr>
      </w:pPr>
    </w:p>
    <w:p>
      <w:pPr>
        <w:ind w:firstLine="8"/>
        <w:spacing w:after="0" w:line="342" w:lineRule="auto"/>
        <w:tabs>
          <w:tab w:leader="none" w:pos="398" w:val="left"/>
        </w:tabs>
        <w:numPr>
          <w:ilvl w:val="0"/>
          <w:numId w:val="60"/>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firstLine="8"/>
        <w:spacing w:after="0" w:line="277" w:lineRule="auto"/>
        <w:tabs>
          <w:tab w:leader="none" w:pos="408" w:val="left"/>
        </w:tabs>
        <w:numPr>
          <w:ilvl w:val="0"/>
          <w:numId w:val="60"/>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jc w:val="both"/>
        <w:ind w:right="20" w:firstLine="8"/>
        <w:spacing w:after="0" w:line="264" w:lineRule="auto"/>
        <w:tabs>
          <w:tab w:leader="none" w:pos="321" w:val="left"/>
        </w:tabs>
        <w:numPr>
          <w:ilvl w:val="0"/>
          <w:numId w:val="6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jc w:val="both"/>
        <w:ind w:left="400"/>
        <w:spacing w:after="0" w:line="264" w:lineRule="auto"/>
        <w:tabs>
          <w:tab w:leader="none" w:pos="722" w:val="left"/>
        </w:tabs>
        <w:numPr>
          <w:ilvl w:val="1"/>
          <w:numId w:val="6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jc w:val="both"/>
        <w:ind w:left="400"/>
        <w:spacing w:after="0" w:line="264" w:lineRule="auto"/>
        <w:tabs>
          <w:tab w:leader="none" w:pos="887" w:val="left"/>
        </w:tabs>
        <w:numPr>
          <w:ilvl w:val="1"/>
          <w:numId w:val="6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400"/>
        <w:spacing w:after="0" w:line="308" w:lineRule="auto"/>
        <w:tabs>
          <w:tab w:leader="none" w:pos="727" w:val="left"/>
        </w:tabs>
        <w:numPr>
          <w:ilvl w:val="1"/>
          <w:numId w:val="60"/>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jc w:val="both"/>
        <w:ind w:left="400"/>
        <w:spacing w:after="0" w:line="264" w:lineRule="auto"/>
        <w:tabs>
          <w:tab w:leader="none" w:pos="741" w:val="left"/>
        </w:tabs>
        <w:numPr>
          <w:ilvl w:val="1"/>
          <w:numId w:val="6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firstLine="8"/>
        <w:spacing w:after="0" w:line="308" w:lineRule="auto"/>
        <w:tabs>
          <w:tab w:leader="none" w:pos="391" w:val="left"/>
        </w:tabs>
        <w:numPr>
          <w:ilvl w:val="0"/>
          <w:numId w:val="60"/>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400"/>
        <w:spacing w:after="0" w:line="277" w:lineRule="auto"/>
        <w:tabs>
          <w:tab w:leader="none" w:pos="778" w:val="left"/>
        </w:tabs>
        <w:numPr>
          <w:ilvl w:val="1"/>
          <w:numId w:val="60"/>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400" w:right="20"/>
        <w:spacing w:after="0" w:line="277" w:lineRule="auto"/>
        <w:tabs>
          <w:tab w:leader="none" w:pos="774" w:val="left"/>
        </w:tabs>
        <w:numPr>
          <w:ilvl w:val="1"/>
          <w:numId w:val="6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3"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May 16, 2018</w:t>
            </w:r>
          </w:p>
        </w:tc>
        <w:tc>
          <w:tcPr>
            <w:tcW w:w="5460" w:type="dxa"/>
            <w:vAlign w:val="bottom"/>
          </w:tcPr>
          <w:p>
            <w:pPr>
              <w:ind w:left="20"/>
              <w:spacing w:after="0"/>
              <w:rPr>
                <w:sz w:val="20"/>
                <w:szCs w:val="20"/>
                <w:color w:val="auto"/>
              </w:rPr>
            </w:pPr>
            <w:r>
              <w:rPr>
                <w:rFonts w:ascii="Arial" w:cs="Arial" w:eastAsia="Arial" w:hAnsi="Arial"/>
                <w:sz w:val="18"/>
                <w:szCs w:val="18"/>
                <w:color w:val="auto"/>
              </w:rPr>
              <w:t>/s/ STRAUSS ZELNICK</w:t>
            </w:r>
          </w:p>
        </w:tc>
      </w:tr>
      <w:tr>
        <w:trPr>
          <w:trHeight w:val="216"/>
        </w:trPr>
        <w:tc>
          <w:tcPr>
            <w:tcW w:w="5940" w:type="dxa"/>
            <w:vAlign w:val="bottom"/>
          </w:tcPr>
          <w:p>
            <w:pPr>
              <w:spacing w:after="0"/>
              <w:rPr>
                <w:sz w:val="18"/>
                <w:szCs w:val="18"/>
                <w:color w:val="auto"/>
              </w:rPr>
            </w:pPr>
          </w:p>
        </w:tc>
        <w:tc>
          <w:tcPr>
            <w:tcW w:w="5460" w:type="dxa"/>
            <w:vAlign w:val="bottom"/>
          </w:tcPr>
          <w:p>
            <w:pPr>
              <w:ind w:left="20"/>
              <w:spacing w:after="0"/>
              <w:rPr>
                <w:sz w:val="20"/>
                <w:szCs w:val="20"/>
                <w:color w:val="auto"/>
              </w:rPr>
            </w:pPr>
            <w:r>
              <w:rPr>
                <w:rFonts w:ascii="Arial" w:cs="Arial" w:eastAsia="Arial" w:hAnsi="Arial"/>
                <w:sz w:val="18"/>
                <w:szCs w:val="18"/>
                <w:color w:val="auto"/>
              </w:rPr>
              <w:t>Strauss Zelnick</w:t>
            </w:r>
          </w:p>
        </w:tc>
      </w:tr>
      <w:tr>
        <w:trPr>
          <w:trHeight w:val="230"/>
        </w:trPr>
        <w:tc>
          <w:tcPr>
            <w:tcW w:w="5940" w:type="dxa"/>
            <w:vAlign w:val="bottom"/>
          </w:tcPr>
          <w:p>
            <w:pPr>
              <w:spacing w:after="0"/>
              <w:rPr>
                <w:sz w:val="20"/>
                <w:szCs w:val="20"/>
                <w:color w:val="auto"/>
              </w:rPr>
            </w:pPr>
          </w:p>
        </w:tc>
        <w:tc>
          <w:tcPr>
            <w:tcW w:w="5460" w:type="dxa"/>
            <w:vAlign w:val="bottom"/>
          </w:tcPr>
          <w:p>
            <w:pPr>
              <w:ind w:left="20"/>
              <w:spacing w:after="0"/>
              <w:rPr>
                <w:sz w:val="20"/>
                <w:szCs w:val="20"/>
                <w:color w:val="auto"/>
              </w:rPr>
            </w:pPr>
            <w:r>
              <w:rPr>
                <w:rFonts w:ascii="Arial" w:cs="Arial" w:eastAsia="Arial" w:hAnsi="Arial"/>
                <w:sz w:val="18"/>
                <w:szCs w:val="18"/>
                <w:i w:val="1"/>
                <w:iCs w:val="1"/>
                <w:color w:val="auto"/>
              </w:rPr>
              <w:t>Chairman and Chief Executive Officer</w:t>
            </w:r>
          </w:p>
        </w:tc>
      </w:tr>
      <w:tr>
        <w:trPr>
          <w:trHeight w:val="41"/>
        </w:trPr>
        <w:tc>
          <w:tcPr>
            <w:tcW w:w="5940" w:type="dxa"/>
            <w:vAlign w:val="bottom"/>
          </w:tcPr>
          <w:p>
            <w:pPr>
              <w:spacing w:after="0"/>
              <w:rPr>
                <w:sz w:val="3"/>
                <w:szCs w:val="3"/>
                <w:color w:val="auto"/>
              </w:rPr>
            </w:pPr>
          </w:p>
        </w:tc>
        <w:tc>
          <w:tcPr>
            <w:tcW w:w="5460" w:type="dxa"/>
            <w:vAlign w:val="bottom"/>
            <w:tcBorders>
              <w:bottom w:val="single" w:sz="8" w:color="auto"/>
            </w:tcBorders>
          </w:tcPr>
          <w:p>
            <w:pPr>
              <w:spacing w:after="0"/>
              <w:rPr>
                <w:sz w:val="3"/>
                <w:szCs w:val="3"/>
                <w:color w:val="auto"/>
              </w:rPr>
            </w:pPr>
          </w:p>
        </w:tc>
      </w:tr>
    </w:tbl>
    <w:p>
      <w:pPr>
        <w:sectPr>
          <w:pgSz w:w="11900" w:h="16838" w:orient="portrait"/>
          <w:cols w:equalWidth="0" w:num="1">
            <w:col w:w="11420"/>
          </w:cols>
          <w:pgMar w:left="240" w:top="729" w:right="239" w:bottom="1440" w:gutter="0" w:footer="0" w:header="0"/>
        </w:sectPr>
      </w:pPr>
    </w:p>
    <w:bookmarkStart w:id="108" w:name="page109"/>
    <w:bookmarkEnd w:id="108"/>
    <w:p>
      <w:pPr>
        <w:ind w:left="10480"/>
        <w:spacing w:after="0"/>
        <w:rPr>
          <w:sz w:val="20"/>
          <w:szCs w:val="20"/>
          <w:color w:val="auto"/>
        </w:rPr>
      </w:pPr>
      <w:r>
        <w:rPr>
          <w:rFonts w:ascii="Arial" w:cs="Arial" w:eastAsia="Arial" w:hAnsi="Arial"/>
          <w:sz w:val="16"/>
          <w:szCs w:val="16"/>
          <w:b w:val="1"/>
          <w:bCs w:val="1"/>
          <w:color w:val="auto"/>
        </w:rPr>
        <w:t>Exhibit 31.2</w:t>
      </w:r>
    </w:p>
    <w:p>
      <w:pPr>
        <w:spacing w:after="0" w:line="248" w:lineRule="exact"/>
        <w:rPr>
          <w:sz w:val="20"/>
          <w:szCs w:val="20"/>
          <w:color w:val="auto"/>
        </w:rPr>
      </w:pPr>
    </w:p>
    <w:p>
      <w:pPr>
        <w:jc w:val="center"/>
        <w:spacing w:after="0" w:line="207" w:lineRule="exact"/>
        <w:rPr>
          <w:sz w:val="20"/>
          <w:szCs w:val="20"/>
          <w:color w:val="auto"/>
        </w:rPr>
      </w:pPr>
      <w:r>
        <w:rPr>
          <w:rFonts w:ascii="Arial" w:cs="Arial" w:eastAsia="Arial" w:hAnsi="Arial"/>
          <w:sz w:val="18"/>
          <w:szCs w:val="18"/>
          <w:b w:val="1"/>
          <w:bCs w:val="1"/>
          <w:color w:val="auto"/>
        </w:rPr>
        <w:t>TAKE</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TWO INTERACTIVE SOFTWARE, INC.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302 Certification</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Lainie Goldstein, certify that:</w:t>
      </w:r>
    </w:p>
    <w:p>
      <w:pPr>
        <w:spacing w:after="0" w:line="225" w:lineRule="exact"/>
        <w:rPr>
          <w:sz w:val="20"/>
          <w:szCs w:val="20"/>
          <w:color w:val="auto"/>
        </w:rPr>
      </w:pPr>
    </w:p>
    <w:p>
      <w:pPr>
        <w:ind w:left="320" w:hanging="312"/>
        <w:spacing w:after="0"/>
        <w:tabs>
          <w:tab w:leader="none" w:pos="320" w:val="left"/>
        </w:tabs>
        <w:numPr>
          <w:ilvl w:val="0"/>
          <w:numId w:val="61"/>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Take-Two Interactive Software, Inc. (the “registrant”);</w:t>
      </w:r>
    </w:p>
    <w:p>
      <w:pPr>
        <w:spacing w:after="0" w:line="225" w:lineRule="exact"/>
        <w:rPr>
          <w:rFonts w:ascii="Arial" w:cs="Arial" w:eastAsia="Arial" w:hAnsi="Arial"/>
          <w:sz w:val="18"/>
          <w:szCs w:val="18"/>
          <w:color w:val="auto"/>
        </w:rPr>
      </w:pPr>
    </w:p>
    <w:p>
      <w:pPr>
        <w:ind w:firstLine="8"/>
        <w:spacing w:after="0" w:line="342" w:lineRule="auto"/>
        <w:tabs>
          <w:tab w:leader="none" w:pos="398" w:val="left"/>
        </w:tabs>
        <w:numPr>
          <w:ilvl w:val="0"/>
          <w:numId w:val="61"/>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firstLine="8"/>
        <w:spacing w:after="0" w:line="277" w:lineRule="auto"/>
        <w:tabs>
          <w:tab w:leader="none" w:pos="408" w:val="left"/>
        </w:tabs>
        <w:numPr>
          <w:ilvl w:val="0"/>
          <w:numId w:val="61"/>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jc w:val="both"/>
        <w:ind w:right="20" w:firstLine="8"/>
        <w:spacing w:after="0" w:line="264" w:lineRule="auto"/>
        <w:tabs>
          <w:tab w:leader="none" w:pos="321" w:val="left"/>
        </w:tabs>
        <w:numPr>
          <w:ilvl w:val="0"/>
          <w:numId w:val="6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81" w:lineRule="exact"/>
        <w:rPr>
          <w:rFonts w:ascii="Arial" w:cs="Arial" w:eastAsia="Arial" w:hAnsi="Arial"/>
          <w:sz w:val="18"/>
          <w:szCs w:val="18"/>
          <w:color w:val="auto"/>
        </w:rPr>
      </w:pPr>
    </w:p>
    <w:p>
      <w:pPr>
        <w:jc w:val="both"/>
        <w:ind w:left="400"/>
        <w:spacing w:after="0" w:line="264" w:lineRule="auto"/>
        <w:tabs>
          <w:tab w:leader="none" w:pos="722" w:val="left"/>
        </w:tabs>
        <w:numPr>
          <w:ilvl w:val="1"/>
          <w:numId w:val="6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1" w:lineRule="exact"/>
        <w:rPr>
          <w:rFonts w:ascii="Arial" w:cs="Arial" w:eastAsia="Arial" w:hAnsi="Arial"/>
          <w:sz w:val="18"/>
          <w:szCs w:val="18"/>
          <w:color w:val="auto"/>
        </w:rPr>
      </w:pPr>
    </w:p>
    <w:p>
      <w:pPr>
        <w:jc w:val="both"/>
        <w:ind w:left="400"/>
        <w:spacing w:after="0" w:line="264" w:lineRule="auto"/>
        <w:tabs>
          <w:tab w:leader="none" w:pos="887" w:val="left"/>
        </w:tabs>
        <w:numPr>
          <w:ilvl w:val="1"/>
          <w:numId w:val="6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1" w:lineRule="exact"/>
        <w:rPr>
          <w:rFonts w:ascii="Arial" w:cs="Arial" w:eastAsia="Arial" w:hAnsi="Arial"/>
          <w:sz w:val="18"/>
          <w:szCs w:val="18"/>
          <w:color w:val="auto"/>
        </w:rPr>
      </w:pPr>
    </w:p>
    <w:p>
      <w:pPr>
        <w:ind w:left="400"/>
        <w:spacing w:after="0" w:line="308" w:lineRule="auto"/>
        <w:tabs>
          <w:tab w:leader="none" w:pos="727" w:val="left"/>
        </w:tabs>
        <w:numPr>
          <w:ilvl w:val="1"/>
          <w:numId w:val="61"/>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jc w:val="both"/>
        <w:ind w:left="400"/>
        <w:spacing w:after="0" w:line="264" w:lineRule="auto"/>
        <w:tabs>
          <w:tab w:leader="none" w:pos="741" w:val="left"/>
        </w:tabs>
        <w:numPr>
          <w:ilvl w:val="1"/>
          <w:numId w:val="6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1" w:lineRule="exact"/>
        <w:rPr>
          <w:rFonts w:ascii="Arial" w:cs="Arial" w:eastAsia="Arial" w:hAnsi="Arial"/>
          <w:sz w:val="18"/>
          <w:szCs w:val="18"/>
          <w:color w:val="auto"/>
        </w:rPr>
      </w:pPr>
    </w:p>
    <w:p>
      <w:pPr>
        <w:ind w:firstLine="8"/>
        <w:spacing w:after="0" w:line="308" w:lineRule="auto"/>
        <w:tabs>
          <w:tab w:leader="none" w:pos="391"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left="400"/>
        <w:spacing w:after="0" w:line="277" w:lineRule="auto"/>
        <w:tabs>
          <w:tab w:leader="none" w:pos="778" w:val="left"/>
        </w:tabs>
        <w:numPr>
          <w:ilvl w:val="1"/>
          <w:numId w:val="61"/>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left="400" w:right="20"/>
        <w:spacing w:after="0" w:line="277" w:lineRule="auto"/>
        <w:tabs>
          <w:tab w:leader="none" w:pos="774" w:val="left"/>
        </w:tabs>
        <w:numPr>
          <w:ilvl w:val="1"/>
          <w:numId w:val="6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333"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May 16, 2018</w:t>
            </w:r>
          </w:p>
        </w:tc>
        <w:tc>
          <w:tcPr>
            <w:tcW w:w="5460" w:type="dxa"/>
            <w:vAlign w:val="bottom"/>
          </w:tcPr>
          <w:p>
            <w:pPr>
              <w:ind w:left="20"/>
              <w:spacing w:after="0"/>
              <w:rPr>
                <w:sz w:val="20"/>
                <w:szCs w:val="20"/>
                <w:color w:val="auto"/>
              </w:rPr>
            </w:pPr>
            <w:r>
              <w:rPr>
                <w:rFonts w:ascii="Arial" w:cs="Arial" w:eastAsia="Arial" w:hAnsi="Arial"/>
                <w:sz w:val="18"/>
                <w:szCs w:val="18"/>
                <w:color w:val="auto"/>
              </w:rPr>
              <w:t>/s/ LAINIE GOLDSTEIN</w:t>
            </w:r>
          </w:p>
        </w:tc>
      </w:tr>
      <w:tr>
        <w:trPr>
          <w:trHeight w:val="216"/>
        </w:trPr>
        <w:tc>
          <w:tcPr>
            <w:tcW w:w="5940" w:type="dxa"/>
            <w:vAlign w:val="bottom"/>
          </w:tcPr>
          <w:p>
            <w:pPr>
              <w:spacing w:after="0"/>
              <w:rPr>
                <w:sz w:val="18"/>
                <w:szCs w:val="18"/>
                <w:color w:val="auto"/>
              </w:rPr>
            </w:pPr>
          </w:p>
        </w:tc>
        <w:tc>
          <w:tcPr>
            <w:tcW w:w="5460" w:type="dxa"/>
            <w:vAlign w:val="bottom"/>
          </w:tcPr>
          <w:p>
            <w:pPr>
              <w:ind w:left="20"/>
              <w:spacing w:after="0"/>
              <w:rPr>
                <w:sz w:val="20"/>
                <w:szCs w:val="20"/>
                <w:color w:val="auto"/>
              </w:rPr>
            </w:pPr>
            <w:r>
              <w:rPr>
                <w:rFonts w:ascii="Arial" w:cs="Arial" w:eastAsia="Arial" w:hAnsi="Arial"/>
                <w:sz w:val="18"/>
                <w:szCs w:val="18"/>
                <w:color w:val="auto"/>
              </w:rPr>
              <w:t>Lainie Goldstein</w:t>
            </w:r>
          </w:p>
        </w:tc>
      </w:tr>
      <w:tr>
        <w:trPr>
          <w:trHeight w:val="230"/>
        </w:trPr>
        <w:tc>
          <w:tcPr>
            <w:tcW w:w="5940" w:type="dxa"/>
            <w:vAlign w:val="bottom"/>
          </w:tcPr>
          <w:p>
            <w:pPr>
              <w:spacing w:after="0"/>
              <w:rPr>
                <w:sz w:val="20"/>
                <w:szCs w:val="20"/>
                <w:color w:val="auto"/>
              </w:rPr>
            </w:pPr>
          </w:p>
        </w:tc>
        <w:tc>
          <w:tcPr>
            <w:tcW w:w="5460" w:type="dxa"/>
            <w:vAlign w:val="bottom"/>
          </w:tcPr>
          <w:p>
            <w:pPr>
              <w:ind w:left="20"/>
              <w:spacing w:after="0"/>
              <w:rPr>
                <w:sz w:val="20"/>
                <w:szCs w:val="20"/>
                <w:color w:val="auto"/>
              </w:rPr>
            </w:pPr>
            <w:r>
              <w:rPr>
                <w:rFonts w:ascii="Arial" w:cs="Arial" w:eastAsia="Arial" w:hAnsi="Arial"/>
                <w:sz w:val="18"/>
                <w:szCs w:val="18"/>
                <w:i w:val="1"/>
                <w:iCs w:val="1"/>
                <w:color w:val="auto"/>
              </w:rPr>
              <w:t>Chief Financial Officer</w:t>
            </w:r>
          </w:p>
        </w:tc>
      </w:tr>
      <w:tr>
        <w:trPr>
          <w:trHeight w:val="41"/>
        </w:trPr>
        <w:tc>
          <w:tcPr>
            <w:tcW w:w="5940" w:type="dxa"/>
            <w:vAlign w:val="bottom"/>
          </w:tcPr>
          <w:p>
            <w:pPr>
              <w:spacing w:after="0"/>
              <w:rPr>
                <w:sz w:val="3"/>
                <w:szCs w:val="3"/>
                <w:color w:val="auto"/>
              </w:rPr>
            </w:pPr>
          </w:p>
        </w:tc>
        <w:tc>
          <w:tcPr>
            <w:tcW w:w="5460" w:type="dxa"/>
            <w:vAlign w:val="bottom"/>
            <w:tcBorders>
              <w:bottom w:val="single" w:sz="8" w:color="auto"/>
            </w:tcBorders>
          </w:tcPr>
          <w:p>
            <w:pPr>
              <w:spacing w:after="0"/>
              <w:rPr>
                <w:sz w:val="3"/>
                <w:szCs w:val="3"/>
                <w:color w:val="auto"/>
              </w:rPr>
            </w:pPr>
          </w:p>
        </w:tc>
      </w:tr>
    </w:tbl>
    <w:p>
      <w:pPr>
        <w:sectPr>
          <w:pgSz w:w="11900" w:h="16838" w:orient="portrait"/>
          <w:cols w:equalWidth="0" w:num="1">
            <w:col w:w="11420"/>
          </w:cols>
          <w:pgMar w:left="240" w:top="729" w:right="239" w:bottom="1440" w:gutter="0" w:footer="0" w:header="0"/>
        </w:sectPr>
      </w:pPr>
    </w:p>
    <w:bookmarkStart w:id="109" w:name="page110"/>
    <w:bookmarkEnd w:id="109"/>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line="207" w:lineRule="exact"/>
        <w:rPr>
          <w:sz w:val="20"/>
          <w:szCs w:val="20"/>
          <w:color w:val="auto"/>
        </w:rPr>
      </w:pPr>
      <w:r>
        <w:rPr>
          <w:rFonts w:ascii="Arial" w:cs="Arial" w:eastAsia="Arial" w:hAnsi="Arial"/>
          <w:sz w:val="18"/>
          <w:szCs w:val="18"/>
          <w:b w:val="1"/>
          <w:bCs w:val="1"/>
          <w:color w:val="auto"/>
        </w:rPr>
        <w:t>TAKE</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TWO INTERACTIVE SOFTWARE, INC.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 S. 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connection with the Annual Report of Take-Two Interactive Software, Inc. (the “Company”) on Form 10-K for the period ended March 31, 2018 as filed with the Securities and Exchange Commission on the date hereof (the “Report”), I, Strauss Zelnick, as Chairman and Chief Executive Officer of the Company, certify, pursuant to 18 U.S.C. Section 1350, as adopted pursuant to Section 906 of the Sarbanes-Oxley Act of 2002, that:</w:t>
      </w:r>
    </w:p>
    <w:p>
      <w:pPr>
        <w:spacing w:after="0" w:line="166" w:lineRule="exact"/>
        <w:rPr>
          <w:sz w:val="20"/>
          <w:szCs w:val="20"/>
          <w:color w:val="auto"/>
        </w:rPr>
      </w:pPr>
    </w:p>
    <w:p>
      <w:pPr>
        <w:ind w:left="400"/>
        <w:spacing w:after="0"/>
        <w:rPr>
          <w:sz w:val="20"/>
          <w:szCs w:val="20"/>
          <w:color w:val="auto"/>
        </w:rPr>
      </w:pPr>
      <w:r>
        <w:rPr>
          <w:rFonts w:ascii="Arial" w:cs="Arial" w:eastAsia="Arial" w:hAnsi="Arial"/>
          <w:sz w:val="18"/>
          <w:szCs w:val="18"/>
          <w:color w:val="auto"/>
        </w:rPr>
        <w:t>(1)The Report fully complies with the requirements of Section 13(a) or 15(d) of the Securities Exchange Act of 1934; and</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(2)The information contained in the Report fairly presents, in all material respects, the financial condition and results of operations of the Company.</w:t>
      </w:r>
    </w:p>
    <w:p>
      <w:pPr>
        <w:spacing w:after="0" w:line="399"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May 16, 2018</w:t>
            </w:r>
          </w:p>
        </w:tc>
        <w:tc>
          <w:tcPr>
            <w:tcW w:w="5460" w:type="dxa"/>
            <w:vAlign w:val="bottom"/>
          </w:tcPr>
          <w:p>
            <w:pPr>
              <w:ind w:left="20"/>
              <w:spacing w:after="0"/>
              <w:rPr>
                <w:sz w:val="20"/>
                <w:szCs w:val="20"/>
                <w:color w:val="auto"/>
              </w:rPr>
            </w:pPr>
            <w:r>
              <w:rPr>
                <w:rFonts w:ascii="Arial" w:cs="Arial" w:eastAsia="Arial" w:hAnsi="Arial"/>
                <w:sz w:val="18"/>
                <w:szCs w:val="18"/>
                <w:color w:val="auto"/>
              </w:rPr>
              <w:t>/s/ STRAUSS ZELNICK</w:t>
            </w:r>
          </w:p>
        </w:tc>
      </w:tr>
      <w:tr>
        <w:trPr>
          <w:trHeight w:val="216"/>
        </w:trPr>
        <w:tc>
          <w:tcPr>
            <w:tcW w:w="5940" w:type="dxa"/>
            <w:vAlign w:val="bottom"/>
          </w:tcPr>
          <w:p>
            <w:pPr>
              <w:spacing w:after="0"/>
              <w:rPr>
                <w:sz w:val="18"/>
                <w:szCs w:val="18"/>
                <w:color w:val="auto"/>
              </w:rPr>
            </w:pPr>
          </w:p>
        </w:tc>
        <w:tc>
          <w:tcPr>
            <w:tcW w:w="5460" w:type="dxa"/>
            <w:vAlign w:val="bottom"/>
          </w:tcPr>
          <w:p>
            <w:pPr>
              <w:ind w:left="20"/>
              <w:spacing w:after="0"/>
              <w:rPr>
                <w:sz w:val="20"/>
                <w:szCs w:val="20"/>
                <w:color w:val="auto"/>
              </w:rPr>
            </w:pPr>
            <w:r>
              <w:rPr>
                <w:rFonts w:ascii="Arial" w:cs="Arial" w:eastAsia="Arial" w:hAnsi="Arial"/>
                <w:sz w:val="18"/>
                <w:szCs w:val="18"/>
                <w:color w:val="auto"/>
              </w:rPr>
              <w:t>Strauss Zelnick</w:t>
            </w:r>
          </w:p>
        </w:tc>
      </w:tr>
      <w:tr>
        <w:trPr>
          <w:trHeight w:val="230"/>
        </w:trPr>
        <w:tc>
          <w:tcPr>
            <w:tcW w:w="5940" w:type="dxa"/>
            <w:vAlign w:val="bottom"/>
          </w:tcPr>
          <w:p>
            <w:pPr>
              <w:spacing w:after="0"/>
              <w:rPr>
                <w:sz w:val="20"/>
                <w:szCs w:val="20"/>
                <w:color w:val="auto"/>
              </w:rPr>
            </w:pPr>
          </w:p>
        </w:tc>
        <w:tc>
          <w:tcPr>
            <w:tcW w:w="5460" w:type="dxa"/>
            <w:vAlign w:val="bottom"/>
          </w:tcPr>
          <w:p>
            <w:pPr>
              <w:ind w:left="20"/>
              <w:spacing w:after="0"/>
              <w:rPr>
                <w:sz w:val="20"/>
                <w:szCs w:val="20"/>
                <w:color w:val="auto"/>
              </w:rPr>
            </w:pPr>
            <w:r>
              <w:rPr>
                <w:rFonts w:ascii="Arial" w:cs="Arial" w:eastAsia="Arial" w:hAnsi="Arial"/>
                <w:sz w:val="18"/>
                <w:szCs w:val="18"/>
                <w:i w:val="1"/>
                <w:iCs w:val="1"/>
                <w:color w:val="auto"/>
              </w:rPr>
              <w:t>Chairman and Chief Executive Officer</w:t>
            </w:r>
          </w:p>
        </w:tc>
      </w:tr>
      <w:tr>
        <w:trPr>
          <w:trHeight w:val="41"/>
        </w:trPr>
        <w:tc>
          <w:tcPr>
            <w:tcW w:w="5940" w:type="dxa"/>
            <w:vAlign w:val="bottom"/>
          </w:tcPr>
          <w:p>
            <w:pPr>
              <w:spacing w:after="0"/>
              <w:rPr>
                <w:sz w:val="3"/>
                <w:szCs w:val="3"/>
                <w:color w:val="auto"/>
              </w:rPr>
            </w:pPr>
          </w:p>
        </w:tc>
        <w:tc>
          <w:tcPr>
            <w:tcW w:w="5460" w:type="dxa"/>
            <w:vAlign w:val="bottom"/>
            <w:tcBorders>
              <w:bottom w:val="single" w:sz="8" w:color="auto"/>
            </w:tcBorders>
          </w:tcPr>
          <w:p>
            <w:pPr>
              <w:spacing w:after="0"/>
              <w:rPr>
                <w:sz w:val="3"/>
                <w:szCs w:val="3"/>
                <w:color w:val="auto"/>
              </w:rPr>
            </w:pPr>
          </w:p>
        </w:tc>
      </w:tr>
    </w:tbl>
    <w:p>
      <w:pPr>
        <w:sectPr>
          <w:pgSz w:w="11900" w:h="16838" w:orient="portrait"/>
          <w:cols w:equalWidth="0" w:num="1">
            <w:col w:w="11420"/>
          </w:cols>
          <w:pgMar w:left="240" w:top="729" w:right="239" w:bottom="1440" w:gutter="0" w:footer="0" w:header="0"/>
        </w:sectPr>
      </w:pPr>
    </w:p>
    <w:bookmarkStart w:id="110" w:name="page111"/>
    <w:bookmarkEnd w:id="110"/>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line="207" w:lineRule="exact"/>
        <w:rPr>
          <w:sz w:val="20"/>
          <w:szCs w:val="20"/>
          <w:color w:val="auto"/>
        </w:rPr>
      </w:pPr>
      <w:r>
        <w:rPr>
          <w:rFonts w:ascii="Arial" w:cs="Arial" w:eastAsia="Arial" w:hAnsi="Arial"/>
          <w:sz w:val="18"/>
          <w:szCs w:val="18"/>
          <w:b w:val="1"/>
          <w:bCs w:val="1"/>
          <w:color w:val="auto"/>
        </w:rPr>
        <w:t>TAKE</w:t>
      </w:r>
      <w:r>
        <w:rPr>
          <w:rFonts w:ascii="MS PGothic" w:cs="MS PGothic" w:eastAsia="MS PGothic" w:hAnsi="MS PGothic"/>
          <w:sz w:val="18"/>
          <w:szCs w:val="18"/>
          <w:b w:val="1"/>
          <w:bCs w:val="1"/>
          <w:color w:val="auto"/>
        </w:rPr>
        <w:t>‑</w:t>
      </w:r>
      <w:r>
        <w:rPr>
          <w:rFonts w:ascii="Arial" w:cs="Arial" w:eastAsia="Arial" w:hAnsi="Arial"/>
          <w:sz w:val="18"/>
          <w:szCs w:val="18"/>
          <w:b w:val="1"/>
          <w:bCs w:val="1"/>
          <w:color w:val="auto"/>
        </w:rPr>
        <w:t>TWO INTERACTIVE SOFTWARE, INC. and SUBSIDIARIES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 S. 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11" w:lineRule="exact"/>
        <w:rPr>
          <w:sz w:val="20"/>
          <w:szCs w:val="20"/>
          <w:color w:val="auto"/>
        </w:rPr>
      </w:pPr>
    </w:p>
    <w:p>
      <w:pPr>
        <w:jc w:val="both"/>
        <w:spacing w:after="0" w:line="264" w:lineRule="auto"/>
        <w:rPr>
          <w:sz w:val="20"/>
          <w:szCs w:val="20"/>
          <w:color w:val="auto"/>
        </w:rPr>
      </w:pPr>
      <w:r>
        <w:rPr>
          <w:rFonts w:ascii="Arial" w:cs="Arial" w:eastAsia="Arial" w:hAnsi="Arial"/>
          <w:sz w:val="18"/>
          <w:szCs w:val="18"/>
          <w:color w:val="auto"/>
        </w:rPr>
        <w:t>In connection with the Annual Report of Take-Two Interactive Software, Inc. (the “Company”) on Form 10-K for the period ended March 31, 2018 as filed with the Securities and Exchange Commission on the date hereof (the “Report”), I, Lainie Goldstein, as Chief Financial Officer of the Company, certify, pursuant to 18 U.S.C. Section 1350, as adopted pursuant to Section 906 of the Sarbanes-Oxley Act of 2002, that:</w:t>
      </w:r>
    </w:p>
    <w:p>
      <w:pPr>
        <w:spacing w:after="0" w:line="181" w:lineRule="exact"/>
        <w:rPr>
          <w:sz w:val="20"/>
          <w:szCs w:val="20"/>
          <w:color w:val="auto"/>
        </w:rPr>
      </w:pPr>
    </w:p>
    <w:p>
      <w:pPr>
        <w:ind w:left="400"/>
        <w:spacing w:after="0"/>
        <w:rPr>
          <w:sz w:val="20"/>
          <w:szCs w:val="20"/>
          <w:color w:val="auto"/>
        </w:rPr>
      </w:pPr>
      <w:r>
        <w:rPr>
          <w:rFonts w:ascii="Arial" w:cs="Arial" w:eastAsia="Arial" w:hAnsi="Arial"/>
          <w:sz w:val="18"/>
          <w:szCs w:val="18"/>
          <w:color w:val="auto"/>
        </w:rPr>
        <w:t>(1)The Report fully complies with the requirements of Section 13(a) or 15(d) of the Securities Exchange Act of 1934; and</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(2)The information contained in the Report fairly presents, in all material respects, the financial condition and results of operations of the Company.</w:t>
      </w:r>
    </w:p>
    <w:p>
      <w:pPr>
        <w:spacing w:after="0" w:line="399"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5940" w:type="dxa"/>
            <w:vAlign w:val="bottom"/>
          </w:tcPr>
          <w:p>
            <w:pPr>
              <w:spacing w:after="0"/>
              <w:rPr>
                <w:sz w:val="20"/>
                <w:szCs w:val="20"/>
                <w:color w:val="auto"/>
              </w:rPr>
            </w:pPr>
            <w:r>
              <w:rPr>
                <w:rFonts w:ascii="Arial" w:cs="Arial" w:eastAsia="Arial" w:hAnsi="Arial"/>
                <w:sz w:val="18"/>
                <w:szCs w:val="18"/>
                <w:color w:val="auto"/>
              </w:rPr>
              <w:t>May 16, 2018</w:t>
            </w:r>
          </w:p>
        </w:tc>
        <w:tc>
          <w:tcPr>
            <w:tcW w:w="5460" w:type="dxa"/>
            <w:vAlign w:val="bottom"/>
          </w:tcPr>
          <w:p>
            <w:pPr>
              <w:ind w:left="20"/>
              <w:spacing w:after="0"/>
              <w:rPr>
                <w:sz w:val="20"/>
                <w:szCs w:val="20"/>
                <w:color w:val="auto"/>
              </w:rPr>
            </w:pPr>
            <w:r>
              <w:rPr>
                <w:rFonts w:ascii="Arial" w:cs="Arial" w:eastAsia="Arial" w:hAnsi="Arial"/>
                <w:sz w:val="18"/>
                <w:szCs w:val="18"/>
                <w:color w:val="auto"/>
              </w:rPr>
              <w:t>/s/ LAINIE GOLDSTEIN</w:t>
            </w:r>
          </w:p>
        </w:tc>
      </w:tr>
      <w:tr>
        <w:trPr>
          <w:trHeight w:val="216"/>
        </w:trPr>
        <w:tc>
          <w:tcPr>
            <w:tcW w:w="5940" w:type="dxa"/>
            <w:vAlign w:val="bottom"/>
          </w:tcPr>
          <w:p>
            <w:pPr>
              <w:spacing w:after="0"/>
              <w:rPr>
                <w:sz w:val="18"/>
                <w:szCs w:val="18"/>
                <w:color w:val="auto"/>
              </w:rPr>
            </w:pPr>
          </w:p>
        </w:tc>
        <w:tc>
          <w:tcPr>
            <w:tcW w:w="5460" w:type="dxa"/>
            <w:vAlign w:val="bottom"/>
          </w:tcPr>
          <w:p>
            <w:pPr>
              <w:ind w:left="20"/>
              <w:spacing w:after="0"/>
              <w:rPr>
                <w:sz w:val="20"/>
                <w:szCs w:val="20"/>
                <w:color w:val="auto"/>
              </w:rPr>
            </w:pPr>
            <w:r>
              <w:rPr>
                <w:rFonts w:ascii="Arial" w:cs="Arial" w:eastAsia="Arial" w:hAnsi="Arial"/>
                <w:sz w:val="18"/>
                <w:szCs w:val="18"/>
                <w:color w:val="auto"/>
              </w:rPr>
              <w:t>Lainie Goldstein</w:t>
            </w:r>
          </w:p>
        </w:tc>
      </w:tr>
      <w:tr>
        <w:trPr>
          <w:trHeight w:val="230"/>
        </w:trPr>
        <w:tc>
          <w:tcPr>
            <w:tcW w:w="5940" w:type="dxa"/>
            <w:vAlign w:val="bottom"/>
          </w:tcPr>
          <w:p>
            <w:pPr>
              <w:spacing w:after="0"/>
              <w:rPr>
                <w:sz w:val="20"/>
                <w:szCs w:val="20"/>
                <w:color w:val="auto"/>
              </w:rPr>
            </w:pPr>
          </w:p>
        </w:tc>
        <w:tc>
          <w:tcPr>
            <w:tcW w:w="5460" w:type="dxa"/>
            <w:vAlign w:val="bottom"/>
          </w:tcPr>
          <w:p>
            <w:pPr>
              <w:ind w:left="20"/>
              <w:spacing w:after="0"/>
              <w:rPr>
                <w:sz w:val="20"/>
                <w:szCs w:val="20"/>
                <w:color w:val="auto"/>
              </w:rPr>
            </w:pPr>
            <w:r>
              <w:rPr>
                <w:rFonts w:ascii="Arial" w:cs="Arial" w:eastAsia="Arial" w:hAnsi="Arial"/>
                <w:sz w:val="18"/>
                <w:szCs w:val="18"/>
                <w:i w:val="1"/>
                <w:iCs w:val="1"/>
                <w:color w:val="auto"/>
              </w:rPr>
              <w:t>Chief Financial Officer</w:t>
            </w:r>
          </w:p>
        </w:tc>
      </w:tr>
      <w:tr>
        <w:trPr>
          <w:trHeight w:val="41"/>
        </w:trPr>
        <w:tc>
          <w:tcPr>
            <w:tcW w:w="5940" w:type="dxa"/>
            <w:vAlign w:val="bottom"/>
          </w:tcPr>
          <w:p>
            <w:pPr>
              <w:spacing w:after="0"/>
              <w:rPr>
                <w:sz w:val="3"/>
                <w:szCs w:val="3"/>
                <w:color w:val="auto"/>
              </w:rPr>
            </w:pPr>
          </w:p>
        </w:tc>
        <w:tc>
          <w:tcPr>
            <w:tcW w:w="5460" w:type="dxa"/>
            <w:vAlign w:val="bottom"/>
            <w:tcBorders>
              <w:bottom w:val="single" w:sz="8" w:color="auto"/>
            </w:tcBorders>
          </w:tcPr>
          <w:p>
            <w:pPr>
              <w:spacing w:after="0"/>
              <w:rPr>
                <w:sz w:val="3"/>
                <w:szCs w:val="3"/>
                <w:color w:val="auto"/>
              </w:rPr>
            </w:pPr>
          </w:p>
        </w:tc>
      </w:tr>
    </w:tbl>
    <w:p>
      <w:pPr>
        <w:spacing w:after="0" w:line="1" w:lineRule="exact"/>
        <w:rPr>
          <w:sz w:val="20"/>
          <w:szCs w:val="20"/>
          <w:color w:val="auto"/>
        </w:rPr>
      </w:pPr>
    </w:p>
    <w:sectPr>
      <w:pgSz w:w="11900" w:h="16838" w:orient="portrait"/>
      <w:cols w:equalWidth="0" w:num="1">
        <w:col w:w="11420"/>
      </w:cols>
      <w:pgMar w:left="240" w:top="729"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C3DBD3D"/>
    <w:multiLevelType w:val="hybridMultilevel"/>
    <w:lvl w:ilvl="0">
      <w:lvlJc w:val="left"/>
      <w:lvlText w:val="☒"/>
      <w:numFmt w:val="bullet"/>
      <w:start w:val="1"/>
    </w:lvl>
  </w:abstractNum>
  <w:abstractNum w:abstractNumId="1">
    <w:nsid w:val="737B8DDC"/>
    <w:multiLevelType w:val="hybridMultilevel"/>
    <w:lvl w:ilvl="0">
      <w:lvlJc w:val="left"/>
      <w:lvlText w:val="o"/>
      <w:numFmt w:val="bullet"/>
      <w:start w:val="1"/>
    </w:lvl>
  </w:abstractNum>
  <w:abstractNum w:abstractNumId="2">
    <w:nsid w:val="6CEAF087"/>
    <w:multiLevelType w:val="hybridMultilevel"/>
    <w:lvl w:ilvl="0">
      <w:lvlJc w:val="left"/>
      <w:lvlText w:val="•"/>
      <w:numFmt w:val="bullet"/>
      <w:start w:val="1"/>
    </w:lvl>
  </w:abstractNum>
  <w:abstractNum w:abstractNumId="3">
    <w:nsid w:val="22221A70"/>
    <w:multiLevelType w:val="hybridMultilevel"/>
    <w:lvl w:ilvl="0">
      <w:lvlJc w:val="left"/>
      <w:lvlText w:val="•"/>
      <w:numFmt w:val="bullet"/>
      <w:start w:val="1"/>
    </w:lvl>
  </w:abstractNum>
  <w:abstractNum w:abstractNumId="4">
    <w:nsid w:val="4516DDE9"/>
    <w:multiLevelType w:val="hybridMultilevel"/>
    <w:lvl w:ilvl="0">
      <w:lvlJc w:val="left"/>
      <w:lvlText w:val="•"/>
      <w:numFmt w:val="bullet"/>
      <w:start w:val="1"/>
    </w:lvl>
  </w:abstractNum>
  <w:abstractNum w:abstractNumId="5">
    <w:nsid w:val="3006C83E"/>
    <w:multiLevelType w:val="hybridMultilevel"/>
    <w:lvl w:ilvl="0">
      <w:lvlJc w:val="left"/>
      <w:lvlText w:val="•"/>
      <w:numFmt w:val="bullet"/>
      <w:start w:val="1"/>
    </w:lvl>
  </w:abstractNum>
  <w:abstractNum w:abstractNumId="6">
    <w:nsid w:val="614FD4A1"/>
    <w:multiLevelType w:val="hybridMultilevel"/>
    <w:lvl w:ilvl="0">
      <w:lvlJc w:val="left"/>
      <w:lvlText w:val="*"/>
      <w:numFmt w:val="bullet"/>
      <w:start w:val="1"/>
    </w:lvl>
  </w:abstractNum>
  <w:abstractNum w:abstractNumId="7">
    <w:nsid w:val="419AC241"/>
    <w:multiLevelType w:val="hybridMultilevel"/>
    <w:lvl w:ilvl="0">
      <w:lvlJc w:val="left"/>
      <w:lvlText w:val="(%1)"/>
      <w:numFmt w:val="decimal"/>
      <w:start w:val="1"/>
    </w:lvl>
  </w:abstractNum>
  <w:abstractNum w:abstractNumId="8">
    <w:nsid w:val="5577F8E1"/>
    <w:multiLevelType w:val="hybridMultilevel"/>
    <w:lvl w:ilvl="0">
      <w:lvlJc w:val="left"/>
      <w:lvlText w:val="(%1)"/>
      <w:numFmt w:val="lowerRoman"/>
      <w:start w:val="2"/>
    </w:lvl>
  </w:abstractNum>
  <w:abstractNum w:abstractNumId="9">
    <w:nsid w:val="440BADFC"/>
    <w:multiLevelType w:val="hybridMultilevel"/>
    <w:lvl w:ilvl="0">
      <w:lvlJc w:val="left"/>
      <w:lvlText w:val="%1"/>
      <w:numFmt w:val="upperLetter"/>
      <w:start w:val="61"/>
    </w:lvl>
  </w:abstractNum>
  <w:abstractNum w:abstractNumId="10">
    <w:nsid w:val="5072367"/>
    <w:multiLevelType w:val="hybridMultilevel"/>
    <w:lvl w:ilvl="0">
      <w:lvlJc w:val="left"/>
      <w:lvlText w:val="(%1)"/>
      <w:numFmt w:val="lowerRoman"/>
      <w:start w:val="3"/>
    </w:lvl>
  </w:abstractNum>
  <w:abstractNum w:abstractNumId="11">
    <w:nsid w:val="3804823E"/>
    <w:multiLevelType w:val="hybridMultilevel"/>
    <w:lvl w:ilvl="0">
      <w:lvlJc w:val="left"/>
      <w:lvlText w:val="(%1)"/>
      <w:numFmt w:val="lowerLetter"/>
      <w:start w:val="2"/>
    </w:lvl>
  </w:abstractNum>
  <w:abstractNum w:abstractNumId="12">
    <w:nsid w:val="77465F01"/>
    <w:multiLevelType w:val="hybridMultilevel"/>
    <w:lvl w:ilvl="0">
      <w:lvlJc w:val="left"/>
      <w:lvlText w:val="•"/>
      <w:numFmt w:val="bullet"/>
      <w:start w:val="1"/>
    </w:lvl>
  </w:abstractNum>
  <w:abstractNum w:abstractNumId="13">
    <w:nsid w:val="7724C67E"/>
    <w:multiLevelType w:val="hybridMultilevel"/>
    <w:lvl w:ilvl="0">
      <w:lvlJc w:val="left"/>
      <w:lvlText w:val="(%1)"/>
      <w:numFmt w:val="lowerRoman"/>
      <w:start w:val="2"/>
    </w:lvl>
  </w:abstractNum>
  <w:abstractNum w:abstractNumId="14">
    <w:nsid w:val="5C482A97"/>
    <w:multiLevelType w:val="hybridMultilevel"/>
    <w:lvl w:ilvl="0">
      <w:lvlJc w:val="left"/>
      <w:lvlText w:val="(%1)"/>
      <w:numFmt w:val="lowerLetter"/>
      <w:start w:val="1"/>
    </w:lvl>
    <w:lvl w:ilvl="1">
      <w:lvlJc w:val="left"/>
      <w:lvlText w:val="(%2)"/>
      <w:numFmt w:val="lowerRoman"/>
      <w:start w:val="1"/>
    </w:lvl>
  </w:abstractNum>
  <w:abstractNum w:abstractNumId="15">
    <w:nsid w:val="2463B9EA"/>
    <w:multiLevelType w:val="hybridMultilevel"/>
    <w:lvl w:ilvl="0">
      <w:lvlJc w:val="left"/>
      <w:lvlText w:val="†"/>
      <w:numFmt w:val="bullet"/>
      <w:start w:val="1"/>
    </w:lvl>
  </w:abstractNum>
  <w:abstractNum w:abstractNumId="16">
    <w:nsid w:val="5E884ADC"/>
    <w:multiLevelType w:val="hybridMultilevel"/>
    <w:lvl w:ilvl="0">
      <w:lvlJc w:val="left"/>
      <w:lvlText w:val="*"/>
      <w:numFmt w:val="bullet"/>
      <w:start w:val="1"/>
    </w:lvl>
  </w:abstractNum>
  <w:abstractNum w:abstractNumId="17">
    <w:nsid w:val="51EAD36B"/>
    <w:multiLevelType w:val="hybridMultilevel"/>
    <w:lvl w:ilvl="0">
      <w:lvlJc w:val="left"/>
      <w:lvlText w:val="**"/>
      <w:numFmt w:val="bullet"/>
      <w:start w:val="1"/>
    </w:lvl>
  </w:abstractNum>
  <w:abstractNum w:abstractNumId="18">
    <w:nsid w:val="2D517796"/>
    <w:multiLevelType w:val="hybridMultilevel"/>
    <w:lvl w:ilvl="0">
      <w:lvlJc w:val="left"/>
      <w:lvlText w:val="%1."/>
      <w:numFmt w:val="decimal"/>
      <w:start w:val="1"/>
    </w:lvl>
  </w:abstractNum>
  <w:abstractNum w:abstractNumId="19">
    <w:nsid w:val="580BD78F"/>
    <w:multiLevelType w:val="hybridMultilevel"/>
    <w:lvl w:ilvl="0">
      <w:lvlJc w:val="left"/>
      <w:lvlText w:val="•"/>
      <w:numFmt w:val="bullet"/>
      <w:start w:val="1"/>
    </w:lvl>
  </w:abstractNum>
  <w:abstractNum w:abstractNumId="20">
    <w:nsid w:val="153EA438"/>
    <w:multiLevelType w:val="hybridMultilevel"/>
    <w:lvl w:ilvl="0">
      <w:lvlJc w:val="left"/>
      <w:lvlText w:val="•"/>
      <w:numFmt w:val="bullet"/>
      <w:start w:val="1"/>
    </w:lvl>
  </w:abstractNum>
  <w:abstractNum w:abstractNumId="21">
    <w:nsid w:val="3855585C"/>
    <w:multiLevelType w:val="hybridMultilevel"/>
    <w:lvl w:ilvl="0">
      <w:lvlJc w:val="left"/>
      <w:lvlText w:val="%1."/>
      <w:numFmt w:val="decimal"/>
      <w:start w:val="2"/>
    </w:lvl>
  </w:abstractNum>
  <w:abstractNum w:abstractNumId="22">
    <w:nsid w:val="70A64E2A"/>
    <w:multiLevelType w:val="hybridMultilevel"/>
    <w:lvl w:ilvl="0">
      <w:lvlJc w:val="left"/>
      <w:lvlText w:val="%1."/>
      <w:numFmt w:val="decimal"/>
      <w:start w:val="3"/>
    </w:lvl>
  </w:abstractNum>
  <w:abstractNum w:abstractNumId="23">
    <w:nsid w:val="6A2342EC"/>
    <w:multiLevelType w:val="hybridMultilevel"/>
    <w:lvl w:ilvl="0">
      <w:lvlJc w:val="left"/>
      <w:lvlText w:val="•"/>
      <w:numFmt w:val="bullet"/>
      <w:start w:val="1"/>
    </w:lvl>
  </w:abstractNum>
  <w:abstractNum w:abstractNumId="24">
    <w:nsid w:val="2A487CB0"/>
    <w:multiLevelType w:val="hybridMultilevel"/>
    <w:lvl w:ilvl="0">
      <w:lvlJc w:val="left"/>
      <w:lvlText w:val="%1."/>
      <w:numFmt w:val="decimal"/>
      <w:start w:val="4"/>
    </w:lvl>
  </w:abstractNum>
  <w:abstractNum w:abstractNumId="25">
    <w:nsid w:val="1D4ED43B"/>
    <w:multiLevelType w:val="hybridMultilevel"/>
    <w:lvl w:ilvl="0">
      <w:lvlJc w:val="left"/>
      <w:lvlText w:val="%1."/>
      <w:numFmt w:val="decimal"/>
      <w:start w:val="5"/>
    </w:lvl>
  </w:abstractNum>
  <w:abstractNum w:abstractNumId="26">
    <w:nsid w:val="725A06FB"/>
    <w:multiLevelType w:val="hybridMultilevel"/>
    <w:lvl w:ilvl="0">
      <w:lvlJc w:val="left"/>
      <w:lvlText w:val="%1."/>
      <w:numFmt w:val="decimal"/>
      <w:start w:val="6"/>
    </w:lvl>
  </w:abstractNum>
  <w:abstractNum w:abstractNumId="27">
    <w:nsid w:val="2CD89A32"/>
    <w:multiLevelType w:val="hybridMultilevel"/>
    <w:lvl w:ilvl="0">
      <w:lvlJc w:val="left"/>
      <w:lvlText w:val="(%1)"/>
      <w:numFmt w:val="decimal"/>
      <w:start w:val="1"/>
    </w:lvl>
  </w:abstractNum>
  <w:abstractNum w:abstractNumId="28">
    <w:nsid w:val="57E4CCAF"/>
    <w:multiLevelType w:val="hybridMultilevel"/>
    <w:lvl w:ilvl="0">
      <w:lvlJc w:val="left"/>
      <w:lvlText w:val="%1."/>
      <w:numFmt w:val="decimal"/>
      <w:start w:val="15"/>
    </w:lvl>
  </w:abstractNum>
  <w:abstractNum w:abstractNumId="29">
    <w:nsid w:val="7A6D8D3C"/>
    <w:multiLevelType w:val="hybridMultilevel"/>
    <w:lvl w:ilvl="0">
      <w:lvlJc w:val="left"/>
      <w:lvlText w:val="[***]"/>
      <w:numFmt w:val="bullet"/>
      <w:start w:val="1"/>
    </w:lvl>
  </w:abstractNum>
  <w:abstractNum w:abstractNumId="30">
    <w:nsid w:val="4B588F54"/>
    <w:multiLevelType w:val="hybridMultilevel"/>
    <w:lvl w:ilvl="0">
      <w:lvlJc w:val="left"/>
      <w:lvlText w:val="%1."/>
      <w:numFmt w:val="upperLetter"/>
      <w:start w:val="1"/>
    </w:lvl>
  </w:abstractNum>
  <w:abstractNum w:abstractNumId="31">
    <w:nsid w:val="542289EC"/>
    <w:multiLevelType w:val="hybridMultilevel"/>
    <w:lvl w:ilvl="0">
      <w:lvlJc w:val="left"/>
      <w:lvlText w:val="%1."/>
      <w:numFmt w:val="decimal"/>
      <w:start w:val="1"/>
    </w:lvl>
  </w:abstractNum>
  <w:abstractNum w:abstractNumId="32">
    <w:nsid w:val="6DE91B18"/>
    <w:multiLevelType w:val="hybridMultilevel"/>
    <w:lvl w:ilvl="0">
      <w:lvlJc w:val="left"/>
      <w:lvlText w:val="%1."/>
      <w:numFmt w:val="decimal"/>
      <w:start w:val="2"/>
    </w:lvl>
  </w:abstractNum>
  <w:abstractNum w:abstractNumId="33">
    <w:nsid w:val="38437FDB"/>
    <w:multiLevelType w:val="hybridMultilevel"/>
    <w:lvl w:ilvl="0">
      <w:lvlJc w:val="left"/>
      <w:lvlText w:val="%1."/>
      <w:numFmt w:val="decimal"/>
      <w:start w:val="3"/>
    </w:lvl>
  </w:abstractNum>
  <w:abstractNum w:abstractNumId="34">
    <w:nsid w:val="7644A45C"/>
    <w:multiLevelType w:val="hybridMultilevel"/>
    <w:lvl w:ilvl="0">
      <w:lvlJc w:val="left"/>
      <w:lvlText w:val="%1"/>
      <w:numFmt w:val="decimal"/>
      <w:start w:val="1"/>
    </w:lvl>
    <w:lvl w:ilvl="1">
      <w:lvlJc w:val="left"/>
      <w:lvlText w:val="%2."/>
      <w:numFmt w:val="upperLetter"/>
      <w:start w:val="1"/>
    </w:lvl>
  </w:abstractNum>
  <w:abstractNum w:abstractNumId="35">
    <w:nsid w:val="32FFF902"/>
    <w:multiLevelType w:val="hybridMultilevel"/>
    <w:lvl w:ilvl="0">
      <w:lvlJc w:val="left"/>
      <w:lvlText w:val="%1."/>
      <w:numFmt w:val="decimal"/>
      <w:start w:val="1"/>
    </w:lvl>
    <w:lvl w:ilvl="1">
      <w:lvlJc w:val="left"/>
      <w:lvlText w:val="%2"/>
      <w:numFmt w:val="upperLetter"/>
      <w:start w:val="1"/>
    </w:lvl>
  </w:abstractNum>
  <w:abstractNum w:abstractNumId="36">
    <w:nsid w:val="684A481A"/>
    <w:multiLevelType w:val="hybridMultilevel"/>
    <w:lvl w:ilvl="0">
      <w:lvlJc w:val="left"/>
      <w:lvlText w:val="%1."/>
      <w:numFmt w:val="decimal"/>
      <w:start w:val="5"/>
    </w:lvl>
  </w:abstractNum>
  <w:abstractNum w:abstractNumId="37">
    <w:nsid w:val="579478FE"/>
    <w:multiLevelType w:val="hybridMultilevel"/>
    <w:lvl w:ilvl="0">
      <w:lvlJc w:val="left"/>
      <w:lvlText w:val="%1."/>
      <w:numFmt w:val="decimal"/>
      <w:start w:val="6"/>
    </w:lvl>
  </w:abstractNum>
  <w:abstractNum w:abstractNumId="38">
    <w:nsid w:val="749ABB43"/>
    <w:multiLevelType w:val="hybridMultilevel"/>
    <w:lvl w:ilvl="0">
      <w:lvlJc w:val="left"/>
      <w:lvlText w:val="%1."/>
      <w:numFmt w:val="decimal"/>
      <w:start w:val="8"/>
    </w:lvl>
  </w:abstractNum>
  <w:abstractNum w:abstractNumId="39">
    <w:nsid w:val="3DC240FB"/>
    <w:multiLevelType w:val="hybridMultilevel"/>
    <w:lvl w:ilvl="0">
      <w:lvlJc w:val="left"/>
      <w:lvlText w:val="%1."/>
      <w:numFmt w:val="decimal"/>
      <w:start w:val="1"/>
    </w:lvl>
  </w:abstractNum>
  <w:abstractNum w:abstractNumId="40">
    <w:nsid w:val="1BA026FA"/>
    <w:multiLevelType w:val="hybridMultilevel"/>
    <w:lvl w:ilvl="0">
      <w:lvlJc w:val="left"/>
      <w:lvlText w:val="%1."/>
      <w:numFmt w:val="decimal"/>
      <w:start w:val="2"/>
    </w:lvl>
  </w:abstractNum>
  <w:abstractNum w:abstractNumId="41">
    <w:nsid w:val="79A1DEAA"/>
    <w:multiLevelType w:val="hybridMultilevel"/>
    <w:lvl w:ilvl="0">
      <w:lvlJc w:val="left"/>
      <w:lvlText w:val="%1."/>
      <w:numFmt w:val="decimal"/>
      <w:start w:val="3"/>
    </w:lvl>
  </w:abstractNum>
  <w:abstractNum w:abstractNumId="42">
    <w:nsid w:val="75C6C33A"/>
    <w:multiLevelType w:val="hybridMultilevel"/>
    <w:lvl w:ilvl="0">
      <w:lvlJc w:val="left"/>
      <w:lvlText w:val="%1."/>
      <w:numFmt w:val="decimal"/>
      <w:start w:val="4"/>
    </w:lvl>
  </w:abstractNum>
  <w:abstractNum w:abstractNumId="43">
    <w:nsid w:val="12E685FB"/>
    <w:multiLevelType w:val="hybridMultilevel"/>
    <w:lvl w:ilvl="0">
      <w:lvlJc w:val="left"/>
      <w:lvlText w:val="•"/>
      <w:numFmt w:val="bullet"/>
      <w:start w:val="1"/>
    </w:lvl>
  </w:abstractNum>
  <w:abstractNum w:abstractNumId="44">
    <w:nsid w:val="70C6A529"/>
    <w:multiLevelType w:val="hybridMultilevel"/>
    <w:lvl w:ilvl="0">
      <w:lvlJc w:val="left"/>
      <w:lvlText w:val="•"/>
      <w:numFmt w:val="bullet"/>
      <w:start w:val="1"/>
    </w:lvl>
  </w:abstractNum>
  <w:abstractNum w:abstractNumId="45">
    <w:nsid w:val="520EEDD1"/>
    <w:multiLevelType w:val="hybridMultilevel"/>
    <w:lvl w:ilvl="0">
      <w:lvlJc w:val="left"/>
      <w:lvlText w:val="%1."/>
      <w:numFmt w:val="lowerLetter"/>
      <w:start w:val="1"/>
    </w:lvl>
  </w:abstractNum>
  <w:abstractNum w:abstractNumId="46">
    <w:nsid w:val="374A3FE6"/>
    <w:multiLevelType w:val="hybridMultilevel"/>
    <w:lvl w:ilvl="0">
      <w:lvlJc w:val="left"/>
      <w:lvlText w:val="(%1)"/>
      <w:numFmt w:val="lowerLetter"/>
      <w:start w:val="1"/>
    </w:lvl>
    <w:lvl w:ilvl="1">
      <w:lvlJc w:val="left"/>
      <w:lvlText w:val="•"/>
      <w:numFmt w:val="bullet"/>
      <w:start w:val="1"/>
    </w:lvl>
  </w:abstractNum>
  <w:abstractNum w:abstractNumId="47">
    <w:nsid w:val="4F4EF005"/>
    <w:multiLevelType w:val="hybridMultilevel"/>
    <w:lvl w:ilvl="0">
      <w:lvlJc w:val="left"/>
      <w:lvlText w:val="%1"/>
      <w:numFmt w:val="decimal"/>
      <w:start w:val="1"/>
    </w:lvl>
    <w:lvl w:ilvl="1">
      <w:lvlJc w:val="left"/>
      <w:lvlText w:val="%2."/>
      <w:numFmt w:val="lowerLetter"/>
      <w:start w:val="1"/>
    </w:lvl>
  </w:abstractNum>
  <w:abstractNum w:abstractNumId="48">
    <w:nsid w:val="23F9C13C"/>
    <w:multiLevelType w:val="hybridMultilevel"/>
    <w:lvl w:ilvl="0">
      <w:lvlJc w:val="left"/>
      <w:lvlText w:val="%1."/>
      <w:numFmt w:val="decimal"/>
      <w:start w:val="5"/>
    </w:lvl>
    <w:lvl w:ilvl="1">
      <w:lvlJc w:val="left"/>
      <w:lvlText w:val="%2"/>
      <w:numFmt w:val="lowerLetter"/>
      <w:start w:val="1"/>
    </w:lvl>
  </w:abstractNum>
  <w:abstractNum w:abstractNumId="49">
    <w:nsid w:val="649BB77C"/>
    <w:multiLevelType w:val="hybridMultilevel"/>
    <w:lvl w:ilvl="0">
      <w:lvlJc w:val="left"/>
      <w:lvlText w:val="[***]"/>
      <w:numFmt w:val="bullet"/>
      <w:start w:val="1"/>
    </w:lvl>
  </w:abstractNum>
  <w:abstractNum w:abstractNumId="50">
    <w:nsid w:val="275AC794"/>
    <w:multiLevelType w:val="hybridMultilevel"/>
    <w:lvl w:ilvl="0">
      <w:lvlJc w:val="left"/>
      <w:lvlText w:val="%1."/>
      <w:numFmt w:val="decimal"/>
      <w:start w:val="7"/>
    </w:lvl>
  </w:abstractNum>
  <w:abstractNum w:abstractNumId="51">
    <w:nsid w:val="39386575"/>
    <w:multiLevelType w:val="hybridMultilevel"/>
    <w:lvl w:ilvl="0">
      <w:lvlJc w:val="left"/>
      <w:lvlText w:val="%1."/>
      <w:numFmt w:val="decimal"/>
      <w:start w:val="1"/>
    </w:lvl>
  </w:abstractNum>
  <w:abstractNum w:abstractNumId="52">
    <w:nsid w:val="1CF10FD8"/>
    <w:multiLevelType w:val="hybridMultilevel"/>
    <w:lvl w:ilvl="0">
      <w:lvlJc w:val="left"/>
      <w:lvlText w:val="%1."/>
      <w:numFmt w:val="decimal"/>
      <w:start w:val="2"/>
    </w:lvl>
    <w:lvl w:ilvl="1">
      <w:lvlJc w:val="left"/>
      <w:lvlText w:val="(%2)"/>
      <w:numFmt w:val="lowerLetter"/>
      <w:start w:val="1"/>
    </w:lvl>
  </w:abstractNum>
  <w:abstractNum w:abstractNumId="53">
    <w:nsid w:val="180115BE"/>
    <w:multiLevelType w:val="hybridMultilevel"/>
    <w:lvl w:ilvl="0">
      <w:lvlJc w:val="left"/>
      <w:lvlText w:val="%1."/>
      <w:numFmt w:val="decimal"/>
      <w:start w:val="3"/>
    </w:lvl>
  </w:abstractNum>
  <w:abstractNum w:abstractNumId="54">
    <w:nsid w:val="235BA861"/>
    <w:multiLevelType w:val="hybridMultilevel"/>
    <w:lvl w:ilvl="0">
      <w:lvlJc w:val="left"/>
      <w:lvlText w:val="%1."/>
      <w:numFmt w:val="decimal"/>
      <w:start w:val="5"/>
    </w:lvl>
  </w:abstractNum>
  <w:abstractNum w:abstractNumId="55">
    <w:nsid w:val="47398C89"/>
    <w:multiLevelType w:val="hybridMultilevel"/>
    <w:lvl w:ilvl="0">
      <w:lvlJc w:val="left"/>
      <w:lvlText w:val="•"/>
      <w:numFmt w:val="bullet"/>
      <w:start w:val="1"/>
    </w:lvl>
    <w:lvl w:ilvl="1">
      <w:lvlJc w:val="left"/>
      <w:lvlText w:val="[***]"/>
      <w:numFmt w:val="bullet"/>
      <w:start w:val="1"/>
    </w:lvl>
  </w:abstractNum>
  <w:abstractNum w:abstractNumId="56">
    <w:nsid w:val="354FE9F9"/>
    <w:multiLevelType w:val="hybridMultilevel"/>
    <w:lvl w:ilvl="0">
      <w:lvlJc w:val="left"/>
      <w:lvlText w:val="•"/>
      <w:numFmt w:val="bullet"/>
      <w:start w:val="1"/>
    </w:lvl>
  </w:abstractNum>
  <w:abstractNum w:abstractNumId="57">
    <w:nsid w:val="15B5AF5C"/>
    <w:multiLevelType w:val="hybridMultilevel"/>
    <w:lvl w:ilvl="0">
      <w:lvlJc w:val="left"/>
      <w:lvlText w:val="%1."/>
      <w:numFmt w:val="decimal"/>
      <w:start w:val="5"/>
    </w:lvl>
    <w:lvl w:ilvl="1">
      <w:lvlJc w:val="left"/>
      <w:lvlText w:val="•"/>
      <w:numFmt w:val="bullet"/>
      <w:start w:val="1"/>
    </w:lvl>
  </w:abstractNum>
  <w:abstractNum w:abstractNumId="58">
    <w:nsid w:val="741226BB"/>
    <w:multiLevelType w:val="hybridMultilevel"/>
    <w:lvl w:ilvl="0">
      <w:lvlJc w:val="left"/>
      <w:lvlText w:val="%1."/>
      <w:numFmt w:val="decimal"/>
      <w:start w:val="8"/>
    </w:lvl>
  </w:abstractNum>
  <w:abstractNum w:abstractNumId="59">
    <w:nsid w:val="D34B6A8"/>
    <w:multiLevelType w:val="hybridMultilevel"/>
    <w:lvl w:ilvl="0">
      <w:lvlJc w:val="left"/>
      <w:lvlText w:val="%1."/>
      <w:numFmt w:val="decimal"/>
      <w:start w:val="1"/>
    </w:lvl>
    <w:lvl w:ilvl="1">
      <w:lvlJc w:val="left"/>
      <w:lvlText w:val="%2)"/>
      <w:numFmt w:val="lowerLetter"/>
      <w:start w:val="1"/>
    </w:lvl>
  </w:abstractNum>
  <w:abstractNum w:abstractNumId="60">
    <w:nsid w:val="10233C99"/>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39" Type="http://schemas.openxmlformats.org/officeDocument/2006/relationships/image" Target="media/image5.png"/><Relationship Id="rId55" Type="http://schemas.openxmlformats.org/officeDocument/2006/relationships/image" Target="media/image6.png"/><Relationship Id="rId71" Type="http://schemas.openxmlformats.org/officeDocument/2006/relationships/image" Target="media/image7.png"/><Relationship Id="rId85" Type="http://schemas.openxmlformats.org/officeDocument/2006/relationships/image" Target="media/image8.png"/><Relationship Id="rId88" Type="http://schemas.openxmlformats.org/officeDocument/2006/relationships/image" Target="media/image9.png"/><Relationship Id="rId89" Type="http://schemas.openxmlformats.org/officeDocument/2006/relationships/image" Target="media/image10.png"/><Relationship Id="rId90" Type="http://schemas.openxmlformats.org/officeDocument/2006/relationships/image" Target="media/image11.png"/><Relationship Id="rId91" Type="http://schemas.openxmlformats.org/officeDocument/2006/relationships/image" Target="media/image12.png"/><Relationship Id="rId92" Type="http://schemas.openxmlformats.org/officeDocument/2006/relationships/image" Target="media/image13.png"/><Relationship Id="rId93" Type="http://schemas.openxmlformats.org/officeDocument/2006/relationships/image" Target="media/image14.png"/><Relationship Id="rId94" Type="http://schemas.openxmlformats.org/officeDocument/2006/relationships/image" Target="media/image15.png"/><Relationship Id="rId95" Type="http://schemas.openxmlformats.org/officeDocument/2006/relationships/image" Target="media/image16.png"/><Relationship Id="rId96" Type="http://schemas.openxmlformats.org/officeDocument/2006/relationships/image" Target="media/image17.png"/><Relationship Id="rId97" Type="http://schemas.openxmlformats.org/officeDocument/2006/relationships/image" Target="media/image18.png"/><Relationship Id="rId98" Type="http://schemas.openxmlformats.org/officeDocument/2006/relationships/image" Target="media/image19.png"/><Relationship Id="rId99" Type="http://schemas.openxmlformats.org/officeDocument/2006/relationships/image" Target="media/image20.png"/><Relationship Id="rId100" Type="http://schemas.openxmlformats.org/officeDocument/2006/relationships/image" Target="media/image21.png"/><Relationship Id="rId101" Type="http://schemas.openxmlformats.org/officeDocument/2006/relationships/image" Target="media/image22.png"/><Relationship Id="rId102" Type="http://schemas.openxmlformats.org/officeDocument/2006/relationships/image" Target="media/image23.png"/><Relationship Id="rId103" Type="http://schemas.openxmlformats.org/officeDocument/2006/relationships/image" Target="media/image24.png"/><Relationship Id="rId104" Type="http://schemas.openxmlformats.org/officeDocument/2006/relationships/image" Target="media/image25.png"/><Relationship Id="rId105" Type="http://schemas.openxmlformats.org/officeDocument/2006/relationships/image" Target="media/image26.png"/><Relationship Id="rId106" Type="http://schemas.openxmlformats.org/officeDocument/2006/relationships/image" Target="media/image27.png"/><Relationship Id="rId107" Type="http://schemas.openxmlformats.org/officeDocument/2006/relationships/image" Target="media/image28.png"/><Relationship Id="rId108" Type="http://schemas.openxmlformats.org/officeDocument/2006/relationships/image" Target="media/image29.png"/><Relationship Id="rId109" Type="http://schemas.openxmlformats.org/officeDocument/2006/relationships/image" Target="media/image30.png"/><Relationship Id="rId12" Type="http://schemas.openxmlformats.org/officeDocument/2006/relationships/hyperlink" Target="http://www.sec.gov/Archives/edgar/data/946581/000110465917006472/a17-3563_1ex2d1.htm" TargetMode="External"/><Relationship Id="rId13" Type="http://schemas.openxmlformats.org/officeDocument/2006/relationships/hyperlink" Target="http://www.sec.gov/Archives/edgar/data/946581/000112528204000439/b330117ex3_1.txt" TargetMode="External"/><Relationship Id="rId14" Type="http://schemas.openxmlformats.org/officeDocument/2006/relationships/hyperlink" Target="http://www.sec.gov/Archives/edgar/data/946581/000112528204000439/b330117ex3_1-1.txt" TargetMode="External"/><Relationship Id="rId15" Type="http://schemas.openxmlformats.org/officeDocument/2006/relationships/hyperlink" Target="http://www.sec.gov/Archives/edgar/data/946581/000112528204000439/b330117ex3_1-2.txt" TargetMode="External"/><Relationship Id="rId16" Type="http://schemas.openxmlformats.org/officeDocument/2006/relationships/hyperlink" Target="http://www.sec.gov/Archives/edgar/data/946581/000110465909025827/a09-10859_1ex3d1.htm" TargetMode="External"/><Relationship Id="rId17" Type="http://schemas.openxmlformats.org/officeDocument/2006/relationships/hyperlink" Target="http://www.sec.gov/Archives/edgar/data/946581/000110465912065069/a12-21962_1ex3d1.htm" TargetMode="External"/><Relationship Id="rId18" Type="http://schemas.openxmlformats.org/officeDocument/2006/relationships/hyperlink" Target="http://www.sec.gov/Archives/edgar/data/946581/000110465908019702/a08-9031_2ex4d2.htm" TargetMode="External"/><Relationship Id="rId19" Type="http://schemas.openxmlformats.org/officeDocument/2006/relationships/hyperlink" Target="http://www.sec.gov/Archives/edgar/data/946581/000110465917057663/a17-22069_1ex3d1.htm" TargetMode="External"/><Relationship Id="rId20" Type="http://schemas.openxmlformats.org/officeDocument/2006/relationships/hyperlink" Target="http://www.sec.gov/Archives/edgar/data/946581/000119312513262865/d555895dex41.htm" TargetMode="External"/><Relationship Id="rId21" Type="http://schemas.openxmlformats.org/officeDocument/2006/relationships/hyperlink" Target="http://www.sec.gov/Archives/edgar/data/946581/000119312513262865/d555895dex42.htm" TargetMode="External"/><Relationship Id="rId22" Type="http://schemas.openxmlformats.org/officeDocument/2006/relationships/hyperlink" Target="http://www.sec.gov/Archives/edgar/data/946581/000114420408014086/v105825_ex10-1.htm" TargetMode="External"/><Relationship Id="rId23" Type="http://schemas.openxmlformats.org/officeDocument/2006/relationships/hyperlink" Target="http://www.sec.gov/Archives/edgar/data/946581/000119312516662296/d146119ddef14a.htm#tx146119_32" TargetMode="External"/><Relationship Id="rId24" Type="http://schemas.openxmlformats.org/officeDocument/2006/relationships/hyperlink" Target="http://www.sec.gov/Archives/edgar/data/946581/000104746909006187/a2193344zex-10_2.htm" TargetMode="External"/><Relationship Id="rId25" Type="http://schemas.openxmlformats.org/officeDocument/2006/relationships/hyperlink" Target="http://www.sec.gov/Archives/edgar/data/946581/000104746909006187/a2193344zex-10_3.htm" TargetMode="External"/><Relationship Id="rId26" Type="http://schemas.openxmlformats.org/officeDocument/2006/relationships/hyperlink" Target="http://www.sec.gov/Archives/edgar/data/946581/000104746912007602/a2210397zex-10_1.htm" TargetMode="External"/><Relationship Id="rId27" Type="http://schemas.openxmlformats.org/officeDocument/2006/relationships/hyperlink" Target="http://www.sec.gov/Archives/edgar/data/946581/000104746913010066/a2217131zex-10_1.htm" TargetMode="External"/><Relationship Id="rId28" Type="http://schemas.openxmlformats.org/officeDocument/2006/relationships/hyperlink" Target="http://www.sec.gov/Archives/edgar/data/946581/000104746913010066/a2217131zex-10_2.htm" TargetMode="External"/><Relationship Id="rId29" Type="http://schemas.openxmlformats.org/officeDocument/2006/relationships/hyperlink" Target="http://www.sec.gov/Archives/edgar/data/946581/000104746913010066/a2217131zex-10_3.htm" TargetMode="External"/><Relationship Id="rId30" Type="http://schemas.openxmlformats.org/officeDocument/2006/relationships/hyperlink" Target="http://www.sec.gov/Archives/edgar/data/946581/000104746913010066/a2217131zex-10_4.htm" TargetMode="External"/><Relationship Id="rId31" Type="http://schemas.openxmlformats.org/officeDocument/2006/relationships/hyperlink" Target="http://www.sec.gov/Archives/edgar/data/946581/000104746913010066/a2217131zex-10_5.htm" TargetMode="External"/><Relationship Id="rId32" Type="http://schemas.openxmlformats.org/officeDocument/2006/relationships/hyperlink" Target="http://www.sec.gov/Archives/edgar/data/946581/000119312517238644/d330685ddef14a.htm#tx330685_36" TargetMode="External"/><Relationship Id="rId33" Type="http://schemas.openxmlformats.org/officeDocument/2006/relationships/hyperlink" Target="http://www.sec.gov/Archives/edgar/data/946581/000119312517238644/d330685ddef14a.htm#tx330685_37" TargetMode="External"/><Relationship Id="rId34" Type="http://schemas.openxmlformats.org/officeDocument/2006/relationships/hyperlink" Target="http://www.sec.gov/Archives/edgar/data/946581/000119312517238644/d330685ddef14a.htm#tx330685_38" TargetMode="External"/><Relationship Id="rId35" Type="http://schemas.openxmlformats.org/officeDocument/2006/relationships/hyperlink" Target="http://www.sec.gov/Archives/edgar/data/946581/000162828017011117/ttwoex-10x4.htm" TargetMode="External"/><Relationship Id="rId36" Type="http://schemas.openxmlformats.org/officeDocument/2006/relationships/hyperlink" Target="http://www.sec.gov/Archives/edgar/data/946581/000162828017011117/ttwoex-10x5.htm" TargetMode="External"/><Relationship Id="rId37" Type="http://schemas.openxmlformats.org/officeDocument/2006/relationships/hyperlink" Target="http://www.sec.gov/Archives/edgar/data/946581/000162828017011117/ttwoex-10x6.htm" TargetMode="External"/><Relationship Id="rId38" Type="http://schemas.openxmlformats.org/officeDocument/2006/relationships/hyperlink" Target="http://www.sec.gov/Archives/edgar/data/946581/000162828017011117/ttwoex-10x7.htm" TargetMode="External"/><Relationship Id="rId40" Type="http://schemas.openxmlformats.org/officeDocument/2006/relationships/hyperlink" Target="http://www.sec.gov/Archives/edgar/data/946581/000110465910028475/a10-10145_1ex10d1.htm" TargetMode="External"/><Relationship Id="rId41" Type="http://schemas.openxmlformats.org/officeDocument/2006/relationships/hyperlink" Target="http://www.sec.gov/Archives/edgar/data/946581/000110465910053523/a10-19838_1ex10d1.htm" TargetMode="External"/><Relationship Id="rId42" Type="http://schemas.openxmlformats.org/officeDocument/2006/relationships/hyperlink" Target="http://www.sec.gov/Archives/edgar/data/946581/000104746912009896/a2211465zex-10_6.htm" TargetMode="External"/><Relationship Id="rId43" Type="http://schemas.openxmlformats.org/officeDocument/2006/relationships/hyperlink" Target="http://www.sec.gov/Archives/edgar/data/946581/000114420408009931/v103944_ex10-3.htm" TargetMode="External"/><Relationship Id="rId44" Type="http://schemas.openxmlformats.org/officeDocument/2006/relationships/hyperlink" Target="http://www.sec.gov/Archives/edgar/data/946581/000104746915000639/a2222916zex-10_1.htm" TargetMode="External"/><Relationship Id="rId45" Type="http://schemas.openxmlformats.org/officeDocument/2006/relationships/hyperlink" Target="http://www.sec.gov/Archives/edgar/data/946581/000110465914018060/a14-7799_1ex10d1.htm" TargetMode="External"/><Relationship Id="rId46" Type="http://schemas.openxmlformats.org/officeDocument/2006/relationships/hyperlink" Target="http://www.sec.gov/Archives/edgar/data/946581/000110465915039690/a15-12266_2ex10d2.htm" TargetMode="External"/><Relationship Id="rId47" Type="http://schemas.openxmlformats.org/officeDocument/2006/relationships/hyperlink" Target="http://www.sec.gov/Archives/edgar/data/946581/000104746915006749/a2225573zex-10_1.htm" TargetMode="External"/><Relationship Id="rId48" Type="http://schemas.openxmlformats.org/officeDocument/2006/relationships/hyperlink" Target="http://www.sec.gov/Archives/edgar/data/946581/000104746916013278/a2228643zex-10_50.htm" TargetMode="External"/><Relationship Id="rId49" Type="http://schemas.openxmlformats.org/officeDocument/2006/relationships/hyperlink" Target="http://www.sec.gov/Archives/edgar/data/946581/000110465916122193/a16-11783_2ex10d2.htm" TargetMode="External"/><Relationship Id="rId50" Type="http://schemas.openxmlformats.org/officeDocument/2006/relationships/hyperlink" Target="http://www.sec.gov/Archives/edgar/data/946581/000104746917000578/a2230843zex-10_3.htm" TargetMode="External"/><Relationship Id="rId51" Type="http://schemas.openxmlformats.org/officeDocument/2006/relationships/hyperlink" Target="http://www.sec.gov/Archives/edgar/data/946581/000110465917035222/a17-14155_1ex10d2.htm" TargetMode="External"/><Relationship Id="rId52" Type="http://schemas.openxmlformats.org/officeDocument/2006/relationships/hyperlink" Target="http://www.sec.gov/Archives/edgar/data/946581/000162828018001226/ttwoex-10x4.htm" TargetMode="External"/><Relationship Id="rId53" Type="http://schemas.openxmlformats.org/officeDocument/2006/relationships/hyperlink" Target="http://www.sec.gov/Archives/edgar/data/946581/000110465917069999/a17-27361_1ex10d1.htm" TargetMode="External"/><Relationship Id="rId54" Type="http://schemas.openxmlformats.org/officeDocument/2006/relationships/hyperlink" Target="http://www.sec.gov/Archives/edgar/data/946581/000110465918023988/a18-9988_1ex10d2.htm" TargetMode="External"/><Relationship Id="rId56" Type="http://schemas.openxmlformats.org/officeDocument/2006/relationships/hyperlink" Target="http://www.sec.gov/Archives/edgar/data/946581/000114420407035755/v080358_ex2.htm" TargetMode="External"/><Relationship Id="rId57" Type="http://schemas.openxmlformats.org/officeDocument/2006/relationships/hyperlink" Target="http://www.sec.gov/Archives/edgar/data/946581/000114420407063550/v095104_ex99-2.htm" TargetMode="External"/><Relationship Id="rId58" Type="http://schemas.openxmlformats.org/officeDocument/2006/relationships/hyperlink" Target="http://www.sec.gov/Archives/edgar/data/946581/000119312511272912/d244224dex101.htm" TargetMode="External"/><Relationship Id="rId59" Type="http://schemas.openxmlformats.org/officeDocument/2006/relationships/hyperlink" Target="http://www.sec.gov/Archives/edgar/data/946581/000104746914004898/a2220044zex-10_27.htm" TargetMode="External"/><Relationship Id="rId60" Type="http://schemas.openxmlformats.org/officeDocument/2006/relationships/hyperlink" Target="http://www.sec.gov/Archives/edgar/data/946581/000104746914004898/a2220044zex-10_28.htm" TargetMode="External"/><Relationship Id="rId61" Type="http://schemas.openxmlformats.org/officeDocument/2006/relationships/hyperlink" Target="http://www.sec.gov/Archives/edgar/data/946581/000110465914062519/a14-19276_1ex10d1.htm" TargetMode="External"/><Relationship Id="rId62" Type="http://schemas.openxmlformats.org/officeDocument/2006/relationships/hyperlink" Target="http://www.sec.gov/Archives/edgar/data/946581/000104746916013278/a2228643zex-10_45.htm" TargetMode="External"/><Relationship Id="rId63" Type="http://schemas.openxmlformats.org/officeDocument/2006/relationships/hyperlink" Target="http://www.sec.gov/Archives/edgar/data/946581/000110465916096628/a16-4199_1ex10d1.htm" TargetMode="External"/><Relationship Id="rId64" Type="http://schemas.openxmlformats.org/officeDocument/2006/relationships/hyperlink" Target="http://www.sec.gov/Archives/edgar/data/946581/000104746916014693/a2229342zex-10_1.htm" TargetMode="External"/><Relationship Id="rId65" Type="http://schemas.openxmlformats.org/officeDocument/2006/relationships/hyperlink" Target="http://www.sec.gov/Archives/edgar/data/946581/000162828018001226/ttwoex-10x3.htm" TargetMode="External"/><Relationship Id="rId66" Type="http://schemas.openxmlformats.org/officeDocument/2006/relationships/hyperlink" Target="http://www.sec.gov/Archives/edgar/data/946581/000104746911009224/a2206110zex-10_3.htm" TargetMode="External"/><Relationship Id="rId67" Type="http://schemas.openxmlformats.org/officeDocument/2006/relationships/hyperlink" Target="http://www.sec.gov/Archives/edgar/data/946581/000104746909006187/a2193344zex-10_1.htm" TargetMode="External"/><Relationship Id="rId68" Type="http://schemas.openxmlformats.org/officeDocument/2006/relationships/hyperlink" Target="http://www.sec.gov/Archives/edgar/data/946581/000104746912000587/a2207032zex-10_1.htm" TargetMode="External"/><Relationship Id="rId69" Type="http://schemas.openxmlformats.org/officeDocument/2006/relationships/hyperlink" Target="http://www.sec.gov/Archives/edgar/data/946581/000104746913000681/a2212680zex-10_2.htm" TargetMode="External"/><Relationship Id="rId70" Type="http://schemas.openxmlformats.org/officeDocument/2006/relationships/hyperlink" Target="http://www.sec.gov/Archives/edgar/data/946581/000104746914000555/a2218068zex-10_2.htm" TargetMode="External"/><Relationship Id="rId72" Type="http://schemas.openxmlformats.org/officeDocument/2006/relationships/hyperlink" Target="http://www.sec.gov/Archives/edgar/data/946581/000104746914008670/a2221879zex-10_1.htm" TargetMode="External"/><Relationship Id="rId73" Type="http://schemas.openxmlformats.org/officeDocument/2006/relationships/hyperlink" Target="http://www.sec.gov/Archives/edgar/data/946581/000162828018001226/ttwoex-10x2.htm" TargetMode="External"/><Relationship Id="rId74" Type="http://schemas.openxmlformats.org/officeDocument/2006/relationships/hyperlink" Target="http://www.sec.gov/Archives/edgar/data/946581/000104746914000555/a2218068zex-10_1.htm" TargetMode="External"/><Relationship Id="rId75" Type="http://schemas.openxmlformats.org/officeDocument/2006/relationships/hyperlink" Target="http://www.sec.gov/Archives/edgar/data/946581/000104746914006667/a2220828zex-10_1.htm" TargetMode="External"/><Relationship Id="rId76" Type="http://schemas.openxmlformats.org/officeDocument/2006/relationships/hyperlink" Target="http://www.sec.gov/Archives/edgar/data/946581/000104746916013278/a2228643zex-10_48.htm" TargetMode="External"/><Relationship Id="rId77" Type="http://schemas.openxmlformats.org/officeDocument/2006/relationships/hyperlink" Target="http://www.sec.gov/Archives/edgar/data/946581/000104746916013278/a2228643zex-10_49.htm" TargetMode="External"/><Relationship Id="rId78" Type="http://schemas.openxmlformats.org/officeDocument/2006/relationships/hyperlink" Target="http://www.sec.gov/Archives/edgar/data/946581/000110465917034645/a17-14046_1ex10d2.htm" TargetMode="External"/><Relationship Id="rId79" Type="http://schemas.openxmlformats.org/officeDocument/2006/relationships/hyperlink" Target="http://www.sec.gov/Archives/edgar/data/946581/000162828017005833/ex10-48.htm" TargetMode="External"/><Relationship Id="rId80" Type="http://schemas.openxmlformats.org/officeDocument/2006/relationships/hyperlink" Target="http://www.sec.gov/Archives/edgar/data/946581/000112528202002712/b320194ex_10-2.txt" TargetMode="External"/><Relationship Id="rId81" Type="http://schemas.openxmlformats.org/officeDocument/2006/relationships/hyperlink" Target="http://www.sec.gov/Archives/edgar/data/946581/000104746912006226/a2209413zex-10_45.htm" TargetMode="External"/><Relationship Id="rId82" Type="http://schemas.openxmlformats.org/officeDocument/2006/relationships/hyperlink" Target="http://www.sec.gov/Archives/edgar/data/946581/000104746914004898/a2220044zex-10_39.htm" TargetMode="External"/><Relationship Id="rId83" Type="http://schemas.openxmlformats.org/officeDocument/2006/relationships/hyperlink" Target="http://www.sec.gov/Archives/edgar/data/946581/000104746916013278/a2228643zex-10_47.htm" TargetMode="External"/><Relationship Id="rId84" Type="http://schemas.openxmlformats.org/officeDocument/2006/relationships/hyperlink" Target="http://www.sec.gov/Archives/edgar/data/946581/000104746916010014/a2227207zex-10_1.htm" TargetMode="External"/><Relationship Id="rId86" Type="http://schemas.openxmlformats.org/officeDocument/2006/relationships/hyperlink" Target="http://www.sec.gov/Archives/edgar/data/946581/000104746917000578/a2230843zex-10_1.htm" TargetMode="External"/><Relationship Id="rId87" Type="http://schemas.openxmlformats.org/officeDocument/2006/relationships/hyperlink" Target="http://www.sec.gov/Archives/edgar/data/946581/000110465917006472/a17-3563_1ex10d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2019-12-28T22:01:26Z</dcterms:created>
  <dcterms:modified xsi:type="dcterms:W3CDTF">2019-12-28T22:01:26Z</dcterms:modified>
</cp:coreProperties>
</file>