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205" w:lineRule="exact"/>
        <w:rPr>
          <w:sz w:val="24"/>
          <w:szCs w:val="24"/>
          <w:color w:val="auto"/>
        </w:rPr>
      </w:pPr>
    </w:p>
    <w:p>
      <w:pPr>
        <w:ind w:left="5140"/>
        <w:spacing w:after="0"/>
        <w:rPr>
          <w:sz w:val="20"/>
          <w:szCs w:val="20"/>
          <w:color w:val="auto"/>
        </w:rPr>
      </w:pPr>
      <w:r>
        <w:rPr>
          <w:rFonts w:ascii="Times New Roman" w:cs="Times New Roman" w:eastAsia="Times New Roman" w:hAnsi="Times New Roman"/>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7"/>
          <w:szCs w:val="17"/>
          <w:color w:val="auto"/>
        </w:rPr>
        <w:t>Under the Securities Exchange Act of 1934</w:t>
      </w:r>
    </w:p>
    <w:p>
      <w:pPr>
        <w:spacing w:after="0" w:line="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color w:val="auto"/>
        </w:rPr>
        <w:t>(Amendment No.: 12)*</w:t>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Name of issuer: Take-Two Interactive Software Inc.</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CUSIP Number: 874054109</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 xml:space="preserve">Date of Event Which Requires Filing of this Statement: </w:t>
      </w:r>
      <w:r>
        <w:rPr>
          <w:rFonts w:ascii="Times New Roman" w:cs="Times New Roman" w:eastAsia="Times New Roman" w:hAnsi="Times New Roman"/>
          <w:sz w:val="17"/>
          <w:szCs w:val="17"/>
          <w:b w:val="1"/>
          <w:bCs w:val="1"/>
          <w:color w:val="auto"/>
        </w:rPr>
        <w:t>December 31, 2020</w:t>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Check the appropriate box to designate the rule pursuant to which this Schedule is filed:</w:t>
      </w:r>
    </w:p>
    <w:p>
      <w:pPr>
        <w:spacing w:after="0" w:line="183" w:lineRule="exact"/>
        <w:rPr>
          <w:sz w:val="24"/>
          <w:szCs w:val="24"/>
          <w:color w:val="auto"/>
        </w:rPr>
      </w:pPr>
    </w:p>
    <w:p>
      <w:pPr>
        <w:ind w:left="560" w:hanging="336"/>
        <w:spacing w:after="0"/>
        <w:tabs>
          <w:tab w:leader="none" w:pos="560" w:val="left"/>
        </w:tabs>
        <w:numPr>
          <w:ilvl w:val="0"/>
          <w:numId w:val="1"/>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Rule 13d-1(b)</w:t>
      </w:r>
    </w:p>
    <w:p>
      <w:pPr>
        <w:spacing w:after="0" w:line="196" w:lineRule="exact"/>
        <w:rPr>
          <w:sz w:val="24"/>
          <w:szCs w:val="24"/>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Rule 13d-1(c)</w:t>
      </w:r>
    </w:p>
    <w:p>
      <w:pPr>
        <w:spacing w:after="0" w:line="196" w:lineRule="exact"/>
        <w:rPr>
          <w:rFonts w:ascii="MS PGothic" w:cs="MS PGothic" w:eastAsia="MS PGothic" w:hAnsi="MS PGothic"/>
          <w:sz w:val="17"/>
          <w:szCs w:val="17"/>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Times New Roman" w:cs="Times New Roman" w:eastAsia="Times New Roman" w:hAnsi="Times New Roman"/>
          <w:sz w:val="17"/>
          <w:szCs w:val="17"/>
          <w:color w:val="auto"/>
        </w:rPr>
        <w:t>Rule 13d-1(d)</w:t>
      </w:r>
    </w:p>
    <w:p>
      <w:pPr>
        <w:spacing w:after="0" w:line="223" w:lineRule="exact"/>
        <w:rPr>
          <w:sz w:val="24"/>
          <w:szCs w:val="24"/>
          <w:color w:val="auto"/>
        </w:rPr>
      </w:pPr>
    </w:p>
    <w:p>
      <w:pPr>
        <w:ind w:firstLine="216"/>
        <w:spacing w:after="0" w:line="281" w:lineRule="auto"/>
        <w:rPr>
          <w:sz w:val="20"/>
          <w:szCs w:val="20"/>
          <w:color w:val="auto"/>
        </w:rPr>
      </w:pPr>
      <w:r>
        <w:rPr>
          <w:rFonts w:ascii="Times New Roman" w:cs="Times New Roman" w:eastAsia="Times New Roman" w:hAnsi="Times New Roman"/>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3" w:lineRule="exact"/>
        <w:rPr>
          <w:sz w:val="24"/>
          <w:szCs w:val="24"/>
          <w:color w:val="auto"/>
        </w:rPr>
      </w:pPr>
    </w:p>
    <w:p>
      <w:pPr>
        <w:ind w:right="80" w:firstLine="216"/>
        <w:spacing w:after="0" w:line="281" w:lineRule="auto"/>
        <w:rPr>
          <w:sz w:val="20"/>
          <w:szCs w:val="20"/>
          <w:color w:val="auto"/>
        </w:rPr>
      </w:pPr>
      <w:r>
        <w:rPr>
          <w:rFonts w:ascii="Times New Roman" w:cs="Times New Roman" w:eastAsia="Times New Roman" w:hAnsi="Times New Roman"/>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7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26" w:right="479" w:bottom="1440" w:gutter="0" w:footer="0" w:header="0"/>
        </w:sectPr>
      </w:pPr>
    </w:p>
    <w:bookmarkStart w:id="1" w:name="page2"/>
    <w:bookmarkEnd w:id="1"/>
    <w:p>
      <w:pPr>
        <w:ind w:left="5480"/>
        <w:spacing w:after="0"/>
        <w:rPr>
          <w:sz w:val="20"/>
          <w:szCs w:val="20"/>
          <w:color w:val="auto"/>
        </w:rPr>
      </w:pPr>
      <w:r>
        <w:rPr>
          <w:rFonts w:ascii="Times New Roman" w:cs="Times New Roman" w:eastAsia="Times New Roman" w:hAnsi="Times New Roman"/>
          <w:sz w:val="17"/>
          <w:szCs w:val="17"/>
          <w:color w:val="auto"/>
        </w:rPr>
        <w:t>13G</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CUSIP No.: 874054109</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 OF REPORTING PERSON</w:t>
      </w:r>
    </w:p>
    <w:p>
      <w:pPr>
        <w:spacing w:after="0" w:line="25" w:lineRule="exact"/>
        <w:rPr>
          <w:rFonts w:ascii="Times New Roman" w:cs="Times New Roman" w:eastAsia="Times New Roman" w:hAnsi="Times New Roman"/>
          <w:sz w:val="17"/>
          <w:szCs w:val="17"/>
          <w:color w:val="auto"/>
        </w:rPr>
      </w:pPr>
    </w:p>
    <w:p>
      <w:pPr>
        <w:ind w:left="220" w:right="6199"/>
        <w:spacing w:after="0" w:line="502" w:lineRule="auto"/>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I.R.S. IDENTIFICATION NO. OF ABOVE PERSON The Vanguard Group - 23-1945930</w:t>
      </w:r>
    </w:p>
    <w:p>
      <w:pPr>
        <w:spacing w:after="0" w:line="1" w:lineRule="exact"/>
        <w:rPr>
          <w:rFonts w:ascii="Times New Roman" w:cs="Times New Roman" w:eastAsia="Times New Roman" w:hAnsi="Times New Roman"/>
          <w:sz w:val="17"/>
          <w:szCs w:val="17"/>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SEC USE ONLY</w:t>
      </w:r>
    </w:p>
    <w:p>
      <w:pPr>
        <w:spacing w:after="0" w:line="200" w:lineRule="exact"/>
        <w:rPr>
          <w:rFonts w:ascii="Times New Roman" w:cs="Times New Roman" w:eastAsia="Times New Roman" w:hAnsi="Times New Roman"/>
          <w:sz w:val="17"/>
          <w:szCs w:val="17"/>
          <w:color w:val="auto"/>
        </w:rPr>
      </w:pPr>
    </w:p>
    <w:p>
      <w:pPr>
        <w:spacing w:after="0" w:line="200" w:lineRule="exact"/>
        <w:rPr>
          <w:rFonts w:ascii="Times New Roman" w:cs="Times New Roman" w:eastAsia="Times New Roman" w:hAnsi="Times New Roman"/>
          <w:sz w:val="17"/>
          <w:szCs w:val="17"/>
          <w:color w:val="auto"/>
        </w:rPr>
      </w:pPr>
    </w:p>
    <w:p>
      <w:pPr>
        <w:spacing w:after="0" w:line="255" w:lineRule="exact"/>
        <w:rPr>
          <w:rFonts w:ascii="Times New Roman" w:cs="Times New Roman" w:eastAsia="Times New Roman" w:hAnsi="Times New Roman"/>
          <w:sz w:val="17"/>
          <w:szCs w:val="17"/>
          <w:color w:val="auto"/>
        </w:rPr>
      </w:pPr>
    </w:p>
    <w:p>
      <w:pPr>
        <w:ind w:left="220" w:right="6459" w:hanging="212"/>
        <w:spacing w:after="0" w:line="513" w:lineRule="auto"/>
        <w:tabs>
          <w:tab w:leader="none" w:pos="218"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(For questions 5-8, report the number of shares beneficially owned by each reporting person with:)</w:t>
      </w:r>
    </w:p>
    <w:p>
      <w:pPr>
        <w:spacing w:after="0" w:line="223" w:lineRule="exact"/>
        <w:rPr>
          <w:sz w:val="20"/>
          <w:szCs w:val="20"/>
          <w:color w:val="auto"/>
        </w:rPr>
      </w:pPr>
    </w:p>
    <w:p>
      <w:pPr>
        <w:ind w:left="220" w:right="815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VOTING POWER 0</w:t>
      </w:r>
    </w:p>
    <w:p>
      <w:pPr>
        <w:spacing w:after="0" w:line="1" w:lineRule="exact"/>
        <w:rPr>
          <w:rFonts w:ascii="Times New Roman" w:cs="Times New Roman" w:eastAsia="Times New Roman" w:hAnsi="Times New Roman"/>
          <w:sz w:val="17"/>
          <w:szCs w:val="17"/>
          <w:color w:val="auto"/>
        </w:rPr>
      </w:pPr>
    </w:p>
    <w:p>
      <w:pPr>
        <w:ind w:left="220" w:right="789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VOTING POWER 212,450</w:t>
      </w:r>
    </w:p>
    <w:p>
      <w:pPr>
        <w:spacing w:after="0" w:line="1" w:lineRule="exact"/>
        <w:rPr>
          <w:rFonts w:ascii="Times New Roman" w:cs="Times New Roman" w:eastAsia="Times New Roman" w:hAnsi="Times New Roman"/>
          <w:sz w:val="17"/>
          <w:szCs w:val="17"/>
          <w:color w:val="auto"/>
        </w:rPr>
      </w:pPr>
    </w:p>
    <w:p>
      <w:pPr>
        <w:ind w:left="220" w:right="777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DISPOSITIVE POWER 11,948,486</w:t>
      </w:r>
    </w:p>
    <w:p>
      <w:pPr>
        <w:spacing w:after="0" w:line="1" w:lineRule="exact"/>
        <w:rPr>
          <w:rFonts w:ascii="Times New Roman" w:cs="Times New Roman" w:eastAsia="Times New Roman" w:hAnsi="Times New Roman"/>
          <w:sz w:val="17"/>
          <w:szCs w:val="17"/>
          <w:color w:val="auto"/>
        </w:rPr>
      </w:pPr>
    </w:p>
    <w:p>
      <w:pPr>
        <w:ind w:left="220" w:right="751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DISPOSITIVE POWER 524,988</w:t>
      </w:r>
    </w:p>
    <w:p>
      <w:pPr>
        <w:spacing w:after="0" w:line="1" w:lineRule="exact"/>
        <w:rPr>
          <w:rFonts w:ascii="Times New Roman" w:cs="Times New Roman" w:eastAsia="Times New Roman" w:hAnsi="Times New Roman"/>
          <w:sz w:val="17"/>
          <w:szCs w:val="17"/>
          <w:color w:val="auto"/>
        </w:rPr>
      </w:pPr>
    </w:p>
    <w:p>
      <w:pPr>
        <w:ind w:left="220" w:right="3699" w:hanging="212"/>
        <w:spacing w:after="0" w:line="513" w:lineRule="auto"/>
        <w:tabs>
          <w:tab w:leader="none" w:pos="20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AGGREGATE AMOUNT BENEFICIALLY OWNED BY EACH REPORTING PERSON 12,473,474</w:t>
      </w:r>
    </w:p>
    <w:p>
      <w:pPr>
        <w:spacing w:after="0" w:line="1" w:lineRule="exact"/>
        <w:rPr>
          <w:rFonts w:ascii="Times New Roman" w:cs="Times New Roman" w:eastAsia="Times New Roman" w:hAnsi="Times New Roman"/>
          <w:sz w:val="17"/>
          <w:szCs w:val="17"/>
          <w:color w:val="auto"/>
        </w:rPr>
      </w:pPr>
    </w:p>
    <w:p>
      <w:pPr>
        <w:ind w:left="220" w:right="3119" w:hanging="212"/>
        <w:spacing w:after="0" w:line="513" w:lineRule="auto"/>
        <w:tabs>
          <w:tab w:leader="none" w:pos="303"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BOX IF THE AGGREGATE AMOUNT IN ROW (9) EXCLUDES CERTAIN SHARES N/A</w:t>
      </w:r>
    </w:p>
    <w:p>
      <w:pPr>
        <w:spacing w:after="0" w:line="1" w:lineRule="exact"/>
        <w:rPr>
          <w:rFonts w:ascii="Times New Roman" w:cs="Times New Roman" w:eastAsia="Times New Roman" w:hAnsi="Times New Roman"/>
          <w:sz w:val="17"/>
          <w:szCs w:val="17"/>
          <w:color w:val="auto"/>
        </w:rPr>
      </w:pPr>
    </w:p>
    <w:p>
      <w:pPr>
        <w:ind w:left="300" w:hanging="292"/>
        <w:spacing w:after="0"/>
        <w:tabs>
          <w:tab w:leader="none" w:pos="30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10.84%</w:t>
      </w:r>
    </w:p>
    <w:p>
      <w:pPr>
        <w:spacing w:after="0" w:line="223" w:lineRule="exact"/>
        <w:rPr>
          <w:sz w:val="20"/>
          <w:szCs w:val="20"/>
          <w:color w:val="auto"/>
        </w:rPr>
      </w:pPr>
    </w:p>
    <w:p>
      <w:pPr>
        <w:ind w:left="220" w:right="7459" w:hanging="212"/>
        <w:spacing w:after="0" w:line="546" w:lineRule="auto"/>
        <w:tabs>
          <w:tab w:leader="none" w:pos="30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5" w:right="1440" w:bottom="1440" w:gutter="0" w:footer="0" w:header="0"/>
        </w:sectPr>
      </w:pPr>
    </w:p>
    <w:bookmarkStart w:id="2" w:name="page3"/>
    <w:bookmarkEnd w:id="2"/>
    <w:p>
      <w:pPr>
        <w:jc w:val="center"/>
        <w:ind w:right="-1120"/>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20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Schedule 13G</w:t>
      </w:r>
    </w:p>
    <w:p>
      <w:pPr>
        <w:spacing w:after="0" w:line="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Under the Securities Act of 1934</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Take-Two Interactive Software Inc.</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622 Broadway</w:t>
      </w:r>
    </w:p>
    <w:p>
      <w:pPr>
        <w:spacing w:after="0" w:line="2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New York, New York 10012</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100 Vanguard Blvd.</w:t>
      </w:r>
    </w:p>
    <w:p>
      <w:pPr>
        <w:spacing w:after="0" w:line="2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Malvern, PA 19355</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Pennsylvania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Common Stock</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874054109</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This statement is being filed pursuant to Rule 13d-1. An investment adviser in accordance with §240.13d-1(b)(1)(ii)(E).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4 - Ownership:</w:t>
      </w:r>
    </w:p>
    <w:p>
      <w:pPr>
        <w:spacing w:after="0" w:line="223" w:lineRule="exact"/>
        <w:rPr>
          <w:sz w:val="20"/>
          <w:szCs w:val="20"/>
          <w:color w:val="auto"/>
        </w:rPr>
      </w:pPr>
    </w:p>
    <w:p>
      <w:pPr>
        <w:ind w:left="220" w:right="7799" w:hanging="127"/>
        <w:spacing w:after="0" w:line="513" w:lineRule="auto"/>
        <w:tabs>
          <w:tab w:leader="none" w:pos="322"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Beneficially Owned: 12,473,474</w:t>
      </w:r>
    </w:p>
    <w:p>
      <w:pPr>
        <w:spacing w:after="0" w:line="1" w:lineRule="exact"/>
        <w:rPr>
          <w:rFonts w:ascii="Times New Roman" w:cs="Times New Roman" w:eastAsia="Times New Roman" w:hAnsi="Times New Roman"/>
          <w:sz w:val="17"/>
          <w:szCs w:val="17"/>
          <w:color w:val="auto"/>
        </w:rPr>
      </w:pPr>
    </w:p>
    <w:p>
      <w:pPr>
        <w:ind w:left="340" w:hanging="247"/>
        <w:spacing w:after="0"/>
        <w:tabs>
          <w:tab w:leader="none" w:pos="34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10.84%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685" w:right="1440" w:bottom="1440" w:gutter="0" w:footer="0" w:header="0"/>
        </w:sectPr>
      </w:pPr>
    </w:p>
    <w:bookmarkStart w:id="3" w:name="page4"/>
    <w:bookmarkEnd w:id="3"/>
    <w:p>
      <w:pPr>
        <w:ind w:left="500" w:hanging="276"/>
        <w:spacing w:after="0"/>
        <w:tabs>
          <w:tab w:leader="none" w:pos="500"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Number of shares as to which such person has:</w:t>
      </w:r>
    </w:p>
    <w:p>
      <w:pPr>
        <w:spacing w:after="0" w:line="223" w:lineRule="exact"/>
        <w:rPr>
          <w:rFonts w:ascii="Times New Roman" w:cs="Times New Roman" w:eastAsia="Times New Roman" w:hAnsi="Times New Roman"/>
          <w:sz w:val="17"/>
          <w:szCs w:val="17"/>
          <w:color w:val="auto"/>
        </w:rPr>
      </w:pPr>
    </w:p>
    <w:p>
      <w:pPr>
        <w:ind w:left="480" w:hanging="256"/>
        <w:spacing w:after="0"/>
        <w:tabs>
          <w:tab w:leader="none" w:pos="48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vote or direct to vote: 0</w:t>
      </w:r>
    </w:p>
    <w:p>
      <w:pPr>
        <w:spacing w:after="0" w:line="223" w:lineRule="exact"/>
        <w:rPr>
          <w:rFonts w:ascii="Times New Roman" w:cs="Times New Roman" w:eastAsia="Times New Roman" w:hAnsi="Times New Roman"/>
          <w:sz w:val="17"/>
          <w:szCs w:val="17"/>
          <w:color w:val="auto"/>
        </w:rPr>
      </w:pPr>
    </w:p>
    <w:p>
      <w:pPr>
        <w:ind w:left="520" w:hanging="296"/>
        <w:spacing w:after="0"/>
        <w:tabs>
          <w:tab w:leader="none" w:pos="520" w:val="left"/>
        </w:tabs>
        <w:numPr>
          <w:ilvl w:val="0"/>
          <w:numId w:val="1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power to vote or direct to vote: 212,450</w:t>
      </w:r>
    </w:p>
    <w:p>
      <w:pPr>
        <w:spacing w:after="0" w:line="223" w:lineRule="exact"/>
        <w:rPr>
          <w:rFonts w:ascii="Times New Roman" w:cs="Times New Roman" w:eastAsia="Times New Roman" w:hAnsi="Times New Roman"/>
          <w:sz w:val="17"/>
          <w:szCs w:val="17"/>
          <w:color w:val="auto"/>
        </w:rPr>
      </w:pPr>
    </w:p>
    <w:p>
      <w:pPr>
        <w:ind w:left="220" w:right="6060" w:firstLine="4"/>
        <w:spacing w:after="0" w:line="513" w:lineRule="auto"/>
        <w:tabs>
          <w:tab w:leader="none" w:pos="562"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dispose of or to direct the disposition of: 11,948,486 (iv) shared power to dispose or to direct the disposition of: 524,988</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Comments: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9" w:lineRule="exact"/>
        <w:rPr>
          <w:sz w:val="20"/>
          <w:szCs w:val="20"/>
          <w:color w:val="auto"/>
        </w:rPr>
      </w:pPr>
      <w:r>
        <w:rPr>
          <w:rFonts w:ascii="Times New Roman" w:cs="Times New Roman" w:eastAsia="Times New Roman" w:hAnsi="Times New Roman"/>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6 - Ownership of More Than Five Percent on Behalf of Another Person:</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See Attached Appendix 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10 - Certification:</w:t>
      </w:r>
    </w:p>
    <w:p>
      <w:pPr>
        <w:spacing w:after="0" w:line="223" w:lineRule="exact"/>
        <w:rPr>
          <w:sz w:val="20"/>
          <w:szCs w:val="20"/>
          <w:color w:val="auto"/>
        </w:rPr>
      </w:pPr>
    </w:p>
    <w:p>
      <w:pPr>
        <w:ind w:right="140" w:firstLine="216"/>
        <w:spacing w:after="0" w:line="259" w:lineRule="auto"/>
        <w:rPr>
          <w:sz w:val="20"/>
          <w:szCs w:val="20"/>
          <w:color w:val="auto"/>
        </w:rPr>
      </w:pPr>
      <w:r>
        <w:rPr>
          <w:rFonts w:ascii="Times New Roman" w:cs="Times New Roman" w:eastAsia="Times New Roman" w:hAnsi="Times New Roman"/>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 correct.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February 8, 2021</w:t>
      </w:r>
    </w:p>
    <w:p>
      <w:pPr>
        <w:spacing w:after="0" w:line="22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-7620</wp:posOffset>
            </wp:positionV>
            <wp:extent cx="12280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090" cy="8255"/>
                    </a:xfrm>
                    <a:prstGeom prst="rect">
                      <a:avLst/>
                    </a:prstGeom>
                    <a:noFill/>
                  </pic:spPr>
                </pic:pic>
              </a:graphicData>
            </a:graphic>
          </wp:anchor>
        </w:drawing>
      </w:r>
    </w:p>
    <w:p>
      <w:pPr>
        <w:spacing w:after="0" w:line="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685" w:right="37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7"/>
          <w:szCs w:val="17"/>
          <w:b w:val="1"/>
          <w:bCs w:val="1"/>
          <w:color w:val="auto"/>
        </w:rPr>
        <w:t>Appendix 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Subsidiary:</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Asset Management, Limited</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Fiduciary Trust Company</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Global Advisors, LLC</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Group (Ireland) Limited</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Investments Australia Ltd</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Investments Canada Inc.</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Investments Hong Kong Limited</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Vanguard Investments UK, Limited</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*Entity beneficially owns 5% or greater of the outstanding shares of the security class being reported on this Schedule 13G</w:t>
      </w:r>
    </w:p>
    <w:sectPr>
      <w:pgSz w:w="11900" w:h="16838" w:orient="portrait"/>
      <w:cols w:equalWidth="0" w:num="1">
        <w:col w:w="10139"/>
      </w:cols>
      <w:pgMar w:left="320" w:top="68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2021-02-10T11:09:43Z</dcterms:created>
  <dcterms:modified xsi:type="dcterms:W3CDTF">2021-02-10T11:09:43Z</dcterms:modified>
</cp:coreProperties>
</file>