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Srinivasan LaVerne Evans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20"/>
        <w:spacing w:after="0" w:line="294" w:lineRule="auto"/>
        <w:rPr>
          <w:sz w:val="20"/>
          <w:szCs w:val="20"/>
          <w:color w:val="auto"/>
        </w:rPr>
      </w:pPr>
      <w:r>
        <w:rPr>
          <w:rFonts w:ascii="Times New Roman" w:cs="Times New Roman" w:eastAsia="Times New Roman" w:hAnsi="Times New Roman"/>
          <w:sz w:val="17"/>
          <w:szCs w:val="17"/>
          <w:color w:val="0000FF"/>
        </w:rPr>
        <w:t>C/O TAKE-TWO INTERACTIVE SOFTWARE,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 WEST 44TH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4"/>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TAKE TWO INTERACTIVE</w:t>
              </w:r>
            </w:hyperlink>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100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4"/>
            <w:vMerge w:val="restart"/>
          </w:tcPr>
          <w:p>
            <w:pPr>
              <w:spacing w:after="0" w:line="220"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SOFTWARE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TTWO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0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374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Borders>
              <w:bottom w:val="single" w:sz="8" w:color="2C2C2C"/>
            </w:tcBorders>
          </w:tcPr>
          <w:p>
            <w:pPr>
              <w:spacing w:after="0"/>
              <w:rPr>
                <w:sz w:val="6"/>
                <w:szCs w:val="6"/>
                <w:color w:val="auto"/>
              </w:rPr>
            </w:pPr>
          </w:p>
        </w:tc>
        <w:tc>
          <w:tcPr>
            <w:tcW w:w="120" w:type="dxa"/>
            <w:vAlign w:val="bottom"/>
            <w:tcBorders>
              <w:top w:val="single" w:sz="8" w:color="0000EE"/>
              <w:bottom w:val="single" w:sz="8" w:color="2C2C2C"/>
            </w:tcBorders>
          </w:tcPr>
          <w:p>
            <w:pPr>
              <w:spacing w:after="0"/>
              <w:rPr>
                <w:sz w:val="6"/>
                <w:szCs w:val="6"/>
                <w:color w:val="auto"/>
              </w:rPr>
            </w:pPr>
          </w:p>
        </w:tc>
        <w:tc>
          <w:tcPr>
            <w:tcW w:w="1420" w:type="dxa"/>
            <w:vAlign w:val="bottom"/>
            <w:tcBorders>
              <w:top w:val="single" w:sz="8" w:color="0000EE"/>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05/30/2024</w:t>
            </w: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05/30/2024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571</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11,127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May 30, 2024; and (ii) the number of shares were determined based on the dollar value of the award and the average of the closing prices of the common stock on the thirty trading days prior to May 30, 2024 (the "Pricing Date"), the fifth trading day following the filing of the Issuer's Annual Report on Form 10-K.</w:t>
      </w:r>
    </w:p>
    <w:p>
      <w:pPr>
        <w:spacing w:after="0" w:line="4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95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Ms. LaVerne E.</w:t>
      </w:r>
      <w:r>
        <w:rPr>
          <w:sz w:val="20"/>
          <w:szCs w:val="20"/>
          <w:color w:val="auto"/>
        </w:rPr>
        <w:tab/>
      </w:r>
      <w:r>
        <w:rPr>
          <w:rFonts w:ascii="Times New Roman" w:cs="Times New Roman" w:eastAsia="Times New Roman" w:hAnsi="Times New Roman"/>
          <w:sz w:val="17"/>
          <w:szCs w:val="17"/>
          <w:color w:val="0000FF"/>
        </w:rPr>
        <w:t>06/03/2024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Srinivasan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64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1630"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2024-06-03T16:43:24Z</dcterms:created>
  <dcterms:modified xsi:type="dcterms:W3CDTF">2024-06-03T16:43:24Z</dcterms:modified>
</cp:coreProperties>
</file>