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2020</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TAKE-TWO INTERACTIVE SOFTWARE,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46" w:right="339" w:bottom="1440" w:gutter="0" w:footer="0" w:header="0"/>
        </w:sectPr>
      </w:pPr>
    </w:p>
    <w:p>
      <w:pPr>
        <w:spacing w:after="0" w:line="228"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001-34003</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51-0350842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860" w:space="720"/>
            <w:col w:w="2520"/>
          </w:cols>
          <w:pgMar w:left="320" w:top="646" w:right="339" w:bottom="1440" w:gutter="0" w:footer="0" w:header="0"/>
          <w:type w:val="continuous"/>
        </w:sectPr>
      </w:pPr>
    </w:p>
    <w:p>
      <w:pPr>
        <w:spacing w:after="0" w:line="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110 West 44</w:t>
      </w:r>
      <w:r>
        <w:rPr>
          <w:rFonts w:ascii="Times New Roman" w:cs="Times New Roman" w:eastAsia="Times New Roman" w:hAnsi="Times New Roman"/>
          <w:sz w:val="13"/>
          <w:szCs w:val="13"/>
          <w:b w:val="1"/>
          <w:bCs w:val="1"/>
          <w:color w:val="auto"/>
        </w:rPr>
        <w:t>th</w:t>
      </w:r>
      <w:r>
        <w:rPr>
          <w:rFonts w:ascii="Times New Roman" w:cs="Times New Roman" w:eastAsia="Times New Roman" w:hAnsi="Times New Roman"/>
          <w:sz w:val="17"/>
          <w:szCs w:val="17"/>
          <w:b w:val="1"/>
          <w:bCs w:val="1"/>
          <w:color w:val="auto"/>
        </w:rPr>
        <w:t xml:space="preserve"> Street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New York</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72" w:lineRule="exact"/>
        <w:rPr>
          <w:sz w:val="24"/>
          <w:szCs w:val="24"/>
          <w:color w:val="auto"/>
        </w:rPr>
      </w:pPr>
    </w:p>
    <w:p>
      <w:pPr>
        <w:sectPr>
          <w:pgSz w:w="11900" w:h="16838" w:orient="portrait"/>
          <w:cols w:equalWidth="0" w:num="2">
            <w:col w:w="7540" w:space="720"/>
            <w:col w:w="2980"/>
          </w:cols>
          <w:pgMar w:left="320" w:top="646" w:right="339"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4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536-2842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TTWO</w:t>
            </w:r>
          </w:p>
        </w:tc>
        <w:tc>
          <w:tcPr>
            <w:tcW w:w="100" w:type="dxa"/>
            <w:vAlign w:val="bottom"/>
          </w:tcPr>
          <w:p>
            <w:pPr>
              <w:spacing w:after="0"/>
              <w:rPr>
                <w:sz w:val="19"/>
                <w:szCs w:val="19"/>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On November 5, 2020, Take-Two Interactive Software, Inc. (the “Company”) issued a press release announcing the financial results of the Company for its second fiscal quarter ended September 30, 2020. A copy of the press release is attached to this Current Report as Exhibit 99.1 and is incorporated by reference herein.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information included in this Current Report on Form 8-K, including Exhibit 99.1 hereto, that is furnished pursuant to this Item 2.02 shall not be deemed to be “filed” for the purposes of Section 18 of the Securities Exchange Act of 1934, as amended, or otherwise subject to the liabilities of that section or Sections 11 and 12(a)(2) of the Securities Act of 1933, as amended. In addition, the information included in this Current Report on Form 8-K, including Exhibit 99.1 hereto, that is furnished pursuant to this Item 2.02 shall not be incorporated by reference into any filing of the Company, whether made before or after the date hereof, regardless of any general incorporation language in such filing, unless expressly incorporated by specific reference into such filing.</w:t>
      </w:r>
    </w:p>
    <w:p>
      <w:pPr>
        <w:spacing w:after="0" w:line="18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1360" w:hanging="704"/>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940" w:right="180" w:hanging="647"/>
        <w:spacing w:after="0" w:line="282" w:lineRule="auto"/>
        <w:tabs>
          <w:tab w:leader="none" w:pos="192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8"/>
            <w:szCs w:val="18"/>
            <w:u w:val="single" w:color="auto"/>
            <w:color w:val="0000EE"/>
          </w:rPr>
          <w:t>Press Release dated November 5, 2020 relating to Take-Two Interactive Software, Inc.’s financial results for its second fiscal</w:t>
        </w:r>
      </w:hyperlink>
      <w:r>
        <w:rPr>
          <w:rFonts w:ascii="Times New Roman" w:cs="Times New Roman" w:eastAsia="Times New Roman" w:hAnsi="Times New Roman"/>
          <w:sz w:val="18"/>
          <w:szCs w:val="18"/>
          <w:u w:val="single" w:color="auto"/>
          <w:color w:val="0000EE"/>
        </w:rPr>
        <w:t xml:space="preserve"> </w:t>
      </w:r>
      <w:hyperlink w:anchor="page5">
        <w:r>
          <w:rPr>
            <w:rFonts w:ascii="Times New Roman" w:cs="Times New Roman" w:eastAsia="Times New Roman" w:hAnsi="Times New Roman"/>
            <w:sz w:val="18"/>
            <w:szCs w:val="18"/>
            <w:u w:val="single" w:color="auto"/>
            <w:color w:val="0000EE"/>
          </w:rPr>
          <w:t>quarter ended September 30, 2020.</w:t>
        </w:r>
      </w:hyperlink>
    </w:p>
    <w:p>
      <w:pPr>
        <w:spacing w:after="0" w:line="162" w:lineRule="exact"/>
        <w:rPr>
          <w:rFonts w:ascii="Times New Roman" w:cs="Times New Roman" w:eastAsia="Times New Roman" w:hAnsi="Times New Roman"/>
          <w:sz w:val="18"/>
          <w:szCs w:val="18"/>
          <w:u w:val="single" w:color="auto"/>
          <w:color w:val="0000EE"/>
        </w:rPr>
      </w:pPr>
    </w:p>
    <w:p>
      <w:pPr>
        <w:ind w:left="5580" w:right="3360" w:hanging="4276"/>
        <w:spacing w:after="0" w:line="783" w:lineRule="auto"/>
        <w:tabs>
          <w:tab w:leader="none" w:pos="19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lnteractive Data File (embedded within the Inline XBRL document). 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4840" w:type="dxa"/>
            <w:vAlign w:val="bottom"/>
            <w:gridSpan w:val="2"/>
          </w:tcPr>
          <w:p>
            <w:pPr>
              <w:spacing w:after="0"/>
              <w:rPr>
                <w:sz w:val="17"/>
                <w:szCs w:val="17"/>
                <w:color w:val="auto"/>
              </w:rPr>
            </w:pPr>
          </w:p>
        </w:tc>
      </w:tr>
      <w:tr>
        <w:trPr>
          <w:trHeight w:val="412"/>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520" w:type="dxa"/>
            <w:vAlign w:val="bottom"/>
          </w:tcPr>
          <w:p>
            <w:pPr>
              <w:spacing w:after="0"/>
              <w:rPr>
                <w:sz w:val="24"/>
                <w:szCs w:val="24"/>
                <w:color w:val="auto"/>
              </w:rPr>
            </w:pPr>
          </w:p>
        </w:tc>
      </w:tr>
      <w:tr>
        <w:trPr>
          <w:trHeight w:val="4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280" w:type="dxa"/>
            <w:vAlign w:val="bottom"/>
          </w:tcPr>
          <w:p>
            <w:pPr>
              <w:spacing w:after="0"/>
              <w:rPr>
                <w:sz w:val="24"/>
                <w:szCs w:val="24"/>
                <w:color w:val="auto"/>
              </w:rPr>
            </w:pPr>
          </w:p>
        </w:tc>
        <w:tc>
          <w:tcPr>
            <w:tcW w:w="103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w w:val="99"/>
              </w:rPr>
              <w:t>Press Release dated November 5, 2020 relating to Take-Two Interactive Software, Inc.’s financial results for its second fiscal quarter ended</w:t>
            </w:r>
          </w:p>
        </w:tc>
      </w:tr>
      <w:tr>
        <w:trPr>
          <w:trHeight w:val="234"/>
        </w:trPr>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September 30, 2020.</w:t>
            </w:r>
          </w:p>
        </w:tc>
      </w:tr>
    </w:tbl>
    <w:p>
      <w:pPr>
        <w:spacing w:after="0" w:line="198" w:lineRule="exact"/>
        <w:rPr>
          <w:sz w:val="20"/>
          <w:szCs w:val="20"/>
          <w:color w:val="auto"/>
        </w:rPr>
      </w:pPr>
    </w:p>
    <w:p>
      <w:pPr>
        <w:ind w:left="5580" w:right="4200" w:hanging="5572"/>
        <w:spacing w:after="0" w:line="783" w:lineRule="auto"/>
        <w:tabs>
          <w:tab w:leader="none" w:pos="114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lnteractive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TAKE-TWO INTERACTIVE SOFTWARE,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tab/>
        <w:t>/s/ Matthew Breitman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Breitman</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General Counsel Americas &amp; Corporate</w:t>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028700" cy="9861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0"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FOR IMMEDIATE RELEASE</w:t>
            </w:r>
          </w:p>
        </w:tc>
        <w:tc>
          <w:tcPr>
            <w:tcW w:w="0" w:type="dxa"/>
            <w:vAlign w:val="bottom"/>
          </w:tcPr>
          <w:p>
            <w:pPr>
              <w:spacing w:after="0"/>
              <w:rPr>
                <w:sz w:val="1"/>
                <w:szCs w:val="1"/>
                <w:color w:val="auto"/>
              </w:rPr>
            </w:pPr>
          </w:p>
        </w:tc>
      </w:tr>
      <w:tr>
        <w:trPr>
          <w:trHeight w:val="216"/>
        </w:trPr>
        <w:tc>
          <w:tcPr>
            <w:tcW w:w="46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(Corporate Press)</w:t>
            </w:r>
          </w:p>
        </w:tc>
        <w:tc>
          <w:tcPr>
            <w:tcW w:w="0" w:type="dxa"/>
            <w:vAlign w:val="bottom"/>
          </w:tcPr>
          <w:p>
            <w:pPr>
              <w:spacing w:after="0"/>
              <w:rPr>
                <w:sz w:val="1"/>
                <w:szCs w:val="1"/>
                <w:color w:val="auto"/>
              </w:rPr>
            </w:pPr>
          </w:p>
        </w:tc>
      </w:tr>
      <w:tr>
        <w:trPr>
          <w:trHeight w:val="25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Henry A. Diamond</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22"/>
                <w:szCs w:val="22"/>
                <w:color w:val="auto"/>
              </w:rPr>
              <w:t>Alan Lewis</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12"/>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 Relations &amp; Corporate Communications</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w w:val="99"/>
              </w:rPr>
              <w:t>Corporate Communications &amp; Public Affairs</w:t>
            </w:r>
          </w:p>
        </w:tc>
        <w:tc>
          <w:tcPr>
            <w:tcW w:w="0" w:type="dxa"/>
            <w:vAlign w:val="bottom"/>
          </w:tcPr>
          <w:p>
            <w:pPr>
              <w:spacing w:after="0"/>
              <w:rPr>
                <w:sz w:val="1"/>
                <w:szCs w:val="1"/>
                <w:color w:val="auto"/>
              </w:rPr>
            </w:pPr>
          </w:p>
        </w:tc>
      </w:tr>
      <w:tr>
        <w:trPr>
          <w:trHeight w:val="220"/>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c>
          <w:tcPr>
            <w:tcW w:w="434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Take-Two Interactive Software, Inc.</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(646) 536-3005</w:t>
            </w:r>
          </w:p>
        </w:tc>
        <w:tc>
          <w:tcPr>
            <w:tcW w:w="2100" w:type="dxa"/>
            <w:vAlign w:val="bottom"/>
          </w:tcPr>
          <w:p>
            <w:pPr>
              <w:spacing w:after="0"/>
              <w:rPr>
                <w:sz w:val="18"/>
                <w:szCs w:val="18"/>
                <w:color w:val="auto"/>
              </w:rPr>
            </w:pPr>
          </w:p>
        </w:tc>
        <w:tc>
          <w:tcPr>
            <w:tcW w:w="33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(646) 536-2983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Henry.Diamond@take2games.com</w:t>
            </w:r>
          </w:p>
        </w:tc>
        <w:tc>
          <w:tcPr>
            <w:tcW w:w="2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Alan.Lewis@take2games.com</w:t>
            </w: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Take-Two Interactive Software, Inc. Reports Strong Results for Fiscal Second Quarter 2021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GAAP net revenue was $841.1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GAAP net income per diluted share increased 37% to $0.86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GAAP net cash provided by operating activities for the six-months ended September 30, 2020 increased 335% to $626.7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Adjusted Unrestricted Operating Cash Flow (Non-GAAP) for the six-months ended September 30, 2020 increased 1135% to $509.4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Net Bookings grew to $957.5 million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raises outlook for fiscal year 2021, including record Net Bookings</w:t>
      </w:r>
    </w:p>
    <w:p>
      <w:pPr>
        <w:spacing w:after="0" w:line="223"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New York, NY – November 5, 2020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Take-Two Interactive Software, Inc. (NASDAQ:TTWO) today reported strong results for its fiscal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2021 ended September 30, 2020. In addition, the Company provided its initial outlook for its fiscal third quarter ending December 31, 2020 and increased its outlook for the fiscal year 2021, ending March 31, 2021. For additional information, please see the fiscal second quarter 2021 results slide deck posted to the Company’s investor relations website at </w:t>
      </w:r>
      <w:r>
        <w:rPr>
          <w:rFonts w:ascii="Times New Roman" w:cs="Times New Roman" w:eastAsia="Times New Roman" w:hAnsi="Times New Roman"/>
          <w:sz w:val="18"/>
          <w:szCs w:val="18"/>
          <w:u w:val="single" w:color="auto"/>
          <w:color w:val="auto"/>
        </w:rPr>
        <w:t>http://ir.take2games.com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Fiscal Second Quarter 2021 Financial Highlights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GAAP net revenue was $841.1 million, as compared to $857.8 million in last year’s fiscal second quarter. Recurrent consumer spending (which is generated from ongoing consumer engagement and includes virtual currency, add-on content and in-game purchases) increased 56% and accounted for 59% of total GAAP net revenue. The largest contributors to GAAP net revenue in fiscal second quarter 2021 were </w:t>
      </w:r>
      <w:r>
        <w:rPr>
          <w:rFonts w:ascii="Times New Roman" w:cs="Times New Roman" w:eastAsia="Times New Roman" w:hAnsi="Times New Roman"/>
          <w:sz w:val="18"/>
          <w:szCs w:val="18"/>
          <w:i w:val="1"/>
          <w:iCs w:val="1"/>
          <w:color w:val="auto"/>
        </w:rPr>
        <w:t>NBA® 2K20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Theft Auto®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Redemption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Online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Borderlands®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PGA TOUR® 2K21</w:t>
      </w:r>
      <w:r>
        <w:rPr>
          <w:rFonts w:ascii="Times New Roman" w:cs="Times New Roman" w:eastAsia="Times New Roman" w:hAnsi="Times New Roman"/>
          <w:sz w:val="18"/>
          <w:szCs w:val="18"/>
          <w:color w:val="auto"/>
        </w:rPr>
        <w:t>; Social Point’s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offerings; the </w:t>
      </w:r>
      <w:r>
        <w:rPr>
          <w:rFonts w:ascii="Times New Roman" w:cs="Times New Roman" w:eastAsia="Times New Roman" w:hAnsi="Times New Roman"/>
          <w:sz w:val="18"/>
          <w:szCs w:val="18"/>
          <w:i w:val="1"/>
          <w:iCs w:val="1"/>
          <w:color w:val="auto"/>
        </w:rPr>
        <w:t>Mafia: Definitive Editions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Mafia: Trilogy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Sid Meier’s Civilization VI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WWE®</w:t>
      </w:r>
      <w:r>
        <w:rPr>
          <w:rFonts w:ascii="Times New Roman" w:cs="Times New Roman" w:eastAsia="Times New Roman" w:hAnsi="Times New Roman"/>
          <w:sz w:val="18"/>
          <w:szCs w:val="18"/>
          <w:color w:val="auto"/>
        </w:rPr>
        <w:t xml:space="preserve"> series.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Digitally-delivered GAAP net revenue increased 16% to $711.3 million, as compared to $615.8 million in last year’s fiscal second quarter, and accounted for 85% of total GAAP net revenue. The largest contributors to GAAP digitally-delivered net revenue in fiscal second quarter 2021 were </w:t>
      </w:r>
      <w:r>
        <w:rPr>
          <w:rFonts w:ascii="Times New Roman" w:cs="Times New Roman" w:eastAsia="Times New Roman" w:hAnsi="Times New Roman"/>
          <w:sz w:val="18"/>
          <w:szCs w:val="18"/>
          <w:i w:val="1"/>
          <w:iCs w:val="1"/>
          <w:color w:val="auto"/>
        </w:rPr>
        <w:t>NBA 2K20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Grand Theft Auto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Redemption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Online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Borderlands 3</w:t>
      </w:r>
      <w:r>
        <w:rPr>
          <w:rFonts w:ascii="Times New Roman" w:cs="Times New Roman" w:eastAsia="Times New Roman" w:hAnsi="Times New Roman"/>
          <w:sz w:val="18"/>
          <w:szCs w:val="18"/>
          <w:color w:val="auto"/>
        </w:rPr>
        <w:t>; Social Point’s mobile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offerings;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Mafia Definitive Editions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Mafia: Trilogy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WWE</w:t>
      </w:r>
      <w:r>
        <w:rPr>
          <w:rFonts w:ascii="Times New Roman" w:cs="Times New Roman" w:eastAsia="Times New Roman" w:hAnsi="Times New Roman"/>
          <w:sz w:val="18"/>
          <w:szCs w:val="18"/>
          <w:color w:val="auto"/>
        </w:rPr>
        <w:t xml:space="preserve"> series; and </w:t>
      </w:r>
      <w:r>
        <w:rPr>
          <w:rFonts w:ascii="Times New Roman" w:cs="Times New Roman" w:eastAsia="Times New Roman" w:hAnsi="Times New Roman"/>
          <w:sz w:val="18"/>
          <w:szCs w:val="18"/>
          <w:i w:val="1"/>
          <w:iCs w:val="1"/>
          <w:color w:val="auto"/>
        </w:rPr>
        <w:t>Sid Meier’s Civilization VI</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ind w:right="100"/>
        <w:spacing w:after="0" w:line="282" w:lineRule="auto"/>
        <w:rPr>
          <w:sz w:val="20"/>
          <w:szCs w:val="20"/>
          <w:color w:val="auto"/>
        </w:rPr>
      </w:pPr>
      <w:r>
        <w:rPr>
          <w:rFonts w:ascii="Times New Roman" w:cs="Times New Roman" w:eastAsia="Times New Roman" w:hAnsi="Times New Roman"/>
          <w:sz w:val="18"/>
          <w:szCs w:val="18"/>
          <w:color w:val="auto"/>
        </w:rPr>
        <w:t>GAAP net income increased 38% to $99.3 million, or $0.86 per diluted share, as compared to $71.8 million, or $0.63 per diluted share, for the comparable period last year.</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six-month period ended September 30, 2020, GAAP net cash provided by operating activities increased 335% to $626.7 million, as compared to $144.2 million in the same period last year. During the six-month period ended September 30, 2020, Adjusted Unrestricted Operating Cash Flow (Non-GAAP), which is defined as GAAP net cash from operating activities, adjusted for changes in restricted cash, increased 1135% to $509.4 million, as compared to $41.2 million in the same period last year (please see the section below titled “Non-GAAP Financial Measure” for additional information). As of September 30, 2020, the Company had cash and short-term investments of $2.386 billion.</w:t>
      </w:r>
    </w:p>
    <w:p>
      <w:pPr>
        <w:spacing w:after="0" w:line="183"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data, together with a management reporting tax rate of 16%, are used internally by the Company’s management and Board of Directors to adjust the Company’s GAAP financial results in order to facilitate comparison of its operating performance between periods and to better understand its core business and future outlook: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2020</w:t>
            </w: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Financial Data</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deferred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&amp;</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and related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Impact of</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acquired</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cost of</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4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Business</w:t>
            </w:r>
          </w:p>
        </w:tc>
        <w:tc>
          <w:tcPr>
            <w:tcW w:w="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long-term</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operations</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goods sold</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reorganization</w:t>
            </w:r>
          </w:p>
        </w:tc>
        <w:tc>
          <w:tcPr>
            <w:tcW w:w="1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acquisition</w:t>
            </w:r>
          </w:p>
        </w:tc>
        <w:tc>
          <w:tcPr>
            <w:tcW w:w="8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0" w:type="dxa"/>
            <w:vAlign w:val="bottom"/>
          </w:tcPr>
          <w:p>
            <w:pPr>
              <w:spacing w:after="0"/>
              <w:rPr>
                <w:sz w:val="1"/>
                <w:szCs w:val="1"/>
                <w:color w:val="auto"/>
              </w:rPr>
            </w:pPr>
          </w:p>
        </w:tc>
      </w:tr>
      <w:tr>
        <w:trPr>
          <w:trHeight w:val="209"/>
        </w:trPr>
        <w:tc>
          <w:tcPr>
            <w:tcW w:w="1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841,142</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116,392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432,505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13,450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(19,396)</w:t>
            </w: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(4,411)</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408,637</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102,942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293,270</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(25,912)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(2,512)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(2,364)</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115,367</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102,942</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6,775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other,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on long-term</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174"/>
        </w:trPr>
        <w:tc>
          <w:tcPr>
            <w:tcW w:w="19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Income before income</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117,418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101,273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45,308</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239</w:t>
            </w:r>
          </w:p>
        </w:tc>
        <w:tc>
          <w:tcPr>
            <w:tcW w:w="1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2,512</w:t>
            </w:r>
          </w:p>
        </w:tc>
        <w:tc>
          <w:tcPr>
            <w:tcW w:w="13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6,775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calculate net income per diluted share for management reporting purposes, the Company uses its fully diluted share count of 115.4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Metric – Net Bookings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Net Bookings is defined as the net amount of products and services sold digitally or sold-in physically during the period, and includes licensing fees, merchandise, in-game advertising, strategy guides and publisher incentives.</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During fiscal second quarter 2021, total Net Bookings grew to $957.5 million, as compared to $950.5 million during last year’s fiscal second quarter. Net Bookings from recurrent consumer spending grew 43% and accounted for 64% of total Net Bookings. The largest contributors to Net Bookings in fiscal second quarter 2021 were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Grand Theft Auto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 Redemption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Red Dead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Borderlands 3</w:t>
      </w:r>
      <w:r>
        <w:rPr>
          <w:rFonts w:ascii="Times New Roman" w:cs="Times New Roman" w:eastAsia="Times New Roman" w:hAnsi="Times New Roman"/>
          <w:sz w:val="18"/>
          <w:szCs w:val="18"/>
          <w:color w:val="auto"/>
        </w:rPr>
        <w:t>; Social Point’s mobile offerings; the</w:t>
      </w:r>
      <w:r>
        <w:rPr>
          <w:rFonts w:ascii="Times New Roman" w:cs="Times New Roman" w:eastAsia="Times New Roman" w:hAnsi="Times New Roman"/>
          <w:sz w:val="18"/>
          <w:szCs w:val="18"/>
          <w:i w:val="1"/>
          <w:iCs w:val="1"/>
          <w:color w:val="auto"/>
        </w:rPr>
        <w:t xml:space="preserve"> Mafia: Definitive Editions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Mafia: Trilogy</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WWE </w:t>
      </w:r>
      <w:r>
        <w:rPr>
          <w:rFonts w:ascii="Times New Roman" w:cs="Times New Roman" w:eastAsia="Times New Roman" w:hAnsi="Times New Roman"/>
          <w:sz w:val="18"/>
          <w:szCs w:val="18"/>
          <w:color w:val="auto"/>
        </w:rPr>
        <w:t>series; and</w:t>
      </w:r>
      <w:r>
        <w:rPr>
          <w:rFonts w:ascii="Times New Roman" w:cs="Times New Roman" w:eastAsia="Times New Roman" w:hAnsi="Times New Roman"/>
          <w:sz w:val="18"/>
          <w:szCs w:val="18"/>
          <w:i w:val="1"/>
          <w:iCs w:val="1"/>
          <w:color w:val="auto"/>
        </w:rPr>
        <w:t xml:space="preserve"> Sid Meier’s Civilization VI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right="480"/>
        <w:spacing w:after="0" w:line="284" w:lineRule="auto"/>
        <w:rPr>
          <w:sz w:val="20"/>
          <w:szCs w:val="20"/>
          <w:color w:val="auto"/>
        </w:rPr>
      </w:pPr>
      <w:r>
        <w:rPr>
          <w:rFonts w:ascii="Times New Roman" w:cs="Times New Roman" w:eastAsia="Times New Roman" w:hAnsi="Times New Roman"/>
          <w:sz w:val="18"/>
          <w:szCs w:val="18"/>
          <w:color w:val="auto"/>
        </w:rPr>
        <w:t xml:space="preserve">Catalog accounted for $587.3 million of Net Bookings led by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Red Dead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Borderlands</w:t>
      </w:r>
      <w:r>
        <w:rPr>
          <w:rFonts w:ascii="Times New Roman" w:cs="Times New Roman" w:eastAsia="Times New Roman" w:hAnsi="Times New Roman"/>
          <w:sz w:val="18"/>
          <w:szCs w:val="18"/>
          <w:color w:val="auto"/>
        </w:rPr>
        <w:t xml:space="preserve">; Social Point’s mobile offerings; the </w:t>
      </w:r>
      <w:r>
        <w:rPr>
          <w:rFonts w:ascii="Times New Roman" w:cs="Times New Roman" w:eastAsia="Times New Roman" w:hAnsi="Times New Roman"/>
          <w:sz w:val="18"/>
          <w:szCs w:val="18"/>
          <w:i w:val="1"/>
          <w:iCs w:val="1"/>
          <w:color w:val="auto"/>
        </w:rPr>
        <w:t>Mafia: Definitive Editions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Mafia: Trilogy</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WWE</w:t>
      </w:r>
      <w:r>
        <w:rPr>
          <w:rFonts w:ascii="Times New Roman" w:cs="Times New Roman" w:eastAsia="Times New Roman" w:hAnsi="Times New Roman"/>
          <w:sz w:val="18"/>
          <w:szCs w:val="18"/>
          <w:color w:val="auto"/>
        </w:rPr>
        <w:t xml:space="preserve"> series.</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Digitally-delivered Net Bookings grew 14% to $791.7 million, as compared to $695.3 million in last year’s fiscal second quarter, and accounted for 83% of total Net Bookings. The largest contributors to digitally-delivered Net Bookings in fiscal second quarter 2021 were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NBA 2K20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Grand Theft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Auto Online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Grand Theft Auto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Red Dead Redemption 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Red Dead Online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Borderlands 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PGA TOUR 2K21</w:t>
      </w:r>
      <w:r>
        <w:rPr>
          <w:rFonts w:ascii="Times New Roman" w:cs="Times New Roman" w:eastAsia="Times New Roman" w:hAnsi="Times New Roman"/>
          <w:sz w:val="18"/>
          <w:szCs w:val="18"/>
          <w:color w:val="auto"/>
        </w:rPr>
        <w:t>; Social Point’s mobile offerings;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Mafia: Definitive Editions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Mafia: Trilogy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Sid Meier’s Civilization VI</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WWE</w:t>
      </w:r>
      <w:r>
        <w:rPr>
          <w:rFonts w:ascii="Times New Roman" w:cs="Times New Roman" w:eastAsia="Times New Roman" w:hAnsi="Times New Roman"/>
          <w:sz w:val="18"/>
          <w:szCs w:val="18"/>
          <w:color w:val="auto"/>
        </w:rPr>
        <w:t xml:space="preserve"> series.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Comments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 xml:space="preserve">“Our positive momentum continued in the fiscal second quarter with operating results that significantly exceeded our expectations,” said Strauss Zelnick, Chairman and CEO of Take-Two. “Our terrific results were highlighted by the outperformance of </w:t>
      </w:r>
      <w:r>
        <w:rPr>
          <w:rFonts w:ascii="Times New Roman" w:cs="Times New Roman" w:eastAsia="Times New Roman" w:hAnsi="Times New Roman"/>
          <w:sz w:val="18"/>
          <w:szCs w:val="18"/>
          <w:i w:val="1"/>
          <w:iCs w:val="1"/>
          <w:color w:val="auto"/>
        </w:rPr>
        <w:t>NBA 2K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Mafia: Definitive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Editions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Mafia: Trilogy</w:t>
      </w:r>
      <w:r>
        <w:rPr>
          <w:rFonts w:ascii="Times New Roman" w:cs="Times New Roman" w:eastAsia="Times New Roman" w:hAnsi="Times New Roman"/>
          <w:sz w:val="18"/>
          <w:szCs w:val="18"/>
          <w:color w:val="auto"/>
        </w:rPr>
        <w:t>, reflecting our ability to deliver consistently the highest quality entertainment experiences to consumers.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a result of our better-than-expected second quarter operating results and increased forecast for the balance of the year, we are raising our fiscal 2021 outlook, and we now expect record Net Bookings of over $3 billion.</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“With the strongest development pipeline in the history of the Company and our ongoing investment in emerging markets, platforms and business models, Take-Two is exceedingly well positioned to capitalize on the many positive trends in our industry and to generate growth and margin expansion over the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COVID-19 Response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 Take-Two, our number one priority is the health and safety of our employees and their families. After moving to work-from-home environments by mid-March, several of our offices have re-opened on a voluntary basis. With more people staying at home, we have experienced, and are continuing to experience, heightened levels of engagement and Net Bookings growth-to-date. The full extent of the impact of the COVID-19 pandemic to our business, operations and financial results will depend on numerous evolving factors that we are not able to predict. The key risks to our business are set forth under the heading “Cautionary Note Regarding Forward-Looking Statements” in this release and in Take-Two’s Annual Report on Form 10-K for the fiscal year ended March 31,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and Product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July 1,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Take-Two:</w:t>
      </w:r>
    </w:p>
    <w:p>
      <w:pPr>
        <w:spacing w:after="0" w:line="31" w:lineRule="exact"/>
        <w:rPr>
          <w:sz w:val="20"/>
          <w:szCs w:val="20"/>
          <w:color w:val="auto"/>
        </w:rPr>
      </w:pPr>
    </w:p>
    <w:p>
      <w:pPr>
        <w:ind w:left="340" w:right="60" w:hanging="332"/>
        <w:spacing w:after="0" w:line="25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privately-held Playdots, Inc. for final consideration of $196 million, comprised of $98 million in cash and the balance in newly issued shares of Take-Two common stock. Founded in 2013 and based in New York City, Playdots builds mobile games with unique and thoughtful designs. They are best known for Two Dots, which has been downloaded over 80 million times since its launch six years ago and that continues to deeply engage audiences throughout the world. Playdots is led by Nir Efrat, who came to Playdots in March 2018 and serves as its Chief Executive Officer. Prior to Playdots, Efrat was Head of Franchises and Studios at King, the creator of the widely successful Candy Crush mobile game series. He will continue to lead Playdots and its approximately 70 employees. Playdots has a robust development pipeline with a number of innovative puzzle games planned for launch over the coming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Rockstar Games:</w:t>
      </w:r>
    </w:p>
    <w:p>
      <w:pPr>
        <w:spacing w:after="0" w:line="31" w:lineRule="exact"/>
        <w:rPr>
          <w:sz w:val="20"/>
          <w:szCs w:val="20"/>
          <w:color w:val="auto"/>
        </w:rPr>
      </w:pPr>
    </w:p>
    <w:p>
      <w:pPr>
        <w:ind w:left="340" w:right="100" w:hanging="332"/>
        <w:spacing w:after="0" w:line="253"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Acquired Ruffian Games. Based in Dundee, Scotland, the studio will operate under the new name of Rockstar Dundee. Terms of the acquisition were not disclosed. Founded in 2008 by Gary Liddon and Billy Thomson, Ruffian partnered with Microsoft to work on the </w:t>
      </w:r>
      <w:r>
        <w:rPr>
          <w:rFonts w:ascii="Times New Roman" w:cs="Times New Roman" w:eastAsia="Times New Roman" w:hAnsi="Times New Roman"/>
          <w:sz w:val="18"/>
          <w:szCs w:val="18"/>
          <w:i w:val="1"/>
          <w:iCs w:val="1"/>
          <w:color w:val="auto"/>
        </w:rPr>
        <w:t>Crackdown</w:t>
      </w:r>
      <w:r>
        <w:rPr>
          <w:rFonts w:ascii="Times New Roman" w:cs="Times New Roman" w:eastAsia="Times New Roman" w:hAnsi="Times New Roman"/>
          <w:sz w:val="18"/>
          <w:szCs w:val="18"/>
          <w:color w:val="auto"/>
        </w:rPr>
        <w:t xml:space="preserve"> series, and with 343 Industries on </w:t>
      </w:r>
      <w:r>
        <w:rPr>
          <w:rFonts w:ascii="Times New Roman" w:cs="Times New Roman" w:eastAsia="Times New Roman" w:hAnsi="Times New Roman"/>
          <w:sz w:val="18"/>
          <w:szCs w:val="18"/>
          <w:i w:val="1"/>
          <w:iCs w:val="1"/>
          <w:color w:val="auto"/>
        </w:rPr>
        <w:t>Halo: Reach</w:t>
      </w:r>
      <w:r>
        <w:rPr>
          <w:rFonts w:ascii="Times New Roman" w:cs="Times New Roman" w:eastAsia="Times New Roman" w:hAnsi="Times New Roman"/>
          <w:sz w:val="18"/>
          <w:szCs w:val="18"/>
          <w:color w:val="auto"/>
        </w:rPr>
        <w:t xml:space="preserve"> from the </w:t>
      </w:r>
      <w:r>
        <w:rPr>
          <w:rFonts w:ascii="Times New Roman" w:cs="Times New Roman" w:eastAsia="Times New Roman" w:hAnsi="Times New Roman"/>
          <w:sz w:val="18"/>
          <w:szCs w:val="18"/>
          <w:i w:val="1"/>
          <w:iCs w:val="1"/>
          <w:color w:val="auto"/>
        </w:rPr>
        <w:t>Halo Master Chief Collection</w:t>
      </w:r>
      <w:r>
        <w:rPr>
          <w:rFonts w:ascii="Times New Roman" w:cs="Times New Roman" w:eastAsia="Times New Roman" w:hAnsi="Times New Roman"/>
          <w:sz w:val="18"/>
          <w:szCs w:val="18"/>
          <w:color w:val="auto"/>
        </w:rPr>
        <w:t xml:space="preserve">, among many other projects. Ruffian’s talented team of just over 40 have a depth of development experience that even includes work on some early Rockstar titles from the </w:t>
      </w:r>
      <w:r>
        <w:rPr>
          <w:rFonts w:ascii="Times New Roman" w:cs="Times New Roman" w:eastAsia="Times New Roman" w:hAnsi="Times New Roman"/>
          <w:sz w:val="18"/>
          <w:szCs w:val="18"/>
          <w:i w:val="1"/>
          <w:iCs w:val="1"/>
          <w:color w:val="auto"/>
        </w:rPr>
        <w:t>Grand Theft Auto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Manhunt</w:t>
      </w:r>
      <w:r>
        <w:rPr>
          <w:rFonts w:ascii="Times New Roman" w:cs="Times New Roman" w:eastAsia="Times New Roman" w:hAnsi="Times New Roman"/>
          <w:sz w:val="18"/>
          <w:szCs w:val="18"/>
          <w:color w:val="auto"/>
        </w:rPr>
        <w:t xml:space="preserve"> series. Both Liddon and Thomson will remain on-board as Co-Studio Directors of Rockstar Dundee.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Released new free content updates for </w:t>
      </w:r>
      <w:r>
        <w:rPr>
          <w:rFonts w:ascii="Times New Roman" w:cs="Times New Roman" w:eastAsia="Times New Roman" w:hAnsi="Times New Roman"/>
          <w:sz w:val="18"/>
          <w:szCs w:val="18"/>
          <w:i w:val="1"/>
          <w:iCs w:val="1"/>
          <w:color w:val="auto"/>
        </w:rPr>
        <w:t>Red Dead Online</w:t>
      </w:r>
      <w:r>
        <w:rPr>
          <w:rFonts w:ascii="Times New Roman" w:cs="Times New Roman" w:eastAsia="Times New Roman" w:hAnsi="Times New Roman"/>
          <w:sz w:val="18"/>
          <w:szCs w:val="18"/>
          <w:color w:val="auto"/>
        </w:rPr>
        <w:t xml:space="preserve"> including:</w:t>
      </w:r>
    </w:p>
    <w:p>
      <w:pPr>
        <w:spacing w:after="0" w:line="29" w:lineRule="exact"/>
        <w:rPr>
          <w:rFonts w:ascii="Times New Roman" w:cs="Times New Roman" w:eastAsia="Times New Roman" w:hAnsi="Times New Roman"/>
          <w:sz w:val="18"/>
          <w:szCs w:val="18"/>
          <w:color w:val="auto"/>
        </w:rPr>
      </w:pPr>
    </w:p>
    <w:p>
      <w:pPr>
        <w:ind w:left="660" w:right="220" w:hanging="3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i w:val="1"/>
          <w:iCs w:val="1"/>
          <w:color w:val="auto"/>
        </w:rPr>
        <w:t>The Naturalist</w:t>
      </w:r>
      <w:r>
        <w:rPr>
          <w:rFonts w:ascii="Times New Roman" w:cs="Times New Roman" w:eastAsia="Times New Roman" w:hAnsi="Times New Roman"/>
          <w:sz w:val="18"/>
          <w:szCs w:val="18"/>
          <w:color w:val="auto"/>
        </w:rPr>
        <w:t xml:space="preserve">, a massive new update to </w:t>
      </w:r>
      <w:r>
        <w:rPr>
          <w:rFonts w:ascii="Times New Roman" w:cs="Times New Roman" w:eastAsia="Times New Roman" w:hAnsi="Times New Roman"/>
          <w:sz w:val="18"/>
          <w:szCs w:val="18"/>
          <w:i w:val="1"/>
          <w:iCs w:val="1"/>
          <w:color w:val="auto"/>
        </w:rPr>
        <w:t>Red Dead Online</w:t>
      </w:r>
      <w:r>
        <w:rPr>
          <w:rFonts w:ascii="Times New Roman" w:cs="Times New Roman" w:eastAsia="Times New Roman" w:hAnsi="Times New Roman"/>
          <w:sz w:val="18"/>
          <w:szCs w:val="18"/>
          <w:color w:val="auto"/>
        </w:rPr>
        <w:t xml:space="preserve"> featuring the latest specialist Role: The Naturalist, giving players the opportunity to track, study and sample animals for Naturalist Harriet Davenport, or hunt them for the trapper Gus MacMillan. The update also featured Legendary Animals, Legendary Animal Sighting Missions, Poaching Missions, new Free Roam Events, two new weapons, a new variant of the Varmint Rifle, the Advanced Camera, new clothing, and an assortment of unique items and rewards in the latest edition of Outlaw Pass: The Outlaw Pass No. 3.</w:t>
      </w:r>
    </w:p>
    <w:p>
      <w:pPr>
        <w:spacing w:after="0" w:line="1"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Released new free content updates for </w:t>
      </w:r>
      <w:r>
        <w:rPr>
          <w:rFonts w:ascii="Times New Roman" w:cs="Times New Roman" w:eastAsia="Times New Roman" w:hAnsi="Times New Roman"/>
          <w:sz w:val="18"/>
          <w:szCs w:val="18"/>
          <w:i w:val="1"/>
          <w:iCs w:val="1"/>
          <w:color w:val="auto"/>
        </w:rPr>
        <w:t>Grand Theft Auto Online</w:t>
      </w:r>
      <w:r>
        <w:rPr>
          <w:rFonts w:ascii="Times New Roman" w:cs="Times New Roman" w:eastAsia="Times New Roman" w:hAnsi="Times New Roman"/>
          <w:sz w:val="18"/>
          <w:szCs w:val="18"/>
          <w:color w:val="auto"/>
        </w:rPr>
        <w:t>, including The Los Santos Summer Special Update, which introduced six Superyacht Life Co-Op Missions, 15 new Vehicles, nine Open Wheel Race Tracks and the new Open Wheel Race Creator, new Business Battles, the Diamond Adversary Series, two new Arcade Cabinets, new collectibles, clothing and Ambient Events, plus multiple gameplay improvements.</w:t>
      </w:r>
    </w:p>
    <w:p>
      <w:pPr>
        <w:spacing w:after="0" w:line="1" w:lineRule="exact"/>
        <w:rPr>
          <w:rFonts w:ascii="Times New Roman" w:cs="Times New Roman" w:eastAsia="Times New Roman" w:hAnsi="Times New Roman"/>
          <w:sz w:val="18"/>
          <w:szCs w:val="18"/>
          <w:color w:val="auto"/>
        </w:rPr>
      </w:pPr>
    </w:p>
    <w:p>
      <w:pPr>
        <w:ind w:left="340" w:right="580" w:hanging="332"/>
        <w:spacing w:after="0" w:line="290" w:lineRule="auto"/>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Both </w:t>
      </w:r>
      <w:r>
        <w:rPr>
          <w:rFonts w:ascii="Times New Roman" w:cs="Times New Roman" w:eastAsia="Times New Roman" w:hAnsi="Times New Roman"/>
          <w:sz w:val="17"/>
          <w:szCs w:val="17"/>
          <w:i w:val="1"/>
          <w:iCs w:val="1"/>
          <w:color w:val="auto"/>
        </w:rPr>
        <w:t>Grand Theft Auto Online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Red Dead Online</w:t>
      </w:r>
      <w:r>
        <w:rPr>
          <w:rFonts w:ascii="Times New Roman" w:cs="Times New Roman" w:eastAsia="Times New Roman" w:hAnsi="Times New Roman"/>
          <w:sz w:val="17"/>
          <w:szCs w:val="17"/>
          <w:color w:val="auto"/>
        </w:rPr>
        <w:t xml:space="preserve"> will receive major updates later this fiscal year, featuring an extension to existing Frontier Pursuits for </w:t>
      </w:r>
      <w:r>
        <w:rPr>
          <w:rFonts w:ascii="Times New Roman" w:cs="Times New Roman" w:eastAsia="Times New Roman" w:hAnsi="Times New Roman"/>
          <w:sz w:val="17"/>
          <w:szCs w:val="17"/>
          <w:i w:val="1"/>
          <w:iCs w:val="1"/>
          <w:color w:val="auto"/>
        </w:rPr>
        <w:t>Red Dead Online</w:t>
      </w:r>
      <w:r>
        <w:rPr>
          <w:rFonts w:ascii="Times New Roman" w:cs="Times New Roman" w:eastAsia="Times New Roman" w:hAnsi="Times New Roman"/>
          <w:sz w:val="17"/>
          <w:szCs w:val="17"/>
          <w:color w:val="auto"/>
        </w:rPr>
        <w:t xml:space="preserve">, as well as </w:t>
      </w:r>
      <w:r>
        <w:rPr>
          <w:rFonts w:ascii="Times New Roman" w:cs="Times New Roman" w:eastAsia="Times New Roman" w:hAnsi="Times New Roman"/>
          <w:sz w:val="17"/>
          <w:szCs w:val="17"/>
          <w:i w:val="1"/>
          <w:iCs w:val="1"/>
          <w:color w:val="auto"/>
        </w:rPr>
        <w:t>Grand Theft Auto Online</w:t>
      </w:r>
      <w:r>
        <w:rPr>
          <w:rFonts w:ascii="Times New Roman" w:cs="Times New Roman" w:eastAsia="Times New Roman" w:hAnsi="Times New Roman"/>
          <w:sz w:val="17"/>
          <w:szCs w:val="17"/>
          <w:color w:val="auto"/>
        </w:rPr>
        <w:t xml:space="preserve">’s biggest update ever, featuring a new take on </w:t>
      </w:r>
      <w:r>
        <w:rPr>
          <w:rFonts w:ascii="Times New Roman" w:cs="Times New Roman" w:eastAsia="Times New Roman" w:hAnsi="Times New Roman"/>
          <w:sz w:val="17"/>
          <w:szCs w:val="17"/>
          <w:i w:val="1"/>
          <w:iCs w:val="1"/>
          <w:color w:val="auto"/>
        </w:rPr>
        <w:t>Heists</w:t>
      </w:r>
      <w:r>
        <w:rPr>
          <w:rFonts w:ascii="Times New Roman" w:cs="Times New Roman" w:eastAsia="Times New Roman" w:hAnsi="Times New Roman"/>
          <w:sz w:val="17"/>
          <w:szCs w:val="17"/>
          <w:color w:val="auto"/>
        </w:rPr>
        <w:t xml:space="preserve"> in a new location.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2K:</w:t>
      </w:r>
    </w:p>
    <w:p>
      <w:pPr>
        <w:spacing w:after="0" w:line="31" w:lineRule="exact"/>
        <w:rPr>
          <w:sz w:val="20"/>
          <w:szCs w:val="20"/>
          <w:color w:val="auto"/>
        </w:rPr>
      </w:pPr>
    </w:p>
    <w:p>
      <w:pPr>
        <w:ind w:left="340" w:right="1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the next iteration of the top-rated and top-selling NBA video game simulation series, for current-generation platforms worldwide. With its release,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offers one-of-a-kind immersion into all facets of NBA basketball and basketball culture, including exciting improvements upon its best-in-class gameplay, competitive and community online features and deep, varied game modes. Featuring Portland Trail Blazers’ superstar Damian Lillard on the cover, the current-gen version of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is available for $59.99 on Xbox One, PlayStation 4, Switch, PC and Stadia. The </w:t>
      </w:r>
      <w:r>
        <w:rPr>
          <w:rFonts w:ascii="Times New Roman" w:cs="Times New Roman" w:eastAsia="Times New Roman" w:hAnsi="Times New Roman"/>
          <w:sz w:val="18"/>
          <w:szCs w:val="18"/>
          <w:i w:val="1"/>
          <w:iCs w:val="1"/>
          <w:color w:val="auto"/>
        </w:rPr>
        <w:t>NBA 2K21 Mamba Forever Edition</w:t>
      </w:r>
      <w:r>
        <w:rPr>
          <w:rFonts w:ascii="Times New Roman" w:cs="Times New Roman" w:eastAsia="Times New Roman" w:hAnsi="Times New Roman"/>
          <w:sz w:val="18"/>
          <w:szCs w:val="18"/>
          <w:color w:val="auto"/>
        </w:rPr>
        <w:t xml:space="preserve"> for current-gen features basketball legend Kobe Bryant on a unique custom cover with his No. 8 jersey and is available for $99.99. Of note, the </w:t>
      </w:r>
      <w:r>
        <w:rPr>
          <w:rFonts w:ascii="Times New Roman" w:cs="Times New Roman" w:eastAsia="Times New Roman" w:hAnsi="Times New Roman"/>
          <w:sz w:val="18"/>
          <w:szCs w:val="18"/>
          <w:i w:val="1"/>
          <w:iCs w:val="1"/>
          <w:color w:val="auto"/>
        </w:rPr>
        <w:t>Mamba Forever Edition</w:t>
      </w:r>
      <w:r>
        <w:rPr>
          <w:rFonts w:ascii="Times New Roman" w:cs="Times New Roman" w:eastAsia="Times New Roman" w:hAnsi="Times New Roman"/>
          <w:sz w:val="18"/>
          <w:szCs w:val="18"/>
          <w:color w:val="auto"/>
        </w:rPr>
        <w:t xml:space="preserve"> includes dual-access to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for current and next-gen versions of the game on either PlayStation or Xbox consoles, providing purchasers with a copy of the standard edition of the game on the other generation within the same console family. </w:t>
      </w:r>
      <w:r>
        <w:rPr>
          <w:rFonts w:ascii="Times New Roman" w:cs="Times New Roman" w:eastAsia="Times New Roman" w:hAnsi="Times New Roman"/>
          <w:sz w:val="18"/>
          <w:szCs w:val="18"/>
          <w:i w:val="1"/>
          <w:iCs w:val="1"/>
          <w:color w:val="auto"/>
        </w:rPr>
        <w:t>NBA 2K21</w:t>
      </w:r>
      <w:r>
        <w:rPr>
          <w:rFonts w:ascii="Times New Roman" w:cs="Times New Roman" w:eastAsia="Times New Roman" w:hAnsi="Times New Roman"/>
          <w:sz w:val="18"/>
          <w:szCs w:val="18"/>
          <w:color w:val="auto"/>
        </w:rPr>
        <w:t xml:space="preserve"> will be available for PlayStation 5 and Xbox Series X when they launch in November 2020.</w:t>
      </w:r>
    </w:p>
    <w:p>
      <w:pPr>
        <w:spacing w:after="0" w:line="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i w:val="1"/>
          <w:iCs w:val="1"/>
          <w:color w:val="auto"/>
        </w:rPr>
        <w:t>Mafia: Definitive Edition</w:t>
      </w:r>
      <w:r>
        <w:rPr>
          <w:rFonts w:ascii="Times New Roman" w:cs="Times New Roman" w:eastAsia="Times New Roman" w:hAnsi="Times New Roman"/>
          <w:sz w:val="18"/>
          <w:szCs w:val="18"/>
          <w:color w:val="auto"/>
        </w:rPr>
        <w:t xml:space="preserve"> for PlayStation 4, Xbox One, and PC. Developed by 2K and Hangar 13, </w:t>
      </w:r>
      <w:r>
        <w:rPr>
          <w:rFonts w:ascii="Times New Roman" w:cs="Times New Roman" w:eastAsia="Times New Roman" w:hAnsi="Times New Roman"/>
          <w:sz w:val="18"/>
          <w:szCs w:val="18"/>
          <w:i w:val="1"/>
          <w:iCs w:val="1"/>
          <w:color w:val="auto"/>
        </w:rPr>
        <w:t>Mafia: Definitive Edition</w:t>
      </w:r>
      <w:r>
        <w:rPr>
          <w:rFonts w:ascii="Times New Roman" w:cs="Times New Roman" w:eastAsia="Times New Roman" w:hAnsi="Times New Roman"/>
          <w:sz w:val="18"/>
          <w:szCs w:val="18"/>
          <w:color w:val="auto"/>
        </w:rPr>
        <w:t xml:space="preserve"> is a comprehensive, built-from-the-ground-up remake of the original </w:t>
      </w:r>
      <w:r>
        <w:rPr>
          <w:rFonts w:ascii="Times New Roman" w:cs="Times New Roman" w:eastAsia="Times New Roman" w:hAnsi="Times New Roman"/>
          <w:sz w:val="18"/>
          <w:szCs w:val="18"/>
          <w:i w:val="1"/>
          <w:iCs w:val="1"/>
          <w:color w:val="auto"/>
        </w:rPr>
        <w:t>Mafia</w:t>
      </w:r>
      <w:r>
        <w:rPr>
          <w:rFonts w:ascii="Times New Roman" w:cs="Times New Roman" w:eastAsia="Times New Roman" w:hAnsi="Times New Roman"/>
          <w:sz w:val="18"/>
          <w:szCs w:val="18"/>
          <w:color w:val="auto"/>
        </w:rPr>
        <w:t>. The remake features an updated script, additional cutscenes, all-new gameplay sequences and features, a re-recorded orchestral score, and other enhancements.</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i w:val="1"/>
          <w:iCs w:val="1"/>
          <w:color w:val="auto"/>
        </w:rPr>
        <w:t>WWE 2K Battlegrounds</w:t>
      </w:r>
      <w:r>
        <w:rPr>
          <w:rFonts w:ascii="Times New Roman" w:cs="Times New Roman" w:eastAsia="Times New Roman" w:hAnsi="Times New Roman"/>
          <w:sz w:val="18"/>
          <w:szCs w:val="18"/>
          <w:color w:val="auto"/>
        </w:rPr>
        <w:t xml:space="preserve">, the arcade-style brawler that will bring over-the-top WWE action to a new level of intensity, for PlayStation 4, Xbox One, PC , Switch and Stadia. Developed by Saber Interactive, </w:t>
      </w:r>
      <w:r>
        <w:rPr>
          <w:rFonts w:ascii="Times New Roman" w:cs="Times New Roman" w:eastAsia="Times New Roman" w:hAnsi="Times New Roman"/>
          <w:sz w:val="18"/>
          <w:szCs w:val="18"/>
          <w:i w:val="1"/>
          <w:iCs w:val="1"/>
          <w:color w:val="auto"/>
        </w:rPr>
        <w:t>WWE 2K Battlegrounds</w:t>
      </w:r>
      <w:r>
        <w:rPr>
          <w:rFonts w:ascii="Times New Roman" w:cs="Times New Roman" w:eastAsia="Times New Roman" w:hAnsi="Times New Roman"/>
          <w:sz w:val="18"/>
          <w:szCs w:val="18"/>
          <w:color w:val="auto"/>
        </w:rPr>
        <w:t xml:space="preserve"> brings fast-paced action and an assortment of power-ups, special moves, unconventional melee items and interactive environments to take the brawl to the next level. Players can take on the challenges alone or compete with friends and family in person or online in cooperative and competitive multiplayer modes.</w:t>
      </w:r>
    </w:p>
    <w:p>
      <w:pPr>
        <w:spacing w:after="0" w:line="1" w:lineRule="exact"/>
        <w:rPr>
          <w:rFonts w:ascii="Times New Roman" w:cs="Times New Roman" w:eastAsia="Times New Roman" w:hAnsi="Times New Roman"/>
          <w:sz w:val="18"/>
          <w:szCs w:val="18"/>
          <w:color w:val="auto"/>
        </w:rPr>
      </w:pPr>
    </w:p>
    <w:p>
      <w:pPr>
        <w:ind w:left="340" w:right="12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w:t>
      </w:r>
      <w:r>
        <w:rPr>
          <w:rFonts w:ascii="Times New Roman" w:cs="Times New Roman" w:eastAsia="Times New Roman" w:hAnsi="Times New Roman"/>
          <w:sz w:val="18"/>
          <w:szCs w:val="18"/>
          <w:i w:val="1"/>
          <w:iCs w:val="1"/>
          <w:color w:val="auto"/>
        </w:rPr>
        <w:t>PGA TOUR 2K21</w:t>
      </w:r>
      <w:r>
        <w:rPr>
          <w:rFonts w:ascii="Times New Roman" w:cs="Times New Roman" w:eastAsia="Times New Roman" w:hAnsi="Times New Roman"/>
          <w:sz w:val="18"/>
          <w:szCs w:val="18"/>
          <w:color w:val="auto"/>
        </w:rPr>
        <w:t xml:space="preserve"> from HB Studios for PlayStation 4, Xbox One, Switch (digital), PC and Stadia. The game features PGA TOUR professional Justin Thomas as its cover athlete; officially licensed pro players, courses and gear; the most realistic course scanning to date; play-by-play commentary by Luke Elvy and Rich Beem; a new PGA TOUR Career Mode, online and local multiplayer; course and player customization; and online societies.</w:t>
      </w:r>
    </w:p>
    <w:p>
      <w:pPr>
        <w:spacing w:after="0" w:line="1" w:lineRule="exact"/>
        <w:rPr>
          <w:rFonts w:ascii="Times New Roman" w:cs="Times New Roman" w:eastAsia="Times New Roman" w:hAnsi="Times New Roman"/>
          <w:sz w:val="18"/>
          <w:szCs w:val="18"/>
          <w:color w:val="auto"/>
        </w:rPr>
      </w:pPr>
    </w:p>
    <w:p>
      <w:pPr>
        <w:ind w:left="340" w:right="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that </w:t>
      </w:r>
      <w:r>
        <w:rPr>
          <w:rFonts w:ascii="Times New Roman" w:cs="Times New Roman" w:eastAsia="Times New Roman" w:hAnsi="Times New Roman"/>
          <w:sz w:val="18"/>
          <w:szCs w:val="18"/>
          <w:i w:val="1"/>
          <w:iCs w:val="1"/>
          <w:color w:val="auto"/>
        </w:rPr>
        <w:t>Borderlands 3</w:t>
      </w:r>
      <w:r>
        <w:rPr>
          <w:rFonts w:ascii="Times New Roman" w:cs="Times New Roman" w:eastAsia="Times New Roman" w:hAnsi="Times New Roman"/>
          <w:sz w:val="18"/>
          <w:szCs w:val="18"/>
          <w:color w:val="auto"/>
        </w:rPr>
        <w:t xml:space="preserve"> will be available for PlayStation 5 and Xbox Series X when they launch in November 2020. In addition, 2K announced a second Season Pass for </w:t>
      </w:r>
      <w:r>
        <w:rPr>
          <w:rFonts w:ascii="Times New Roman" w:cs="Times New Roman" w:eastAsia="Times New Roman" w:hAnsi="Times New Roman"/>
          <w:sz w:val="18"/>
          <w:szCs w:val="18"/>
          <w:i w:val="1"/>
          <w:iCs w:val="1"/>
          <w:color w:val="auto"/>
        </w:rPr>
        <w:t>Borderlands 3</w:t>
      </w:r>
      <w:r>
        <w:rPr>
          <w:rFonts w:ascii="Times New Roman" w:cs="Times New Roman" w:eastAsia="Times New Roman" w:hAnsi="Times New Roman"/>
          <w:sz w:val="18"/>
          <w:szCs w:val="18"/>
          <w:color w:val="auto"/>
        </w:rPr>
        <w:t xml:space="preserve"> will be available on November 10, 2020 for all previously released and next-gen versions of the game. </w:t>
      </w:r>
      <w:r>
        <w:rPr>
          <w:rFonts w:ascii="Times New Roman" w:cs="Times New Roman" w:eastAsia="Times New Roman" w:hAnsi="Times New Roman"/>
          <w:sz w:val="18"/>
          <w:szCs w:val="18"/>
          <w:i w:val="1"/>
          <w:iCs w:val="1"/>
          <w:color w:val="auto"/>
        </w:rPr>
        <w:t>Season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Pass 2 </w:t>
      </w:r>
      <w:r>
        <w:rPr>
          <w:rFonts w:ascii="Times New Roman" w:cs="Times New Roman" w:eastAsia="Times New Roman" w:hAnsi="Times New Roman"/>
          <w:sz w:val="18"/>
          <w:szCs w:val="18"/>
          <w:color w:val="auto"/>
        </w:rPr>
        <w:t>will include two brand new content add-ons -</w:t>
      </w:r>
      <w:r>
        <w:rPr>
          <w:rFonts w:ascii="Times New Roman" w:cs="Times New Roman" w:eastAsia="Times New Roman" w:hAnsi="Times New Roman"/>
          <w:sz w:val="18"/>
          <w:szCs w:val="18"/>
          <w:i w:val="1"/>
          <w:iCs w:val="1"/>
          <w:color w:val="auto"/>
        </w:rPr>
        <w:t xml:space="preserve"> Designer’s Cut</w:t>
      </w:r>
      <w:r>
        <w:rPr>
          <w:rFonts w:ascii="Times New Roman" w:cs="Times New Roman" w:eastAsia="Times New Roman" w:hAnsi="Times New Roman"/>
          <w:sz w:val="18"/>
          <w:szCs w:val="18"/>
          <w:color w:val="auto"/>
        </w:rPr>
        <w:t>, which will add all new ways to play</w:t>
      </w:r>
      <w:r>
        <w:rPr>
          <w:rFonts w:ascii="Times New Roman" w:cs="Times New Roman" w:eastAsia="Times New Roman" w:hAnsi="Times New Roman"/>
          <w:sz w:val="18"/>
          <w:szCs w:val="18"/>
          <w:i w:val="1"/>
          <w:iCs w:val="1"/>
          <w:color w:val="auto"/>
        </w:rPr>
        <w:t xml:space="preserve"> Borderlands 3 </w:t>
      </w:r>
      <w:r>
        <w:rPr>
          <w:rFonts w:ascii="Times New Roman" w:cs="Times New Roman" w:eastAsia="Times New Roman" w:hAnsi="Times New Roman"/>
          <w:sz w:val="18"/>
          <w:szCs w:val="18"/>
          <w:color w:val="auto"/>
        </w:rPr>
        <w:t>by introducing a new Skill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Tree for each Vault Hunter, a new standalone mode called Arms Race, and more; and the </w:t>
      </w:r>
      <w:r>
        <w:rPr>
          <w:rFonts w:ascii="Times New Roman" w:cs="Times New Roman" w:eastAsia="Times New Roman" w:hAnsi="Times New Roman"/>
          <w:sz w:val="18"/>
          <w:szCs w:val="18"/>
          <w:i w:val="1"/>
          <w:iCs w:val="1"/>
          <w:color w:val="auto"/>
        </w:rPr>
        <w:t>Director’s Cut</w:t>
      </w:r>
      <w:r>
        <w:rPr>
          <w:rFonts w:ascii="Times New Roman" w:cs="Times New Roman" w:eastAsia="Times New Roman" w:hAnsi="Times New Roman"/>
          <w:sz w:val="18"/>
          <w:szCs w:val="18"/>
          <w:color w:val="auto"/>
        </w:rPr>
        <w:t>, which is planned for release in spring of next year.</w:t>
      </w:r>
    </w:p>
    <w:p>
      <w:pPr>
        <w:spacing w:after="0" w:line="1" w:lineRule="exact"/>
        <w:rPr>
          <w:rFonts w:ascii="Times New Roman" w:cs="Times New Roman" w:eastAsia="Times New Roman" w:hAnsi="Times New Roman"/>
          <w:sz w:val="18"/>
          <w:szCs w:val="18"/>
          <w:color w:val="auto"/>
        </w:rPr>
      </w:pPr>
    </w:p>
    <w:p>
      <w:pPr>
        <w:ind w:left="340" w:right="70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Announced that </w:t>
      </w:r>
      <w:r>
        <w:rPr>
          <w:rFonts w:ascii="Times New Roman" w:cs="Times New Roman" w:eastAsia="Times New Roman" w:hAnsi="Times New Roman"/>
          <w:sz w:val="18"/>
          <w:szCs w:val="18"/>
          <w:i w:val="1"/>
          <w:iCs w:val="1"/>
          <w:color w:val="auto"/>
        </w:rPr>
        <w:t>Season 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i w:val="1"/>
          <w:iCs w:val="1"/>
          <w:color w:val="auto"/>
        </w:rPr>
        <w:t>WWE SuperCard</w:t>
      </w:r>
      <w:r>
        <w:rPr>
          <w:rFonts w:ascii="Times New Roman" w:cs="Times New Roman" w:eastAsia="Times New Roman" w:hAnsi="Times New Roman"/>
          <w:sz w:val="18"/>
          <w:szCs w:val="18"/>
          <w:color w:val="auto"/>
        </w:rPr>
        <w:t>, the newest addition to the action-packed collectible card-battling game, is scheduled to launch in November 2020 as a free, downloadable update for iOS, Android™ and Facebook Gaming.</w:t>
      </w:r>
    </w:p>
    <w:p>
      <w:pPr>
        <w:ind w:left="340" w:right="2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NBA 2K League</w:t>
      </w:r>
      <w:r>
        <w:rPr>
          <w:rFonts w:ascii="Times New Roman" w:cs="Times New Roman" w:eastAsia="Times New Roman" w:hAnsi="Times New Roman"/>
          <w:sz w:val="18"/>
          <w:szCs w:val="18"/>
          <w:color w:val="auto"/>
        </w:rPr>
        <w:t xml:space="preserve"> concluded its third season on August 28, 2020 with Wizards District Gaming winning the 2020 League Championship. Games were simulcast live on the </w:t>
      </w:r>
      <w:r>
        <w:rPr>
          <w:rFonts w:ascii="Times New Roman" w:cs="Times New Roman" w:eastAsia="Times New Roman" w:hAnsi="Times New Roman"/>
          <w:sz w:val="18"/>
          <w:szCs w:val="18"/>
          <w:i w:val="1"/>
          <w:iCs w:val="1"/>
          <w:color w:val="auto"/>
        </w:rPr>
        <w:t>NBA 2K League</w:t>
      </w:r>
      <w:r>
        <w:rPr>
          <w:rFonts w:ascii="Times New Roman" w:cs="Times New Roman" w:eastAsia="Times New Roman" w:hAnsi="Times New Roman"/>
          <w:sz w:val="18"/>
          <w:szCs w:val="18"/>
          <w:color w:val="auto"/>
        </w:rPr>
        <w:t xml:space="preserve">’s Twitch and YouTube channels, as well as ESPN's platforms and Sportsnet (Canada). The </w:t>
      </w:r>
      <w:r>
        <w:rPr>
          <w:rFonts w:ascii="Times New Roman" w:cs="Times New Roman" w:eastAsia="Times New Roman" w:hAnsi="Times New Roman"/>
          <w:sz w:val="18"/>
          <w:szCs w:val="18"/>
          <w:i w:val="1"/>
          <w:iCs w:val="1"/>
          <w:color w:val="auto"/>
        </w:rPr>
        <w:t>NBA 2K League</w:t>
      </w:r>
      <w:r>
        <w:rPr>
          <w:rFonts w:ascii="Times New Roman" w:cs="Times New Roman" w:eastAsia="Times New Roman" w:hAnsi="Times New Roman"/>
          <w:sz w:val="18"/>
          <w:szCs w:val="18"/>
          <w:color w:val="auto"/>
        </w:rPr>
        <w:t xml:space="preserve"> has begun the tryout process for its fourth season, set to take place in 2021.</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8" w:name="page9"/>
    <w:bookmarkEnd w:id="8"/>
    <w:p>
      <w:pPr>
        <w:jc w:val="both"/>
        <w:ind w:left="340" w:right="1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a partnership with OneTeam Partners and the National Football League Players Association that will allow the label to include the names, numbers, images and likenesses for over 2,000 current NFL players in multiple, non-simulation football games that are currently in development and set to launch starting in calendar year 2021, during fiscal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Division:</w:t>
      </w:r>
    </w:p>
    <w:p>
      <w:pPr>
        <w:spacing w:after="0" w:line="3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Released, along with Obsidian Entertainment, </w:t>
      </w:r>
      <w:r>
        <w:rPr>
          <w:rFonts w:ascii="Times New Roman" w:cs="Times New Roman" w:eastAsia="Times New Roman" w:hAnsi="Times New Roman"/>
          <w:sz w:val="18"/>
          <w:szCs w:val="18"/>
          <w:i w:val="1"/>
          <w:iCs w:val="1"/>
          <w:color w:val="auto"/>
        </w:rPr>
        <w:t>The Outer Worlds: Peril on Gorgon</w:t>
      </w:r>
      <w:r>
        <w:rPr>
          <w:rFonts w:ascii="Times New Roman" w:cs="Times New Roman" w:eastAsia="Times New Roman" w:hAnsi="Times New Roman"/>
          <w:sz w:val="18"/>
          <w:szCs w:val="18"/>
          <w:color w:val="auto"/>
        </w:rPr>
        <w:t>, the first narrative-led expansion for the critically acclaimed, darkly</w:t>
      </w:r>
    </w:p>
    <w:p>
      <w:pPr>
        <w:spacing w:after="0" w:line="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humorous sci-fi RPG for the PlayStation 4, Xbox One and PC. The expansion will be coming later to Nintendo Switch. </w:t>
      </w:r>
      <w:r>
        <w:rPr>
          <w:rFonts w:ascii="Times New Roman" w:cs="Times New Roman" w:eastAsia="Times New Roman" w:hAnsi="Times New Roman"/>
          <w:sz w:val="18"/>
          <w:szCs w:val="18"/>
          <w:i w:val="1"/>
          <w:iCs w:val="1"/>
          <w:color w:val="auto"/>
        </w:rPr>
        <w:t>The Outer Worlds: Peril on</w:t>
      </w:r>
    </w:p>
    <w:p>
      <w:pPr>
        <w:spacing w:after="0" w:line="9" w:lineRule="exact"/>
        <w:rPr>
          <w:rFonts w:ascii="Times New Roman" w:cs="Times New Roman" w:eastAsia="Times New Roman" w:hAnsi="Times New Roman"/>
          <w:sz w:val="18"/>
          <w:szCs w:val="18"/>
          <w:color w:val="auto"/>
        </w:rPr>
      </w:pPr>
    </w:p>
    <w:p>
      <w:pPr>
        <w:ind w:left="340" w:right="2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Gorgon </w:t>
      </w:r>
      <w:r>
        <w:rPr>
          <w:rFonts w:ascii="Times New Roman" w:cs="Times New Roman" w:eastAsia="Times New Roman" w:hAnsi="Times New Roman"/>
          <w:sz w:val="18"/>
          <w:szCs w:val="18"/>
          <w:color w:val="auto"/>
        </w:rPr>
        <w:t>is available individually or at a discount as part of</w:t>
      </w:r>
      <w:r>
        <w:rPr>
          <w:rFonts w:ascii="Times New Roman" w:cs="Times New Roman" w:eastAsia="Times New Roman" w:hAnsi="Times New Roman"/>
          <w:sz w:val="18"/>
          <w:szCs w:val="18"/>
          <w:i w:val="1"/>
          <w:iCs w:val="1"/>
          <w:color w:val="auto"/>
        </w:rPr>
        <w:t xml:space="preserve"> The Outer Worlds Expansion Pass</w:t>
      </w:r>
      <w:r>
        <w:rPr>
          <w:rFonts w:ascii="Times New Roman" w:cs="Times New Roman" w:eastAsia="Times New Roman" w:hAnsi="Times New Roman"/>
          <w:sz w:val="18"/>
          <w:szCs w:val="18"/>
          <w:color w:val="auto"/>
        </w:rPr>
        <w:t>, which will also include</w:t>
      </w:r>
      <w:r>
        <w:rPr>
          <w:rFonts w:ascii="Times New Roman" w:cs="Times New Roman" w:eastAsia="Times New Roman" w:hAnsi="Times New Roman"/>
          <w:sz w:val="18"/>
          <w:szCs w:val="18"/>
          <w:i w:val="1"/>
          <w:iCs w:val="1"/>
          <w:color w:val="auto"/>
        </w:rPr>
        <w:t xml:space="preserve"> The Outer Worlds: Murder on Eridanos</w:t>
      </w:r>
      <w:r>
        <w:rPr>
          <w:rFonts w:ascii="Times New Roman" w:cs="Times New Roman" w:eastAsia="Times New Roman" w:hAnsi="Times New Roman"/>
          <w:sz w:val="18"/>
          <w:szCs w:val="18"/>
          <w:color w:val="auto"/>
        </w:rPr>
        <w:t>, the second expansion set to launch in the first half of calendar 2021.</w:t>
      </w:r>
    </w:p>
    <w:p>
      <w:pPr>
        <w:jc w:val="both"/>
        <w:ind w:left="340" w:right="10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three new publishing agreements with top independent developers Moon Studios, League of Geeks, and Roll7. In collaboration with these developers, Private Division will announce more details about each specific project in the future. The first of these titles is expected to launch in fiscal year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 for Fiscal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is providing its initial outlook for its fiscal third quarter ending December 31, 2020 and increasing its outlook for the fiscal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Ending December 31, 2020</w:t>
      </w:r>
    </w:p>
    <w:p>
      <w:pPr>
        <w:spacing w:after="0" w:line="229"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revenue is expected to range from $760 to $810 million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is expected to range from $128 to $140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is expected to range from $1.10 to $1.21</w:t>
      </w:r>
    </w:p>
    <w:p>
      <w:pPr>
        <w:spacing w:after="0" w:line="9" w:lineRule="exact"/>
        <w:rPr>
          <w:rFonts w:ascii="Times New Roman" w:cs="Times New Roman" w:eastAsia="Times New Roman" w:hAnsi="Times New Roman"/>
          <w:sz w:val="18"/>
          <w:szCs w:val="18"/>
          <w:color w:val="auto"/>
        </w:rPr>
      </w:pPr>
    </w:p>
    <w:p>
      <w:pPr>
        <w:ind w:left="340" w:hanging="332"/>
        <w:spacing w:after="0" w:line="192" w:lineRule="auto"/>
        <w:tabs>
          <w:tab w:leader="none" w:pos="340" w:val="left"/>
        </w:tabs>
        <w:numPr>
          <w:ilvl w:val="0"/>
          <w:numId w:val="1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 xml:space="preserve">Share count used to calculate both GAAP and management reporting diluted net income per share is expected to be 115.9 million </w:t>
      </w:r>
      <w:r>
        <w:rPr>
          <w:rFonts w:ascii="Times New Roman" w:cs="Times New Roman" w:eastAsia="Times New Roman" w:hAnsi="Times New Roman"/>
          <w:sz w:val="23"/>
          <w:szCs w:val="23"/>
          <w:color w:val="auto"/>
          <w:vertAlign w:val="superscript"/>
        </w:rPr>
        <w:t>(1)</w:t>
      </w: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Bookings (operational metric) are expected to range from $675 to $725 million</w:t>
      </w:r>
    </w:p>
    <w:p>
      <w:pPr>
        <w:spacing w:after="0" w:line="205"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20" w:type="dxa"/>
            <w:vAlign w:val="bottom"/>
            <w:tcBorders>
              <w:bottom w:val="single" w:sz="8" w:color="auto"/>
            </w:tcBorders>
            <w:gridSpan w:val="10"/>
          </w:tcPr>
          <w:p>
            <w:pPr>
              <w:ind w:left="1280"/>
              <w:spacing w:after="0"/>
              <w:rPr>
                <w:sz w:val="20"/>
                <w:szCs w:val="20"/>
                <w:color w:val="auto"/>
              </w:rPr>
            </w:pPr>
            <w:r>
              <w:rPr>
                <w:rFonts w:ascii="Times New Roman" w:cs="Times New Roman" w:eastAsia="Times New Roman" w:hAnsi="Times New Roman"/>
                <w:sz w:val="18"/>
                <w:szCs w:val="18"/>
                <w:b w:val="1"/>
                <w:bCs w:val="1"/>
                <w:color w:val="auto"/>
              </w:rPr>
              <w:t>Three Months Ending December 31, 2020</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Financial Data</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deferred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 of</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revenue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GAAP outlook </w:t>
            </w:r>
            <w:r>
              <w:rPr>
                <w:rFonts w:ascii="Times New Roman" w:cs="Times New Roman" w:eastAsia="Times New Roman" w:hAnsi="Times New Roman"/>
                <w:sz w:val="29"/>
                <w:szCs w:val="29"/>
                <w:b w:val="1"/>
                <w:bCs w:val="1"/>
                <w:color w:val="auto"/>
                <w:vertAlign w:val="superscript"/>
              </w:rPr>
              <w:t>(2)</w:t>
            </w: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related cost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0" w:type="dxa"/>
            <w:vAlign w:val="bottom"/>
          </w:tcPr>
          <w:p>
            <w:pPr>
              <w:spacing w:after="0"/>
              <w:rPr>
                <w:sz w:val="1"/>
                <w:szCs w:val="1"/>
                <w:color w:val="auto"/>
              </w:rPr>
            </w:pPr>
          </w:p>
        </w:tc>
      </w:t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goods sold</w:t>
            </w:r>
          </w:p>
        </w:tc>
        <w:tc>
          <w:tcPr>
            <w:tcW w:w="80" w:type="dxa"/>
            <w:vAlign w:val="bottom"/>
          </w:tcPr>
          <w:p>
            <w:pPr>
              <w:spacing w:after="0"/>
              <w:rPr>
                <w:sz w:val="20"/>
                <w:szCs w:val="20"/>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0"/>
        </w:trPr>
        <w:tc>
          <w:tcPr>
            <w:tcW w:w="5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$760 to $810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$291 to $317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$325 to $335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36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$145 to $159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 Ending March 31, 2021</w:t>
      </w:r>
    </w:p>
    <w:p>
      <w:pPr>
        <w:spacing w:after="0" w:line="229"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revenue is expected to range from $3.05 to $3.15 billion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is expected to range from $372 to $403 million</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diluted net income per share is expected to range from $3.22 to $3.49</w:t>
      </w:r>
    </w:p>
    <w:p>
      <w:pPr>
        <w:spacing w:after="0" w:line="9" w:lineRule="exact"/>
        <w:rPr>
          <w:rFonts w:ascii="Times New Roman" w:cs="Times New Roman" w:eastAsia="Times New Roman" w:hAnsi="Times New Roman"/>
          <w:sz w:val="18"/>
          <w:szCs w:val="18"/>
          <w:color w:val="auto"/>
        </w:rPr>
      </w:pPr>
    </w:p>
    <w:p>
      <w:pPr>
        <w:ind w:left="340" w:hanging="332"/>
        <w:spacing w:after="0" w:line="192" w:lineRule="auto"/>
        <w:tabs>
          <w:tab w:leader="none" w:pos="340"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 xml:space="preserve">Share count used to calculate both GAAP and management reporting diluted net income per share is expected to be 115.5 million </w:t>
      </w:r>
      <w:r>
        <w:rPr>
          <w:rFonts w:ascii="Times New Roman" w:cs="Times New Roman" w:eastAsia="Times New Roman" w:hAnsi="Times New Roman"/>
          <w:sz w:val="23"/>
          <w:szCs w:val="23"/>
          <w:color w:val="auto"/>
          <w:vertAlign w:val="superscript"/>
        </w:rPr>
        <w:t>(3)</w:t>
      </w: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is expected to be over $690 million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left="340" w:hanging="332"/>
        <w:spacing w:after="0"/>
        <w:tabs>
          <w:tab w:leader="none" w:pos="34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Adjusted Unrestricted Operating Cash Flow (Non-GAAP) is expected to be over $650 million </w:t>
      </w:r>
      <w:r>
        <w:rPr>
          <w:rFonts w:ascii="Times New Roman" w:cs="Times New Roman" w:eastAsia="Times New Roman" w:hAnsi="Times New Roman"/>
          <w:sz w:val="29"/>
          <w:szCs w:val="29"/>
          <w:color w:val="auto"/>
          <w:vertAlign w:val="superscript"/>
        </w:rPr>
        <w:t>(4)</w:t>
      </w: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are expected to be approximately $75 million</w:t>
      </w:r>
    </w:p>
    <w:p>
      <w:pPr>
        <w:spacing w:after="0" w:line="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Bookings (operational metric) are expected to range from $3.15 to $3.25 billion</w:t>
      </w:r>
    </w:p>
    <w:p>
      <w:pPr>
        <w:spacing w:after="0" w:line="20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Company is also providing selected data and its management reporting tax rate of 16%, which are used internally by its management and Board of Directors to adjust the Company’s GAAP financial outlook in order to facilitate comparison of its operating performance between periods and to better understand its core business and future outlook: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0" w:type="dxa"/>
            <w:vAlign w:val="bottom"/>
            <w:tcBorders>
              <w:bottom w:val="single" w:sz="8" w:color="auto"/>
            </w:tcBorders>
            <w:gridSpan w:val="13"/>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Twelve Months Ending March 31, 2021</w:t>
            </w:r>
          </w:p>
        </w:tc>
        <w:tc>
          <w:tcPr>
            <w:tcW w:w="5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Financial Data</w:t>
            </w: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deferred net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revenue and</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related cost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1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of acquired</w:t>
            </w: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5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GAAP outlook </w:t>
            </w:r>
            <w:r>
              <w:rPr>
                <w:rFonts w:ascii="Times New Roman" w:cs="Times New Roman" w:eastAsia="Times New Roman" w:hAnsi="Times New Roman"/>
                <w:sz w:val="29"/>
                <w:szCs w:val="29"/>
                <w:b w:val="1"/>
                <w:bCs w:val="1"/>
                <w:color w:val="auto"/>
                <w:vertAlign w:val="superscript"/>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of goods</w:t>
            </w:r>
          </w:p>
        </w:tc>
        <w:tc>
          <w:tcPr>
            <w:tcW w:w="120" w:type="dxa"/>
            <w:vAlign w:val="bottom"/>
          </w:tcPr>
          <w:p>
            <w:pPr>
              <w:spacing w:after="0"/>
              <w:rPr>
                <w:sz w:val="18"/>
                <w:szCs w:val="18"/>
                <w:color w:val="auto"/>
              </w:rPr>
            </w:pP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Stock-based</w:t>
            </w:r>
          </w:p>
        </w:tc>
        <w:tc>
          <w:tcPr>
            <w:tcW w:w="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0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intangible</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Reorganization</w:t>
            </w: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5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sold</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0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&amp; Acquisition</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$3,050 to</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14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$3,150</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$1,441 to</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4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$1,487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w:t>
            </w:r>
          </w:p>
        </w:tc>
        <w:tc>
          <w:tcPr>
            <w:tcW w:w="5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$1,205 to</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$1,225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tc>
        <w:tc>
          <w:tcPr>
            <w:tcW w:w="14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($14)</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$418 to $452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85</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180</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w:t>
            </w: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115.0 million basic shares and 0.9 million shares representing the potential dilution from unvested employee stock grants.</w:t>
      </w:r>
    </w:p>
    <w:p>
      <w:pPr>
        <w:spacing w:after="0" w:line="27"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components of the financial outlook may not foot to the totals, as the Company does not expect actual results for every component to be at the low end or high end of the outlook range simultaneously.</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114.6 million basic shares and 0.9 million shares representing the potential dilution from unvested employee stock grants.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 $40 million net increase in restricted cash for fiscal 2021.</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Key assumptions and dependencies underlying the Company’s outlook include: the timely delivery of the titles included in this financial outlook; a stable economic environment; continued consumer acceptance of Xbox One and PlayStation 4; the ability to develop and publish products that capture market share for these current generation systems while also leveraging opportunities on PlayStation 5 and Xbox Series X, PC, mobile and other platforms; and stable foreign exchange rates. See also “Cautionary Note Regarding Forward Looking Statements”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Releases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titles have been released since July 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Label</w:t>
            </w:r>
          </w:p>
        </w:tc>
        <w:tc>
          <w:tcPr>
            <w:tcW w:w="5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3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Platforms</w:t>
            </w:r>
          </w:p>
        </w:tc>
        <w:tc>
          <w:tcPr>
            <w:tcW w:w="17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Release Date</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Private Division</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Kerbal Space Program: Shared Horizons </w:t>
            </w:r>
            <w:r>
              <w:rPr>
                <w:rFonts w:ascii="Times New Roman" w:cs="Times New Roman" w:eastAsia="Times New Roman" w:hAnsi="Times New Roman"/>
                <w:sz w:val="18"/>
                <w:szCs w:val="18"/>
                <w:color w:val="auto"/>
              </w:rPr>
              <w:t>(free update)</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1, 2020</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Sid Meier's Civilization VI – New Frontier Pass: Ethiopia Pack </w:t>
            </w:r>
            <w:r>
              <w:rPr>
                <w:rFonts w:ascii="Times New Roman" w:cs="Times New Roman" w:eastAsia="Times New Roman" w:hAnsi="Times New Roman"/>
                <w:sz w:val="18"/>
                <w:szCs w:val="18"/>
                <w:color w:val="auto"/>
              </w:rPr>
              <w:t>(DLC)</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23, 2020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Red Dead Online: The Naturalist</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PC, Stadia</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July 28, 2020</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PGA TOUR 2K21</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August 21, 2020</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NBA 2K21</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vMerge w:val="continue"/>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4, 2020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The Outer Worlds: Peril on Gorgon </w:t>
            </w:r>
            <w:r>
              <w:rPr>
                <w:rFonts w:ascii="Times New Roman" w:cs="Times New Roman" w:eastAsia="Times New Roman" w:hAnsi="Times New Roman"/>
                <w:sz w:val="18"/>
                <w:szCs w:val="18"/>
                <w:color w:val="auto"/>
              </w:rPr>
              <w:t>(DLC)</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Private Division</w:t>
            </w:r>
          </w:p>
        </w:tc>
        <w:tc>
          <w:tcPr>
            <w:tcW w:w="5720" w:type="dxa"/>
            <w:vAlign w:val="bottom"/>
            <w:vMerge w:val="continue"/>
          </w:tcPr>
          <w:p>
            <w:pPr>
              <w:spacing w:after="0"/>
              <w:rPr>
                <w:sz w:val="19"/>
                <w:szCs w:val="19"/>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9, 2020</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Borderlands 3: Psycho Krieg and the Fantastic Flustercluck (DLC)</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10, 2020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WWE 2K Battlegrounds</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vMerge w:val="continue"/>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18, 2020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Sid Meier's Civilization VI – New Frontier Pass: Byzantium &amp; Gaul Pack</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vMerge w:val="continue"/>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24, 2020</w:t>
            </w:r>
          </w:p>
        </w:tc>
        <w:tc>
          <w:tcPr>
            <w:tcW w:w="0" w:type="dxa"/>
            <w:vAlign w:val="bottom"/>
          </w:tcPr>
          <w:p>
            <w:pPr>
              <w:spacing w:after="0"/>
              <w:rPr>
                <w:sz w:val="1"/>
                <w:szCs w:val="1"/>
                <w:color w:val="auto"/>
              </w:rPr>
            </w:pPr>
          </w:p>
        </w:tc>
      </w:tr>
      <w:tr>
        <w:trPr>
          <w:trHeight w:val="227"/>
        </w:trPr>
        <w:tc>
          <w:tcPr>
            <w:tcW w:w="1440" w:type="dxa"/>
            <w:vAlign w:val="bottom"/>
          </w:tcPr>
          <w:p>
            <w:pPr>
              <w:spacing w:after="0"/>
              <w:rPr>
                <w:sz w:val="19"/>
                <w:szCs w:val="19"/>
                <w:color w:val="auto"/>
              </w:rPr>
            </w:pP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(DLC)</w:t>
            </w:r>
          </w:p>
        </w:tc>
        <w:tc>
          <w:tcPr>
            <w:tcW w:w="23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Mafia I Definitive Edition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September 25, 2020</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PGA TOUR 2K21 - 3-Hole Match Types Update (DLC)</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2, 2020</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Kerbal Space Program: Shared Horizons </w:t>
            </w:r>
            <w:r>
              <w:rPr>
                <w:rFonts w:ascii="Times New Roman" w:cs="Times New Roman" w:eastAsia="Times New Roman" w:hAnsi="Times New Roman"/>
                <w:sz w:val="18"/>
                <w:szCs w:val="18"/>
                <w:color w:val="auto"/>
              </w:rPr>
              <w:t>(free update)</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Private Division</w:t>
            </w:r>
          </w:p>
        </w:tc>
        <w:tc>
          <w:tcPr>
            <w:tcW w:w="5720" w:type="dxa"/>
            <w:vAlign w:val="bottom"/>
            <w:vMerge w:val="continue"/>
          </w:tcPr>
          <w:p>
            <w:pPr>
              <w:spacing w:after="0"/>
              <w:rPr>
                <w:sz w:val="19"/>
                <w:szCs w:val="19"/>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14, 2020</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PGA TOUR 2K21 - Halloween Update (DLC)</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October 20, 2020</w:t>
            </w:r>
          </w:p>
        </w:tc>
        <w:tc>
          <w:tcPr>
            <w:tcW w:w="0" w:type="dxa"/>
            <w:vAlign w:val="bottom"/>
          </w:tcPr>
          <w:p>
            <w:pPr>
              <w:spacing w:after="0"/>
              <w:rPr>
                <w:sz w:val="1"/>
                <w:szCs w:val="1"/>
                <w:color w:val="auto"/>
              </w:rPr>
            </w:pPr>
          </w:p>
        </w:tc>
      </w:tr>
      <w:tr>
        <w:trPr>
          <w:trHeight w:val="229"/>
        </w:trPr>
        <w:tc>
          <w:tcPr>
            <w:tcW w:w="1440" w:type="dxa"/>
            <w:vAlign w:val="bottom"/>
          </w:tcPr>
          <w:p>
            <w:pPr>
              <w:spacing w:after="0"/>
              <w:rPr>
                <w:sz w:val="19"/>
                <w:szCs w:val="19"/>
                <w:color w:val="auto"/>
              </w:rPr>
            </w:pPr>
          </w:p>
        </w:tc>
        <w:tc>
          <w:tcPr>
            <w:tcW w:w="57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WWE 2K Battlegrounds </w:t>
            </w:r>
            <w:r>
              <w:rPr>
                <w:rFonts w:ascii="Times New Roman" w:cs="Times New Roman" w:eastAsia="Times New Roman" w:hAnsi="Times New Roman"/>
                <w:sz w:val="18"/>
                <w:szCs w:val="18"/>
                <w:color w:val="auto"/>
              </w:rPr>
              <w:t>DLC (free update)</w:t>
            </w: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5720" w:type="dxa"/>
            <w:vAlign w:val="bottom"/>
            <w:vMerge w:val="continue"/>
          </w:tcPr>
          <w:p>
            <w:pPr>
              <w:spacing w:after="0"/>
              <w:rPr>
                <w:sz w:val="18"/>
                <w:szCs w:val="18"/>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PS4, Xbox One, Switch, PC,</w:t>
            </w:r>
          </w:p>
        </w:tc>
        <w:tc>
          <w:tcPr>
            <w:tcW w:w="1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November 4, 2020</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2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Stadia</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4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4140"/>
              <w:spacing w:after="0"/>
              <w:rPr>
                <w:sz w:val="20"/>
                <w:szCs w:val="20"/>
                <w:color w:val="auto"/>
              </w:rPr>
            </w:pPr>
            <w:r>
              <w:rPr>
                <w:rFonts w:ascii="Times New Roman" w:cs="Times New Roman" w:eastAsia="Times New Roman" w:hAnsi="Times New Roman"/>
                <w:sz w:val="18"/>
                <w:szCs w:val="18"/>
                <w:color w:val="auto"/>
              </w:rPr>
              <w:t>6</w:t>
            </w:r>
          </w:p>
        </w:tc>
        <w:tc>
          <w:tcPr>
            <w:tcW w:w="2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7" w:right="339" w:bottom="325"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Take-Two's lineup of future titles announced to-date includes: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Label</w:t>
            </w:r>
          </w:p>
        </w:tc>
        <w:tc>
          <w:tcPr>
            <w:tcW w:w="39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0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Platforms</w:t>
            </w:r>
          </w:p>
        </w:tc>
        <w:tc>
          <w:tcPr>
            <w:tcW w:w="1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Release Date</w:t>
            </w:r>
          </w:p>
        </w:tc>
      </w:tr>
      <w:tr>
        <w:trPr>
          <w:trHeight w:val="189"/>
        </w:trPr>
        <w:tc>
          <w:tcPr>
            <w:tcW w:w="14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line="189" w:lineRule="exact"/>
              <w:rPr>
                <w:sz w:val="20"/>
                <w:szCs w:val="20"/>
                <w:color w:val="auto"/>
              </w:rPr>
            </w:pPr>
            <w:r>
              <w:rPr>
                <w:rFonts w:ascii="Times New Roman" w:cs="Times New Roman" w:eastAsia="Times New Roman" w:hAnsi="Times New Roman"/>
                <w:sz w:val="18"/>
                <w:szCs w:val="18"/>
                <w:i w:val="1"/>
                <w:iCs w:val="1"/>
                <w:color w:val="auto"/>
              </w:rPr>
              <w:t>Borderlands 3</w:t>
            </w:r>
          </w:p>
        </w:tc>
        <w:tc>
          <w:tcPr>
            <w:tcW w:w="4000" w:type="dxa"/>
            <w:vAlign w:val="bottom"/>
          </w:tcPr>
          <w:p>
            <w:pPr>
              <w:ind w:left="280"/>
              <w:spacing w:after="0" w:line="189" w:lineRule="exact"/>
              <w:rPr>
                <w:sz w:val="20"/>
                <w:szCs w:val="20"/>
                <w:color w:val="auto"/>
              </w:rPr>
            </w:pPr>
            <w:r>
              <w:rPr>
                <w:rFonts w:ascii="Times New Roman" w:cs="Times New Roman" w:eastAsia="Times New Roman" w:hAnsi="Times New Roman"/>
                <w:sz w:val="18"/>
                <w:szCs w:val="18"/>
                <w:color w:val="auto"/>
              </w:rPr>
              <w:t>Xbox Series X (digital only)</w:t>
            </w:r>
          </w:p>
        </w:tc>
        <w:tc>
          <w:tcPr>
            <w:tcW w:w="188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November 10, 2020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NBA 2K21</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Xbox Series X</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10, 2020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Borderlands 3 - Season Pass 2</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PS4, PS5, Xbox One, Xbox Series X, PC, Stadia</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10, 2020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Borderlands 3</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PS5 (digital only)</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NBA 2K21</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PS5</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12, 2020</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2K</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WWE SuperCard: Season 7</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iOS, Android, Facebook Gaming</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November 2020</w:t>
            </w:r>
          </w:p>
        </w:tc>
      </w:tr>
      <w:tr>
        <w:trPr>
          <w:trHeight w:val="25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Private Division</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 xml:space="preserve">The Outer Worlds: Murder on Eridanos </w:t>
            </w:r>
            <w:r>
              <w:rPr>
                <w:rFonts w:ascii="Times New Roman" w:cs="Times New Roman" w:eastAsia="Times New Roman" w:hAnsi="Times New Roman"/>
                <w:sz w:val="18"/>
                <w:szCs w:val="18"/>
                <w:color w:val="auto"/>
              </w:rPr>
              <w:t>(DLC)</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PS4, Xbox One, PC</w:t>
            </w:r>
          </w:p>
        </w:tc>
        <w:tc>
          <w:tcPr>
            <w:tcW w:w="1880" w:type="dxa"/>
            <w:vAlign w:val="bottom"/>
          </w:tcPr>
          <w:p>
            <w:pPr>
              <w:ind w:left="200"/>
              <w:spacing w:after="0" w:line="256" w:lineRule="exact"/>
              <w:rPr>
                <w:sz w:val="20"/>
                <w:szCs w:val="20"/>
                <w:color w:val="auto"/>
              </w:rPr>
            </w:pPr>
            <w:r>
              <w:rPr>
                <w:rFonts w:ascii="Times New Roman" w:cs="Times New Roman" w:eastAsia="Times New Roman" w:hAnsi="Times New Roman"/>
                <w:sz w:val="18"/>
                <w:szCs w:val="18"/>
                <w:color w:val="auto"/>
                <w:w w:val="98"/>
              </w:rPr>
              <w:t>1</w:t>
            </w:r>
            <w:r>
              <w:rPr>
                <w:rFonts w:ascii="Times New Roman" w:cs="Times New Roman" w:eastAsia="Times New Roman" w:hAnsi="Times New Roman"/>
                <w:sz w:val="29"/>
                <w:szCs w:val="29"/>
                <w:color w:val="auto"/>
                <w:w w:val="98"/>
                <w:vertAlign w:val="superscript"/>
              </w:rPr>
              <w:t>st</w:t>
            </w:r>
            <w:r>
              <w:rPr>
                <w:rFonts w:ascii="Times New Roman" w:cs="Times New Roman" w:eastAsia="Times New Roman" w:hAnsi="Times New Roman"/>
                <w:sz w:val="18"/>
                <w:szCs w:val="18"/>
                <w:color w:val="auto"/>
                <w:w w:val="98"/>
              </w:rPr>
              <w:t xml:space="preserve"> Half Calendar 2021</w:t>
            </w: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Rockstar Games</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Grand Theft Auto V</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PS5, Xbox Series X</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2022</w:t>
            </w: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Private Division</w:t>
            </w:r>
          </w:p>
        </w:tc>
        <w:tc>
          <w:tcPr>
            <w:tcW w:w="3920" w:type="dxa"/>
            <w:vAlign w:val="bottom"/>
          </w:tcPr>
          <w:p>
            <w:pPr>
              <w:ind w:left="260"/>
              <w:spacing w:after="0"/>
              <w:rPr>
                <w:sz w:val="20"/>
                <w:szCs w:val="20"/>
                <w:color w:val="auto"/>
              </w:rPr>
            </w:pPr>
            <w:r>
              <w:rPr>
                <w:rFonts w:ascii="Times New Roman" w:cs="Times New Roman" w:eastAsia="Times New Roman" w:hAnsi="Times New Roman"/>
                <w:sz w:val="18"/>
                <w:szCs w:val="18"/>
                <w:i w:val="1"/>
                <w:iCs w:val="1"/>
                <w:color w:val="auto"/>
              </w:rPr>
              <w:t>Kerbal Space Program 2</w:t>
            </w:r>
          </w:p>
        </w:tc>
        <w:tc>
          <w:tcPr>
            <w:tcW w:w="4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PS4, Xbox One, PC</w:t>
            </w:r>
          </w:p>
        </w:tc>
        <w:tc>
          <w:tcPr>
            <w:tcW w:w="1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2023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Take-Two will host a conference call today at 4:30 p.m. Eastern Time to review these results and discuss other topics. The call can be accessed by dialing</w:t>
      </w:r>
    </w:p>
    <w:p>
      <w:pPr>
        <w:spacing w:after="0" w:line="27" w:lineRule="exact"/>
        <w:rPr>
          <w:sz w:val="20"/>
          <w:szCs w:val="20"/>
          <w:color w:val="auto"/>
        </w:rPr>
      </w:pPr>
    </w:p>
    <w:p>
      <w:pPr>
        <w:ind w:right="680" w:firstLine="8"/>
        <w:spacing w:after="0" w:line="260"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407-0984 or (201) 689-8577. A live listen-only webcast of the call will be available by visiting </w:t>
      </w:r>
      <w:r>
        <w:rPr>
          <w:rFonts w:ascii="Times New Roman" w:cs="Times New Roman" w:eastAsia="Times New Roman" w:hAnsi="Times New Roman"/>
          <w:sz w:val="18"/>
          <w:szCs w:val="18"/>
          <w:u w:val="single" w:color="auto"/>
          <w:color w:val="auto"/>
        </w:rPr>
        <w:t>http://ir.take2games.com</w:t>
      </w:r>
      <w:r>
        <w:rPr>
          <w:rFonts w:ascii="Times New Roman" w:cs="Times New Roman" w:eastAsia="Times New Roman" w:hAnsi="Times New Roman"/>
          <w:sz w:val="18"/>
          <w:szCs w:val="18"/>
          <w:color w:val="auto"/>
        </w:rPr>
        <w:t xml:space="preserve"> and a replay will be available following the call at the same location.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addition to reporting financial results in accordance with U.S. generally accepted accounting principles (GAAP), the Company uses a Non-GAAP measure of financial performance: </w:t>
      </w:r>
      <w:r>
        <w:rPr>
          <w:rFonts w:ascii="Times New Roman" w:cs="Times New Roman" w:eastAsia="Times New Roman" w:hAnsi="Times New Roman"/>
          <w:sz w:val="18"/>
          <w:szCs w:val="18"/>
          <w:b w:val="1"/>
          <w:bCs w:val="1"/>
          <w:i w:val="1"/>
          <w:iCs w:val="1"/>
          <w:color w:val="auto"/>
        </w:rPr>
        <w:t>Adjusted Unrestricted Operating Cash Flow</w:t>
      </w:r>
      <w:r>
        <w:rPr>
          <w:rFonts w:ascii="Times New Roman" w:cs="Times New Roman" w:eastAsia="Times New Roman" w:hAnsi="Times New Roman"/>
          <w:sz w:val="18"/>
          <w:szCs w:val="18"/>
          <w:color w:val="auto"/>
        </w:rPr>
        <w:t>, which is defined as GAAP net cash from operating activities, adjusted for changes in restricted cash. The Company’s management believes it is important to consider Adjusted Unrestricted Operating Cash Flow, in addition to net cash from operating activities, as it provides more transparency into current business trends without regard to the timing of payments from restricted cash, which is primarily related to a dedicated account limited to the payment of certain internal royalty obligations.</w:t>
      </w:r>
    </w:p>
    <w:p>
      <w:pPr>
        <w:spacing w:after="0" w:line="18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This Non-GAAP financial measure is not intended to be considered in isolation from, as a substitute for, or superior to, GAAP results. This Non-GAAP financial measure may be different from similarly titled measures used by other companies. In the future, Take-Two may also consider whether other items should also be excluded in calculating this Non-GAAP financial measure used by the Company. Management believes that the presentation of this Non-GAAP financial measure provides investors with additional useful information to measure Take-Two's financial and operating performance. In particular, this measure facilitates comparison of our operating performance between periods and may help investors to understand better the operating results of Take-Two. Internally, management uses this Non-GAAP financial measure in assessing the Company's operating results and in planning and forecasting. A reconciliation of this Non-GAAP financial measure to the most comparable GAAP measure is contained in the financial tables to this press release.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Final Results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financial results discussed herein are presented on a preliminary basis; final data will be included in Take-Two’s Quarterly Report on Form 10-Q for the period ended September 30,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Take-Two Interactive Software</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Headquartered in New York City, Take-Two Interactive Software, Inc. is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smartphones and tablets, and are delivered through physical retail, digital download, online platforms and cloud streaming services. The Company’s common stock is publicly traded on NASDAQ under the symbol TTWO. For more corporate and product information please visit our website at </w:t>
      </w:r>
      <w:r>
        <w:rPr>
          <w:rFonts w:ascii="Times New Roman" w:cs="Times New Roman" w:eastAsia="Times New Roman" w:hAnsi="Times New Roman"/>
          <w:sz w:val="18"/>
          <w:szCs w:val="18"/>
          <w:u w:val="single" w:color="auto"/>
          <w:color w:val="auto"/>
        </w:rPr>
        <w:t>http://www.take2games.com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trademarks and copyrights contained herein are the property of their respective 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Note Regarding 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the Company's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our dependence on key management and product development personnel; our dependence on our </w:t>
      </w:r>
      <w:r>
        <w:rPr>
          <w:rFonts w:ascii="Times New Roman" w:cs="Times New Roman" w:eastAsia="Times New Roman" w:hAnsi="Times New Roman"/>
          <w:sz w:val="18"/>
          <w:szCs w:val="18"/>
          <w:i w:val="1"/>
          <w:iCs w:val="1"/>
          <w:color w:val="auto"/>
        </w:rPr>
        <w:t xml:space="preserve">Grand Theft Auto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NBA 2K </w:t>
      </w:r>
      <w:r>
        <w:rPr>
          <w:rFonts w:ascii="Times New Roman" w:cs="Times New Roman" w:eastAsia="Times New Roman" w:hAnsi="Times New Roman"/>
          <w:sz w:val="18"/>
          <w:szCs w:val="18"/>
          <w:color w:val="auto"/>
        </w:rPr>
        <w:t>products and our ability to develop other hit titles; our ability to leverage opportunities on PlayStation 5 and Xbox Series 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timely release and significant market acceptance of our games; the ability to maintain acceptable pricing levels on our games; and risks associated with international operations.</w:t>
      </w:r>
    </w:p>
    <w:p>
      <w:pPr>
        <w:spacing w:after="0" w:line="19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important factors and information are contained in the Company's most recent Annual Report on Form 10-K, including the risks summarized in the section entitled "Risk Factors," the Company’s most recent Quarterly Report on Form 10-Q, and the Company's other periodic filings with the SEC, which can be accessed at www.take2games.com. All forward-looking statements are qualified by these cautionary statements and apply only as of the date they are made. The Company undertakes no obligation to update any forward-looking statement, whether as a result of new information, future events or otherwise.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5"/>
          <w:szCs w:val="25"/>
          <w:b w:val="1"/>
          <w:bCs w:val="1"/>
          <w:color w:val="auto"/>
        </w:rPr>
        <w:t>TAKE-TWO INTERACTIVE SOFTWARE, INC. and SUBSIDIARIES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841,142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857,841</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1,672,452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royalties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127,804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109,991</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341,867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 costs and royalties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142,771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211,996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290,818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320,437</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92,944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59,693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148,963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82,197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costs</w:t>
            </w: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68,986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86,568</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127,546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134,203</w:t>
            </w: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cost of goods sold</w:t>
            </w:r>
          </w:p>
        </w:tc>
        <w:tc>
          <w:tcPr>
            <w:tcW w:w="6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432,505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468,248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909,194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709,717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408,637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389,593</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763,258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688,583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113,691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149,566</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198,470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241,387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91,433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76,659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193,606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151,492</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74,216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76,197</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147,324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145,160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13,691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12,024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26,109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23,281</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Business reorganization</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293,270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314,773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565,748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115,367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197,510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net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8,054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18,479</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117,418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82,874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207,779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18,097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11,059</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26,934</w:t>
            </w:r>
          </w:p>
        </w:tc>
        <w:tc>
          <w:tcPr>
            <w:tcW w:w="0" w:type="dxa"/>
            <w:vAlign w:val="bottom"/>
          </w:tcPr>
          <w:p>
            <w:pPr>
              <w:spacing w:after="0"/>
              <w:rPr>
                <w:sz w:val="1"/>
                <w:szCs w:val="1"/>
                <w:color w:val="auto"/>
              </w:rPr>
            </w:pPr>
          </w:p>
        </w:tc>
      </w:tr>
      <w:tr>
        <w:trPr>
          <w:trHeight w:val="223"/>
        </w:trPr>
        <w:tc>
          <w:tcPr>
            <w:tcW w:w="4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99,321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187,826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FFFFFF"/>
              </w:rPr>
              <w:t>173,533</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0.87</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0.86</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114,444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113,117</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112,869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115,414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114,077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115,245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113,925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Computation of Basic EPS:</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99,321</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71,815</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187,826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118,095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114,444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113,117</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112,869</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share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0.87</w:t>
            </w:r>
          </w:p>
        </w:tc>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1.65</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Computation of Diluted EPS: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 for diluted EPS calculation</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99,321</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71,815</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187,826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118,095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114,444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113,117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114,153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112,869</w:t>
            </w: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dilutive effect of common stock equivalents</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115,245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0.86</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0.63</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1.63</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702"/>
        </w:trPr>
        <w:tc>
          <w:tcPr>
            <w:tcW w:w="4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5"/>
          <w:szCs w:val="25"/>
          <w:b w:val="1"/>
          <w:bCs w:val="1"/>
          <w:color w:val="auto"/>
        </w:rPr>
        <w:t>TAKE-TWO INTERACTIVE SOFTWARE, INC. and SUBSIDIARIES</w:t>
      </w:r>
    </w:p>
    <w:p>
      <w:pPr>
        <w:spacing w:after="0" w:line="4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1,345,099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1,357,664</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1,040,786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644,003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450,145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546,604</w:t>
            </w:r>
          </w:p>
        </w:tc>
        <w:tc>
          <w:tcPr>
            <w:tcW w:w="0" w:type="dxa"/>
            <w:vAlign w:val="bottom"/>
          </w:tcPr>
          <w:p>
            <w:pPr>
              <w:spacing w:after="0"/>
              <w:rPr>
                <w:sz w:val="1"/>
                <w:szCs w:val="1"/>
                <w:color w:val="auto"/>
              </w:rPr>
            </w:pPr>
          </w:p>
        </w:tc>
      </w:tr>
      <w:tr>
        <w:trPr>
          <w:trHeight w:val="198"/>
        </w:trPr>
        <w:tc>
          <w:tcPr>
            <w:tcW w:w="83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$448 and $443 at September 30, 2020 and March 31, 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787,818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592,555</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26,934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19,108</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73,714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40,316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15,410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19,598</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192,192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273,503</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3,932,098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3,493,351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133,404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131,888</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154,284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 costs and licenses, net of current portion</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403,390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401,778</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386,494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126,392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51,260</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117,692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116,676</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restricted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289,536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89,124</w:t>
            </w:r>
          </w:p>
        </w:tc>
        <w:tc>
          <w:tcPr>
            <w:tcW w:w="0" w:type="dxa"/>
            <w:vAlign w:val="bottom"/>
          </w:tcPr>
          <w:p>
            <w:pPr>
              <w:spacing w:after="0"/>
              <w:rPr>
                <w:sz w:val="1"/>
                <w:szCs w:val="1"/>
                <w:color w:val="auto"/>
              </w:rPr>
            </w:pPr>
          </w:p>
        </w:tc>
      </w:tr>
      <w:tr>
        <w:trPr>
          <w:trHeight w:val="23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156,332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123,977</w:t>
            </w:r>
          </w:p>
        </w:tc>
        <w:tc>
          <w:tcPr>
            <w:tcW w:w="0" w:type="dxa"/>
            <w:vAlign w:val="bottom"/>
          </w:tcPr>
          <w:p>
            <w:pPr>
              <w:spacing w:after="0"/>
              <w:rPr>
                <w:sz w:val="1"/>
                <w:szCs w:val="1"/>
                <w:color w:val="auto"/>
              </w:rPr>
            </w:pPr>
          </w:p>
        </w:tc>
      </w:tr>
      <w:tr>
        <w:trPr>
          <w:trHeight w:val="223"/>
        </w:trPr>
        <w:tc>
          <w:tcPr>
            <w:tcW w:w="8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5,836,154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85,103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65,684</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1,148,617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1,169,884</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1,063,064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777,784</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29,051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25,187</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2,325,835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2,038,539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32,880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28,339</w:t>
            </w: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152,059</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software development royalties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302,435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104,417</w:t>
            </w:r>
          </w:p>
        </w:tc>
        <w:tc>
          <w:tcPr>
            <w:tcW w:w="0" w:type="dxa"/>
            <w:vAlign w:val="bottom"/>
          </w:tcPr>
          <w:p>
            <w:pPr>
              <w:spacing w:after="0"/>
              <w:rPr>
                <w:sz w:val="1"/>
                <w:szCs w:val="1"/>
                <w:color w:val="auto"/>
              </w:rPr>
            </w:pPr>
          </w:p>
        </w:tc>
      </w:tr>
      <w:tr>
        <w:trPr>
          <w:trHeight w:val="230"/>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122,929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86,234</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2,934,872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$.01 par value, 5,000 shares authorized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200,000 shares authorized; 137,349 and 135,927 shares issued and 114,928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1,373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113,506 outstanding at September 30, 2020 and March 31, 2020, respectively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2,285,394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2,134,748</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22,421 common shares at September 30, 2020 and, March 31, 2020, respectively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(820,572)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(820,572)</w:t>
            </w:r>
          </w:p>
        </w:tc>
        <w:tc>
          <w:tcPr>
            <w:tcW w:w="0" w:type="dxa"/>
            <w:vAlign w:val="bottom"/>
          </w:tcPr>
          <w:p>
            <w:pPr>
              <w:spacing w:after="0"/>
              <w:rPr>
                <w:sz w:val="1"/>
                <w:szCs w:val="1"/>
                <w:color w:val="auto"/>
              </w:rPr>
            </w:pPr>
          </w:p>
        </w:tc>
      </w:tr>
      <w:tr>
        <w:trPr>
          <w:trHeight w:val="216"/>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1,469,911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1,282,085</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(34,824)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(58,376)</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2,901,282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2,539,244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5,836,154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4,948,832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8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1"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TAKE-TWO INTERACTIVE SOFTWARE, INC. and SUBSIDIARIES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jc w:val="center"/>
              <w:ind w:left="27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400" w:type="dxa"/>
            <w:vAlign w:val="bottom"/>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vMerge w:val="restart"/>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Six months ended September 30,</w:t>
            </w:r>
          </w:p>
        </w:tc>
        <w:tc>
          <w:tcPr>
            <w:tcW w:w="0" w:type="dxa"/>
            <w:vAlign w:val="bottom"/>
          </w:tcPr>
          <w:p>
            <w:pPr>
              <w:spacing w:after="0"/>
              <w:rPr>
                <w:sz w:val="1"/>
                <w:szCs w:val="1"/>
                <w:color w:val="auto"/>
              </w:rPr>
            </w:pPr>
          </w:p>
        </w:tc>
      </w:tr>
      <w:tr>
        <w:trPr>
          <w:trHeight w:val="229"/>
        </w:trPr>
        <w:tc>
          <w:tcPr>
            <w:tcW w:w="8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gridSpan w:val="6"/>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187,826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118,095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and impairment of software development costs and licenses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92,664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72,505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25,826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23,037</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intellectual property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11,801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10,627</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98,719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113,199</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(2,631)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4,325</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(189,477)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(463,019)</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(7,266)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 development costs and licenses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(127,290)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(51,932)</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and other non-current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65,296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(131,055)</w:t>
            </w:r>
          </w:p>
        </w:tc>
        <w:tc>
          <w:tcPr>
            <w:tcW w:w="0" w:type="dxa"/>
            <w:vAlign w:val="bottom"/>
          </w:tcPr>
          <w:p>
            <w:pPr>
              <w:spacing w:after="0"/>
              <w:rPr>
                <w:sz w:val="1"/>
                <w:szCs w:val="1"/>
                <w:color w:val="auto"/>
              </w:rPr>
            </w:pPr>
          </w:p>
        </w:tc>
      </w:tr>
      <w:tr>
        <w:trPr>
          <w:trHeight w:val="216"/>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284,441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66,148</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cost of goods sold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15,287</w:t>
            </w:r>
          </w:p>
        </w:tc>
        <w:tc>
          <w:tcPr>
            <w:tcW w:w="0" w:type="dxa"/>
            <w:vAlign w:val="bottom"/>
          </w:tcPr>
          <w:p>
            <w:pPr>
              <w:spacing w:after="0"/>
              <w:rPr>
                <w:sz w:val="1"/>
                <w:szCs w:val="1"/>
                <w:color w:val="auto"/>
              </w:rPr>
            </w:pPr>
          </w:p>
        </w:tc>
      </w:tr>
      <w:tr>
        <w:trPr>
          <w:trHeight w:val="229"/>
        </w:trPr>
        <w:tc>
          <w:tcPr>
            <w:tcW w:w="8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182,083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379,005</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626,745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bank time deposits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(218,239)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6,720</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available-for-sale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260,729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137,071</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(435,511)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(141,244)</w:t>
            </w: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(25,021)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0" w:type="dxa"/>
            <w:vAlign w:val="bottom"/>
          </w:tcPr>
          <w:p>
            <w:pPr>
              <w:spacing w:after="0"/>
              <w:rPr>
                <w:sz w:val="1"/>
                <w:szCs w:val="1"/>
                <w:color w:val="auto"/>
              </w:rPr>
            </w:pPr>
          </w:p>
        </w:tc>
      </w:tr>
      <w:tr>
        <w:trPr>
          <w:trHeight w:val="216"/>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long-term investments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(9,100)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(75,482)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(502,624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(36,200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payment related to net share settlements on restricted stock awards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(48,202)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(61,478)</w:t>
            </w:r>
          </w:p>
        </w:tc>
        <w:tc>
          <w:tcPr>
            <w:tcW w:w="0" w:type="dxa"/>
            <w:vAlign w:val="bottom"/>
          </w:tcPr>
          <w:p>
            <w:pPr>
              <w:spacing w:after="0"/>
              <w:rPr>
                <w:sz w:val="1"/>
                <w:szCs w:val="1"/>
                <w:color w:val="auto"/>
              </w:rPr>
            </w:pPr>
          </w:p>
        </w:tc>
      </w:tr>
      <w:tr>
        <w:trPr>
          <w:trHeight w:val="230"/>
        </w:trPr>
        <w:tc>
          <w:tcPr>
            <w:tcW w:w="8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6,503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(41,699</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foreign currency exchange rates on cash, cash equivalents, and restricted cash and cash equivalents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8,966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27" w:right="339" w:bottom="1440" w:gutter="0" w:footer="0" w:header="0"/>
        </w:sectPr>
      </w:pP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Cash, cash equivalents, and restricted cash and cash equivalents, beginning of year</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91,388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38,417</w:t>
            </w:r>
          </w:p>
        </w:tc>
      </w:tr>
      <w:tr>
        <w:trPr>
          <w:trHeight w:val="238"/>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1,993,392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1,391,986</w:t>
            </w:r>
          </w:p>
        </w:tc>
      </w:tr>
      <w:tr>
        <w:trPr>
          <w:trHeight w:val="223"/>
        </w:trPr>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2,084,780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1,430,403</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720" w:space="720"/>
            <w:col w:w="2800"/>
          </w:cols>
          <w:pgMar w:left="320" w:top="92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31" w:lineRule="exact"/>
        <w:rPr>
          <w:sz w:val="20"/>
          <w:szCs w:val="20"/>
          <w:color w:val="auto"/>
        </w:rPr>
      </w:pPr>
    </w:p>
    <w:p>
      <w:pPr>
        <w:ind w:right="3900"/>
        <w:spacing w:after="0" w:line="260"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8"/>
                <w:szCs w:val="18"/>
                <w:color w:val="auto"/>
              </w:rPr>
            </w:pPr>
          </w:p>
        </w:tc>
        <w:tc>
          <w:tcPr>
            <w:tcW w:w="26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503,583</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494,661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337,559</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363,180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841,142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857,841</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612,813</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567,503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344,721</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36%</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383,013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957,534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3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Digital online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711,299</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615,774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0"/>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129,843</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242,067</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841,142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857,841</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Digital online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791,705</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695,346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165,829</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255,170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957,534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3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2640" w:type="dxa"/>
            <w:vAlign w:val="bottom"/>
            <w:gridSpan w:val="4"/>
          </w:tcPr>
          <w:p>
            <w:pPr>
              <w:jc w:val="center"/>
              <w:ind w:right="31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w w:val="99"/>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10"/>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641,269</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651,818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PC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199,873</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206,023</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841,142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857,841</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761,450</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737,085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PC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196,084</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213,431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957,534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950,516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695"/>
        </w:trPr>
        <w:tc>
          <w:tcPr>
            <w:tcW w:w="5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31" w:lineRule="exact"/>
        <w:rPr>
          <w:sz w:val="20"/>
          <w:szCs w:val="20"/>
          <w:color w:val="auto"/>
        </w:rPr>
      </w:pPr>
    </w:p>
    <w:p>
      <w:pPr>
        <w:ind w:right="3900"/>
        <w:spacing w:after="0" w:line="260" w:lineRule="auto"/>
        <w:rPr>
          <w:sz w:val="20"/>
          <w:szCs w:val="20"/>
          <w:color w:val="auto"/>
        </w:rPr>
      </w:pPr>
      <w:r>
        <w:rPr>
          <w:rFonts w:ascii="Times New Roman" w:cs="Times New Roman" w:eastAsia="Times New Roman" w:hAnsi="Times New Roman"/>
          <w:sz w:val="18"/>
          <w:szCs w:val="18"/>
          <w:b w:val="1"/>
          <w:bCs w:val="1"/>
          <w:color w:val="auto"/>
        </w:rPr>
        <w:t>Net Revenue and Net Bookings by Geographic Region, Distribution Channel, and Platform Mix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18"/>
                <w:szCs w:val="18"/>
                <w:color w:val="auto"/>
              </w:rPr>
            </w:pPr>
          </w:p>
        </w:tc>
        <w:tc>
          <w:tcPr>
            <w:tcW w:w="264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geographic region</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974,073</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825,140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698,379</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573,160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1,672,452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1,398,300</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geographic region</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1,199,927</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826,738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International</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753,857</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546,018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1,953,784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1,372,756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430"/>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24"/>
                <w:szCs w:val="24"/>
                <w:color w:val="auto"/>
              </w:rPr>
            </w:pPr>
          </w:p>
        </w:tc>
        <w:tc>
          <w:tcPr>
            <w:tcW w:w="264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distribution channel</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Digital online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1,437,525</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1,043,555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234,927</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354,745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1,672,452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1,398,300</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distribution channel</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Digital online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1,706,894</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1,077,825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Physical retail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246,890</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294,931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1,953,784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1,372,756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646"/>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0" w:type="dxa"/>
            <w:vAlign w:val="bottom"/>
          </w:tcPr>
          <w:p>
            <w:pPr>
              <w:spacing w:after="0"/>
              <w:rPr>
                <w:sz w:val="24"/>
                <w:szCs w:val="24"/>
                <w:color w:val="auto"/>
              </w:rPr>
            </w:pPr>
          </w:p>
        </w:tc>
        <w:tc>
          <w:tcPr>
            <w:tcW w:w="2640" w:type="dxa"/>
            <w:vAlign w:val="bottom"/>
            <w:gridSpan w:val="4"/>
          </w:tcPr>
          <w:p>
            <w:pPr>
              <w:jc w:val="center"/>
              <w:ind w:right="33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8"/>
        </w:trPr>
        <w:tc>
          <w:tcPr>
            <w:tcW w:w="5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8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2020</w:t>
            </w:r>
          </w:p>
        </w:tc>
        <w:tc>
          <w:tcPr>
            <w:tcW w:w="200" w:type="dxa"/>
            <w:vAlign w:val="bottom"/>
          </w:tcPr>
          <w:p>
            <w:pPr>
              <w:spacing w:after="0"/>
              <w:rPr>
                <w:sz w:val="20"/>
                <w:szCs w:val="20"/>
                <w:color w:val="auto"/>
              </w:rPr>
            </w:pPr>
          </w:p>
        </w:tc>
        <w:tc>
          <w:tcPr>
            <w:tcW w:w="26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w w:val="99"/>
              </w:rPr>
              <w:t>September 30, 2019</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w:t>
            </w:r>
          </w:p>
        </w:tc>
        <w:tc>
          <w:tcPr>
            <w:tcW w:w="12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 of Total</w:t>
            </w:r>
          </w:p>
        </w:tc>
        <w:tc>
          <w:tcPr>
            <w:tcW w:w="160" w:type="dxa"/>
            <w:vAlign w:val="bottom"/>
          </w:tcPr>
          <w:p>
            <w:pPr>
              <w:spacing w:after="0"/>
              <w:rPr>
                <w:sz w:val="19"/>
                <w:szCs w:val="19"/>
                <w:color w:val="auto"/>
              </w:rPr>
            </w:pPr>
          </w:p>
        </w:tc>
      </w:tr>
      <w:tr>
        <w:trPr>
          <w:trHeight w:val="209"/>
        </w:trPr>
        <w:tc>
          <w:tcPr>
            <w:tcW w:w="5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revenue by Platform Mix</w:t>
            </w: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Console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1,252,954</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1,086,632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9"/>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PC and other</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419,498</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311,668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5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1,672,452</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bottom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1,398,300</w:t>
            </w:r>
          </w:p>
        </w:tc>
        <w:tc>
          <w:tcPr>
            <w:tcW w:w="2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bookings by platform mix</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Console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1,484,249</w:t>
            </w: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1,049,716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5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PC and other</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469,535</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w:t>
            </w: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323,040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bookings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1,953,784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1,372,756</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695"/>
        </w:trPr>
        <w:tc>
          <w:tcPr>
            <w:tcW w:w="5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8"/>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 w:type="dxa"/>
            <w:vAlign w:val="bottom"/>
          </w:tcPr>
          <w:p>
            <w:pPr>
              <w:spacing w:after="0"/>
              <w:rPr>
                <w:sz w:val="12"/>
                <w:szCs w:val="12"/>
                <w:color w:val="auto"/>
              </w:rPr>
            </w:pPr>
          </w:p>
        </w:tc>
        <w:tc>
          <w:tcPr>
            <w:tcW w:w="1420" w:type="dxa"/>
            <w:vAlign w:val="bottom"/>
            <w:gridSpan w:val="9"/>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7"/>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Internal royalties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and royalties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8"/>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 costs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42"/>
        </w:trPr>
        <w:tc>
          <w:tcPr>
            <w:tcW w:w="258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gridSpan w:val="4"/>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w w:val="96"/>
              </w:rPr>
              <w:t>841,142</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127,804</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142,771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92,944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8"/>
              </w:rPr>
              <w:t>68,986</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113,691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 cost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5"/>
            <w:vMerge w:val="restart"/>
          </w:tcPr>
          <w:p>
            <w:pPr>
              <w:ind w:left="220"/>
              <w:spacing w:after="0"/>
              <w:rPr>
                <w:sz w:val="20"/>
                <w:szCs w:val="20"/>
                <w:color w:val="auto"/>
              </w:rPr>
            </w:pPr>
            <w:r>
              <w:rPr>
                <w:rFonts w:ascii="Times New Roman" w:cs="Times New Roman" w:eastAsia="Times New Roman" w:hAnsi="Times New Roman"/>
                <w:sz w:val="14"/>
                <w:szCs w:val="14"/>
                <w:color w:val="auto"/>
              </w:rPr>
              <w:t>116,392</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16,209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(3,994)</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1,235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 goods sold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(19,396)</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(4,439)</w:t>
            </w: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4"/>
                <w:szCs w:val="14"/>
                <w:color w:val="auto"/>
              </w:rPr>
              <w:t>(4,411)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5"/>
            <w:vMerge w:val="continue"/>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60" w:type="dxa"/>
            <w:vAlign w:val="bottom"/>
          </w:tcPr>
          <w:p>
            <w:pPr>
              <w:spacing w:after="0"/>
              <w:rPr>
                <w:sz w:val="24"/>
                <w:szCs w:val="24"/>
                <w:color w:val="auto"/>
              </w:rPr>
            </w:pPr>
          </w:p>
        </w:tc>
        <w:tc>
          <w:tcPr>
            <w:tcW w:w="100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24"/>
                <w:szCs w:val="24"/>
                <w:color w:val="auto"/>
              </w:rPr>
            </w:pPr>
          </w:p>
        </w:tc>
        <w:tc>
          <w:tcPr>
            <w:tcW w:w="1280" w:type="dxa"/>
            <w:vAlign w:val="bottom"/>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00" w:type="dxa"/>
            <w:vAlign w:val="bottom"/>
          </w:tcPr>
          <w:p>
            <w:pPr>
              <w:spacing w:after="0"/>
              <w:rPr>
                <w:sz w:val="24"/>
                <w:szCs w:val="24"/>
                <w:color w:val="auto"/>
              </w:rPr>
            </w:pPr>
          </w:p>
        </w:tc>
        <w:tc>
          <w:tcPr>
            <w:tcW w:w="1540" w:type="dxa"/>
            <w:vAlign w:val="bottom"/>
            <w:gridSpan w:val="9"/>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Business reorganization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7"/>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Interest and other,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Loss on long-</w:t>
            </w:r>
          </w:p>
        </w:tc>
        <w:tc>
          <w:tcPr>
            <w:tcW w:w="0" w:type="dxa"/>
            <w:vAlign w:val="bottom"/>
          </w:tcPr>
          <w:p>
            <w:pPr>
              <w:spacing w:after="0"/>
              <w:rPr>
                <w:sz w:val="1"/>
                <w:szCs w:val="1"/>
                <w:color w:val="auto"/>
              </w:rPr>
            </w:pPr>
          </w:p>
        </w:tc>
      </w:tr>
      <w:tr>
        <w:trPr>
          <w:trHeight w:val="173"/>
        </w:trPr>
        <w:tc>
          <w:tcPr>
            <w:tcW w:w="2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60" w:type="dxa"/>
            <w:vAlign w:val="bottom"/>
          </w:tcPr>
          <w:p>
            <w:pPr>
              <w:spacing w:after="0"/>
              <w:rPr>
                <w:sz w:val="15"/>
                <w:szCs w:val="15"/>
                <w:color w:val="auto"/>
              </w:rPr>
            </w:pPr>
          </w:p>
        </w:tc>
        <w:tc>
          <w:tcPr>
            <w:tcW w:w="10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1540" w:type="dxa"/>
            <w:vAlign w:val="bottom"/>
            <w:gridSpan w:val="9"/>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7"/>
          </w:tcPr>
          <w:p>
            <w:pPr>
              <w:ind w:left="480"/>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term investments</w:t>
            </w:r>
          </w:p>
        </w:tc>
        <w:tc>
          <w:tcPr>
            <w:tcW w:w="0" w:type="dxa"/>
            <w:vAlign w:val="bottom"/>
          </w:tcPr>
          <w:p>
            <w:pPr>
              <w:spacing w:after="0"/>
              <w:rPr>
                <w:sz w:val="1"/>
                <w:szCs w:val="1"/>
                <w:color w:val="auto"/>
              </w:rPr>
            </w:pPr>
          </w:p>
        </w:tc>
      </w:tr>
      <w:tr>
        <w:trPr>
          <w:trHeight w:val="142"/>
        </w:trPr>
        <w:tc>
          <w:tcPr>
            <w:tcW w:w="262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7"/>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91,433</w:t>
            </w:r>
          </w:p>
        </w:tc>
        <w:tc>
          <w:tcPr>
            <w:tcW w:w="2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74,216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13,691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2,706</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3"/>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4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 cost of</w:t>
            </w: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color w:val="auto"/>
              </w:rPr>
              <w:t>(1,669)</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goods sold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8"/>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(13,830)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(7,643)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 acquired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(1,684)</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(163)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intangibles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Impact of business reorganization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long-term investments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 related expenses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8"/>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7"/>
        </w:trPr>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7"/>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8"/>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0" w:type="dxa"/>
            <w:vAlign w:val="bottom"/>
          </w:tcPr>
          <w:p>
            <w:pPr>
              <w:spacing w:after="0"/>
              <w:rPr>
                <w:sz w:val="1"/>
                <w:szCs w:val="1"/>
                <w:color w:val="auto"/>
              </w:rPr>
            </w:pPr>
          </w:p>
        </w:tc>
      </w:tr>
      <w:tr>
        <w:trPr>
          <w:trHeight w:val="148"/>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7"/>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4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6"/>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8"/>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7"/>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8"/>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Internal royalties</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and royalties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 costs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42"/>
        </w:trPr>
        <w:tc>
          <w:tcPr>
            <w:tcW w:w="2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6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857,841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w w:val="96"/>
              </w:rPr>
              <w:t>109,991</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211,996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59,693</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86,568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149,566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 cost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92,675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(26,161)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1,133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of goods sold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60" w:type="dxa"/>
            <w:vAlign w:val="bottom"/>
          </w:tcPr>
          <w:p>
            <w:pPr>
              <w:spacing w:after="0"/>
              <w:rPr>
                <w:sz w:val="24"/>
                <w:szCs w:val="24"/>
                <w:color w:val="auto"/>
              </w:rPr>
            </w:pPr>
          </w:p>
        </w:tc>
        <w:tc>
          <w:tcPr>
            <w:tcW w:w="1260" w:type="dxa"/>
            <w:vAlign w:val="bottom"/>
            <w:gridSpan w:val="9"/>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80" w:type="dxa"/>
            <w:vAlign w:val="bottom"/>
          </w:tcPr>
          <w:p>
            <w:pPr>
              <w:spacing w:after="0"/>
              <w:rPr>
                <w:sz w:val="24"/>
                <w:szCs w:val="24"/>
                <w:color w:val="auto"/>
              </w:rPr>
            </w:pPr>
          </w:p>
        </w:tc>
        <w:tc>
          <w:tcPr>
            <w:tcW w:w="128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160" w:type="dxa"/>
            <w:vAlign w:val="bottom"/>
          </w:tcPr>
          <w:p>
            <w:pPr>
              <w:spacing w:after="0"/>
              <w:rPr>
                <w:sz w:val="24"/>
                <w:szCs w:val="24"/>
                <w:color w:val="auto"/>
              </w:rPr>
            </w:pPr>
          </w:p>
        </w:tc>
        <w:tc>
          <w:tcPr>
            <w:tcW w:w="1520" w:type="dxa"/>
            <w:vAlign w:val="bottom"/>
            <w:gridSpan w:val="9"/>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Business reorganization</w:t>
            </w:r>
          </w:p>
        </w:tc>
        <w:tc>
          <w:tcPr>
            <w:tcW w:w="240" w:type="dxa"/>
            <w:vAlign w:val="bottom"/>
          </w:tcPr>
          <w:p>
            <w:pPr>
              <w:spacing w:after="0"/>
              <w:rPr>
                <w:sz w:val="24"/>
                <w:szCs w:val="24"/>
                <w:color w:val="auto"/>
              </w:rPr>
            </w:pPr>
          </w:p>
        </w:tc>
        <w:tc>
          <w:tcPr>
            <w:tcW w:w="1720" w:type="dxa"/>
            <w:vAlign w:val="bottom"/>
            <w:gridSpan w:val="11"/>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Interest and other,</w:t>
            </w:r>
          </w:p>
        </w:tc>
        <w:tc>
          <w:tcPr>
            <w:tcW w:w="0" w:type="dxa"/>
            <w:vAlign w:val="bottom"/>
          </w:tcPr>
          <w:p>
            <w:pPr>
              <w:spacing w:after="0"/>
              <w:rPr>
                <w:sz w:val="1"/>
                <w:szCs w:val="1"/>
                <w:color w:val="auto"/>
              </w:rPr>
            </w:pPr>
          </w:p>
        </w:tc>
      </w:tr>
      <w:tr>
        <w:trPr>
          <w:trHeight w:val="173"/>
        </w:trPr>
        <w:tc>
          <w:tcPr>
            <w:tcW w:w="26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8"/>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60" w:type="dxa"/>
            <w:vAlign w:val="bottom"/>
          </w:tcPr>
          <w:p>
            <w:pPr>
              <w:spacing w:after="0"/>
              <w:rPr>
                <w:sz w:val="15"/>
                <w:szCs w:val="15"/>
                <w:color w:val="auto"/>
              </w:rPr>
            </w:pPr>
          </w:p>
        </w:tc>
        <w:tc>
          <w:tcPr>
            <w:tcW w:w="126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80" w:type="dxa"/>
            <w:vAlign w:val="bottom"/>
          </w:tcPr>
          <w:p>
            <w:pPr>
              <w:spacing w:after="0"/>
              <w:rPr>
                <w:sz w:val="15"/>
                <w:szCs w:val="15"/>
                <w:color w:val="auto"/>
              </w:rPr>
            </w:pPr>
          </w:p>
        </w:tc>
        <w:tc>
          <w:tcPr>
            <w:tcW w:w="1280" w:type="dxa"/>
            <w:vAlign w:val="bottom"/>
            <w:gridSpan w:val="8"/>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5"/>
                <w:szCs w:val="15"/>
                <w:color w:val="auto"/>
              </w:rPr>
            </w:pPr>
          </w:p>
        </w:tc>
        <w:tc>
          <w:tcPr>
            <w:tcW w:w="1520" w:type="dxa"/>
            <w:vAlign w:val="bottom"/>
            <w:gridSpan w:val="9"/>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gridSpan w:val="6"/>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2"/>
        </w:trPr>
        <w:tc>
          <w:tcPr>
            <w:tcW w:w="2620" w:type="dxa"/>
            <w:vAlign w:val="bottom"/>
            <w:tcBorders>
              <w:top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76,659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76,197</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12,024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327</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ind w:left="188"/>
              <w:spacing w:after="0" w:line="142" w:lineRule="exact"/>
              <w:rPr>
                <w:sz w:val="20"/>
                <w:szCs w:val="20"/>
                <w:color w:val="auto"/>
              </w:rPr>
            </w:pPr>
            <w:r>
              <w:rPr>
                <w:rFonts w:ascii="Times New Roman" w:cs="Times New Roman" w:eastAsia="Times New Roman" w:hAnsi="Times New Roman"/>
                <w:sz w:val="14"/>
                <w:szCs w:val="14"/>
                <w:color w:val="auto"/>
              </w:rPr>
              <w:t>8,054</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220" w:type="dxa"/>
            <w:vAlign w:val="bottom"/>
            <w:gridSpan w:val="8"/>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 cost of goods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1,306</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80" w:type="dxa"/>
            <w:vAlign w:val="bottom"/>
            <w:gridSpan w:val="55"/>
          </w:tcPr>
          <w:p>
            <w:pPr>
              <w:ind w:left="180"/>
              <w:spacing w:after="0"/>
              <w:rPr>
                <w:sz w:val="20"/>
                <w:szCs w:val="20"/>
                <w:color w:val="auto"/>
              </w:rPr>
            </w:pPr>
            <w:r>
              <w:rPr>
                <w:rFonts w:ascii="Times New Roman" w:cs="Times New Roman" w:eastAsia="Times New Roman" w:hAnsi="Times New Roman"/>
                <w:sz w:val="14"/>
                <w:szCs w:val="14"/>
                <w:color w:val="auto"/>
              </w:rPr>
              <w:t>sold</w:t>
            </w:r>
          </w:p>
        </w:tc>
        <w:tc>
          <w:tcPr>
            <w:tcW w:w="1060" w:type="dxa"/>
            <w:vAlign w:val="bottom"/>
            <w:gridSpan w:val="2"/>
            <w:vMerge w:val="continue"/>
          </w:tcPr>
          <w:p>
            <w:pPr>
              <w:spacing w:after="0"/>
              <w:rPr>
                <w:sz w:val="14"/>
                <w:szCs w:val="14"/>
                <w:color w:val="auto"/>
              </w:rPr>
            </w:pP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(13,576)</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gridSpan w:val="5"/>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(10,616)</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62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 acquired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5"/>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(1,546)</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(121)</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intangibles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Impact of business reorganization</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5"/>
            <w:shd w:val="clear" w:color="auto" w:fill="CCEEFF"/>
          </w:tcPr>
          <w:p>
            <w:pPr>
              <w:jc w:val="center"/>
              <w:ind w:left="448"/>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11240" w:type="dxa"/>
            <w:vAlign w:val="bottom"/>
            <w:tcBorders>
              <w:bottom w:val="single" w:sz="8" w:color="auto"/>
            </w:tcBorders>
            <w:gridSpan w:val="59"/>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9"/>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7"/>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180" w:type="dxa"/>
            <w:vAlign w:val="bottom"/>
          </w:tcPr>
          <w:p>
            <w:pPr>
              <w:spacing w:after="0"/>
              <w:rPr>
                <w:sz w:val="12"/>
                <w:szCs w:val="12"/>
                <w:color w:val="auto"/>
              </w:rPr>
            </w:pPr>
          </w:p>
        </w:tc>
        <w:tc>
          <w:tcPr>
            <w:tcW w:w="12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of goods sold-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 2020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6"/>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9"/>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10"/>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costs</w:t>
            </w:r>
          </w:p>
        </w:tc>
        <w:tc>
          <w:tcPr>
            <w:tcW w:w="160" w:type="dxa"/>
            <w:vAlign w:val="bottom"/>
          </w:tcPr>
          <w:p>
            <w:pPr>
              <w:spacing w:after="0"/>
              <w:rPr>
                <w:sz w:val="12"/>
                <w:szCs w:val="12"/>
                <w:color w:val="auto"/>
              </w:rPr>
            </w:pPr>
          </w:p>
        </w:tc>
        <w:tc>
          <w:tcPr>
            <w:tcW w:w="1300" w:type="dxa"/>
            <w:vAlign w:val="bottom"/>
            <w:gridSpan w:val="7"/>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Internal royalties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and royalties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Product costs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42"/>
        </w:trPr>
        <w:tc>
          <w:tcPr>
            <w:tcW w:w="24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200" w:type="dxa"/>
            <w:vAlign w:val="bottom"/>
            <w:tcBorders>
              <w:top w:val="single" w:sz="8" w:color="CCEEFF"/>
            </w:tcBorders>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1,672,452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gridSpan w:val="2"/>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341,867</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290,818</w:t>
            </w: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148,963</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127,546</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198,470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281,331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5"/>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20,260</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4"/>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(4,444)</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color w:val="auto"/>
              </w:rPr>
              <w:t>(3,589)</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(48,429)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(9,167)</w:t>
            </w: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color w:val="auto"/>
              </w:rPr>
              <w:t>(7,694)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18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6"/>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 2020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7"/>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10"/>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Business reorganization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Interest and other,</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 on long-</w:t>
            </w: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7"/>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gridSpan w:val="10"/>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2"/>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term investments</w:t>
            </w:r>
          </w:p>
        </w:tc>
        <w:tc>
          <w:tcPr>
            <w:tcW w:w="0" w:type="dxa"/>
            <w:vAlign w:val="bottom"/>
          </w:tcPr>
          <w:p>
            <w:pPr>
              <w:spacing w:after="0"/>
              <w:rPr>
                <w:sz w:val="1"/>
                <w:szCs w:val="1"/>
                <w:color w:val="auto"/>
              </w:rPr>
            </w:pPr>
          </w:p>
        </w:tc>
      </w:tr>
      <w:tr>
        <w:trPr>
          <w:trHeight w:val="142"/>
        </w:trPr>
        <w:tc>
          <w:tcPr>
            <w:tcW w:w="24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193,606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147,324</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6"/>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26,109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239</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10,924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4"/>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(2,430)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(27,030)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6"/>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(14,093)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(3,237)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98"/>
              </w:rPr>
              <w:t>(283)</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240" w:type="dxa"/>
            <w:vAlign w:val="bottom"/>
            <w:gridSpan w:val="57"/>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Impact of business reorganization</w:t>
            </w:r>
          </w:p>
        </w:tc>
        <w:tc>
          <w:tcPr>
            <w:tcW w:w="0" w:type="dxa"/>
            <w:vAlign w:val="bottom"/>
          </w:tcPr>
          <w:p>
            <w:pPr>
              <w:spacing w:after="0"/>
              <w:rPr>
                <w:sz w:val="1"/>
                <w:szCs w:val="1"/>
                <w:color w:val="auto"/>
              </w:rPr>
            </w:pPr>
          </w:p>
        </w:tc>
      </w:tr>
      <w:tr>
        <w:trPr>
          <w:trHeight w:val="148"/>
        </w:trPr>
        <w:tc>
          <w:tcPr>
            <w:tcW w:w="246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Loss on long-term investments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49"/>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 related expenses</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(2,512)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5"/>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Cost of goods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8"/>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Cost of goods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w w:val="97"/>
              </w:rPr>
              <w:t>sold-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Cost of goods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 of goods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8"/>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5"/>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Software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Selling and</w:t>
            </w:r>
          </w:p>
        </w:tc>
        <w:tc>
          <w:tcPr>
            <w:tcW w:w="0" w:type="dxa"/>
            <w:vAlign w:val="bottom"/>
          </w:tcPr>
          <w:p>
            <w:pPr>
              <w:spacing w:after="0"/>
              <w:rPr>
                <w:sz w:val="1"/>
                <w:szCs w:val="1"/>
                <w:color w:val="auto"/>
              </w:rPr>
            </w:pPr>
          </w:p>
        </w:tc>
      </w:tr>
      <w:tr>
        <w:trPr>
          <w:trHeight w:val="148"/>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 2019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6"/>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revenue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9"/>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development costs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6"/>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sold-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6"/>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Internal royalties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5"/>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and royalties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6"/>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Product costs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0" w:type="dxa"/>
            <w:vAlign w:val="bottom"/>
          </w:tcPr>
          <w:p>
            <w:pPr>
              <w:spacing w:after="0"/>
              <w:rPr>
                <w:sz w:val="1"/>
                <w:szCs w:val="1"/>
                <w:color w:val="auto"/>
              </w:rPr>
            </w:pPr>
          </w:p>
        </w:tc>
      </w:tr>
      <w:tr>
        <w:trPr>
          <w:trHeight w:val="142"/>
        </w:trPr>
        <w:tc>
          <w:tcPr>
            <w:tcW w:w="24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gridSpan w:val="5"/>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1,398,300</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6"/>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172,880</w:t>
            </w:r>
          </w:p>
        </w:tc>
        <w:tc>
          <w:tcPr>
            <w:tcW w:w="3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gridSpan w:val="6"/>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320,437</w:t>
            </w: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134,203</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82,197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241,387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8"/>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(25,544)</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(39,320)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color w:val="auto"/>
              </w:rPr>
              <w:t>(17,553)</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344</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cost of goods sold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8"/>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7"/>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7"/>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(58,630)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(10,220)</w:t>
            </w:r>
          </w:p>
        </w:tc>
        <w:tc>
          <w:tcPr>
            <w:tcW w:w="0" w:type="dxa"/>
            <w:vAlign w:val="bottom"/>
          </w:tcPr>
          <w:p>
            <w:pPr>
              <w:spacing w:after="0"/>
              <w:rPr>
                <w:sz w:val="1"/>
                <w:szCs w:val="1"/>
                <w:color w:val="auto"/>
              </w:rPr>
            </w:pPr>
          </w:p>
        </w:tc>
      </w:tr>
      <w:tr>
        <w:trPr>
          <w:trHeight w:val="126"/>
        </w:trPr>
        <w:tc>
          <w:tcPr>
            <w:tcW w:w="246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(7,015)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acquired intangibles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7"/>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September 30, 2019</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General and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gridSpan w:val="7"/>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Depreciation and</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200" w:type="dxa"/>
            <w:vAlign w:val="bottom"/>
          </w:tcPr>
          <w:p>
            <w:pPr>
              <w:spacing w:after="0"/>
              <w:rPr>
                <w:sz w:val="24"/>
                <w:szCs w:val="24"/>
                <w:color w:val="auto"/>
              </w:rPr>
            </w:pPr>
          </w:p>
        </w:tc>
        <w:tc>
          <w:tcPr>
            <w:tcW w:w="182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Interest and other,</w:t>
            </w:r>
          </w:p>
        </w:tc>
        <w:tc>
          <w:tcPr>
            <w:tcW w:w="0" w:type="dxa"/>
            <w:vAlign w:val="bottom"/>
          </w:tcPr>
          <w:p>
            <w:pPr>
              <w:spacing w:after="0"/>
              <w:rPr>
                <w:sz w:val="1"/>
                <w:szCs w:val="1"/>
                <w:color w:val="auto"/>
              </w:rPr>
            </w:pPr>
          </w:p>
        </w:tc>
      </w:tr>
      <w:tr>
        <w:trPr>
          <w:trHeight w:val="173"/>
        </w:trPr>
        <w:tc>
          <w:tcPr>
            <w:tcW w:w="24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administrative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5"/>
                <w:szCs w:val="15"/>
                <w:color w:val="auto"/>
              </w:rPr>
            </w:pPr>
          </w:p>
        </w:tc>
        <w:tc>
          <w:tcPr>
            <w:tcW w:w="128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reorganization</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2"/>
        </w:trPr>
        <w:tc>
          <w:tcPr>
            <w:tcW w:w="24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 reported</w:t>
            </w: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151,492</w:t>
            </w:r>
          </w:p>
        </w:tc>
        <w:tc>
          <w:tcPr>
            <w:tcW w:w="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145,160</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23,281</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713</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18,479</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880" w:type="dxa"/>
            <w:vAlign w:val="bottom"/>
            <w:gridSpan w:val="13"/>
          </w:tcPr>
          <w:p>
            <w:pPr>
              <w:ind w:left="180"/>
              <w:spacing w:after="0" w:line="126" w:lineRule="exact"/>
              <w:rPr>
                <w:sz w:val="20"/>
                <w:szCs w:val="20"/>
                <w:color w:val="auto"/>
              </w:rPr>
            </w:pPr>
            <w:r>
              <w:rPr>
                <w:rFonts w:ascii="Times New Roman" w:cs="Times New Roman" w:eastAsia="Times New Roman" w:hAnsi="Times New Roman"/>
                <w:sz w:val="14"/>
                <w:szCs w:val="14"/>
                <w:color w:val="auto"/>
              </w:rPr>
              <w:t>Net effect from deferral and related cost of goods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812</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sold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(27,143)</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(17,206)</w:t>
            </w: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00" w:type="dxa"/>
            <w:vAlign w:val="bottom"/>
            <w:gridSpan w:val="6"/>
          </w:tcPr>
          <w:p>
            <w:pPr>
              <w:ind w:left="180"/>
              <w:spacing w:after="0" w:line="126" w:lineRule="exact"/>
              <w:rPr>
                <w:sz w:val="20"/>
                <w:szCs w:val="20"/>
                <w:color w:val="auto"/>
              </w:rPr>
            </w:pPr>
            <w:r>
              <w:rPr>
                <w:rFonts w:ascii="Times New Roman" w:cs="Times New Roman" w:eastAsia="Times New Roman" w:hAnsi="Times New Roman"/>
                <w:sz w:val="14"/>
                <w:szCs w:val="14"/>
                <w:color w:val="auto"/>
              </w:rPr>
              <w:t>Amortization and impairment of acquired</w:t>
            </w: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(3,106)</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4"/>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(244)</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intangibles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Impact of business reorganization</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(713)</w:t>
            </w: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Acquisition related expenses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2"/>
        </w:trPr>
        <w:tc>
          <w:tcPr>
            <w:tcW w:w="11240" w:type="dxa"/>
            <w:vAlign w:val="bottom"/>
            <w:tcBorders>
              <w:bottom w:val="single" w:sz="8" w:color="auto"/>
            </w:tcBorders>
            <w:gridSpan w:val="57"/>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TAKE-TWO INTERACTIVE SOFTWARE,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880" w:type="dxa"/>
            <w:vAlign w:val="bottom"/>
            <w:gridSpan w:val="11"/>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September 30,</w:t>
            </w:r>
          </w:p>
        </w:tc>
        <w:tc>
          <w:tcPr>
            <w:tcW w:w="0" w:type="dxa"/>
            <w:vAlign w:val="bottom"/>
          </w:tcPr>
          <w:p>
            <w:pPr>
              <w:spacing w:after="0"/>
              <w:rPr>
                <w:sz w:val="1"/>
                <w:szCs w:val="1"/>
                <w:color w:val="auto"/>
              </w:rPr>
            </w:pPr>
          </w:p>
        </w:tc>
      </w:tr>
      <w:tr>
        <w:trPr>
          <w:trHeight w:val="223"/>
        </w:trPr>
        <w:tc>
          <w:tcPr>
            <w:tcW w:w="660" w:type="dxa"/>
            <w:vAlign w:val="bottom"/>
            <w:tcBorders>
              <w:bottom w:val="single" w:sz="8" w:color="CCEEFF"/>
            </w:tcBorders>
          </w:tcPr>
          <w:p>
            <w:pPr>
              <w:spacing w:after="0"/>
              <w:rPr>
                <w:sz w:val="19"/>
                <w:szCs w:val="19"/>
                <w:color w:val="auto"/>
              </w:rPr>
            </w:pPr>
          </w:p>
        </w:tc>
        <w:tc>
          <w:tcPr>
            <w:tcW w:w="588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from operating activities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626,745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144,158</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540" w:type="dxa"/>
            <w:vAlign w:val="bottom"/>
            <w:gridSpan w:val="2"/>
          </w:tcPr>
          <w:p>
            <w:pPr>
              <w:ind w:left="340"/>
              <w:spacing w:after="0" w:line="270" w:lineRule="exact"/>
              <w:rPr>
                <w:sz w:val="20"/>
                <w:szCs w:val="20"/>
                <w:color w:val="auto"/>
              </w:rPr>
            </w:pPr>
            <w:r>
              <w:rPr>
                <w:rFonts w:ascii="Times New Roman" w:cs="Times New Roman" w:eastAsia="Times New Roman" w:hAnsi="Times New Roman"/>
                <w:sz w:val="18"/>
                <w:szCs w:val="18"/>
                <w:color w:val="auto"/>
              </w:rPr>
              <w:t xml:space="preserve">Net change in Restricted cash realted to Operations </w:t>
            </w:r>
            <w:r>
              <w:rPr>
                <w:rFonts w:ascii="Times New Roman" w:cs="Times New Roman" w:eastAsia="Times New Roman" w:hAnsi="Times New Roman"/>
                <w:sz w:val="29"/>
                <w:szCs w:val="29"/>
                <w:color w:val="auto"/>
                <w:vertAlign w:val="superscript"/>
              </w:rPr>
              <w:t>(1)</w:t>
            </w:r>
          </w:p>
        </w:tc>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6"/>
              </w:rPr>
              <w:t>(117,393)</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(102,910)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Unrestricted Operating Cash Flow</w:t>
            </w:r>
          </w:p>
        </w:tc>
        <w:tc>
          <w:tcPr>
            <w:tcW w:w="1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509,352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41,248</w:t>
            </w:r>
          </w:p>
        </w:tc>
        <w:tc>
          <w:tcPr>
            <w:tcW w:w="10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FY 2021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FY 2020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beginning of period (4/1)</w:t>
            </w:r>
          </w:p>
        </w:tc>
        <w:tc>
          <w:tcPr>
            <w:tcW w:w="212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635,728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565,461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Less Restricted cash end of period (9/30)</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739,681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668,371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Restricted cash related to acquisitions</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13,440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 w:type="dxa"/>
            <w:vAlign w:val="bottom"/>
          </w:tcPr>
          <w:p>
            <w:pPr>
              <w:spacing w:after="0"/>
              <w:rPr>
                <w:sz w:val="15"/>
                <w:szCs w:val="15"/>
                <w:color w:val="auto"/>
              </w:rPr>
            </w:pPr>
          </w:p>
        </w:tc>
        <w:tc>
          <w:tcPr>
            <w:tcW w:w="5880" w:type="dxa"/>
            <w:vAlign w:val="bottom"/>
          </w:tcPr>
          <w:p>
            <w:pPr>
              <w:spacing w:after="0" w:line="183" w:lineRule="exact"/>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4"/>
                <w:szCs w:val="14"/>
                <w:color w:val="auto"/>
              </w:rPr>
              <w:t xml:space="preserve"> Net change in Restricted cash realated to Operations</w:t>
            </w:r>
          </w:p>
        </w:tc>
        <w:tc>
          <w:tcPr>
            <w:tcW w:w="2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(117,393</w:t>
            </w:r>
          </w:p>
        </w:tc>
        <w:tc>
          <w:tcPr>
            <w:tcW w:w="220" w:type="dxa"/>
            <w:vAlign w:val="bottom"/>
            <w:gridSpan w:val="2"/>
          </w:tcPr>
          <w:p>
            <w:pPr>
              <w:jc w:val="right"/>
              <w:ind w:right="70"/>
              <w:spacing w:after="0" w:line="183" w:lineRule="exact"/>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660" w:type="dxa"/>
            <w:vAlign w:val="bottom"/>
          </w:tcPr>
          <w:p>
            <w:pPr>
              <w:spacing w:after="0"/>
              <w:rPr>
                <w:sz w:val="7"/>
                <w:szCs w:val="7"/>
                <w:color w:val="auto"/>
              </w:rPr>
            </w:pPr>
          </w:p>
        </w:tc>
        <w:tc>
          <w:tcPr>
            <w:tcW w:w="5880" w:type="dxa"/>
            <w:vAlign w:val="bottom"/>
          </w:tcPr>
          <w:p>
            <w:pPr>
              <w:spacing w:after="0"/>
              <w:rPr>
                <w:sz w:val="7"/>
                <w:szCs w:val="7"/>
                <w:color w:val="auto"/>
              </w:rPr>
            </w:pPr>
          </w:p>
        </w:tc>
        <w:tc>
          <w:tcPr>
            <w:tcW w:w="2280" w:type="dxa"/>
            <w:vAlign w:val="bottom"/>
            <w:gridSpan w:val="3"/>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0" w:type="dxa"/>
            <w:vAlign w:val="bottom"/>
            <w:gridSpan w:val="2"/>
          </w:tcPr>
          <w:p>
            <w:pPr>
              <w:jc w:val="right"/>
              <w:ind w:right="20"/>
              <w:spacing w:after="0" w:line="81" w:lineRule="exact"/>
              <w:rPr>
                <w:sz w:val="20"/>
                <w:szCs w:val="20"/>
                <w:color w:val="auto"/>
              </w:rPr>
            </w:pPr>
            <w:r>
              <w:rPr>
                <w:rFonts w:ascii="Times New Roman" w:cs="Times New Roman" w:eastAsia="Times New Roman" w:hAnsi="Times New Roman"/>
                <w:sz w:val="9"/>
                <w:szCs w:val="9"/>
                <w:color w:val="auto"/>
              </w:rPr>
              <w:t>(102,910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6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20"/>
      </w:cols>
      <w:pgMar w:left="320" w:top="9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4"/>
    </w:lvl>
  </w:abstractNum>
  <w:abstractNum w:abstractNumId="2">
    <w:nsid w:val="5BD062C2"/>
    <w:multiLevelType w:val="hybridMultilevel"/>
    <w:lvl w:ilvl="0">
      <w:lvlJc w:val="left"/>
      <w:lvlText w:val="%1"/>
      <w:numFmt w:val="decimal"/>
      <w:start w:val="104"/>
    </w:lvl>
  </w:abstractNum>
  <w:abstractNum w:abstractNumId="3">
    <w:nsid w:val="12200854"/>
    <w:multiLevelType w:val="hybridMultilevel"/>
    <w:lvl w:ilvl="0">
      <w:lvlJc w:val="left"/>
      <w:lvlText w:val="%1"/>
      <w:numFmt w:val="decimal"/>
      <w:start w:val="104"/>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87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2020-11-05T16:37:03Z</dcterms:created>
  <dcterms:modified xsi:type="dcterms:W3CDTF">2020-11-05T16:37:03Z</dcterms:modified>
</cp:coreProperties>
</file>