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w w:val="92"/>
              </w:rPr>
            </w:pPr>
            <w:hyperlink r:id="rId12">
              <w:r>
                <w:rPr>
                  <w:rFonts w:ascii="Arial" w:cs="Arial" w:eastAsia="Arial" w:hAnsi="Arial"/>
                  <w:sz w:val="21"/>
                  <w:szCs w:val="21"/>
                  <w:color w:val="0000EE"/>
                  <w:w w:val="92"/>
                </w:rPr>
                <w:t>Srinivasan LaVerne Evans</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TAKE TWO INTERACTIVE</w:t>
              </w:r>
            </w:hyperlink>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8"/>
            <w:vMerge w:val="restart"/>
          </w:tcPr>
          <w:p>
            <w:pPr>
              <w:spacing w:after="0" w:line="220"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SOFTWARE 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TTWO</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8"/>
            <w:vMerge w:val="continue"/>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8"/>
            <w:vMerge w:val="continue"/>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4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line="141" w:lineRule="exact"/>
              <w:rPr>
                <w:sz w:val="20"/>
                <w:szCs w:val="20"/>
                <w:color w:val="auto"/>
              </w:rPr>
            </w:pPr>
            <w:r>
              <w:rPr>
                <w:rFonts w:ascii="Arial" w:cs="Arial" w:eastAsia="Arial" w:hAnsi="Arial"/>
                <w:sz w:val="13"/>
                <w:szCs w:val="13"/>
                <w:color w:val="auto"/>
              </w:rPr>
              <w:t>(Last)</w:t>
            </w:r>
          </w:p>
        </w:tc>
        <w:tc>
          <w:tcPr>
            <w:tcW w:w="560" w:type="dxa"/>
            <w:vAlign w:val="bottom"/>
          </w:tcPr>
          <w:p>
            <w:pPr>
              <w:spacing w:after="0"/>
              <w:rPr>
                <w:sz w:val="14"/>
                <w:szCs w:val="14"/>
                <w:color w:val="auto"/>
              </w:rPr>
            </w:pPr>
          </w:p>
        </w:tc>
        <w:tc>
          <w:tcPr>
            <w:tcW w:w="1120" w:type="dxa"/>
            <w:vAlign w:val="bottom"/>
            <w:gridSpan w:val="3"/>
          </w:tcPr>
          <w:p>
            <w:pPr>
              <w:ind w:left="40"/>
              <w:spacing w:after="0" w:line="141" w:lineRule="exact"/>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line="141" w:lineRule="exact"/>
              <w:rPr>
                <w:sz w:val="20"/>
                <w:szCs w:val="20"/>
                <w:color w:val="auto"/>
              </w:rPr>
            </w:pPr>
            <w:r>
              <w:rPr>
                <w:rFonts w:ascii="Arial" w:cs="Arial" w:eastAsia="Arial" w:hAnsi="Arial"/>
                <w:sz w:val="13"/>
                <w:szCs w:val="13"/>
                <w:color w:val="auto"/>
              </w:rPr>
              <w:t>(Middle)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line="141"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4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6"/>
          </w:tcPr>
          <w:p>
            <w:pPr>
              <w:spacing w:after="0"/>
              <w:rPr>
                <w:sz w:val="20"/>
                <w:szCs w:val="20"/>
                <w:color w:val="auto"/>
              </w:rPr>
            </w:pPr>
            <w:r>
              <w:rPr>
                <w:rFonts w:ascii="Arial" w:cs="Arial" w:eastAsia="Arial" w:hAnsi="Arial"/>
                <w:sz w:val="17"/>
                <w:szCs w:val="17"/>
                <w:color w:val="0000FF"/>
              </w:rPr>
              <w:t>C/O TAKE-TWO INTERACTIVE SOFTWARE,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INC.</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05/26/2021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110 WEST 44TH STREET</w:t>
            </w: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5"/>
            <w:vMerge w:val="continue"/>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300" w:type="dxa"/>
            <w:vAlign w:val="bottom"/>
          </w:tcPr>
          <w:p>
            <w:pPr>
              <w:ind w:left="40"/>
              <w:spacing w:after="0"/>
              <w:rPr>
                <w:sz w:val="20"/>
                <w:szCs w:val="20"/>
                <w:color w:val="auto"/>
              </w:rPr>
            </w:pPr>
            <w:r>
              <w:rPr>
                <w:rFonts w:ascii="Arial" w:cs="Arial" w:eastAsia="Arial" w:hAnsi="Arial"/>
                <w:sz w:val="17"/>
                <w:szCs w:val="17"/>
                <w:color w:val="0000FF"/>
              </w:rPr>
              <w:t>NY</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22"/>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3"/>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2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05/26/2021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w w:val="94"/>
              </w:rPr>
              <w:t>314</w:t>
            </w:r>
            <w:r>
              <w:rPr>
                <w:rFonts w:ascii="Arial" w:cs="Arial" w:eastAsia="Arial" w:hAnsi="Arial"/>
                <w:sz w:val="22"/>
                <w:szCs w:val="22"/>
                <w:color w:val="008000"/>
                <w:w w:val="94"/>
                <w:vertAlign w:val="superscript"/>
              </w:rPr>
              <w:t>(1)</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7,653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6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acquisition of shares pursuant to a grant of restricted common stock pursuant to the Director compensation program (the "Program") and the Issuer's 2017 Stock Incentive Plan (the "Stock Plan"). The shares of restricted stock vest on the first anniversary of the Pricing Date (as defined below). As provided by the terms of the Program and the Stock Plan, (i) the grant date was May 26, 2021; and (ii) the number of shares were determined based on the dollar value of the award and the average of the closing prices of the common stock on the ten trading days prior to May 26, 2021 (the "Pricing Date"), the fifth trading day following the filing of the Issuer's Annual Report on Form 10-K.</w:t>
      </w:r>
    </w:p>
    <w:p>
      <w:pPr>
        <w:spacing w:after="0" w:line="5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Aaron Diamond,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954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in-fact for Ms. LaVerne E.</w:t>
      </w:r>
      <w:r>
        <w:rPr>
          <w:sz w:val="20"/>
          <w:szCs w:val="20"/>
          <w:color w:val="auto"/>
        </w:rPr>
        <w:tab/>
      </w:r>
      <w:r>
        <w:rPr>
          <w:rFonts w:ascii="Arial" w:cs="Arial" w:eastAsia="Arial" w:hAnsi="Arial"/>
          <w:sz w:val="15"/>
          <w:szCs w:val="15"/>
          <w:color w:val="0000FF"/>
        </w:rPr>
        <w:t>05/27/2021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Srinivasan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641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418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01630" TargetMode="External"/><Relationship Id="rId13"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2021-05-27T23:47:29Z</dcterms:created>
  <dcterms:modified xsi:type="dcterms:W3CDTF">2021-05-27T23:47:29Z</dcterms:modified>
</cp:coreProperties>
</file>