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333-264153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173990</wp:posOffset>
            </wp:positionV>
            <wp:extent cx="1405890" cy="127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127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$500,000,000 5.000% Senior Notes due 2026</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$500,000,000 4.950% Senior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Pricing Supplement dated April 10, 2023 (this “Pricing Term Sheet”) to the Preliminary Prospectus Supplement dated April 10, 2023 (the “Preliminary Prospectus Supplement”) of Take-Two Interactive Software, Inc. (the “Issuer”).</w:t>
      </w:r>
    </w:p>
    <w:p>
      <w:pPr>
        <w:spacing w:after="0" w:line="51"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Pricing Term Sheet is qualified in its entirety by reference to the Preliminary Prospectus Supplement. The information in this Pricing Term Sheet supplements the Preliminary Prospectus Supplement and supersedes the information in the Preliminary Prospectus Supplement to the extent it is inconsistent with the information in the Preliminary Prospectus Supplement. Capitalized terms used in this Pricing Term Sheet but not defined have the meanings given them in the Preliminary Prospectus Supplement.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060" w:type="dxa"/>
            <w:vAlign w:val="bottom"/>
          </w:tcPr>
          <w:p>
            <w:pPr>
              <w:spacing w:after="0"/>
              <w:rPr>
                <w:sz w:val="16"/>
                <w:szCs w:val="16"/>
                <w:color w:val="auto"/>
              </w:rPr>
            </w:pPr>
          </w:p>
        </w:tc>
        <w:tc>
          <w:tcPr>
            <w:tcW w:w="52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Terms applicable to all the Notes</w:t>
            </w:r>
          </w:p>
        </w:tc>
        <w:tc>
          <w:tcPr>
            <w:tcW w:w="0" w:type="dxa"/>
            <w:vAlign w:val="bottom"/>
          </w:tcPr>
          <w:p>
            <w:pPr>
              <w:spacing w:after="0"/>
              <w:rPr>
                <w:sz w:val="1"/>
                <w:szCs w:val="1"/>
                <w:color w:val="auto"/>
              </w:rPr>
            </w:pPr>
          </w:p>
        </w:tc>
      </w:tr>
      <w:tr>
        <w:trPr>
          <w:trHeight w:val="228"/>
        </w:trPr>
        <w:tc>
          <w:tcPr>
            <w:tcW w:w="368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0" w:type="dxa"/>
            <w:vAlign w:val="bottom"/>
          </w:tcPr>
          <w:p>
            <w:pPr>
              <w:spacing w:after="0"/>
              <w:rPr>
                <w:sz w:val="1"/>
                <w:szCs w:val="1"/>
                <w:color w:val="auto"/>
              </w:rPr>
            </w:pPr>
          </w:p>
        </w:tc>
      </w:tr>
      <w:tr>
        <w:trPr>
          <w:trHeight w:val="306"/>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April 10, 2023</w:t>
            </w:r>
          </w:p>
        </w:tc>
        <w:tc>
          <w:tcPr>
            <w:tcW w:w="0" w:type="dxa"/>
            <w:vAlign w:val="bottom"/>
          </w:tcPr>
          <w:p>
            <w:pPr>
              <w:spacing w:after="0"/>
              <w:rPr>
                <w:sz w:val="1"/>
                <w:szCs w:val="1"/>
                <w:color w:val="auto"/>
              </w:rPr>
            </w:pPr>
          </w:p>
        </w:tc>
      </w:tr>
      <w:tr>
        <w:trPr>
          <w:trHeight w:val="324"/>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April 14, 2023 (T+4)</w:t>
            </w:r>
          </w:p>
        </w:tc>
        <w:tc>
          <w:tcPr>
            <w:tcW w:w="0" w:type="dxa"/>
            <w:vAlign w:val="bottom"/>
          </w:tcPr>
          <w:p>
            <w:pPr>
              <w:spacing w:after="0"/>
              <w:rPr>
                <w:sz w:val="1"/>
                <w:szCs w:val="1"/>
                <w:color w:val="auto"/>
              </w:rPr>
            </w:pPr>
          </w:p>
        </w:tc>
      </w:tr>
      <w:tr>
        <w:trPr>
          <w:trHeight w:val="306"/>
        </w:trPr>
        <w:tc>
          <w:tcPr>
            <w:tcW w:w="3680" w:type="dxa"/>
            <w:vAlign w:val="bottom"/>
          </w:tcPr>
          <w:p>
            <w:pPr>
              <w:spacing w:after="0"/>
              <w:rPr>
                <w:sz w:val="24"/>
                <w:szCs w:val="24"/>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We expect that delivery of the notes will be made against payment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therefor on or about the fourth business day following the date of pricing</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of the notes (this settlement cycle being referred to as “T+4”). Under</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Rule 15c6-1 of the Securities and Exchange Act of 1934, as amended</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(the “Exchange Act”), trades in the secondary market generally are</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required to settle in two business days, unless the parties to any such</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trade expressly agree otherwise.</w:t>
            </w:r>
          </w:p>
        </w:tc>
        <w:tc>
          <w:tcPr>
            <w:tcW w:w="0" w:type="dxa"/>
            <w:vAlign w:val="bottom"/>
          </w:tcPr>
          <w:p>
            <w:pPr>
              <w:spacing w:after="0"/>
              <w:rPr>
                <w:sz w:val="1"/>
                <w:szCs w:val="1"/>
                <w:color w:val="auto"/>
              </w:rPr>
            </w:pPr>
          </w:p>
        </w:tc>
      </w:tr>
      <w:tr>
        <w:trPr>
          <w:trHeight w:val="306"/>
        </w:trPr>
        <w:tc>
          <w:tcPr>
            <w:tcW w:w="3680" w:type="dxa"/>
            <w:vAlign w:val="bottom"/>
          </w:tcPr>
          <w:p>
            <w:pPr>
              <w:spacing w:after="0"/>
              <w:rPr>
                <w:sz w:val="24"/>
                <w:szCs w:val="24"/>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Accordingly, purchasers who wish to trade the notes on any date prior to</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two business days before delivery will be required, by virtue of the fact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that the notes initially will settle in T+4, to specify alternate settlement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arrangements at the time of any such trade to prevent a failed settlement</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73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and should consult their own advisers.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Anticipated Ratings (Moody’s / S&amp;P)*:</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Baa2 (s) / BBB (s)</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c>
          <w:tcPr>
            <w:tcW w:w="0" w:type="dxa"/>
            <w:vAlign w:val="bottom"/>
          </w:tcPr>
          <w:p>
            <w:pPr>
              <w:spacing w:after="0"/>
              <w:rPr>
                <w:sz w:val="1"/>
                <w:szCs w:val="1"/>
                <w:color w:val="auto"/>
              </w:rPr>
            </w:pP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J.P. Morgan Securities LLC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BofA Securities, Inc.</w:t>
            </w:r>
          </w:p>
        </w:tc>
        <w:tc>
          <w:tcPr>
            <w:tcW w:w="0" w:type="dxa"/>
            <w:vAlign w:val="bottom"/>
          </w:tcPr>
          <w:p>
            <w:pPr>
              <w:spacing w:after="0"/>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HSBC Securities (USA) Inc.</w:t>
            </w:r>
          </w:p>
        </w:tc>
        <w:tc>
          <w:tcPr>
            <w:tcW w:w="0" w:type="dxa"/>
            <w:vAlign w:val="bottom"/>
          </w:tcPr>
          <w:p>
            <w:pPr>
              <w:spacing w:after="0"/>
              <w:rPr>
                <w:sz w:val="1"/>
                <w:szCs w:val="1"/>
                <w:color w:val="auto"/>
              </w:rPr>
            </w:pPr>
          </w:p>
        </w:tc>
      </w:tr>
      <w:tr>
        <w:trPr>
          <w:trHeight w:val="378"/>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1500" w:type="dxa"/>
            <w:vAlign w:val="bottom"/>
          </w:tcPr>
          <w:p>
            <w:pPr>
              <w:spacing w:after="0"/>
              <w:rPr>
                <w:sz w:val="24"/>
                <w:szCs w:val="24"/>
                <w:color w:val="auto"/>
              </w:rPr>
            </w:pPr>
          </w:p>
        </w:tc>
        <w:tc>
          <w:tcPr>
            <w:tcW w:w="52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Terms applicable to the 2026 Notes</w:t>
            </w:r>
          </w:p>
        </w:tc>
        <w:tc>
          <w:tcPr>
            <w:tcW w:w="0" w:type="dxa"/>
            <w:vAlign w:val="bottom"/>
          </w:tcPr>
          <w:p>
            <w:pPr>
              <w:spacing w:after="0"/>
              <w:rPr>
                <w:sz w:val="1"/>
                <w:szCs w:val="1"/>
                <w:color w:val="auto"/>
              </w:rPr>
            </w:pPr>
          </w:p>
        </w:tc>
      </w:tr>
      <w:tr>
        <w:trPr>
          <w:trHeight w:val="228"/>
        </w:trPr>
        <w:tc>
          <w:tcPr>
            <w:tcW w:w="42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0" w:type="dxa"/>
            <w:vAlign w:val="bottom"/>
          </w:tcPr>
          <w:p>
            <w:pPr>
              <w:spacing w:after="0"/>
              <w:rPr>
                <w:sz w:val="1"/>
                <w:szCs w:val="1"/>
                <w:color w:val="auto"/>
              </w:rPr>
            </w:pP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March 28, 2026</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Price:</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99.945%</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March 28 and September 28, commencing on September 28, 2023</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Yield to Maturity:</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+125 bps</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UST 4.625% due March 15, 2026</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Benchmark Treasury Price and Yield:</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102-11 and 3.771%</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 Provisions:</w:t>
            </w:r>
          </w:p>
        </w:tc>
        <w:tc>
          <w:tcPr>
            <w:tcW w:w="15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Make-Whole Call:</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Prior to March 28, 2026, at the Treasury Rate plus 20 basis points, plus</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accrued and unpaid interest, if any.</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874054AJ8</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ISIN:</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US874054AJ85</w:t>
            </w:r>
          </w:p>
        </w:tc>
        <w:tc>
          <w:tcPr>
            <w:tcW w:w="0" w:type="dxa"/>
            <w:vAlign w:val="bottom"/>
          </w:tcPr>
          <w:p>
            <w:pPr>
              <w:spacing w:after="0"/>
              <w:rPr>
                <w:sz w:val="1"/>
                <w:szCs w:val="1"/>
                <w:color w:val="auto"/>
              </w:rPr>
            </w:pPr>
          </w:p>
        </w:tc>
      </w:tr>
      <w:tr>
        <w:trPr>
          <w:trHeight w:val="378"/>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1500" w:type="dxa"/>
            <w:vAlign w:val="bottom"/>
          </w:tcPr>
          <w:p>
            <w:pPr>
              <w:spacing w:after="0"/>
              <w:rPr>
                <w:sz w:val="24"/>
                <w:szCs w:val="24"/>
                <w:color w:val="auto"/>
              </w:rPr>
            </w:pPr>
          </w:p>
        </w:tc>
        <w:tc>
          <w:tcPr>
            <w:tcW w:w="52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Terms applicable to the 2028 Notes</w:t>
            </w:r>
          </w:p>
        </w:tc>
        <w:tc>
          <w:tcPr>
            <w:tcW w:w="0" w:type="dxa"/>
            <w:vAlign w:val="bottom"/>
          </w:tcPr>
          <w:p>
            <w:pPr>
              <w:spacing w:after="0"/>
              <w:rPr>
                <w:sz w:val="1"/>
                <w:szCs w:val="1"/>
                <w:color w:val="auto"/>
              </w:rPr>
            </w:pPr>
          </w:p>
        </w:tc>
      </w:tr>
      <w:tr>
        <w:trPr>
          <w:trHeight w:val="228"/>
        </w:trPr>
        <w:tc>
          <w:tcPr>
            <w:tcW w:w="42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4.950% Senior Notes due 2028</w:t>
            </w:r>
          </w:p>
        </w:tc>
        <w:tc>
          <w:tcPr>
            <w:tcW w:w="0" w:type="dxa"/>
            <w:vAlign w:val="bottom"/>
          </w:tcPr>
          <w:p>
            <w:pPr>
              <w:spacing w:after="0"/>
              <w:rPr>
                <w:sz w:val="1"/>
                <w:szCs w:val="1"/>
                <w:color w:val="auto"/>
              </w:rPr>
            </w:pP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67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March 28, 2028</w:t>
            </w:r>
          </w:p>
        </w:tc>
        <w:tc>
          <w:tcPr>
            <w:tcW w:w="0" w:type="dxa"/>
            <w:vAlign w:val="bottom"/>
          </w:tcPr>
          <w:p>
            <w:pPr>
              <w:spacing w:after="0"/>
              <w:rPr>
                <w:sz w:val="1"/>
                <w:szCs w:val="1"/>
                <w:color w:val="auto"/>
              </w:rPr>
            </w:pPr>
          </w:p>
        </w:tc>
      </w:tr>
      <w:tr>
        <w:trPr>
          <w:trHeight w:val="364"/>
        </w:trPr>
        <w:tc>
          <w:tcPr>
            <w:tcW w:w="4240" w:type="dxa"/>
            <w:vAlign w:val="bottom"/>
          </w:tcPr>
          <w:p>
            <w:pPr>
              <w:spacing w:after="0"/>
              <w:rPr>
                <w:sz w:val="24"/>
                <w:szCs w:val="24"/>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2</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Coupon:</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Times New Roman" w:cs="Times New Roman" w:eastAsia="Times New Roman" w:hAnsi="Times New Roman"/>
          <w:sz w:val="17"/>
          <w:szCs w:val="17"/>
          <w:color w:val="auto"/>
        </w:rPr>
        <w:t>4.950%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-206375</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5020" w:space="720"/>
            <w:col w:w="5240"/>
          </w:cols>
          <w:pgMar w:left="440" w:top="266"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Times New Roman" w:cs="Times New Roman" w:eastAsia="Times New Roman" w:hAnsi="Times New Roman"/>
          <w:sz w:val="17"/>
          <w:szCs w:val="17"/>
          <w:color w:val="auto"/>
        </w:rPr>
        <w:t>99.920%</w:t>
      </w:r>
    </w:p>
    <w:p>
      <w:pPr>
        <w:spacing w:after="0" w:line="124"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28 and September 28, commencing on September 28, 2023</w:t>
      </w:r>
    </w:p>
    <w:p>
      <w:pPr>
        <w:spacing w:after="0" w:line="124"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Times New Roman" w:cs="Times New Roman" w:eastAsia="Times New Roman" w:hAnsi="Times New Roman"/>
          <w:sz w:val="17"/>
          <w:szCs w:val="17"/>
          <w:color w:val="auto"/>
        </w:rPr>
        <w:t>4.969%</w:t>
      </w:r>
    </w:p>
    <w:p>
      <w:pPr>
        <w:spacing w:after="0" w:line="125"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+145 bps</w:t>
      </w:r>
    </w:p>
    <w:p>
      <w:pPr>
        <w:spacing w:after="0" w:line="125"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UST 3.625% due March 31, 2028</w:t>
      </w:r>
    </w:p>
    <w:p>
      <w:pPr>
        <w:spacing w:after="0" w:line="125"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100-15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and 3.519%</w:t>
      </w:r>
    </w:p>
    <w:p>
      <w:pPr>
        <w:spacing w:after="0" w:line="113"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Redemption Provisions:</w:t>
      </w:r>
    </w:p>
    <w:p>
      <w:pPr>
        <w:sectPr>
          <w:pgSz w:w="11900" w:h="16838" w:orient="portrait"/>
          <w:cols w:equalWidth="0" w:num="1">
            <w:col w:w="10980"/>
          </w:cols>
          <w:pgMar w:left="440" w:top="266" w:right="479" w:bottom="1440" w:gutter="0" w:footer="0" w:header="0"/>
          <w:type w:val="continuous"/>
        </w:sectPr>
      </w:pP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Make-Whole Call: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Prior to February 28, 2028, at the Treasury Rate plus 25 basis points, plus accrued and unpaid interest, if any.</w:t>
      </w:r>
    </w:p>
    <w:p>
      <w:pPr>
        <w:spacing w:after="0" w:line="50"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Par Call:</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On or after February 28, 2028, at 100% of the principal amount, plus accrued and unpaid interest thereon to, but not including, the redemption date.</w:t>
      </w:r>
    </w:p>
    <w:p>
      <w:pPr>
        <w:spacing w:after="0" w:line="64"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874054AK5</w:t>
      </w:r>
    </w:p>
    <w:p>
      <w:pPr>
        <w:spacing w:after="0" w:line="124"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US874054AK58</w:t>
      </w:r>
    </w:p>
    <w:p>
      <w:pPr>
        <w:spacing w:after="0" w:line="200" w:lineRule="exact"/>
        <w:rPr>
          <w:sz w:val="20"/>
          <w:szCs w:val="20"/>
          <w:color w:val="auto"/>
        </w:rPr>
      </w:pPr>
    </w:p>
    <w:p>
      <w:pPr>
        <w:sectPr>
          <w:pgSz w:w="11900" w:h="16838" w:orient="portrait"/>
          <w:cols w:equalWidth="0" w:num="2">
            <w:col w:w="5020" w:space="720"/>
            <w:col w:w="5240"/>
          </w:cols>
          <w:pgMar w:left="440" w:top="266" w:right="47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Note: A securities rating is not a recommendation to buy, sell or hold securities and may be revised or withdrawn at any time.</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or emailing, as applicable, J.P. Morgan Securities LLC collect at 1-212-834-4533 or Wells Fargo Securities, LLC at 1-800-645-3751</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email or another communication system.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80"/>
      </w:cols>
      <w:pgMar w:left="440" w:top="26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2023-04-10T16:40:26Z</dcterms:created>
  <dcterms:modified xsi:type="dcterms:W3CDTF">2023-04-10T16:40:26Z</dcterms:modified>
</cp:coreProperties>
</file>