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Times New Roman" w:cs="Times New Roman" w:eastAsia="Times New Roman" w:hAnsi="Times New Roman"/>
          <w:sz w:val="18"/>
          <w:szCs w:val="18"/>
          <w:u w:val="single" w:color="auto"/>
          <w:color w:val="0000FF"/>
        </w:rPr>
      </w:pPr>
      <w:hyperlink w:anchor="page1">
        <w:r>
          <w:rPr>
            <w:rFonts w:ascii="Times New Roman" w:cs="Times New Roman" w:eastAsia="Times New Roman" w:hAnsi="Times New Roman"/>
            <w:sz w:val="18"/>
            <w:szCs w:val="18"/>
            <w:u w:val="single" w:color="auto"/>
            <w:color w:val="0000FF"/>
          </w:rPr>
          <w:t>Table of Contents</w:t>
        </w:r>
      </w:hyperlink>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437515</wp:posOffset>
            </wp:positionV>
            <wp:extent cx="7132320" cy="171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70" w:lineRule="exact"/>
        <w:rPr>
          <w:sz w:val="24"/>
          <w:szCs w:val="24"/>
          <w:color w:val="auto"/>
        </w:rPr>
      </w:pPr>
    </w:p>
    <w:p>
      <w:pPr>
        <w:jc w:val="center"/>
        <w:ind w:right="-79"/>
        <w:spacing w:after="0"/>
        <w:rPr>
          <w:sz w:val="20"/>
          <w:szCs w:val="20"/>
          <w:color w:val="auto"/>
        </w:rPr>
      </w:pPr>
      <w:r>
        <w:rPr>
          <w:rFonts w:ascii="Times New Roman" w:cs="Times New Roman" w:eastAsia="Times New Roman" w:hAnsi="Times New Roman"/>
          <w:sz w:val="32"/>
          <w:szCs w:val="32"/>
          <w:b w:val="1"/>
          <w:bCs w:val="1"/>
          <w:color w:val="auto"/>
        </w:rPr>
        <w:t>UNITED STATES</w:t>
      </w:r>
    </w:p>
    <w:p>
      <w:pPr>
        <w:spacing w:after="0" w:line="64" w:lineRule="exact"/>
        <w:rPr>
          <w:sz w:val="24"/>
          <w:szCs w:val="24"/>
          <w:color w:val="auto"/>
        </w:rPr>
      </w:pPr>
    </w:p>
    <w:p>
      <w:pPr>
        <w:jc w:val="center"/>
        <w:ind w:right="-79"/>
        <w:spacing w:after="0"/>
        <w:rPr>
          <w:sz w:val="20"/>
          <w:szCs w:val="20"/>
          <w:color w:val="auto"/>
        </w:rPr>
      </w:pPr>
      <w:r>
        <w:rPr>
          <w:rFonts w:ascii="Times New Roman" w:cs="Times New Roman" w:eastAsia="Times New Roman" w:hAnsi="Times New Roman"/>
          <w:sz w:val="32"/>
          <w:szCs w:val="32"/>
          <w:b w:val="1"/>
          <w:bCs w:val="1"/>
          <w:color w:val="auto"/>
        </w:rPr>
        <w:t>SECURITIES AND EXCHANGE COMMISSION</w:t>
      </w:r>
    </w:p>
    <w:p>
      <w:pPr>
        <w:spacing w:after="0" w:line="167" w:lineRule="exact"/>
        <w:rPr>
          <w:sz w:val="24"/>
          <w:szCs w:val="24"/>
          <w:color w:val="auto"/>
        </w:rPr>
      </w:pPr>
    </w:p>
    <w:p>
      <w:pPr>
        <w:jc w:val="center"/>
        <w:ind w:right="-79"/>
        <w:spacing w:after="0"/>
        <w:rPr>
          <w:sz w:val="20"/>
          <w:szCs w:val="20"/>
          <w:color w:val="auto"/>
        </w:rPr>
      </w:pPr>
      <w:r>
        <w:rPr>
          <w:rFonts w:ascii="Times New Roman" w:cs="Times New Roman" w:eastAsia="Times New Roman" w:hAnsi="Times New Roman"/>
          <w:sz w:val="14"/>
          <w:szCs w:val="14"/>
          <w:b w:val="1"/>
          <w:bCs w:val="1"/>
          <w:color w:val="auto"/>
        </w:rPr>
        <w:t>WASHINGTON, D.C. 20549</w:t>
      </w:r>
    </w:p>
    <w:p>
      <w:pPr>
        <w:spacing w:after="0" w:line="127" w:lineRule="exact"/>
        <w:rPr>
          <w:sz w:val="24"/>
          <w:szCs w:val="24"/>
          <w:color w:val="auto"/>
        </w:rPr>
      </w:pPr>
    </w:p>
    <w:p>
      <w:pPr>
        <w:jc w:val="center"/>
        <w:ind w:right="-79"/>
        <w:spacing w:after="0"/>
        <w:rPr>
          <w:sz w:val="20"/>
          <w:szCs w:val="20"/>
          <w:color w:val="auto"/>
        </w:rPr>
      </w:pPr>
      <w:r>
        <w:rPr>
          <w:rFonts w:ascii="Times New Roman" w:cs="Times New Roman" w:eastAsia="Times New Roman" w:hAnsi="Times New Roman"/>
          <w:sz w:val="32"/>
          <w:szCs w:val="32"/>
          <w:b w:val="1"/>
          <w:bCs w:val="1"/>
          <w:color w:val="auto"/>
        </w:rPr>
        <w:t>FORM 10-Q</w:t>
      </w:r>
    </w:p>
    <w:p>
      <w:pPr>
        <w:spacing w:after="0" w:line="55" w:lineRule="exact"/>
        <w:rPr>
          <w:sz w:val="24"/>
          <w:szCs w:val="24"/>
          <w:color w:val="auto"/>
        </w:rPr>
      </w:pPr>
    </w:p>
    <w:p>
      <w:pPr>
        <w:ind w:left="300"/>
        <w:spacing w:after="0"/>
        <w:rPr>
          <w:sz w:val="20"/>
          <w:szCs w:val="20"/>
          <w:color w:val="auto"/>
        </w:rPr>
      </w:pPr>
      <w:r>
        <w:rPr>
          <w:rFonts w:ascii="Times New Roman" w:cs="Times New Roman" w:eastAsia="Times New Roman" w:hAnsi="Times New Roman"/>
          <w:sz w:val="21"/>
          <w:szCs w:val="21"/>
          <w:b w:val="1"/>
          <w:bCs w:val="1"/>
          <w:color w:val="auto"/>
        </w:rPr>
        <w:t>QUARTERLY REPORT PURSUANT TO SECTION 13 OR 15(d) OF THE SECURITIES EXCHANGE ACT</w:t>
      </w:r>
    </w:p>
    <w:p>
      <w:pPr>
        <w:ind w:left="300" w:hanging="274"/>
        <w:spacing w:after="0" w:line="208" w:lineRule="auto"/>
        <w:tabs>
          <w:tab w:leader="none" w:pos="300" w:val="left"/>
        </w:tabs>
        <w:numPr>
          <w:ilvl w:val="0"/>
          <w:numId w:val="1"/>
        </w:numPr>
        <w:rPr>
          <w:rFonts w:ascii="MS PGothic" w:cs="MS PGothic" w:eastAsia="MS PGothic" w:hAnsi="MS PGothic"/>
          <w:sz w:val="29"/>
          <w:szCs w:val="29"/>
          <w:color w:val="auto"/>
          <w:vertAlign w:val="subscript"/>
        </w:rPr>
      </w:pPr>
      <w:r>
        <w:rPr>
          <w:rFonts w:ascii="Times New Roman" w:cs="Times New Roman" w:eastAsia="Times New Roman" w:hAnsi="Times New Roman"/>
          <w:sz w:val="22"/>
          <w:szCs w:val="22"/>
          <w:b w:val="1"/>
          <w:bCs w:val="1"/>
          <w:color w:val="auto"/>
        </w:rPr>
        <w:t>OF 1934</w:t>
      </w:r>
    </w:p>
    <w:p>
      <w:pPr>
        <w:spacing w:after="0" w:line="86" w:lineRule="exact"/>
        <w:rPr>
          <w:sz w:val="24"/>
          <w:szCs w:val="24"/>
          <w:color w:val="auto"/>
        </w:rPr>
      </w:pPr>
    </w:p>
    <w:p>
      <w:pPr>
        <w:jc w:val="center"/>
        <w:ind w:right="-79"/>
        <w:spacing w:after="0"/>
        <w:rPr>
          <w:sz w:val="20"/>
          <w:szCs w:val="20"/>
          <w:color w:val="auto"/>
        </w:rPr>
      </w:pPr>
      <w:r>
        <w:rPr>
          <w:rFonts w:ascii="Times New Roman" w:cs="Times New Roman" w:eastAsia="Times New Roman" w:hAnsi="Times New Roman"/>
          <w:sz w:val="14"/>
          <w:szCs w:val="14"/>
          <w:b w:val="1"/>
          <w:bCs w:val="1"/>
          <w:color w:val="auto"/>
        </w:rPr>
        <w:t>For the quarterly period ended December 31, 2020</w:t>
      </w:r>
    </w:p>
    <w:p>
      <w:pPr>
        <w:spacing w:after="0" w:line="44" w:lineRule="exact"/>
        <w:rPr>
          <w:sz w:val="24"/>
          <w:szCs w:val="24"/>
          <w:color w:val="auto"/>
        </w:rPr>
      </w:pPr>
    </w:p>
    <w:p>
      <w:pPr>
        <w:jc w:val="center"/>
        <w:ind w:right="-79"/>
        <w:spacing w:after="0"/>
        <w:rPr>
          <w:sz w:val="20"/>
          <w:szCs w:val="20"/>
          <w:color w:val="auto"/>
        </w:rPr>
      </w:pPr>
      <w:r>
        <w:rPr>
          <w:rFonts w:ascii="Times New Roman" w:cs="Times New Roman" w:eastAsia="Times New Roman" w:hAnsi="Times New Roman"/>
          <w:sz w:val="18"/>
          <w:szCs w:val="18"/>
          <w:b w:val="1"/>
          <w:bCs w:val="1"/>
          <w:color w:val="auto"/>
        </w:rPr>
        <w:t>OR</w:t>
      </w:r>
    </w:p>
    <w:p>
      <w:pPr>
        <w:spacing w:after="0" w:line="31" w:lineRule="exact"/>
        <w:rPr>
          <w:sz w:val="24"/>
          <w:szCs w:val="24"/>
          <w:color w:val="auto"/>
        </w:rPr>
      </w:pPr>
    </w:p>
    <w:p>
      <w:pPr>
        <w:ind w:left="300" w:right="720" w:hanging="254"/>
        <w:spacing w:after="0" w:line="189" w:lineRule="auto"/>
        <w:tabs>
          <w:tab w:leader="none" w:pos="300" w:val="left"/>
        </w:tabs>
        <w:numPr>
          <w:ilvl w:val="0"/>
          <w:numId w:val="2"/>
        </w:numPr>
        <w:rPr>
          <w:rFonts w:ascii="MS PGothic" w:cs="MS PGothic" w:eastAsia="MS PGothic" w:hAnsi="MS PGothic"/>
          <w:sz w:val="36"/>
          <w:szCs w:val="36"/>
          <w:color w:val="auto"/>
          <w:vertAlign w:val="subscript"/>
        </w:rPr>
      </w:pPr>
      <w:r>
        <w:rPr>
          <w:rFonts w:ascii="Times New Roman" w:cs="Times New Roman" w:eastAsia="Times New Roman" w:hAnsi="Times New Roman"/>
          <w:sz w:val="22"/>
          <w:szCs w:val="22"/>
          <w:b w:val="1"/>
          <w:bCs w:val="1"/>
          <w:color w:val="auto"/>
        </w:rPr>
        <w:t>TRANSITION REPORT PURSUANT TO SECTION 13 OR 15(d) OF THE SECURITIES EXCHANGE ACT OF 1934</w:t>
      </w:r>
    </w:p>
    <w:p>
      <w:pPr>
        <w:sectPr>
          <w:pgSz w:w="11900" w:h="16838" w:orient="portrait"/>
          <w:cols w:equalWidth="0" w:num="1">
            <w:col w:w="11180"/>
          </w:cols>
          <w:pgMar w:left="320" w:top="472" w:right="399" w:bottom="1440" w:gutter="0" w:footer="0" w:header="0"/>
        </w:sectPr>
      </w:pPr>
    </w:p>
    <w:p>
      <w:pPr>
        <w:spacing w:after="0" w:line="2" w:lineRule="exact"/>
        <w:rPr>
          <w:sz w:val="24"/>
          <w:szCs w:val="24"/>
          <w:color w:val="auto"/>
        </w:rPr>
      </w:pPr>
    </w:p>
    <w:p>
      <w:pPr>
        <w:ind w:left="3560"/>
        <w:spacing w:after="0"/>
        <w:rPr>
          <w:sz w:val="20"/>
          <w:szCs w:val="20"/>
          <w:color w:val="auto"/>
        </w:rPr>
      </w:pPr>
      <w:r>
        <w:rPr>
          <w:rFonts w:ascii="Times New Roman" w:cs="Times New Roman" w:eastAsia="Times New Roman" w:hAnsi="Times New Roman"/>
          <w:sz w:val="14"/>
          <w:szCs w:val="14"/>
          <w:b w:val="1"/>
          <w:bCs w:val="1"/>
          <w:color w:val="auto"/>
        </w:rPr>
        <w:t>For the transition period from</w:t>
      </w:r>
    </w:p>
    <w:p>
      <w:pPr>
        <w:spacing w:after="0" w:line="20" w:lineRule="exact"/>
        <w:rPr>
          <w:sz w:val="24"/>
          <w:szCs w:val="24"/>
          <w:color w:val="auto"/>
        </w:rPr>
      </w:pPr>
      <w:r>
        <w:rPr>
          <w:sz w:val="24"/>
          <w:szCs w:val="24"/>
          <w:color w:val="auto"/>
        </w:rPr>
        <w:br w:type="column"/>
      </w:r>
    </w:p>
    <w:p>
      <w:pPr>
        <w:jc w:val="center"/>
        <w:ind w:right="360"/>
        <w:spacing w:after="0"/>
        <w:rPr>
          <w:sz w:val="20"/>
          <w:szCs w:val="20"/>
          <w:color w:val="auto"/>
        </w:rPr>
      </w:pPr>
      <w:r>
        <w:rPr>
          <w:rFonts w:ascii="Times New Roman" w:cs="Times New Roman" w:eastAsia="Times New Roman" w:hAnsi="Times New Roman"/>
          <w:sz w:val="14"/>
          <w:szCs w:val="14"/>
          <w:b w:val="1"/>
          <w:bCs w:val="1"/>
          <w:color w:val="auto"/>
        </w:rPr>
        <w:t>to</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Times New Roman" w:cs="Times New Roman" w:eastAsia="Times New Roman" w:hAnsi="Times New Roman"/>
          <w:sz w:val="14"/>
          <w:szCs w:val="14"/>
          <w:b w:val="1"/>
          <w:bCs w:val="1"/>
          <w:color w:val="auto"/>
        </w:rPr>
        <w:t>.</w:t>
      </w:r>
    </w:p>
    <w:p>
      <w:pPr>
        <w:spacing w:after="0" w:line="200" w:lineRule="exact"/>
        <w:rPr>
          <w:sz w:val="24"/>
          <w:szCs w:val="24"/>
          <w:color w:val="auto"/>
        </w:rPr>
      </w:pPr>
    </w:p>
    <w:p>
      <w:pPr>
        <w:sectPr>
          <w:pgSz w:w="11900" w:h="16838" w:orient="portrait"/>
          <w:cols w:equalWidth="0" w:num="3">
            <w:col w:w="5740" w:space="720"/>
            <w:col w:w="480" w:space="720"/>
            <w:col w:w="3520"/>
          </w:cols>
          <w:pgMar w:left="320" w:top="472" w:right="399" w:bottom="1440" w:gutter="0" w:footer="0" w:header="0"/>
          <w:type w:val="continuous"/>
        </w:sectPr>
      </w:pPr>
    </w:p>
    <w:p>
      <w:pPr>
        <w:spacing w:after="0" w:line="156" w:lineRule="exact"/>
        <w:rPr>
          <w:sz w:val="24"/>
          <w:szCs w:val="24"/>
          <w:color w:val="auto"/>
        </w:rPr>
      </w:pPr>
    </w:p>
    <w:p>
      <w:pPr>
        <w:jc w:val="center"/>
        <w:ind w:right="-59"/>
        <w:spacing w:after="0"/>
        <w:rPr>
          <w:sz w:val="20"/>
          <w:szCs w:val="20"/>
          <w:color w:val="auto"/>
        </w:rPr>
      </w:pPr>
      <w:r>
        <w:rPr>
          <w:rFonts w:ascii="Times New Roman" w:cs="Times New Roman" w:eastAsia="Times New Roman" w:hAnsi="Times New Roman"/>
          <w:sz w:val="14"/>
          <w:szCs w:val="14"/>
          <w:b w:val="1"/>
          <w:bCs w:val="1"/>
          <w:color w:val="auto"/>
        </w:rPr>
        <w:t>Commission file number 001-34003</w:t>
      </w:r>
    </w:p>
    <w:p>
      <w:pPr>
        <w:spacing w:after="0" w:line="29" w:lineRule="exact"/>
        <w:rPr>
          <w:sz w:val="24"/>
          <w:szCs w:val="24"/>
          <w:color w:val="auto"/>
        </w:rPr>
      </w:pPr>
    </w:p>
    <w:p>
      <w:pPr>
        <w:jc w:val="center"/>
        <w:ind w:right="-59"/>
        <w:spacing w:after="0"/>
        <w:rPr>
          <w:sz w:val="20"/>
          <w:szCs w:val="20"/>
          <w:color w:val="auto"/>
        </w:rPr>
      </w:pPr>
      <w:r>
        <w:rPr>
          <w:rFonts w:ascii="Times New Roman" w:cs="Times New Roman" w:eastAsia="Times New Roman" w:hAnsi="Times New Roman"/>
          <w:sz w:val="32"/>
          <w:szCs w:val="32"/>
          <w:b w:val="1"/>
          <w:bCs w:val="1"/>
          <w:color w:val="auto"/>
        </w:rPr>
        <w:t>TAKE-TWO INTERACTIVE SOFTWARE, INC.</w:t>
      </w:r>
    </w:p>
    <w:p>
      <w:pPr>
        <w:jc w:val="center"/>
        <w:ind w:right="-59"/>
        <w:spacing w:after="0"/>
        <w:rPr>
          <w:sz w:val="20"/>
          <w:szCs w:val="20"/>
          <w:color w:val="auto"/>
        </w:rPr>
      </w:pPr>
      <w:r>
        <w:rPr>
          <w:rFonts w:ascii="Times New Roman" w:cs="Times New Roman" w:eastAsia="Times New Roman" w:hAnsi="Times New Roman"/>
          <w:sz w:val="14"/>
          <w:szCs w:val="14"/>
          <w:color w:val="auto"/>
        </w:rPr>
        <w:t>(Exact Name of Registrant as Specified in Its Charter)</w:t>
      </w:r>
    </w:p>
    <w:p>
      <w:pPr>
        <w:spacing w:after="0" w:line="24" w:lineRule="exact"/>
        <w:rPr>
          <w:sz w:val="24"/>
          <w:szCs w:val="24"/>
          <w:color w:val="auto"/>
        </w:rPr>
      </w:pPr>
    </w:p>
    <w:p>
      <w:pPr>
        <w:ind w:left="2160"/>
        <w:spacing w:after="0"/>
        <w:tabs>
          <w:tab w:leader="none" w:pos="7860" w:val="left"/>
        </w:tabs>
        <w:rPr>
          <w:sz w:val="20"/>
          <w:szCs w:val="20"/>
          <w:color w:val="auto"/>
        </w:rPr>
      </w:pPr>
      <w:r>
        <w:rPr>
          <w:rFonts w:ascii="Times New Roman" w:cs="Times New Roman" w:eastAsia="Times New Roman" w:hAnsi="Times New Roman"/>
          <w:sz w:val="14"/>
          <w:szCs w:val="14"/>
          <w:b w:val="1"/>
          <w:bCs w:val="1"/>
          <w:color w:val="auto"/>
        </w:rPr>
        <w:t>Delaware</w:t>
      </w:r>
      <w:r>
        <w:rPr>
          <w:sz w:val="20"/>
          <w:szCs w:val="20"/>
          <w:color w:val="auto"/>
        </w:rPr>
        <w:tab/>
      </w:r>
      <w:r>
        <w:rPr>
          <w:rFonts w:ascii="Times New Roman" w:cs="Times New Roman" w:eastAsia="Times New Roman" w:hAnsi="Times New Roman"/>
          <w:sz w:val="14"/>
          <w:szCs w:val="14"/>
          <w:b w:val="1"/>
          <w:bCs w:val="1"/>
          <w:color w:val="auto"/>
        </w:rPr>
        <w:t>51-0350842</w:t>
      </w:r>
    </w:p>
    <w:p>
      <w:pPr>
        <w:spacing w:after="0" w:line="20" w:lineRule="exact"/>
        <w:rPr>
          <w:sz w:val="24"/>
          <w:szCs w:val="24"/>
          <w:color w:val="auto"/>
        </w:rPr>
      </w:pPr>
    </w:p>
    <w:p>
      <w:pPr>
        <w:ind w:left="1580"/>
        <w:spacing w:after="0"/>
        <w:tabs>
          <w:tab w:leader="none" w:pos="7720" w:val="left"/>
        </w:tabs>
        <w:rPr>
          <w:sz w:val="20"/>
          <w:szCs w:val="20"/>
          <w:color w:val="auto"/>
        </w:rPr>
      </w:pPr>
      <w:r>
        <w:rPr>
          <w:rFonts w:ascii="Times New Roman" w:cs="Times New Roman" w:eastAsia="Times New Roman" w:hAnsi="Times New Roman"/>
          <w:sz w:val="14"/>
          <w:szCs w:val="14"/>
          <w:color w:val="auto"/>
        </w:rPr>
        <w:t>(State or Other Jurisdiction of</w:t>
      </w:r>
      <w:r>
        <w:rPr>
          <w:sz w:val="20"/>
          <w:szCs w:val="20"/>
          <w:color w:val="auto"/>
        </w:rPr>
        <w:tab/>
      </w:r>
      <w:r>
        <w:rPr>
          <w:rFonts w:ascii="Times New Roman" w:cs="Times New Roman" w:eastAsia="Times New Roman" w:hAnsi="Times New Roman"/>
          <w:sz w:val="14"/>
          <w:szCs w:val="14"/>
          <w:color w:val="auto"/>
        </w:rPr>
        <w:t>(I.R.S. Employer</w:t>
      </w:r>
    </w:p>
    <w:p>
      <w:pPr>
        <w:ind w:left="1560"/>
        <w:spacing w:after="0"/>
        <w:tabs>
          <w:tab w:leader="none" w:pos="7680" w:val="left"/>
        </w:tabs>
        <w:rPr>
          <w:sz w:val="20"/>
          <w:szCs w:val="20"/>
          <w:color w:val="auto"/>
        </w:rPr>
      </w:pPr>
      <w:r>
        <w:rPr>
          <w:rFonts w:ascii="Times New Roman" w:cs="Times New Roman" w:eastAsia="Times New Roman" w:hAnsi="Times New Roman"/>
          <w:sz w:val="14"/>
          <w:szCs w:val="14"/>
          <w:color w:val="auto"/>
        </w:rPr>
        <w:t>Incorporation or Organization)</w:t>
      </w:r>
      <w:r>
        <w:rPr>
          <w:sz w:val="20"/>
          <w:szCs w:val="20"/>
          <w:color w:val="auto"/>
        </w:rPr>
        <w:tab/>
      </w:r>
      <w:r>
        <w:rPr>
          <w:rFonts w:ascii="Times New Roman" w:cs="Times New Roman" w:eastAsia="Times New Roman" w:hAnsi="Times New Roman"/>
          <w:sz w:val="14"/>
          <w:szCs w:val="14"/>
          <w:color w:val="auto"/>
        </w:rPr>
        <w:t>Identification No.)</w:t>
      </w:r>
    </w:p>
    <w:p>
      <w:pPr>
        <w:spacing w:after="0" w:line="11" w:lineRule="exact"/>
        <w:rPr>
          <w:sz w:val="24"/>
          <w:szCs w:val="24"/>
          <w:color w:val="auto"/>
        </w:rPr>
      </w:pPr>
    </w:p>
    <w:p>
      <w:pPr>
        <w:ind w:left="1820"/>
        <w:spacing w:after="0"/>
        <w:tabs>
          <w:tab w:leader="none" w:pos="8040" w:val="left"/>
        </w:tabs>
        <w:rPr>
          <w:sz w:val="20"/>
          <w:szCs w:val="20"/>
          <w:color w:val="auto"/>
        </w:rPr>
      </w:pPr>
      <w:r>
        <w:rPr>
          <w:rFonts w:ascii="Times New Roman" w:cs="Times New Roman" w:eastAsia="Times New Roman" w:hAnsi="Times New Roman"/>
          <w:sz w:val="14"/>
          <w:szCs w:val="14"/>
          <w:b w:val="1"/>
          <w:bCs w:val="1"/>
          <w:color w:val="auto"/>
        </w:rPr>
        <w:t>110 West 44th Street</w:t>
      </w:r>
      <w:r>
        <w:rPr>
          <w:sz w:val="20"/>
          <w:szCs w:val="20"/>
          <w:color w:val="auto"/>
        </w:rPr>
        <w:tab/>
      </w:r>
      <w:r>
        <w:rPr>
          <w:rFonts w:ascii="Times New Roman" w:cs="Times New Roman" w:eastAsia="Times New Roman" w:hAnsi="Times New Roman"/>
          <w:sz w:val="14"/>
          <w:szCs w:val="14"/>
          <w:b w:val="1"/>
          <w:bCs w:val="1"/>
          <w:color w:val="auto"/>
        </w:rPr>
        <w:t>10036</w:t>
      </w:r>
    </w:p>
    <w:p>
      <w:pPr>
        <w:spacing w:after="0" w:line="28" w:lineRule="exact"/>
        <w:rPr>
          <w:sz w:val="24"/>
          <w:szCs w:val="24"/>
          <w:color w:val="auto"/>
        </w:rPr>
      </w:pPr>
    </w:p>
    <w:p>
      <w:pPr>
        <w:ind w:left="1800"/>
        <w:spacing w:after="0"/>
        <w:tabs>
          <w:tab w:leader="none" w:pos="7900" w:val="left"/>
        </w:tabs>
        <w:rPr>
          <w:sz w:val="20"/>
          <w:szCs w:val="20"/>
          <w:color w:val="auto"/>
        </w:rPr>
      </w:pPr>
      <w:r>
        <w:rPr>
          <w:rFonts w:ascii="Times New Roman" w:cs="Times New Roman" w:eastAsia="Times New Roman" w:hAnsi="Times New Roman"/>
          <w:sz w:val="14"/>
          <w:szCs w:val="14"/>
          <w:b w:val="1"/>
          <w:bCs w:val="1"/>
          <w:color w:val="auto"/>
        </w:rPr>
        <w:t>New York New York</w:t>
      </w:r>
      <w:r>
        <w:rPr>
          <w:sz w:val="20"/>
          <w:szCs w:val="20"/>
          <w:color w:val="auto"/>
        </w:rPr>
        <w:tab/>
      </w:r>
      <w:r>
        <w:rPr>
          <w:rFonts w:ascii="Times New Roman" w:cs="Times New Roman" w:eastAsia="Times New Roman" w:hAnsi="Times New Roman"/>
          <w:sz w:val="14"/>
          <w:szCs w:val="14"/>
          <w:color w:val="auto"/>
        </w:rPr>
        <w:t>(Zip Code)</w:t>
      </w:r>
    </w:p>
    <w:p>
      <w:pPr>
        <w:spacing w:after="0" w:line="29" w:lineRule="exact"/>
        <w:rPr>
          <w:sz w:val="24"/>
          <w:szCs w:val="24"/>
          <w:color w:val="auto"/>
        </w:rPr>
      </w:pPr>
    </w:p>
    <w:p>
      <w:pPr>
        <w:ind w:left="1320"/>
        <w:spacing w:after="0"/>
        <w:rPr>
          <w:sz w:val="20"/>
          <w:szCs w:val="20"/>
          <w:color w:val="auto"/>
        </w:rPr>
      </w:pPr>
      <w:r>
        <w:rPr>
          <w:rFonts w:ascii="Times New Roman" w:cs="Times New Roman" w:eastAsia="Times New Roman" w:hAnsi="Times New Roman"/>
          <w:sz w:val="14"/>
          <w:szCs w:val="14"/>
          <w:color w:val="auto"/>
        </w:rPr>
        <w:t>(Address of principal executive offices)</w:t>
      </w:r>
    </w:p>
    <w:p>
      <w:pPr>
        <w:spacing w:after="0" w:line="121" w:lineRule="exact"/>
        <w:rPr>
          <w:sz w:val="24"/>
          <w:szCs w:val="24"/>
          <w:color w:val="auto"/>
        </w:rPr>
      </w:pPr>
    </w:p>
    <w:p>
      <w:pPr>
        <w:ind w:left="3600"/>
        <w:spacing w:after="0"/>
        <w:rPr>
          <w:sz w:val="20"/>
          <w:szCs w:val="20"/>
          <w:color w:val="auto"/>
        </w:rPr>
      </w:pPr>
      <w:r>
        <w:rPr>
          <w:rFonts w:ascii="Times New Roman" w:cs="Times New Roman" w:eastAsia="Times New Roman" w:hAnsi="Times New Roman"/>
          <w:sz w:val="14"/>
          <w:szCs w:val="14"/>
          <w:color w:val="auto"/>
        </w:rPr>
        <w:t xml:space="preserve">Registrant's Telephone Number, Including Area Code: </w:t>
      </w:r>
      <w:r>
        <w:rPr>
          <w:rFonts w:ascii="Times New Roman" w:cs="Times New Roman" w:eastAsia="Times New Roman" w:hAnsi="Times New Roman"/>
          <w:sz w:val="14"/>
          <w:szCs w:val="14"/>
          <w:b w:val="1"/>
          <w:bCs w:val="1"/>
          <w:color w:val="auto"/>
        </w:rPr>
        <w:t>(646) 536-2842</w:t>
      </w:r>
    </w:p>
    <w:p>
      <w:pPr>
        <w:spacing w:after="0" w:line="150" w:lineRule="exact"/>
        <w:rPr>
          <w:sz w:val="24"/>
          <w:szCs w:val="24"/>
          <w:color w:val="auto"/>
        </w:rPr>
      </w:pPr>
    </w:p>
    <w:p>
      <w:pPr>
        <w:ind w:left="3860"/>
        <w:spacing w:after="0"/>
        <w:rPr>
          <w:sz w:val="20"/>
          <w:szCs w:val="20"/>
          <w:color w:val="auto"/>
        </w:rPr>
      </w:pPr>
      <w:r>
        <w:rPr>
          <w:rFonts w:ascii="Times New Roman" w:cs="Times New Roman" w:eastAsia="Times New Roman" w:hAnsi="Times New Roman"/>
          <w:sz w:val="14"/>
          <w:szCs w:val="14"/>
          <w:b w:val="1"/>
          <w:bCs w:val="1"/>
          <w:color w:val="auto"/>
        </w:rPr>
        <w:t>Securities registered pursuant to Section 12(b) of the Act:</w:t>
      </w:r>
    </w:p>
    <w:p>
      <w:pPr>
        <w:spacing w:after="0" w:line="190" w:lineRule="exact"/>
        <w:rPr>
          <w:sz w:val="24"/>
          <w:szCs w:val="24"/>
          <w:color w:val="auto"/>
        </w:rPr>
      </w:pPr>
    </w:p>
    <w:p>
      <w:pPr>
        <w:ind w:left="2120"/>
        <w:spacing w:after="0"/>
        <w:tabs>
          <w:tab w:leader="none" w:pos="5120" w:val="left"/>
          <w:tab w:leader="none" w:pos="7240" w:val="left"/>
        </w:tabs>
        <w:rPr>
          <w:sz w:val="20"/>
          <w:szCs w:val="20"/>
          <w:color w:val="auto"/>
        </w:rPr>
      </w:pPr>
      <w:r>
        <w:rPr>
          <w:rFonts w:ascii="Times New Roman" w:cs="Times New Roman" w:eastAsia="Times New Roman" w:hAnsi="Times New Roman"/>
          <w:sz w:val="14"/>
          <w:szCs w:val="14"/>
          <w:b w:val="1"/>
          <w:bCs w:val="1"/>
          <w:color w:val="auto"/>
        </w:rPr>
        <w:t>Title of each class</w:t>
      </w:r>
      <w:r>
        <w:rPr>
          <w:sz w:val="20"/>
          <w:szCs w:val="20"/>
          <w:color w:val="auto"/>
        </w:rPr>
        <w:tab/>
      </w:r>
      <w:r>
        <w:rPr>
          <w:rFonts w:ascii="Times New Roman" w:cs="Times New Roman" w:eastAsia="Times New Roman" w:hAnsi="Times New Roman"/>
          <w:sz w:val="14"/>
          <w:szCs w:val="14"/>
          <w:b w:val="1"/>
          <w:bCs w:val="1"/>
          <w:color w:val="auto"/>
        </w:rPr>
        <w:t>Trading symbol</w:t>
      </w:r>
      <w:r>
        <w:rPr>
          <w:sz w:val="20"/>
          <w:szCs w:val="20"/>
          <w:color w:val="auto"/>
        </w:rPr>
        <w:tab/>
      </w:r>
      <w:r>
        <w:rPr>
          <w:rFonts w:ascii="Times New Roman" w:cs="Times New Roman" w:eastAsia="Times New Roman" w:hAnsi="Times New Roman"/>
          <w:sz w:val="14"/>
          <w:szCs w:val="14"/>
          <w:b w:val="1"/>
          <w:bCs w:val="1"/>
          <w:color w:val="auto"/>
        </w:rPr>
        <w:t>Name of each exchange on which registered</w:t>
      </w:r>
    </w:p>
    <w:p>
      <w:pPr>
        <w:sectPr>
          <w:pgSz w:w="11900" w:h="16838" w:orient="portrait"/>
          <w:cols w:equalWidth="0" w:num="1">
            <w:col w:w="11180"/>
          </w:cols>
          <w:pgMar w:left="320" w:top="472" w:right="399" w:bottom="1440" w:gutter="0" w:footer="0" w:header="0"/>
          <w:type w:val="continuous"/>
        </w:sectPr>
      </w:pPr>
    </w:p>
    <w:p>
      <w:pPr>
        <w:spacing w:after="0" w:line="30" w:lineRule="exact"/>
        <w:rPr>
          <w:sz w:val="24"/>
          <w:szCs w:val="24"/>
          <w:color w:val="auto"/>
        </w:rPr>
      </w:pPr>
    </w:p>
    <w:p>
      <w:pPr>
        <w:jc w:val="center"/>
        <w:ind w:left="620"/>
        <w:spacing w:after="0"/>
        <w:rPr>
          <w:sz w:val="20"/>
          <w:szCs w:val="20"/>
          <w:color w:val="auto"/>
        </w:rPr>
      </w:pPr>
      <w:r>
        <w:rPr>
          <w:rFonts w:ascii="Times New Roman" w:cs="Times New Roman" w:eastAsia="Times New Roman" w:hAnsi="Times New Roman"/>
          <w:sz w:val="14"/>
          <w:szCs w:val="14"/>
          <w:color w:val="auto"/>
        </w:rPr>
        <w:t>Common Stock, $.01 par value</w:t>
      </w:r>
    </w:p>
    <w:p>
      <w:pPr>
        <w:spacing w:after="0" w:line="20" w:lineRule="exact"/>
        <w:rPr>
          <w:sz w:val="24"/>
          <w:szCs w:val="24"/>
          <w:color w:val="auto"/>
        </w:rPr>
      </w:pPr>
      <w:r>
        <w:rPr>
          <w:sz w:val="24"/>
          <w:szCs w:val="24"/>
          <w:color w:val="auto"/>
        </w:rPr>
        <w:br w:type="column"/>
      </w:r>
    </w:p>
    <w:p>
      <w:pPr>
        <w:spacing w:after="0" w:line="10" w:lineRule="exact"/>
        <w:rPr>
          <w:sz w:val="24"/>
          <w:szCs w:val="24"/>
          <w:color w:val="auto"/>
        </w:rPr>
      </w:pPr>
    </w:p>
    <w:p>
      <w:pPr>
        <w:jc w:val="center"/>
        <w:ind w:right="1120"/>
        <w:spacing w:after="0"/>
        <w:rPr>
          <w:sz w:val="20"/>
          <w:szCs w:val="20"/>
          <w:color w:val="auto"/>
        </w:rPr>
      </w:pPr>
      <w:r>
        <w:rPr>
          <w:rFonts w:ascii="Times New Roman" w:cs="Times New Roman" w:eastAsia="Times New Roman" w:hAnsi="Times New Roman"/>
          <w:sz w:val="14"/>
          <w:szCs w:val="14"/>
          <w:color w:val="auto"/>
        </w:rPr>
        <w:t>TTWO</w:t>
      </w:r>
    </w:p>
    <w:p>
      <w:pPr>
        <w:spacing w:after="0" w:line="20" w:lineRule="exact"/>
        <w:rPr>
          <w:sz w:val="24"/>
          <w:szCs w:val="24"/>
          <w:color w:val="auto"/>
        </w:rPr>
      </w:pPr>
      <w:r>
        <w:rPr>
          <w:sz w:val="24"/>
          <w:szCs w:val="24"/>
          <w:color w:val="auto"/>
        </w:rPr>
        <w:br w:type="column"/>
      </w:r>
    </w:p>
    <w:p>
      <w:pPr>
        <w:spacing w:after="0" w:line="10" w:lineRule="exact"/>
        <w:rPr>
          <w:sz w:val="24"/>
          <w:szCs w:val="24"/>
          <w:color w:val="auto"/>
        </w:rPr>
      </w:pPr>
    </w:p>
    <w:p>
      <w:pPr>
        <w:jc w:val="center"/>
        <w:ind w:right="1660"/>
        <w:spacing w:after="0"/>
        <w:rPr>
          <w:sz w:val="20"/>
          <w:szCs w:val="20"/>
          <w:color w:val="auto"/>
        </w:rPr>
      </w:pPr>
      <w:r>
        <w:rPr>
          <w:rFonts w:ascii="Times New Roman" w:cs="Times New Roman" w:eastAsia="Times New Roman" w:hAnsi="Times New Roman"/>
          <w:sz w:val="14"/>
          <w:szCs w:val="14"/>
          <w:color w:val="auto"/>
        </w:rPr>
        <w:t>NASDAQ Global Select Market</w:t>
      </w:r>
    </w:p>
    <w:p>
      <w:pPr>
        <w:spacing w:after="0" w:line="148" w:lineRule="exact"/>
        <w:rPr>
          <w:sz w:val="24"/>
          <w:szCs w:val="24"/>
          <w:color w:val="auto"/>
        </w:rPr>
      </w:pPr>
    </w:p>
    <w:p>
      <w:pPr>
        <w:sectPr>
          <w:pgSz w:w="11900" w:h="16838" w:orient="portrait"/>
          <w:cols w:equalWidth="0" w:num="3">
            <w:col w:w="4680" w:space="720"/>
            <w:col w:w="1540" w:space="720"/>
            <w:col w:w="3520"/>
          </w:cols>
          <w:pgMar w:left="320" w:top="472" w:right="399" w:bottom="1440" w:gutter="0" w:footer="0" w:header="0"/>
          <w:type w:val="continuous"/>
        </w:sectPr>
      </w:pPr>
    </w:p>
    <w:p>
      <w:pPr>
        <w:jc w:val="center"/>
        <w:ind w:right="-79"/>
        <w:spacing w:after="0"/>
        <w:rPr>
          <w:sz w:val="20"/>
          <w:szCs w:val="20"/>
          <w:color w:val="auto"/>
        </w:rPr>
      </w:pPr>
      <w:r>
        <w:rPr>
          <w:rFonts w:ascii="Times New Roman" w:cs="Times New Roman" w:eastAsia="Times New Roman" w:hAnsi="Times New Roman"/>
          <w:sz w:val="14"/>
          <w:szCs w:val="14"/>
          <w:b w:val="1"/>
          <w:bCs w:val="1"/>
          <w:color w:val="auto"/>
        </w:rPr>
        <w:t>Securities registered pursuant to Section 12(g) of the Act: None</w:t>
      </w:r>
    </w:p>
    <w:p>
      <w:pPr>
        <w:spacing w:after="0" w:line="152" w:lineRule="exact"/>
        <w:rPr>
          <w:sz w:val="24"/>
          <w:szCs w:val="24"/>
          <w:color w:val="auto"/>
        </w:rPr>
      </w:pPr>
    </w:p>
    <w:p>
      <w:pPr>
        <w:ind w:right="100"/>
        <w:spacing w:after="0" w:line="182" w:lineRule="exact"/>
        <w:rPr>
          <w:sz w:val="20"/>
          <w:szCs w:val="20"/>
          <w:color w:val="auto"/>
        </w:rPr>
      </w:pPr>
      <w:r>
        <w:rPr>
          <w:rFonts w:ascii="Times New Roman" w:cs="Times New Roman" w:eastAsia="Times New Roman" w:hAnsi="Times New Roman"/>
          <w:sz w:val="14"/>
          <w:szCs w:val="14"/>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4"/>
          <w:szCs w:val="14"/>
          <w:color w:val="auto"/>
        </w:rPr>
        <w:t>☒</w:t>
      </w:r>
      <w:r>
        <w:rPr>
          <w:rFonts w:ascii="Times New Roman" w:cs="Times New Roman" w:eastAsia="Times New Roman" w:hAnsi="Times New Roman"/>
          <w:sz w:val="14"/>
          <w:szCs w:val="14"/>
          <w:color w:val="auto"/>
        </w:rPr>
        <w:t xml:space="preserve"> No</w:t>
      </w:r>
    </w:p>
    <w:p>
      <w:pPr>
        <w:spacing w:after="0" w:line="203" w:lineRule="exact"/>
        <w:rPr>
          <w:sz w:val="24"/>
          <w:szCs w:val="24"/>
          <w:color w:val="auto"/>
        </w:rPr>
      </w:pPr>
    </w:p>
    <w:p>
      <w:pPr>
        <w:ind w:right="40"/>
        <w:spacing w:after="0" w:line="182" w:lineRule="exact"/>
        <w:rPr>
          <w:sz w:val="20"/>
          <w:szCs w:val="20"/>
          <w:color w:val="auto"/>
        </w:rPr>
      </w:pPr>
      <w:r>
        <w:rPr>
          <w:rFonts w:ascii="Times New Roman" w:cs="Times New Roman" w:eastAsia="Times New Roman" w:hAnsi="Times New Roman"/>
          <w:sz w:val="14"/>
          <w:szCs w:val="14"/>
          <w:color w:val="auto"/>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Pr>
          <w:rFonts w:ascii="MS PGothic" w:cs="MS PGothic" w:eastAsia="MS PGothic" w:hAnsi="MS PGothic"/>
          <w:sz w:val="14"/>
          <w:szCs w:val="14"/>
          <w:color w:val="auto"/>
        </w:rPr>
        <w:t>☒</w:t>
      </w:r>
      <w:r>
        <w:rPr>
          <w:rFonts w:ascii="Times New Roman" w:cs="Times New Roman" w:eastAsia="Times New Roman" w:hAnsi="Times New Roman"/>
          <w:sz w:val="14"/>
          <w:szCs w:val="14"/>
          <w:color w:val="auto"/>
        </w:rPr>
        <w:t xml:space="preserve"> No</w:t>
      </w:r>
    </w:p>
    <w:p>
      <w:pPr>
        <w:spacing w:after="0" w:line="203" w:lineRule="exact"/>
        <w:rPr>
          <w:sz w:val="24"/>
          <w:szCs w:val="24"/>
          <w:color w:val="auto"/>
        </w:rPr>
      </w:pPr>
    </w:p>
    <w:p>
      <w:pPr>
        <w:ind w:right="380"/>
        <w:spacing w:after="0" w:line="261" w:lineRule="auto"/>
        <w:rPr>
          <w:sz w:val="20"/>
          <w:szCs w:val="20"/>
          <w:color w:val="auto"/>
        </w:rPr>
      </w:pPr>
      <w:r>
        <w:rPr>
          <w:rFonts w:ascii="Times New Roman" w:cs="Times New Roman" w:eastAsia="Times New Roman" w:hAnsi="Times New Roman"/>
          <w:sz w:val="14"/>
          <w:szCs w:val="14"/>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p>
      <w:pPr>
        <w:ind w:left="220"/>
        <w:spacing w:after="0" w:line="161" w:lineRule="exact"/>
        <w:tabs>
          <w:tab w:leader="none" w:pos="1620" w:val="left"/>
          <w:tab w:leader="none" w:pos="2560" w:val="left"/>
          <w:tab w:leader="none" w:pos="3820" w:val="left"/>
          <w:tab w:leader="none" w:pos="6700" w:val="left"/>
          <w:tab w:leader="none" w:pos="9380" w:val="left"/>
        </w:tabs>
        <w:rPr>
          <w:sz w:val="20"/>
          <w:szCs w:val="20"/>
          <w:color w:val="auto"/>
        </w:rPr>
      </w:pPr>
      <w:r>
        <w:rPr>
          <w:rFonts w:ascii="Times New Roman" w:cs="Times New Roman" w:eastAsia="Times New Roman" w:hAnsi="Times New Roman"/>
          <w:sz w:val="14"/>
          <w:szCs w:val="14"/>
          <w:color w:val="auto"/>
        </w:rPr>
        <w:t>Large accelerated filer</w:t>
      </w:r>
      <w:r>
        <w:rPr>
          <w:sz w:val="20"/>
          <w:szCs w:val="20"/>
          <w:color w:val="auto"/>
        </w:rPr>
        <w:tab/>
      </w:r>
      <w:r>
        <w:rPr>
          <w:rFonts w:ascii="MS PGothic" w:cs="MS PGothic" w:eastAsia="MS PGothic" w:hAnsi="MS PGothic"/>
          <w:sz w:val="14"/>
          <w:szCs w:val="14"/>
          <w:color w:val="auto"/>
        </w:rPr>
        <w:t>☒</w:t>
      </w:r>
      <w:r>
        <w:rPr>
          <w:sz w:val="20"/>
          <w:szCs w:val="20"/>
          <w:color w:val="auto"/>
        </w:rPr>
        <w:tab/>
      </w:r>
      <w:r>
        <w:rPr>
          <w:rFonts w:ascii="Times New Roman" w:cs="Times New Roman" w:eastAsia="Times New Roman" w:hAnsi="Times New Roman"/>
          <w:sz w:val="14"/>
          <w:szCs w:val="14"/>
          <w:color w:val="auto"/>
        </w:rPr>
        <w:t>Accelerated filer</w:t>
      </w:r>
      <w:r>
        <w:rPr>
          <w:sz w:val="20"/>
          <w:szCs w:val="20"/>
          <w:color w:val="auto"/>
        </w:rPr>
        <w:tab/>
      </w:r>
      <w:r>
        <w:rPr>
          <w:rFonts w:ascii="Times New Roman" w:cs="Times New Roman" w:eastAsia="Times New Roman" w:hAnsi="Times New Roman"/>
          <w:sz w:val="11"/>
          <w:szCs w:val="11"/>
          <w:color w:val="auto"/>
        </w:rPr>
        <w:t>Non-accelerated filer</w:t>
      </w:r>
      <w:r>
        <w:rPr>
          <w:sz w:val="20"/>
          <w:szCs w:val="20"/>
          <w:color w:val="auto"/>
        </w:rPr>
        <w:tab/>
      </w:r>
      <w:r>
        <w:rPr>
          <w:rFonts w:ascii="Times New Roman" w:cs="Times New Roman" w:eastAsia="Times New Roman" w:hAnsi="Times New Roman"/>
          <w:sz w:val="14"/>
          <w:szCs w:val="14"/>
          <w:color w:val="auto"/>
        </w:rPr>
        <w:t xml:space="preserve">Smaller reporting company </w:t>
      </w:r>
      <w:r>
        <w:rPr>
          <w:rFonts w:ascii="MS PGothic" w:cs="MS PGothic" w:eastAsia="MS PGothic" w:hAnsi="MS PGothic"/>
          <w:sz w:val="14"/>
          <w:szCs w:val="14"/>
          <w:color w:val="auto"/>
        </w:rPr>
        <w:t>☐</w:t>
      </w:r>
      <w:r>
        <w:rPr>
          <w:sz w:val="20"/>
          <w:szCs w:val="20"/>
          <w:color w:val="auto"/>
        </w:rPr>
        <w:tab/>
      </w:r>
      <w:r>
        <w:rPr>
          <w:rFonts w:ascii="Times New Roman" w:cs="Times New Roman" w:eastAsia="Times New Roman" w:hAnsi="Times New Roman"/>
          <w:sz w:val="14"/>
          <w:szCs w:val="14"/>
          <w:color w:val="auto"/>
        </w:rPr>
        <w:t xml:space="preserve">Emerging growth company </w:t>
      </w:r>
      <w:r>
        <w:rPr>
          <w:rFonts w:ascii="MS PGothic" w:cs="MS PGothic" w:eastAsia="MS PGothic" w:hAnsi="MS PGothic"/>
          <w:sz w:val="14"/>
          <w:szCs w:val="14"/>
          <w:color w:val="auto"/>
        </w:rPr>
        <w:t>☐</w:t>
      </w:r>
    </w:p>
    <w:p>
      <w:pPr>
        <w:spacing w:after="0" w:line="380" w:lineRule="exact"/>
        <w:rPr>
          <w:sz w:val="24"/>
          <w:szCs w:val="24"/>
          <w:color w:val="auto"/>
        </w:rPr>
      </w:pPr>
    </w:p>
    <w:p>
      <w:pPr>
        <w:ind w:right="500"/>
        <w:spacing w:after="0" w:line="282" w:lineRule="auto"/>
        <w:rPr>
          <w:sz w:val="20"/>
          <w:szCs w:val="20"/>
          <w:color w:val="auto"/>
        </w:rPr>
      </w:pPr>
      <w:r>
        <w:rPr>
          <w:rFonts w:ascii="Times New Roman" w:cs="Times New Roman" w:eastAsia="Times New Roman" w:hAnsi="Times New Roman"/>
          <w:sz w:val="14"/>
          <w:szCs w:val="14"/>
          <w:color w:val="auto"/>
        </w:rPr>
        <w:t>If an emerging growth company, indicate by check mark if the registrant has elected not to use the extended transition period for complying with any new or revised financial accounting standards provided pursuant to Section 13(a) of the Exchange Act.</w:t>
      </w:r>
    </w:p>
    <w:p>
      <w:pPr>
        <w:spacing w:after="0" w:line="164" w:lineRule="exact"/>
        <w:rPr>
          <w:sz w:val="24"/>
          <w:szCs w:val="24"/>
          <w:color w:val="auto"/>
        </w:rPr>
      </w:pPr>
    </w:p>
    <w:p>
      <w:pPr>
        <w:spacing w:after="0" w:line="196" w:lineRule="exact"/>
        <w:tabs>
          <w:tab w:leader="none" w:pos="7100" w:val="left"/>
        </w:tabs>
        <w:rPr>
          <w:sz w:val="20"/>
          <w:szCs w:val="20"/>
          <w:color w:val="auto"/>
        </w:rPr>
      </w:pPr>
      <w:r>
        <w:rPr>
          <w:rFonts w:ascii="Times New Roman" w:cs="Times New Roman" w:eastAsia="Times New Roman" w:hAnsi="Times New Roman"/>
          <w:sz w:val="14"/>
          <w:szCs w:val="14"/>
          <w:color w:val="auto"/>
        </w:rPr>
        <w:t xml:space="preserve">Indicate by check mark whether the registrant is a shell company (as defined in Rule 12b-2 of the Exchange Act). Yes </w:t>
      </w:r>
      <w:r>
        <w:rPr>
          <w:rFonts w:ascii="MS PGothic" w:cs="MS PGothic" w:eastAsia="MS PGothic" w:hAnsi="MS PGothic"/>
          <w:sz w:val="17"/>
          <w:szCs w:val="17"/>
          <w:color w:val="auto"/>
        </w:rPr>
        <w:t>☐</w:t>
      </w:r>
      <w:r>
        <w:rPr>
          <w:sz w:val="20"/>
          <w:szCs w:val="20"/>
          <w:color w:val="auto"/>
        </w:rPr>
        <w:tab/>
      </w:r>
      <w:r>
        <w:rPr>
          <w:rFonts w:ascii="Times New Roman" w:cs="Times New Roman" w:eastAsia="Times New Roman" w:hAnsi="Times New Roman"/>
          <w:sz w:val="13"/>
          <w:szCs w:val="13"/>
          <w:color w:val="auto"/>
        </w:rPr>
        <w:t xml:space="preserve">No </w:t>
      </w:r>
      <w:r>
        <w:rPr>
          <w:rFonts w:ascii="MS PGothic" w:cs="MS PGothic" w:eastAsia="MS PGothic" w:hAnsi="MS PGothic"/>
          <w:sz w:val="13"/>
          <w:szCs w:val="13"/>
          <w:color w:val="auto"/>
        </w:rPr>
        <w:t>☒</w:t>
      </w:r>
    </w:p>
    <w:p>
      <w:pPr>
        <w:spacing w:after="0" w:line="288" w:lineRule="exact"/>
        <w:rPr>
          <w:sz w:val="24"/>
          <w:szCs w:val="24"/>
          <w:color w:val="auto"/>
        </w:rPr>
      </w:pPr>
    </w:p>
    <w:p>
      <w:pPr>
        <w:spacing w:after="0"/>
        <w:rPr>
          <w:sz w:val="20"/>
          <w:szCs w:val="20"/>
          <w:color w:val="auto"/>
        </w:rPr>
      </w:pPr>
      <w:r>
        <w:rPr>
          <w:rFonts w:ascii="Times New Roman" w:cs="Times New Roman" w:eastAsia="Times New Roman" w:hAnsi="Times New Roman"/>
          <w:sz w:val="14"/>
          <w:szCs w:val="14"/>
          <w:color w:val="auto"/>
        </w:rPr>
        <w:t>As of January 28, 2021, there were 115,177,650 shares of the Registrant's Common Stock outstanding, net of treasury stock.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1163955</wp:posOffset>
            </wp:positionV>
            <wp:extent cx="7132320" cy="171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171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186690</wp:posOffset>
            </wp:positionV>
            <wp:extent cx="71323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180"/>
          </w:cols>
          <w:pgMar w:left="320" w:top="472" w:right="399" w:bottom="1440" w:gutter="0" w:footer="0" w:header="0"/>
          <w:type w:val="continuous"/>
        </w:sectPr>
      </w:pPr>
    </w:p>
    <w:bookmarkStart w:id="1" w:name="page2"/>
    <w:bookmarkEnd w:id="1"/>
    <w:tbl>
      <w:tblPr>
        <w:tblLayout w:type="fixed"/>
        <w:tblInd w:w="0" w:type="dxa"/>
        <w:tblCellMar>
          <w:top w:w="0" w:type="dxa"/>
          <w:left w:w="0" w:type="dxa"/>
          <w:bottom w:w="0" w:type="dxa"/>
          <w:right w:w="0" w:type="dxa"/>
        </w:tblCellMar>
      </w:tblPr>
      <w:tr>
        <w:trPr>
          <w:trHeight w:val="234"/>
        </w:trPr>
        <w:tc>
          <w:tcPr>
            <w:tcW w:w="9300" w:type="dxa"/>
            <w:vAlign w:val="bottom"/>
            <w:gridSpan w:val="2"/>
          </w:tcPr>
          <w:p>
            <w:pPr>
              <w:spacing w:after="0"/>
              <w:rPr>
                <w:rFonts w:ascii="Times New Roman" w:cs="Times New Roman" w:eastAsia="Times New Roman" w:hAnsi="Times New Roman"/>
                <w:sz w:val="18"/>
                <w:szCs w:val="18"/>
                <w:u w:val="single" w:color="auto"/>
                <w:color w:val="0000FF"/>
              </w:rPr>
            </w:pPr>
            <w:hyperlink w:anchor="page1">
              <w:r>
                <w:rPr>
                  <w:rFonts w:ascii="Times New Roman" w:cs="Times New Roman" w:eastAsia="Times New Roman" w:hAnsi="Times New Roman"/>
                  <w:sz w:val="18"/>
                  <w:szCs w:val="18"/>
                  <w:u w:val="single" w:color="auto"/>
                  <w:color w:val="0000FF"/>
                </w:rPr>
                <w:t>Table of Contents</w:t>
              </w:r>
            </w:hyperlink>
          </w:p>
        </w:tc>
        <w:tc>
          <w:tcPr>
            <w:tcW w:w="1920" w:type="dxa"/>
            <w:vAlign w:val="bottom"/>
          </w:tcPr>
          <w:p>
            <w:pPr>
              <w:spacing w:after="0"/>
              <w:rPr>
                <w:sz w:val="20"/>
                <w:szCs w:val="20"/>
                <w:color w:val="auto"/>
              </w:rPr>
            </w:pPr>
          </w:p>
        </w:tc>
      </w:tr>
      <w:tr>
        <w:trPr>
          <w:trHeight w:val="675"/>
        </w:trPr>
        <w:tc>
          <w:tcPr>
            <w:tcW w:w="920" w:type="dxa"/>
            <w:vAlign w:val="bottom"/>
          </w:tcPr>
          <w:p>
            <w:pPr>
              <w:spacing w:after="0"/>
              <w:rPr>
                <w:sz w:val="24"/>
                <w:szCs w:val="24"/>
                <w:color w:val="auto"/>
              </w:rPr>
            </w:pPr>
          </w:p>
        </w:tc>
        <w:tc>
          <w:tcPr>
            <w:tcW w:w="8380" w:type="dxa"/>
            <w:vAlign w:val="bottom"/>
          </w:tcPr>
          <w:p>
            <w:pPr>
              <w:ind w:left="4420"/>
              <w:spacing w:after="0"/>
              <w:rPr>
                <w:sz w:val="20"/>
                <w:szCs w:val="20"/>
                <w:color w:val="auto"/>
              </w:rPr>
            </w:pPr>
            <w:r>
              <w:rPr>
                <w:rFonts w:ascii="Times New Roman" w:cs="Times New Roman" w:eastAsia="Times New Roman" w:hAnsi="Times New Roman"/>
                <w:sz w:val="18"/>
                <w:szCs w:val="18"/>
                <w:b w:val="1"/>
                <w:bCs w:val="1"/>
                <w:color w:val="auto"/>
              </w:rPr>
              <w:t>INDEX</w:t>
            </w:r>
          </w:p>
        </w:tc>
        <w:tc>
          <w:tcPr>
            <w:tcW w:w="1920" w:type="dxa"/>
            <w:vAlign w:val="bottom"/>
          </w:tcPr>
          <w:p>
            <w:pPr>
              <w:spacing w:after="0"/>
              <w:rPr>
                <w:sz w:val="24"/>
                <w:szCs w:val="24"/>
                <w:color w:val="auto"/>
              </w:rPr>
            </w:pPr>
          </w:p>
        </w:tc>
      </w:tr>
      <w:tr>
        <w:trPr>
          <w:trHeight w:val="630"/>
        </w:trPr>
        <w:tc>
          <w:tcPr>
            <w:tcW w:w="920" w:type="dxa"/>
            <w:vAlign w:val="bottom"/>
          </w:tcPr>
          <w:p>
            <w:pPr>
              <w:ind w:left="20"/>
              <w:spacing w:after="0"/>
              <w:rPr>
                <w:rFonts w:ascii="Times New Roman" w:cs="Times New Roman" w:eastAsia="Times New Roman" w:hAnsi="Times New Roman"/>
                <w:sz w:val="18"/>
                <w:szCs w:val="18"/>
                <w:b w:val="1"/>
                <w:bCs w:val="1"/>
                <w:u w:val="single" w:color="auto"/>
                <w:color w:val="0000FF"/>
              </w:rPr>
            </w:pPr>
            <w:hyperlink w:anchor="page2">
              <w:r>
                <w:rPr>
                  <w:rFonts w:ascii="Times New Roman" w:cs="Times New Roman" w:eastAsia="Times New Roman" w:hAnsi="Times New Roman"/>
                  <w:sz w:val="18"/>
                  <w:szCs w:val="18"/>
                  <w:b w:val="1"/>
                  <w:bCs w:val="1"/>
                  <w:u w:val="single" w:color="auto"/>
                  <w:color w:val="0000FF"/>
                </w:rPr>
                <w:t>PART I.</w:t>
              </w:r>
            </w:hyperlink>
          </w:p>
        </w:tc>
        <w:tc>
          <w:tcPr>
            <w:tcW w:w="8380" w:type="dxa"/>
            <w:vAlign w:val="bottom"/>
          </w:tcPr>
          <w:p>
            <w:pPr>
              <w:ind w:left="180"/>
              <w:spacing w:after="0"/>
              <w:rPr>
                <w:rFonts w:ascii="Times New Roman" w:cs="Times New Roman" w:eastAsia="Times New Roman" w:hAnsi="Times New Roman"/>
                <w:sz w:val="18"/>
                <w:szCs w:val="18"/>
                <w:b w:val="1"/>
                <w:bCs w:val="1"/>
                <w:u w:val="single" w:color="auto"/>
                <w:color w:val="0000FF"/>
              </w:rPr>
            </w:pPr>
            <w:hyperlink w:anchor="page2">
              <w:r>
                <w:rPr>
                  <w:rFonts w:ascii="Times New Roman" w:cs="Times New Roman" w:eastAsia="Times New Roman" w:hAnsi="Times New Roman"/>
                  <w:sz w:val="18"/>
                  <w:szCs w:val="18"/>
                  <w:b w:val="1"/>
                  <w:bCs w:val="1"/>
                  <w:u w:val="single" w:color="auto"/>
                  <w:color w:val="0000FF"/>
                </w:rPr>
                <w:t>FINANCIAL INFORMATION</w:t>
              </w:r>
            </w:hyperlink>
          </w:p>
        </w:tc>
        <w:tc>
          <w:tcPr>
            <w:tcW w:w="1920" w:type="dxa"/>
            <w:vAlign w:val="bottom"/>
          </w:tcPr>
          <w:p>
            <w:pPr>
              <w:jc w:val="right"/>
              <w:spacing w:after="0"/>
              <w:rPr>
                <w:rFonts w:ascii="Times New Roman" w:cs="Times New Roman" w:eastAsia="Times New Roman" w:hAnsi="Times New Roman"/>
                <w:sz w:val="18"/>
                <w:szCs w:val="18"/>
                <w:u w:val="single" w:color="auto"/>
                <w:color w:val="0000FF"/>
              </w:rPr>
            </w:pPr>
            <w:hyperlink w:anchor="page2">
              <w:r>
                <w:rPr>
                  <w:rFonts w:ascii="Times New Roman" w:cs="Times New Roman" w:eastAsia="Times New Roman" w:hAnsi="Times New Roman"/>
                  <w:sz w:val="18"/>
                  <w:szCs w:val="18"/>
                  <w:u w:val="single" w:color="auto"/>
                  <w:color w:val="0000FF"/>
                </w:rPr>
                <w:t>2</w:t>
              </w:r>
            </w:hyperlink>
          </w:p>
        </w:tc>
      </w:tr>
      <w:tr>
        <w:trPr>
          <w:trHeight w:val="229"/>
        </w:trPr>
        <w:tc>
          <w:tcPr>
            <w:tcW w:w="920" w:type="dxa"/>
            <w:vAlign w:val="bottom"/>
          </w:tcPr>
          <w:p>
            <w:pPr>
              <w:ind w:left="20"/>
              <w:spacing w:after="0"/>
              <w:rPr>
                <w:rFonts w:ascii="Times New Roman" w:cs="Times New Roman" w:eastAsia="Times New Roman" w:hAnsi="Times New Roman"/>
                <w:sz w:val="18"/>
                <w:szCs w:val="18"/>
                <w:u w:val="single" w:color="auto"/>
                <w:color w:val="0000FF"/>
              </w:rPr>
            </w:pPr>
            <w:hyperlink w:anchor="page39">
              <w:r>
                <w:rPr>
                  <w:rFonts w:ascii="Times New Roman" w:cs="Times New Roman" w:eastAsia="Times New Roman" w:hAnsi="Times New Roman"/>
                  <w:sz w:val="18"/>
                  <w:szCs w:val="18"/>
                  <w:u w:val="single" w:color="auto"/>
                  <w:color w:val="0000FF"/>
                </w:rPr>
                <w:t>Item 1.</w:t>
              </w:r>
            </w:hyperlink>
          </w:p>
        </w:tc>
        <w:tc>
          <w:tcPr>
            <w:tcW w:w="8380" w:type="dxa"/>
            <w:vAlign w:val="bottom"/>
          </w:tcPr>
          <w:p>
            <w:pPr>
              <w:ind w:left="180"/>
              <w:spacing w:after="0"/>
              <w:rPr>
                <w:rFonts w:ascii="Times New Roman" w:cs="Times New Roman" w:eastAsia="Times New Roman" w:hAnsi="Times New Roman"/>
                <w:sz w:val="18"/>
                <w:szCs w:val="18"/>
                <w:u w:val="single" w:color="auto"/>
                <w:color w:val="0000FF"/>
              </w:rPr>
            </w:pPr>
            <w:hyperlink w:anchor="page3">
              <w:r>
                <w:rPr>
                  <w:rFonts w:ascii="Times New Roman" w:cs="Times New Roman" w:eastAsia="Times New Roman" w:hAnsi="Times New Roman"/>
                  <w:sz w:val="18"/>
                  <w:szCs w:val="18"/>
                  <w:u w:val="single" w:color="auto"/>
                  <w:color w:val="0000FF"/>
                </w:rPr>
                <w:t>Financial Statements (Unaudited)</w:t>
              </w:r>
            </w:hyperlink>
          </w:p>
        </w:tc>
        <w:tc>
          <w:tcPr>
            <w:tcW w:w="1920" w:type="dxa"/>
            <w:vAlign w:val="bottom"/>
          </w:tcPr>
          <w:p>
            <w:pPr>
              <w:jc w:val="right"/>
              <w:spacing w:after="0"/>
              <w:rPr>
                <w:rFonts w:ascii="Times New Roman" w:cs="Times New Roman" w:eastAsia="Times New Roman" w:hAnsi="Times New Roman"/>
                <w:sz w:val="18"/>
                <w:szCs w:val="18"/>
                <w:u w:val="single" w:color="auto"/>
                <w:color w:val="0000FF"/>
              </w:rPr>
            </w:pPr>
            <w:hyperlink w:anchor="page3">
              <w:r>
                <w:rPr>
                  <w:rFonts w:ascii="Times New Roman" w:cs="Times New Roman" w:eastAsia="Times New Roman" w:hAnsi="Times New Roman"/>
                  <w:sz w:val="18"/>
                  <w:szCs w:val="18"/>
                  <w:u w:val="single" w:color="auto"/>
                  <w:color w:val="0000FF"/>
                </w:rPr>
                <w:t>2</w:t>
              </w:r>
            </w:hyperlink>
          </w:p>
        </w:tc>
      </w:tr>
      <w:tr>
        <w:trPr>
          <w:trHeight w:val="229"/>
        </w:trPr>
        <w:tc>
          <w:tcPr>
            <w:tcW w:w="920" w:type="dxa"/>
            <w:vAlign w:val="bottom"/>
          </w:tcPr>
          <w:p>
            <w:pPr>
              <w:spacing w:after="0"/>
              <w:rPr>
                <w:sz w:val="19"/>
                <w:szCs w:val="19"/>
                <w:color w:val="auto"/>
              </w:rPr>
            </w:pPr>
          </w:p>
        </w:tc>
        <w:tc>
          <w:tcPr>
            <w:tcW w:w="8380" w:type="dxa"/>
            <w:vAlign w:val="bottom"/>
          </w:tcPr>
          <w:p>
            <w:pPr>
              <w:ind w:left="180"/>
              <w:spacing w:after="0"/>
              <w:rPr>
                <w:rFonts w:ascii="Times New Roman" w:cs="Times New Roman" w:eastAsia="Times New Roman" w:hAnsi="Times New Roman"/>
                <w:sz w:val="18"/>
                <w:szCs w:val="18"/>
                <w:u w:val="single" w:color="auto"/>
                <w:color w:val="0000FF"/>
              </w:rPr>
            </w:pPr>
            <w:hyperlink w:anchor="page3">
              <w:r>
                <w:rPr>
                  <w:rFonts w:ascii="Times New Roman" w:cs="Times New Roman" w:eastAsia="Times New Roman" w:hAnsi="Times New Roman"/>
                  <w:sz w:val="18"/>
                  <w:szCs w:val="18"/>
                  <w:u w:val="single" w:color="auto"/>
                  <w:color w:val="0000FF"/>
                </w:rPr>
                <w:t>Condensed Consolidated Balance Sheets</w:t>
              </w:r>
            </w:hyperlink>
          </w:p>
        </w:tc>
        <w:tc>
          <w:tcPr>
            <w:tcW w:w="1920" w:type="dxa"/>
            <w:vAlign w:val="bottom"/>
          </w:tcPr>
          <w:p>
            <w:pPr>
              <w:jc w:val="right"/>
              <w:spacing w:after="0"/>
              <w:rPr>
                <w:rFonts w:ascii="Times New Roman" w:cs="Times New Roman" w:eastAsia="Times New Roman" w:hAnsi="Times New Roman"/>
                <w:sz w:val="18"/>
                <w:szCs w:val="18"/>
                <w:u w:val="single" w:color="auto"/>
                <w:color w:val="0000FF"/>
              </w:rPr>
            </w:pPr>
            <w:hyperlink w:anchor="page3">
              <w:r>
                <w:rPr>
                  <w:rFonts w:ascii="Times New Roman" w:cs="Times New Roman" w:eastAsia="Times New Roman" w:hAnsi="Times New Roman"/>
                  <w:sz w:val="18"/>
                  <w:szCs w:val="18"/>
                  <w:u w:val="single" w:color="auto"/>
                  <w:color w:val="0000FF"/>
                </w:rPr>
                <w:t>2</w:t>
              </w:r>
            </w:hyperlink>
          </w:p>
        </w:tc>
      </w:tr>
      <w:tr>
        <w:trPr>
          <w:trHeight w:val="230"/>
        </w:trPr>
        <w:tc>
          <w:tcPr>
            <w:tcW w:w="920" w:type="dxa"/>
            <w:vAlign w:val="bottom"/>
          </w:tcPr>
          <w:p>
            <w:pPr>
              <w:spacing w:after="0"/>
              <w:rPr>
                <w:sz w:val="19"/>
                <w:szCs w:val="19"/>
                <w:color w:val="auto"/>
              </w:rPr>
            </w:pPr>
          </w:p>
        </w:tc>
        <w:tc>
          <w:tcPr>
            <w:tcW w:w="8380" w:type="dxa"/>
            <w:vAlign w:val="bottom"/>
          </w:tcPr>
          <w:p>
            <w:pPr>
              <w:ind w:left="180"/>
              <w:spacing w:after="0"/>
              <w:rPr>
                <w:rFonts w:ascii="Times New Roman" w:cs="Times New Roman" w:eastAsia="Times New Roman" w:hAnsi="Times New Roman"/>
                <w:sz w:val="18"/>
                <w:szCs w:val="18"/>
                <w:u w:val="single" w:color="auto"/>
                <w:color w:val="0000FF"/>
              </w:rPr>
            </w:pPr>
            <w:hyperlink w:anchor="page3">
              <w:r>
                <w:rPr>
                  <w:rFonts w:ascii="Times New Roman" w:cs="Times New Roman" w:eastAsia="Times New Roman" w:hAnsi="Times New Roman"/>
                  <w:sz w:val="18"/>
                  <w:szCs w:val="18"/>
                  <w:u w:val="single" w:color="auto"/>
                  <w:color w:val="0000FF"/>
                </w:rPr>
                <w:t>Condensed Consolidated Statements of Operations</w:t>
              </w:r>
            </w:hyperlink>
          </w:p>
        </w:tc>
        <w:tc>
          <w:tcPr>
            <w:tcW w:w="1920" w:type="dxa"/>
            <w:vAlign w:val="bottom"/>
          </w:tcPr>
          <w:p>
            <w:pPr>
              <w:jc w:val="right"/>
              <w:spacing w:after="0"/>
              <w:rPr>
                <w:rFonts w:ascii="Times New Roman" w:cs="Times New Roman" w:eastAsia="Times New Roman" w:hAnsi="Times New Roman"/>
                <w:sz w:val="18"/>
                <w:szCs w:val="18"/>
                <w:u w:val="single" w:color="auto"/>
                <w:color w:val="0000FF"/>
              </w:rPr>
            </w:pPr>
            <w:hyperlink w:anchor="page3">
              <w:r>
                <w:rPr>
                  <w:rFonts w:ascii="Times New Roman" w:cs="Times New Roman" w:eastAsia="Times New Roman" w:hAnsi="Times New Roman"/>
                  <w:sz w:val="18"/>
                  <w:szCs w:val="18"/>
                  <w:u w:val="single" w:color="auto"/>
                  <w:color w:val="0000FF"/>
                </w:rPr>
                <w:t>3</w:t>
              </w:r>
            </w:hyperlink>
          </w:p>
        </w:tc>
      </w:tr>
      <w:tr>
        <w:trPr>
          <w:trHeight w:val="229"/>
        </w:trPr>
        <w:tc>
          <w:tcPr>
            <w:tcW w:w="920" w:type="dxa"/>
            <w:vAlign w:val="bottom"/>
          </w:tcPr>
          <w:p>
            <w:pPr>
              <w:spacing w:after="0"/>
              <w:rPr>
                <w:sz w:val="19"/>
                <w:szCs w:val="19"/>
                <w:color w:val="auto"/>
              </w:rPr>
            </w:pPr>
          </w:p>
        </w:tc>
        <w:tc>
          <w:tcPr>
            <w:tcW w:w="8380" w:type="dxa"/>
            <w:vAlign w:val="bottom"/>
          </w:tcPr>
          <w:p>
            <w:pPr>
              <w:ind w:left="180"/>
              <w:spacing w:after="0"/>
              <w:rPr>
                <w:rFonts w:ascii="Times New Roman" w:cs="Times New Roman" w:eastAsia="Times New Roman" w:hAnsi="Times New Roman"/>
                <w:sz w:val="18"/>
                <w:szCs w:val="18"/>
                <w:u w:val="single" w:color="auto"/>
                <w:color w:val="0000FF"/>
              </w:rPr>
            </w:pPr>
            <w:hyperlink w:anchor="page4">
              <w:r>
                <w:rPr>
                  <w:rFonts w:ascii="Times New Roman" w:cs="Times New Roman" w:eastAsia="Times New Roman" w:hAnsi="Times New Roman"/>
                  <w:sz w:val="18"/>
                  <w:szCs w:val="18"/>
                  <w:u w:val="single" w:color="auto"/>
                  <w:color w:val="0000FF"/>
                </w:rPr>
                <w:t>Condensed Consolidated Statements of Comprehensive Income</w:t>
              </w:r>
            </w:hyperlink>
          </w:p>
        </w:tc>
        <w:tc>
          <w:tcPr>
            <w:tcW w:w="1920" w:type="dxa"/>
            <w:vAlign w:val="bottom"/>
          </w:tcPr>
          <w:p>
            <w:pPr>
              <w:jc w:val="right"/>
              <w:spacing w:after="0"/>
              <w:rPr>
                <w:rFonts w:ascii="Times New Roman" w:cs="Times New Roman" w:eastAsia="Times New Roman" w:hAnsi="Times New Roman"/>
                <w:sz w:val="18"/>
                <w:szCs w:val="18"/>
                <w:u w:val="single" w:color="auto"/>
                <w:color w:val="0000FF"/>
              </w:rPr>
            </w:pPr>
            <w:hyperlink w:anchor="page4">
              <w:r>
                <w:rPr>
                  <w:rFonts w:ascii="Times New Roman" w:cs="Times New Roman" w:eastAsia="Times New Roman" w:hAnsi="Times New Roman"/>
                  <w:sz w:val="18"/>
                  <w:szCs w:val="18"/>
                  <w:u w:val="single" w:color="auto"/>
                  <w:color w:val="0000FF"/>
                </w:rPr>
                <w:t>4</w:t>
              </w:r>
            </w:hyperlink>
          </w:p>
        </w:tc>
      </w:tr>
      <w:tr>
        <w:trPr>
          <w:trHeight w:val="229"/>
        </w:trPr>
        <w:tc>
          <w:tcPr>
            <w:tcW w:w="920" w:type="dxa"/>
            <w:vAlign w:val="bottom"/>
          </w:tcPr>
          <w:p>
            <w:pPr>
              <w:spacing w:after="0"/>
              <w:rPr>
                <w:sz w:val="19"/>
                <w:szCs w:val="19"/>
                <w:color w:val="auto"/>
              </w:rPr>
            </w:pPr>
          </w:p>
        </w:tc>
        <w:tc>
          <w:tcPr>
            <w:tcW w:w="8380" w:type="dxa"/>
            <w:vAlign w:val="bottom"/>
          </w:tcPr>
          <w:p>
            <w:pPr>
              <w:ind w:left="180"/>
              <w:spacing w:after="0"/>
              <w:rPr>
                <w:rFonts w:ascii="Times New Roman" w:cs="Times New Roman" w:eastAsia="Times New Roman" w:hAnsi="Times New Roman"/>
                <w:sz w:val="18"/>
                <w:szCs w:val="18"/>
                <w:u w:val="single" w:color="auto"/>
                <w:color w:val="0000FF"/>
              </w:rPr>
            </w:pPr>
            <w:hyperlink w:anchor="page5">
              <w:r>
                <w:rPr>
                  <w:rFonts w:ascii="Times New Roman" w:cs="Times New Roman" w:eastAsia="Times New Roman" w:hAnsi="Times New Roman"/>
                  <w:sz w:val="18"/>
                  <w:szCs w:val="18"/>
                  <w:u w:val="single" w:color="auto"/>
                  <w:color w:val="0000FF"/>
                </w:rPr>
                <w:t>Condensed Consolidated Statements of Cash Flows</w:t>
              </w:r>
            </w:hyperlink>
          </w:p>
        </w:tc>
        <w:tc>
          <w:tcPr>
            <w:tcW w:w="1920" w:type="dxa"/>
            <w:vAlign w:val="bottom"/>
          </w:tcPr>
          <w:p>
            <w:pPr>
              <w:jc w:val="right"/>
              <w:spacing w:after="0"/>
              <w:rPr>
                <w:rFonts w:ascii="Times New Roman" w:cs="Times New Roman" w:eastAsia="Times New Roman" w:hAnsi="Times New Roman"/>
                <w:sz w:val="18"/>
                <w:szCs w:val="18"/>
                <w:u w:val="single" w:color="auto"/>
                <w:color w:val="0000FF"/>
              </w:rPr>
            </w:pPr>
            <w:hyperlink w:anchor="page5">
              <w:r>
                <w:rPr>
                  <w:rFonts w:ascii="Times New Roman" w:cs="Times New Roman" w:eastAsia="Times New Roman" w:hAnsi="Times New Roman"/>
                  <w:sz w:val="18"/>
                  <w:szCs w:val="18"/>
                  <w:u w:val="single" w:color="auto"/>
                  <w:color w:val="0000FF"/>
                </w:rPr>
                <w:t>5</w:t>
              </w:r>
            </w:hyperlink>
          </w:p>
        </w:tc>
      </w:tr>
      <w:tr>
        <w:trPr>
          <w:trHeight w:val="230"/>
        </w:trPr>
        <w:tc>
          <w:tcPr>
            <w:tcW w:w="920" w:type="dxa"/>
            <w:vAlign w:val="bottom"/>
          </w:tcPr>
          <w:p>
            <w:pPr>
              <w:spacing w:after="0"/>
              <w:rPr>
                <w:sz w:val="19"/>
                <w:szCs w:val="19"/>
                <w:color w:val="auto"/>
              </w:rPr>
            </w:pPr>
          </w:p>
        </w:tc>
        <w:tc>
          <w:tcPr>
            <w:tcW w:w="8380" w:type="dxa"/>
            <w:vAlign w:val="bottom"/>
          </w:tcPr>
          <w:p>
            <w:pPr>
              <w:ind w:left="180"/>
              <w:spacing w:after="0"/>
              <w:rPr>
                <w:rFonts w:ascii="Times New Roman" w:cs="Times New Roman" w:eastAsia="Times New Roman" w:hAnsi="Times New Roman"/>
                <w:sz w:val="18"/>
                <w:szCs w:val="18"/>
                <w:u w:val="single" w:color="auto"/>
                <w:color w:val="0000FF"/>
              </w:rPr>
            </w:pPr>
            <w:hyperlink w:anchor="page6">
              <w:r>
                <w:rPr>
                  <w:rFonts w:ascii="Times New Roman" w:cs="Times New Roman" w:eastAsia="Times New Roman" w:hAnsi="Times New Roman"/>
                  <w:sz w:val="18"/>
                  <w:szCs w:val="18"/>
                  <w:u w:val="single" w:color="auto"/>
                  <w:color w:val="0000FF"/>
                </w:rPr>
                <w:t>Condensed Consolidated Statements of Stockholder's Equity</w:t>
              </w:r>
            </w:hyperlink>
          </w:p>
        </w:tc>
        <w:tc>
          <w:tcPr>
            <w:tcW w:w="1920" w:type="dxa"/>
            <w:vAlign w:val="bottom"/>
          </w:tcPr>
          <w:p>
            <w:pPr>
              <w:jc w:val="right"/>
              <w:spacing w:after="0"/>
              <w:rPr>
                <w:rFonts w:ascii="Times New Roman" w:cs="Times New Roman" w:eastAsia="Times New Roman" w:hAnsi="Times New Roman"/>
                <w:sz w:val="18"/>
                <w:szCs w:val="18"/>
                <w:u w:val="single" w:color="auto"/>
                <w:color w:val="0000FF"/>
              </w:rPr>
            </w:pPr>
            <w:hyperlink w:anchor="page6">
              <w:r>
                <w:rPr>
                  <w:rFonts w:ascii="Times New Roman" w:cs="Times New Roman" w:eastAsia="Times New Roman" w:hAnsi="Times New Roman"/>
                  <w:sz w:val="18"/>
                  <w:szCs w:val="18"/>
                  <w:u w:val="single" w:color="auto"/>
                  <w:color w:val="0000FF"/>
                </w:rPr>
                <w:t>6</w:t>
              </w:r>
            </w:hyperlink>
          </w:p>
        </w:tc>
      </w:tr>
      <w:tr>
        <w:trPr>
          <w:trHeight w:val="229"/>
        </w:trPr>
        <w:tc>
          <w:tcPr>
            <w:tcW w:w="920" w:type="dxa"/>
            <w:vAlign w:val="bottom"/>
          </w:tcPr>
          <w:p>
            <w:pPr>
              <w:spacing w:after="0"/>
              <w:rPr>
                <w:sz w:val="19"/>
                <w:szCs w:val="19"/>
                <w:color w:val="auto"/>
              </w:rPr>
            </w:pPr>
          </w:p>
        </w:tc>
        <w:tc>
          <w:tcPr>
            <w:tcW w:w="8380" w:type="dxa"/>
            <w:vAlign w:val="bottom"/>
          </w:tcPr>
          <w:p>
            <w:pPr>
              <w:ind w:left="180"/>
              <w:spacing w:after="0"/>
              <w:rPr>
                <w:rFonts w:ascii="Times New Roman" w:cs="Times New Roman" w:eastAsia="Times New Roman" w:hAnsi="Times New Roman"/>
                <w:sz w:val="18"/>
                <w:szCs w:val="18"/>
                <w:u w:val="single" w:color="auto"/>
                <w:color w:val="0000FF"/>
              </w:rPr>
            </w:pPr>
            <w:hyperlink w:anchor="page8">
              <w:r>
                <w:rPr>
                  <w:rFonts w:ascii="Times New Roman" w:cs="Times New Roman" w:eastAsia="Times New Roman" w:hAnsi="Times New Roman"/>
                  <w:sz w:val="18"/>
                  <w:szCs w:val="18"/>
                  <w:u w:val="single" w:color="auto"/>
                  <w:color w:val="0000FF"/>
                </w:rPr>
                <w:t>Notes to Condensed Consolidated Financial Statements</w:t>
              </w:r>
            </w:hyperlink>
          </w:p>
        </w:tc>
        <w:tc>
          <w:tcPr>
            <w:tcW w:w="1920" w:type="dxa"/>
            <w:vAlign w:val="bottom"/>
          </w:tcPr>
          <w:p>
            <w:pPr>
              <w:jc w:val="right"/>
              <w:spacing w:after="0"/>
              <w:rPr>
                <w:rFonts w:ascii="Times New Roman" w:cs="Times New Roman" w:eastAsia="Times New Roman" w:hAnsi="Times New Roman"/>
                <w:sz w:val="18"/>
                <w:szCs w:val="18"/>
                <w:u w:val="single" w:color="auto"/>
                <w:color w:val="0000FF"/>
              </w:rPr>
            </w:pPr>
            <w:hyperlink w:anchor="page8">
              <w:r>
                <w:rPr>
                  <w:rFonts w:ascii="Times New Roman" w:cs="Times New Roman" w:eastAsia="Times New Roman" w:hAnsi="Times New Roman"/>
                  <w:sz w:val="18"/>
                  <w:szCs w:val="18"/>
                  <w:u w:val="single" w:color="auto"/>
                  <w:color w:val="0000FF"/>
                </w:rPr>
                <w:t>8</w:t>
              </w:r>
            </w:hyperlink>
          </w:p>
        </w:tc>
      </w:tr>
      <w:tr>
        <w:trPr>
          <w:trHeight w:val="230"/>
        </w:trPr>
        <w:tc>
          <w:tcPr>
            <w:tcW w:w="920" w:type="dxa"/>
            <w:vAlign w:val="bottom"/>
          </w:tcPr>
          <w:p>
            <w:pPr>
              <w:ind w:left="20"/>
              <w:spacing w:after="0"/>
              <w:rPr>
                <w:rFonts w:ascii="Times New Roman" w:cs="Times New Roman" w:eastAsia="Times New Roman" w:hAnsi="Times New Roman"/>
                <w:sz w:val="18"/>
                <w:szCs w:val="18"/>
                <w:u w:val="single" w:color="auto"/>
                <w:color w:val="0000FF"/>
              </w:rPr>
            </w:pPr>
            <w:hyperlink w:anchor="page22">
              <w:r>
                <w:rPr>
                  <w:rFonts w:ascii="Times New Roman" w:cs="Times New Roman" w:eastAsia="Times New Roman" w:hAnsi="Times New Roman"/>
                  <w:sz w:val="18"/>
                  <w:szCs w:val="18"/>
                  <w:u w:val="single" w:color="auto"/>
                  <w:color w:val="0000FF"/>
                </w:rPr>
                <w:t>Item 2.</w:t>
              </w:r>
            </w:hyperlink>
          </w:p>
        </w:tc>
        <w:tc>
          <w:tcPr>
            <w:tcW w:w="8380" w:type="dxa"/>
            <w:vAlign w:val="bottom"/>
          </w:tcPr>
          <w:p>
            <w:pPr>
              <w:ind w:left="180"/>
              <w:spacing w:after="0"/>
              <w:rPr>
                <w:rFonts w:ascii="Times New Roman" w:cs="Times New Roman" w:eastAsia="Times New Roman" w:hAnsi="Times New Roman"/>
                <w:sz w:val="18"/>
                <w:szCs w:val="18"/>
                <w:u w:val="single" w:color="auto"/>
                <w:color w:val="0000FF"/>
              </w:rPr>
            </w:pPr>
            <w:hyperlink w:anchor="page22">
              <w:r>
                <w:rPr>
                  <w:rFonts w:ascii="Times New Roman" w:cs="Times New Roman" w:eastAsia="Times New Roman" w:hAnsi="Times New Roman"/>
                  <w:sz w:val="18"/>
                  <w:szCs w:val="18"/>
                  <w:u w:val="single" w:color="auto"/>
                  <w:color w:val="0000FF"/>
                </w:rPr>
                <w:t>Management's Discussion and Analysis of Financial Condition and Results of Operations</w:t>
              </w:r>
            </w:hyperlink>
          </w:p>
        </w:tc>
        <w:tc>
          <w:tcPr>
            <w:tcW w:w="1920" w:type="dxa"/>
            <w:vAlign w:val="bottom"/>
          </w:tcPr>
          <w:p>
            <w:pPr>
              <w:jc w:val="right"/>
              <w:spacing w:after="0"/>
              <w:rPr>
                <w:rFonts w:ascii="Times New Roman" w:cs="Times New Roman" w:eastAsia="Times New Roman" w:hAnsi="Times New Roman"/>
                <w:sz w:val="18"/>
                <w:szCs w:val="18"/>
                <w:u w:val="single" w:color="auto"/>
                <w:color w:val="0000FF"/>
              </w:rPr>
            </w:pPr>
            <w:hyperlink w:anchor="page22">
              <w:r>
                <w:rPr>
                  <w:rFonts w:ascii="Times New Roman" w:cs="Times New Roman" w:eastAsia="Times New Roman" w:hAnsi="Times New Roman"/>
                  <w:sz w:val="18"/>
                  <w:szCs w:val="18"/>
                  <w:u w:val="single" w:color="auto"/>
                  <w:color w:val="0000FF"/>
                </w:rPr>
                <w:t>22</w:t>
              </w:r>
            </w:hyperlink>
          </w:p>
        </w:tc>
      </w:tr>
      <w:tr>
        <w:trPr>
          <w:trHeight w:val="229"/>
        </w:trPr>
        <w:tc>
          <w:tcPr>
            <w:tcW w:w="920" w:type="dxa"/>
            <w:vAlign w:val="bottom"/>
          </w:tcPr>
          <w:p>
            <w:pPr>
              <w:ind w:left="20"/>
              <w:spacing w:after="0"/>
              <w:rPr>
                <w:rFonts w:ascii="Times New Roman" w:cs="Times New Roman" w:eastAsia="Times New Roman" w:hAnsi="Times New Roman"/>
                <w:sz w:val="18"/>
                <w:szCs w:val="18"/>
                <w:u w:val="single" w:color="auto"/>
                <w:color w:val="0000FF"/>
              </w:rPr>
            </w:pPr>
            <w:hyperlink w:anchor="page37">
              <w:r>
                <w:rPr>
                  <w:rFonts w:ascii="Times New Roman" w:cs="Times New Roman" w:eastAsia="Times New Roman" w:hAnsi="Times New Roman"/>
                  <w:sz w:val="18"/>
                  <w:szCs w:val="18"/>
                  <w:u w:val="single" w:color="auto"/>
                  <w:color w:val="0000FF"/>
                </w:rPr>
                <w:t>Item 3.</w:t>
              </w:r>
            </w:hyperlink>
          </w:p>
        </w:tc>
        <w:tc>
          <w:tcPr>
            <w:tcW w:w="8380" w:type="dxa"/>
            <w:vAlign w:val="bottom"/>
          </w:tcPr>
          <w:p>
            <w:pPr>
              <w:ind w:left="180"/>
              <w:spacing w:after="0"/>
              <w:rPr>
                <w:rFonts w:ascii="Times New Roman" w:cs="Times New Roman" w:eastAsia="Times New Roman" w:hAnsi="Times New Roman"/>
                <w:sz w:val="18"/>
                <w:szCs w:val="18"/>
                <w:u w:val="single" w:color="auto"/>
                <w:color w:val="0000FF"/>
              </w:rPr>
            </w:pPr>
            <w:hyperlink w:anchor="page37">
              <w:r>
                <w:rPr>
                  <w:rFonts w:ascii="Times New Roman" w:cs="Times New Roman" w:eastAsia="Times New Roman" w:hAnsi="Times New Roman"/>
                  <w:sz w:val="18"/>
                  <w:szCs w:val="18"/>
                  <w:u w:val="single" w:color="auto"/>
                  <w:color w:val="0000FF"/>
                </w:rPr>
                <w:t>Quantitative and Qualitative Disclosures About Market Risk</w:t>
              </w:r>
            </w:hyperlink>
          </w:p>
        </w:tc>
        <w:tc>
          <w:tcPr>
            <w:tcW w:w="1920" w:type="dxa"/>
            <w:vAlign w:val="bottom"/>
          </w:tcPr>
          <w:p>
            <w:pPr>
              <w:jc w:val="right"/>
              <w:spacing w:after="0"/>
              <w:rPr>
                <w:rFonts w:ascii="Times New Roman" w:cs="Times New Roman" w:eastAsia="Times New Roman" w:hAnsi="Times New Roman"/>
                <w:sz w:val="18"/>
                <w:szCs w:val="18"/>
                <w:u w:val="single" w:color="auto"/>
                <w:color w:val="0000FF"/>
              </w:rPr>
            </w:pPr>
            <w:hyperlink w:anchor="page37">
              <w:r>
                <w:rPr>
                  <w:rFonts w:ascii="Times New Roman" w:cs="Times New Roman" w:eastAsia="Times New Roman" w:hAnsi="Times New Roman"/>
                  <w:sz w:val="18"/>
                  <w:szCs w:val="18"/>
                  <w:u w:val="single" w:color="auto"/>
                  <w:color w:val="0000FF"/>
                </w:rPr>
                <w:t>36</w:t>
              </w:r>
            </w:hyperlink>
          </w:p>
        </w:tc>
      </w:tr>
      <w:tr>
        <w:trPr>
          <w:trHeight w:val="225"/>
        </w:trPr>
        <w:tc>
          <w:tcPr>
            <w:tcW w:w="920" w:type="dxa"/>
            <w:vAlign w:val="bottom"/>
          </w:tcPr>
          <w:p>
            <w:pPr>
              <w:ind w:left="20"/>
              <w:spacing w:after="0"/>
              <w:rPr>
                <w:rFonts w:ascii="Times New Roman" w:cs="Times New Roman" w:eastAsia="Times New Roman" w:hAnsi="Times New Roman"/>
                <w:sz w:val="18"/>
                <w:szCs w:val="18"/>
                <w:u w:val="single" w:color="auto"/>
                <w:color w:val="0000FF"/>
              </w:rPr>
            </w:pPr>
            <w:hyperlink w:anchor="page38">
              <w:r>
                <w:rPr>
                  <w:rFonts w:ascii="Times New Roman" w:cs="Times New Roman" w:eastAsia="Times New Roman" w:hAnsi="Times New Roman"/>
                  <w:sz w:val="18"/>
                  <w:szCs w:val="18"/>
                  <w:u w:val="single" w:color="auto"/>
                  <w:color w:val="0000FF"/>
                </w:rPr>
                <w:t>Item 4.</w:t>
              </w:r>
            </w:hyperlink>
          </w:p>
        </w:tc>
        <w:tc>
          <w:tcPr>
            <w:tcW w:w="8380" w:type="dxa"/>
            <w:vAlign w:val="bottom"/>
          </w:tcPr>
          <w:p>
            <w:pPr>
              <w:ind w:left="180"/>
              <w:spacing w:after="0"/>
              <w:rPr>
                <w:rFonts w:ascii="Times New Roman" w:cs="Times New Roman" w:eastAsia="Times New Roman" w:hAnsi="Times New Roman"/>
                <w:sz w:val="18"/>
                <w:szCs w:val="18"/>
                <w:u w:val="single" w:color="auto"/>
                <w:color w:val="0000FF"/>
              </w:rPr>
            </w:pPr>
            <w:hyperlink w:anchor="page38">
              <w:r>
                <w:rPr>
                  <w:rFonts w:ascii="Times New Roman" w:cs="Times New Roman" w:eastAsia="Times New Roman" w:hAnsi="Times New Roman"/>
                  <w:sz w:val="18"/>
                  <w:szCs w:val="18"/>
                  <w:u w:val="single" w:color="auto"/>
                  <w:color w:val="0000FF"/>
                </w:rPr>
                <w:t>Controls and Procedures</w:t>
              </w:r>
            </w:hyperlink>
          </w:p>
        </w:tc>
        <w:tc>
          <w:tcPr>
            <w:tcW w:w="1920" w:type="dxa"/>
            <w:vAlign w:val="bottom"/>
          </w:tcPr>
          <w:p>
            <w:pPr>
              <w:jc w:val="right"/>
              <w:spacing w:after="0"/>
              <w:rPr>
                <w:rFonts w:ascii="Times New Roman" w:cs="Times New Roman" w:eastAsia="Times New Roman" w:hAnsi="Times New Roman"/>
                <w:sz w:val="18"/>
                <w:szCs w:val="18"/>
                <w:u w:val="single" w:color="auto"/>
                <w:color w:val="0000FF"/>
              </w:rPr>
            </w:pPr>
            <w:hyperlink w:anchor="page38">
              <w:r>
                <w:rPr>
                  <w:rFonts w:ascii="Times New Roman" w:cs="Times New Roman" w:eastAsia="Times New Roman" w:hAnsi="Times New Roman"/>
                  <w:sz w:val="18"/>
                  <w:szCs w:val="18"/>
                  <w:u w:val="single" w:color="auto"/>
                  <w:color w:val="0000FF"/>
                </w:rPr>
                <w:t>37</w:t>
              </w:r>
            </w:hyperlink>
          </w:p>
        </w:tc>
      </w:tr>
      <w:tr>
        <w:trPr>
          <w:trHeight w:val="234"/>
        </w:trPr>
        <w:tc>
          <w:tcPr>
            <w:tcW w:w="920" w:type="dxa"/>
            <w:vAlign w:val="bottom"/>
          </w:tcPr>
          <w:p>
            <w:pPr>
              <w:ind w:left="20"/>
              <w:spacing w:after="0"/>
              <w:rPr>
                <w:rFonts w:ascii="Times New Roman" w:cs="Times New Roman" w:eastAsia="Times New Roman" w:hAnsi="Times New Roman"/>
                <w:sz w:val="18"/>
                <w:szCs w:val="18"/>
                <w:b w:val="1"/>
                <w:bCs w:val="1"/>
                <w:u w:val="single" w:color="auto"/>
                <w:color w:val="0000FF"/>
              </w:rPr>
            </w:pPr>
            <w:hyperlink w:anchor="page38">
              <w:r>
                <w:rPr>
                  <w:rFonts w:ascii="Times New Roman" w:cs="Times New Roman" w:eastAsia="Times New Roman" w:hAnsi="Times New Roman"/>
                  <w:sz w:val="18"/>
                  <w:szCs w:val="18"/>
                  <w:b w:val="1"/>
                  <w:bCs w:val="1"/>
                  <w:u w:val="single" w:color="auto"/>
                  <w:color w:val="0000FF"/>
                </w:rPr>
                <w:t>PART II.</w:t>
              </w:r>
            </w:hyperlink>
          </w:p>
        </w:tc>
        <w:tc>
          <w:tcPr>
            <w:tcW w:w="8380" w:type="dxa"/>
            <w:vAlign w:val="bottom"/>
          </w:tcPr>
          <w:p>
            <w:pPr>
              <w:ind w:left="180"/>
              <w:spacing w:after="0"/>
              <w:rPr>
                <w:rFonts w:ascii="Times New Roman" w:cs="Times New Roman" w:eastAsia="Times New Roman" w:hAnsi="Times New Roman"/>
                <w:sz w:val="18"/>
                <w:szCs w:val="18"/>
                <w:b w:val="1"/>
                <w:bCs w:val="1"/>
                <w:u w:val="single" w:color="auto"/>
                <w:color w:val="0000FF"/>
              </w:rPr>
            </w:pPr>
            <w:hyperlink w:anchor="page38">
              <w:r>
                <w:rPr>
                  <w:rFonts w:ascii="Times New Roman" w:cs="Times New Roman" w:eastAsia="Times New Roman" w:hAnsi="Times New Roman"/>
                  <w:sz w:val="18"/>
                  <w:szCs w:val="18"/>
                  <w:b w:val="1"/>
                  <w:bCs w:val="1"/>
                  <w:u w:val="single" w:color="auto"/>
                  <w:color w:val="0000FF"/>
                </w:rPr>
                <w:t>OTHER INFORMATION</w:t>
              </w:r>
            </w:hyperlink>
          </w:p>
        </w:tc>
        <w:tc>
          <w:tcPr>
            <w:tcW w:w="1920" w:type="dxa"/>
            <w:vAlign w:val="bottom"/>
          </w:tcPr>
          <w:p>
            <w:pPr>
              <w:jc w:val="right"/>
              <w:spacing w:after="0"/>
              <w:rPr>
                <w:rFonts w:ascii="Times New Roman" w:cs="Times New Roman" w:eastAsia="Times New Roman" w:hAnsi="Times New Roman"/>
                <w:sz w:val="18"/>
                <w:szCs w:val="18"/>
                <w:u w:val="single" w:color="auto"/>
                <w:color w:val="0000FF"/>
              </w:rPr>
            </w:pPr>
            <w:hyperlink w:anchor="page38">
              <w:r>
                <w:rPr>
                  <w:rFonts w:ascii="Times New Roman" w:cs="Times New Roman" w:eastAsia="Times New Roman" w:hAnsi="Times New Roman"/>
                  <w:sz w:val="18"/>
                  <w:szCs w:val="18"/>
                  <w:u w:val="single" w:color="auto"/>
                  <w:color w:val="0000FF"/>
                </w:rPr>
                <w:t>38</w:t>
              </w:r>
            </w:hyperlink>
          </w:p>
        </w:tc>
      </w:tr>
      <w:tr>
        <w:trPr>
          <w:trHeight w:val="229"/>
        </w:trPr>
        <w:tc>
          <w:tcPr>
            <w:tcW w:w="920" w:type="dxa"/>
            <w:vAlign w:val="bottom"/>
          </w:tcPr>
          <w:p>
            <w:pPr>
              <w:ind w:left="20"/>
              <w:spacing w:after="0"/>
              <w:rPr>
                <w:rFonts w:ascii="Times New Roman" w:cs="Times New Roman" w:eastAsia="Times New Roman" w:hAnsi="Times New Roman"/>
                <w:sz w:val="18"/>
                <w:szCs w:val="18"/>
                <w:u w:val="single" w:color="auto"/>
                <w:color w:val="0000FF"/>
              </w:rPr>
            </w:pPr>
            <w:hyperlink w:anchor="page39">
              <w:r>
                <w:rPr>
                  <w:rFonts w:ascii="Times New Roman" w:cs="Times New Roman" w:eastAsia="Times New Roman" w:hAnsi="Times New Roman"/>
                  <w:sz w:val="18"/>
                  <w:szCs w:val="18"/>
                  <w:u w:val="single" w:color="auto"/>
                  <w:color w:val="0000FF"/>
                </w:rPr>
                <w:t>Item 1.</w:t>
              </w:r>
            </w:hyperlink>
          </w:p>
        </w:tc>
        <w:tc>
          <w:tcPr>
            <w:tcW w:w="8380" w:type="dxa"/>
            <w:vAlign w:val="bottom"/>
          </w:tcPr>
          <w:p>
            <w:pPr>
              <w:ind w:left="180"/>
              <w:spacing w:after="0"/>
              <w:rPr>
                <w:rFonts w:ascii="Times New Roman" w:cs="Times New Roman" w:eastAsia="Times New Roman" w:hAnsi="Times New Roman"/>
                <w:sz w:val="18"/>
                <w:szCs w:val="18"/>
                <w:u w:val="single" w:color="auto"/>
                <w:color w:val="0000FF"/>
              </w:rPr>
            </w:pPr>
            <w:hyperlink w:anchor="page39">
              <w:r>
                <w:rPr>
                  <w:rFonts w:ascii="Times New Roman" w:cs="Times New Roman" w:eastAsia="Times New Roman" w:hAnsi="Times New Roman"/>
                  <w:sz w:val="18"/>
                  <w:szCs w:val="18"/>
                  <w:u w:val="single" w:color="auto"/>
                  <w:color w:val="0000FF"/>
                </w:rPr>
                <w:t>Legal Proceedings</w:t>
              </w:r>
            </w:hyperlink>
          </w:p>
        </w:tc>
        <w:tc>
          <w:tcPr>
            <w:tcW w:w="1920" w:type="dxa"/>
            <w:vAlign w:val="bottom"/>
          </w:tcPr>
          <w:p>
            <w:pPr>
              <w:jc w:val="right"/>
              <w:spacing w:after="0"/>
              <w:rPr>
                <w:rFonts w:ascii="Times New Roman" w:cs="Times New Roman" w:eastAsia="Times New Roman" w:hAnsi="Times New Roman"/>
                <w:sz w:val="18"/>
                <w:szCs w:val="18"/>
                <w:u w:val="single" w:color="auto"/>
                <w:color w:val="0000FF"/>
              </w:rPr>
            </w:pPr>
            <w:hyperlink w:anchor="page39">
              <w:r>
                <w:rPr>
                  <w:rFonts w:ascii="Times New Roman" w:cs="Times New Roman" w:eastAsia="Times New Roman" w:hAnsi="Times New Roman"/>
                  <w:sz w:val="18"/>
                  <w:szCs w:val="18"/>
                  <w:u w:val="single" w:color="auto"/>
                  <w:color w:val="0000FF"/>
                </w:rPr>
                <w:t>38</w:t>
              </w:r>
            </w:hyperlink>
          </w:p>
        </w:tc>
      </w:tr>
      <w:tr>
        <w:trPr>
          <w:trHeight w:val="229"/>
        </w:trPr>
        <w:tc>
          <w:tcPr>
            <w:tcW w:w="920" w:type="dxa"/>
            <w:vAlign w:val="bottom"/>
          </w:tcPr>
          <w:p>
            <w:pPr>
              <w:ind w:left="20"/>
              <w:spacing w:after="0"/>
              <w:rPr>
                <w:rFonts w:ascii="Times New Roman" w:cs="Times New Roman" w:eastAsia="Times New Roman" w:hAnsi="Times New Roman"/>
                <w:sz w:val="18"/>
                <w:szCs w:val="18"/>
                <w:u w:val="single" w:color="auto"/>
                <w:color w:val="0000FF"/>
              </w:rPr>
            </w:pPr>
            <w:hyperlink w:anchor="page39">
              <w:r>
                <w:rPr>
                  <w:rFonts w:ascii="Times New Roman" w:cs="Times New Roman" w:eastAsia="Times New Roman" w:hAnsi="Times New Roman"/>
                  <w:sz w:val="18"/>
                  <w:szCs w:val="18"/>
                  <w:u w:val="single" w:color="auto"/>
                  <w:color w:val="0000FF"/>
                </w:rPr>
                <w:t>Item 1A.</w:t>
              </w:r>
            </w:hyperlink>
          </w:p>
        </w:tc>
        <w:tc>
          <w:tcPr>
            <w:tcW w:w="8380" w:type="dxa"/>
            <w:vAlign w:val="bottom"/>
          </w:tcPr>
          <w:p>
            <w:pPr>
              <w:ind w:left="180"/>
              <w:spacing w:after="0"/>
              <w:rPr>
                <w:rFonts w:ascii="Times New Roman" w:cs="Times New Roman" w:eastAsia="Times New Roman" w:hAnsi="Times New Roman"/>
                <w:sz w:val="18"/>
                <w:szCs w:val="18"/>
                <w:u w:val="single" w:color="auto"/>
                <w:color w:val="0000FF"/>
              </w:rPr>
            </w:pPr>
            <w:hyperlink w:anchor="page39">
              <w:r>
                <w:rPr>
                  <w:rFonts w:ascii="Times New Roman" w:cs="Times New Roman" w:eastAsia="Times New Roman" w:hAnsi="Times New Roman"/>
                  <w:sz w:val="18"/>
                  <w:szCs w:val="18"/>
                  <w:u w:val="single" w:color="auto"/>
                  <w:color w:val="0000FF"/>
                </w:rPr>
                <w:t>Risk Factors</w:t>
              </w:r>
            </w:hyperlink>
          </w:p>
        </w:tc>
        <w:tc>
          <w:tcPr>
            <w:tcW w:w="1920" w:type="dxa"/>
            <w:vAlign w:val="bottom"/>
          </w:tcPr>
          <w:p>
            <w:pPr>
              <w:jc w:val="right"/>
              <w:spacing w:after="0"/>
              <w:rPr>
                <w:rFonts w:ascii="Times New Roman" w:cs="Times New Roman" w:eastAsia="Times New Roman" w:hAnsi="Times New Roman"/>
                <w:sz w:val="18"/>
                <w:szCs w:val="18"/>
                <w:u w:val="single" w:color="auto"/>
                <w:color w:val="0000FF"/>
              </w:rPr>
            </w:pPr>
            <w:hyperlink w:anchor="page39">
              <w:r>
                <w:rPr>
                  <w:rFonts w:ascii="Times New Roman" w:cs="Times New Roman" w:eastAsia="Times New Roman" w:hAnsi="Times New Roman"/>
                  <w:sz w:val="18"/>
                  <w:szCs w:val="18"/>
                  <w:u w:val="single" w:color="auto"/>
                  <w:color w:val="0000FF"/>
                </w:rPr>
                <w:t>38</w:t>
              </w:r>
            </w:hyperlink>
          </w:p>
        </w:tc>
      </w:tr>
      <w:tr>
        <w:trPr>
          <w:trHeight w:val="230"/>
        </w:trPr>
        <w:tc>
          <w:tcPr>
            <w:tcW w:w="920" w:type="dxa"/>
            <w:vAlign w:val="bottom"/>
          </w:tcPr>
          <w:p>
            <w:pPr>
              <w:ind w:left="20"/>
              <w:spacing w:after="0"/>
              <w:rPr>
                <w:rFonts w:ascii="Times New Roman" w:cs="Times New Roman" w:eastAsia="Times New Roman" w:hAnsi="Times New Roman"/>
                <w:sz w:val="18"/>
                <w:szCs w:val="18"/>
                <w:u w:val="single" w:color="auto"/>
                <w:color w:val="0000FF"/>
              </w:rPr>
            </w:pPr>
            <w:hyperlink w:anchor="page39">
              <w:r>
                <w:rPr>
                  <w:rFonts w:ascii="Times New Roman" w:cs="Times New Roman" w:eastAsia="Times New Roman" w:hAnsi="Times New Roman"/>
                  <w:sz w:val="18"/>
                  <w:szCs w:val="18"/>
                  <w:u w:val="single" w:color="auto"/>
                  <w:color w:val="0000FF"/>
                </w:rPr>
                <w:t>Item 2.</w:t>
              </w:r>
            </w:hyperlink>
          </w:p>
        </w:tc>
        <w:tc>
          <w:tcPr>
            <w:tcW w:w="8380" w:type="dxa"/>
            <w:vAlign w:val="bottom"/>
          </w:tcPr>
          <w:p>
            <w:pPr>
              <w:ind w:left="180"/>
              <w:spacing w:after="0"/>
              <w:rPr>
                <w:rFonts w:ascii="Times New Roman" w:cs="Times New Roman" w:eastAsia="Times New Roman" w:hAnsi="Times New Roman"/>
                <w:sz w:val="18"/>
                <w:szCs w:val="18"/>
                <w:u w:val="single" w:color="auto"/>
                <w:color w:val="0000FF"/>
              </w:rPr>
            </w:pPr>
            <w:hyperlink w:anchor="page39">
              <w:r>
                <w:rPr>
                  <w:rFonts w:ascii="Times New Roman" w:cs="Times New Roman" w:eastAsia="Times New Roman" w:hAnsi="Times New Roman"/>
                  <w:sz w:val="18"/>
                  <w:szCs w:val="18"/>
                  <w:u w:val="single" w:color="auto"/>
                  <w:color w:val="0000FF"/>
                </w:rPr>
                <w:t>Unregistered Sales of Equity Securities and Use of Proceeds</w:t>
              </w:r>
            </w:hyperlink>
          </w:p>
        </w:tc>
        <w:tc>
          <w:tcPr>
            <w:tcW w:w="1920" w:type="dxa"/>
            <w:vAlign w:val="bottom"/>
          </w:tcPr>
          <w:p>
            <w:pPr>
              <w:jc w:val="right"/>
              <w:spacing w:after="0"/>
              <w:rPr>
                <w:rFonts w:ascii="Times New Roman" w:cs="Times New Roman" w:eastAsia="Times New Roman" w:hAnsi="Times New Roman"/>
                <w:sz w:val="18"/>
                <w:szCs w:val="18"/>
                <w:u w:val="single" w:color="auto"/>
                <w:color w:val="0000FF"/>
              </w:rPr>
            </w:pPr>
            <w:hyperlink w:anchor="page39">
              <w:r>
                <w:rPr>
                  <w:rFonts w:ascii="Times New Roman" w:cs="Times New Roman" w:eastAsia="Times New Roman" w:hAnsi="Times New Roman"/>
                  <w:sz w:val="18"/>
                  <w:szCs w:val="18"/>
                  <w:u w:val="single" w:color="auto"/>
                  <w:color w:val="0000FF"/>
                </w:rPr>
                <w:t>38</w:t>
              </w:r>
            </w:hyperlink>
          </w:p>
        </w:tc>
      </w:tr>
      <w:tr>
        <w:trPr>
          <w:trHeight w:val="229"/>
        </w:trPr>
        <w:tc>
          <w:tcPr>
            <w:tcW w:w="920" w:type="dxa"/>
            <w:vAlign w:val="bottom"/>
          </w:tcPr>
          <w:p>
            <w:pPr>
              <w:ind w:left="20"/>
              <w:spacing w:after="0"/>
              <w:rPr>
                <w:rFonts w:ascii="Times New Roman" w:cs="Times New Roman" w:eastAsia="Times New Roman" w:hAnsi="Times New Roman"/>
                <w:sz w:val="18"/>
                <w:szCs w:val="18"/>
                <w:u w:val="single" w:color="auto"/>
                <w:color w:val="0000FF"/>
              </w:rPr>
            </w:pPr>
            <w:hyperlink w:anchor="page39">
              <w:r>
                <w:rPr>
                  <w:rFonts w:ascii="Times New Roman" w:cs="Times New Roman" w:eastAsia="Times New Roman" w:hAnsi="Times New Roman"/>
                  <w:sz w:val="18"/>
                  <w:szCs w:val="18"/>
                  <w:u w:val="single" w:color="auto"/>
                  <w:color w:val="0000FF"/>
                </w:rPr>
                <w:t>Item 6.</w:t>
              </w:r>
            </w:hyperlink>
          </w:p>
        </w:tc>
        <w:tc>
          <w:tcPr>
            <w:tcW w:w="8380" w:type="dxa"/>
            <w:vAlign w:val="bottom"/>
          </w:tcPr>
          <w:p>
            <w:pPr>
              <w:ind w:left="180"/>
              <w:spacing w:after="0"/>
              <w:rPr>
                <w:rFonts w:ascii="Times New Roman" w:cs="Times New Roman" w:eastAsia="Times New Roman" w:hAnsi="Times New Roman"/>
                <w:sz w:val="18"/>
                <w:szCs w:val="18"/>
                <w:u w:val="single" w:color="auto"/>
                <w:color w:val="0000FF"/>
              </w:rPr>
            </w:pPr>
            <w:hyperlink w:anchor="page39">
              <w:r>
                <w:rPr>
                  <w:rFonts w:ascii="Times New Roman" w:cs="Times New Roman" w:eastAsia="Times New Roman" w:hAnsi="Times New Roman"/>
                  <w:sz w:val="18"/>
                  <w:szCs w:val="18"/>
                  <w:u w:val="single" w:color="auto"/>
                  <w:color w:val="0000FF"/>
                </w:rPr>
                <w:t>Exhibits</w:t>
              </w:r>
            </w:hyperlink>
          </w:p>
        </w:tc>
        <w:tc>
          <w:tcPr>
            <w:tcW w:w="1920" w:type="dxa"/>
            <w:vAlign w:val="bottom"/>
          </w:tcPr>
          <w:p>
            <w:pPr>
              <w:jc w:val="right"/>
              <w:spacing w:after="0"/>
              <w:rPr>
                <w:rFonts w:ascii="Times New Roman" w:cs="Times New Roman" w:eastAsia="Times New Roman" w:hAnsi="Times New Roman"/>
                <w:sz w:val="18"/>
                <w:szCs w:val="18"/>
                <w:u w:val="single" w:color="auto"/>
                <w:color w:val="0000FF"/>
              </w:rPr>
            </w:pPr>
            <w:hyperlink w:anchor="page39">
              <w:r>
                <w:rPr>
                  <w:rFonts w:ascii="Times New Roman" w:cs="Times New Roman" w:eastAsia="Times New Roman" w:hAnsi="Times New Roman"/>
                  <w:sz w:val="18"/>
                  <w:szCs w:val="18"/>
                  <w:u w:val="single" w:color="auto"/>
                  <w:color w:val="0000FF"/>
                </w:rPr>
                <w:t>39</w:t>
              </w:r>
            </w:hyperlink>
          </w:p>
        </w:tc>
      </w:tr>
      <w:tr>
        <w:trPr>
          <w:trHeight w:val="234"/>
        </w:trPr>
        <w:tc>
          <w:tcPr>
            <w:tcW w:w="920" w:type="dxa"/>
            <w:vAlign w:val="bottom"/>
          </w:tcPr>
          <w:p>
            <w:pPr>
              <w:spacing w:after="0"/>
              <w:rPr>
                <w:sz w:val="20"/>
                <w:szCs w:val="20"/>
                <w:color w:val="auto"/>
              </w:rPr>
            </w:pPr>
          </w:p>
        </w:tc>
        <w:tc>
          <w:tcPr>
            <w:tcW w:w="8380" w:type="dxa"/>
            <w:vAlign w:val="bottom"/>
          </w:tcPr>
          <w:p>
            <w:pPr>
              <w:ind w:left="180"/>
              <w:spacing w:after="0"/>
              <w:rPr>
                <w:rFonts w:ascii="Times New Roman" w:cs="Times New Roman" w:eastAsia="Times New Roman" w:hAnsi="Times New Roman"/>
                <w:sz w:val="18"/>
                <w:szCs w:val="18"/>
                <w:u w:val="single" w:color="auto"/>
                <w:color w:val="0000FF"/>
              </w:rPr>
            </w:pPr>
            <w:hyperlink w:anchor="page40">
              <w:r>
                <w:rPr>
                  <w:rFonts w:ascii="Times New Roman" w:cs="Times New Roman" w:eastAsia="Times New Roman" w:hAnsi="Times New Roman"/>
                  <w:sz w:val="18"/>
                  <w:szCs w:val="18"/>
                  <w:u w:val="single" w:color="auto"/>
                  <w:color w:val="0000FF"/>
                </w:rPr>
                <w:t>Signatures</w:t>
              </w:r>
            </w:hyperlink>
          </w:p>
        </w:tc>
        <w:tc>
          <w:tcPr>
            <w:tcW w:w="1920" w:type="dxa"/>
            <w:vAlign w:val="bottom"/>
          </w:tcPr>
          <w:p>
            <w:pPr>
              <w:jc w:val="right"/>
              <w:spacing w:after="0"/>
              <w:rPr>
                <w:rFonts w:ascii="Times New Roman" w:cs="Times New Roman" w:eastAsia="Times New Roman" w:hAnsi="Times New Roman"/>
                <w:sz w:val="18"/>
                <w:szCs w:val="18"/>
                <w:u w:val="single" w:color="auto"/>
                <w:color w:val="0000FF"/>
              </w:rPr>
            </w:pPr>
            <w:hyperlink w:anchor="page40">
              <w:r>
                <w:rPr>
                  <w:rFonts w:ascii="Times New Roman" w:cs="Times New Roman" w:eastAsia="Times New Roman" w:hAnsi="Times New Roman"/>
                  <w:sz w:val="18"/>
                  <w:szCs w:val="18"/>
                  <w:u w:val="single" w:color="auto"/>
                  <w:color w:val="0000FF"/>
                </w:rPr>
                <w:t>40</w:t>
              </w:r>
            </w:hyperlink>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(All other items in this report are inapplicable)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364" w:right="359" w:bottom="1440" w:gutter="0" w:footer="0" w:header="0"/>
        </w:sectPr>
      </w:pPr>
    </w:p>
    <w:bookmarkStart w:id="2" w:name="page3"/>
    <w:bookmarkEnd w:id="2"/>
    <w:p>
      <w:pPr>
        <w:spacing w:after="0"/>
        <w:rPr>
          <w:rFonts w:ascii="Times New Roman" w:cs="Times New Roman" w:eastAsia="Times New Roman" w:hAnsi="Times New Roman"/>
          <w:sz w:val="18"/>
          <w:szCs w:val="18"/>
          <w:u w:val="single" w:color="auto"/>
          <w:color w:val="0000FF"/>
        </w:rPr>
      </w:pPr>
      <w:hyperlink w:anchor="page1">
        <w:r>
          <w:rPr>
            <w:rFonts w:ascii="Times New Roman" w:cs="Times New Roman" w:eastAsia="Times New Roman" w:hAnsi="Times New Roman"/>
            <w:sz w:val="18"/>
            <w:szCs w:val="18"/>
            <w:u w:val="single" w:color="auto"/>
            <w:color w:val="0000FF"/>
          </w:rPr>
          <w:t>Table of Contents</w:t>
        </w:r>
      </w:hyperlink>
    </w:p>
    <w:p>
      <w:pPr>
        <w:spacing w:after="0" w:line="200" w:lineRule="exact"/>
        <w:rPr>
          <w:sz w:val="20"/>
          <w:szCs w:val="20"/>
          <w:color w:val="auto"/>
        </w:rPr>
      </w:pPr>
    </w:p>
    <w:p>
      <w:pPr>
        <w:spacing w:after="0" w:line="26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PART I. FINANCIAL INFORMATION</w:t>
      </w:r>
    </w:p>
    <w:p>
      <w:pPr>
        <w:spacing w:after="0" w:line="144" w:lineRule="exact"/>
        <w:rPr>
          <w:sz w:val="20"/>
          <w:szCs w:val="20"/>
          <w:color w:val="auto"/>
        </w:rPr>
      </w:pPr>
    </w:p>
    <w:p>
      <w:pPr>
        <w:spacing w:after="0"/>
        <w:tabs>
          <w:tab w:leader="none" w:pos="700" w:val="left"/>
        </w:tabs>
        <w:rPr>
          <w:sz w:val="20"/>
          <w:szCs w:val="20"/>
          <w:color w:val="auto"/>
        </w:rPr>
      </w:pPr>
      <w:r>
        <w:rPr>
          <w:rFonts w:ascii="Times New Roman" w:cs="Times New Roman" w:eastAsia="Times New Roman" w:hAnsi="Times New Roman"/>
          <w:sz w:val="18"/>
          <w:szCs w:val="18"/>
          <w:b w:val="1"/>
          <w:bCs w:val="1"/>
          <w:color w:val="auto"/>
        </w:rPr>
        <w:t>Item 1.</w:t>
        <w:tab/>
        <w:t>Financial Statements</w:t>
      </w:r>
    </w:p>
    <w:p>
      <w:pPr>
        <w:spacing w:after="0" w:line="16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6"/>
          <w:szCs w:val="16"/>
          <w:b w:val="1"/>
          <w:bCs w:val="1"/>
          <w:color w:val="auto"/>
        </w:rPr>
        <w:t>TAKE-TWO INTERACTIVE SOFTWARE, INC.</w:t>
      </w:r>
    </w:p>
    <w:p>
      <w:pPr>
        <w:spacing w:after="0" w:line="15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6"/>
          <w:szCs w:val="16"/>
          <w:b w:val="1"/>
          <w:bCs w:val="1"/>
          <w:color w:val="auto"/>
        </w:rPr>
        <w:t>CONDENSED CONSOLIDATED BALANCE SHEETS</w:t>
      </w:r>
    </w:p>
    <w:p>
      <w:pPr>
        <w:spacing w:after="0" w:line="14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6"/>
          <w:szCs w:val="16"/>
          <w:b w:val="1"/>
          <w:bCs w:val="1"/>
          <w:color w:val="auto"/>
        </w:rPr>
        <w:t>(in thousands, except per share amounts)</w:t>
      </w:r>
    </w:p>
    <w:p>
      <w:pPr>
        <w:spacing w:after="0" w:line="216" w:lineRule="exact"/>
        <w:rPr>
          <w:sz w:val="20"/>
          <w:szCs w:val="20"/>
          <w:color w:val="auto"/>
        </w:rPr>
      </w:pPr>
    </w:p>
    <w:tbl>
      <w:tblPr>
        <w:tblLayout w:type="fixed"/>
        <w:tblInd w:w="0" w:type="dxa"/>
        <w:tblCellMar>
          <w:top w:w="0" w:type="dxa"/>
          <w:left w:w="0" w:type="dxa"/>
          <w:bottom w:w="0" w:type="dxa"/>
          <w:right w:w="0" w:type="dxa"/>
        </w:tblCellMar>
      </w:tblPr>
      <w:tr>
        <w:trPr>
          <w:trHeight w:val="206"/>
        </w:trPr>
        <w:tc>
          <w:tcPr>
            <w:tcW w:w="80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660" w:type="dxa"/>
            <w:vAlign w:val="bottom"/>
            <w:gridSpan w:val="2"/>
          </w:tcPr>
          <w:p>
            <w:pPr>
              <w:ind w:left="60"/>
              <w:spacing w:after="0"/>
              <w:rPr>
                <w:sz w:val="20"/>
                <w:szCs w:val="20"/>
                <w:color w:val="auto"/>
              </w:rPr>
            </w:pPr>
            <w:r>
              <w:rPr>
                <w:rFonts w:ascii="Times New Roman" w:cs="Times New Roman" w:eastAsia="Times New Roman" w:hAnsi="Times New Roman"/>
                <w:sz w:val="15"/>
                <w:szCs w:val="15"/>
                <w:b w:val="1"/>
                <w:bCs w:val="1"/>
                <w:color w:val="auto"/>
              </w:rPr>
              <w:t>December 31, 2020</w:t>
            </w:r>
          </w:p>
        </w:tc>
        <w:tc>
          <w:tcPr>
            <w:tcW w:w="140" w:type="dxa"/>
            <w:vAlign w:val="bottom"/>
          </w:tcPr>
          <w:p>
            <w:pPr>
              <w:spacing w:after="0"/>
              <w:rPr>
                <w:sz w:val="17"/>
                <w:szCs w:val="17"/>
                <w:color w:val="auto"/>
              </w:rPr>
            </w:pPr>
          </w:p>
        </w:tc>
        <w:tc>
          <w:tcPr>
            <w:tcW w:w="1260" w:type="dxa"/>
            <w:vAlign w:val="bottom"/>
          </w:tcPr>
          <w:p>
            <w:pPr>
              <w:jc w:val="right"/>
              <w:ind w:right="119"/>
              <w:spacing w:after="0"/>
              <w:rPr>
                <w:sz w:val="20"/>
                <w:szCs w:val="20"/>
                <w:color w:val="auto"/>
              </w:rPr>
            </w:pPr>
            <w:r>
              <w:rPr>
                <w:rFonts w:ascii="Times New Roman" w:cs="Times New Roman" w:eastAsia="Times New Roman" w:hAnsi="Times New Roman"/>
                <w:sz w:val="15"/>
                <w:szCs w:val="15"/>
                <w:b w:val="1"/>
                <w:bCs w:val="1"/>
                <w:color w:val="auto"/>
              </w:rPr>
              <w:t>March 31, 2020</w:t>
            </w:r>
          </w:p>
        </w:tc>
        <w:tc>
          <w:tcPr>
            <w:tcW w:w="0" w:type="dxa"/>
            <w:vAlign w:val="bottom"/>
          </w:tcPr>
          <w:p>
            <w:pPr>
              <w:spacing w:after="0"/>
              <w:rPr>
                <w:sz w:val="1"/>
                <w:szCs w:val="1"/>
                <w:color w:val="auto"/>
              </w:rPr>
            </w:pPr>
          </w:p>
        </w:tc>
      </w:tr>
      <w:tr>
        <w:trPr>
          <w:trHeight w:val="187"/>
        </w:trPr>
        <w:tc>
          <w:tcPr>
            <w:tcW w:w="8000" w:type="dxa"/>
            <w:vAlign w:val="bottom"/>
          </w:tcPr>
          <w:p>
            <w:pPr>
              <w:spacing w:after="0"/>
              <w:rPr>
                <w:sz w:val="16"/>
                <w:szCs w:val="16"/>
                <w:color w:val="auto"/>
              </w:rPr>
            </w:pPr>
          </w:p>
        </w:tc>
        <w:tc>
          <w:tcPr>
            <w:tcW w:w="180" w:type="dxa"/>
            <w:vAlign w:val="bottom"/>
            <w:tcBorders>
              <w:top w:val="single" w:sz="8" w:color="auto"/>
            </w:tcBorders>
          </w:tcPr>
          <w:p>
            <w:pPr>
              <w:spacing w:after="0"/>
              <w:rPr>
                <w:sz w:val="16"/>
                <w:szCs w:val="16"/>
                <w:color w:val="auto"/>
              </w:rPr>
            </w:pPr>
          </w:p>
        </w:tc>
        <w:tc>
          <w:tcPr>
            <w:tcW w:w="1540" w:type="dxa"/>
            <w:vAlign w:val="bottom"/>
            <w:tcBorders>
              <w:top w:val="single" w:sz="8" w:color="auto"/>
            </w:tcBorders>
          </w:tcPr>
          <w:p>
            <w:pPr>
              <w:jc w:val="right"/>
              <w:ind w:right="399"/>
              <w:spacing w:after="0"/>
              <w:rPr>
                <w:sz w:val="20"/>
                <w:szCs w:val="20"/>
                <w:color w:val="auto"/>
              </w:rPr>
            </w:pPr>
            <w:r>
              <w:rPr>
                <w:rFonts w:ascii="Times New Roman" w:cs="Times New Roman" w:eastAsia="Times New Roman" w:hAnsi="Times New Roman"/>
                <w:sz w:val="14"/>
                <w:szCs w:val="14"/>
                <w:b w:val="1"/>
                <w:bCs w:val="1"/>
                <w:color w:val="auto"/>
              </w:rPr>
              <w:t>(Unaudited)</w:t>
            </w:r>
          </w:p>
        </w:tc>
        <w:tc>
          <w:tcPr>
            <w:tcW w:w="120" w:type="dxa"/>
            <w:vAlign w:val="bottom"/>
          </w:tcPr>
          <w:p>
            <w:pPr>
              <w:spacing w:after="0"/>
              <w:rPr>
                <w:sz w:val="16"/>
                <w:szCs w:val="16"/>
                <w:color w:val="auto"/>
              </w:rPr>
            </w:pPr>
          </w:p>
        </w:tc>
        <w:tc>
          <w:tcPr>
            <w:tcW w:w="140" w:type="dxa"/>
            <w:vAlign w:val="bottom"/>
            <w:tcBorders>
              <w:top w:val="single" w:sz="8" w:color="auto"/>
            </w:tcBorders>
          </w:tcPr>
          <w:p>
            <w:pPr>
              <w:spacing w:after="0"/>
              <w:rPr>
                <w:sz w:val="16"/>
                <w:szCs w:val="16"/>
                <w:color w:val="auto"/>
              </w:rPr>
            </w:pPr>
          </w:p>
        </w:tc>
        <w:tc>
          <w:tcPr>
            <w:tcW w:w="1260" w:type="dxa"/>
            <w:vAlign w:val="bottom"/>
            <w:tcBorders>
              <w:top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8000" w:type="dxa"/>
            <w:vAlign w:val="bottom"/>
            <w:shd w:val="clear" w:color="auto" w:fill="CCEEFF"/>
          </w:tcPr>
          <w:p>
            <w:pPr>
              <w:ind w:left="3700"/>
              <w:spacing w:after="0"/>
              <w:rPr>
                <w:sz w:val="20"/>
                <w:szCs w:val="20"/>
                <w:color w:val="auto"/>
              </w:rPr>
            </w:pPr>
            <w:r>
              <w:rPr>
                <w:rFonts w:ascii="Times New Roman" w:cs="Times New Roman" w:eastAsia="Times New Roman" w:hAnsi="Times New Roman"/>
                <w:sz w:val="16"/>
                <w:szCs w:val="16"/>
                <w:b w:val="1"/>
                <w:bCs w:val="1"/>
                <w:color w:val="auto"/>
              </w:rPr>
              <w:t>ASSETS</w:t>
            </w:r>
          </w:p>
        </w:tc>
        <w:tc>
          <w:tcPr>
            <w:tcW w:w="180" w:type="dxa"/>
            <w:vAlign w:val="bottom"/>
            <w:shd w:val="clear" w:color="auto" w:fill="CCEEFF"/>
          </w:tcPr>
          <w:p>
            <w:pPr>
              <w:spacing w:after="0"/>
              <w:rPr>
                <w:sz w:val="18"/>
                <w:szCs w:val="18"/>
                <w:color w:val="auto"/>
              </w:rPr>
            </w:pPr>
          </w:p>
        </w:tc>
        <w:tc>
          <w:tcPr>
            <w:tcW w:w="15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8000" w:type="dxa"/>
            <w:vAlign w:val="bottom"/>
          </w:tcPr>
          <w:p>
            <w:pPr>
              <w:ind w:left="20"/>
              <w:spacing w:after="0"/>
              <w:rPr>
                <w:sz w:val="20"/>
                <w:szCs w:val="20"/>
                <w:color w:val="auto"/>
              </w:rPr>
            </w:pPr>
            <w:r>
              <w:rPr>
                <w:rFonts w:ascii="Times New Roman" w:cs="Times New Roman" w:eastAsia="Times New Roman" w:hAnsi="Times New Roman"/>
                <w:sz w:val="16"/>
                <w:szCs w:val="16"/>
                <w:color w:val="auto"/>
              </w:rPr>
              <w:t>Current assets:</w:t>
            </w:r>
          </w:p>
        </w:tc>
        <w:tc>
          <w:tcPr>
            <w:tcW w:w="18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800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6"/>
                <w:szCs w:val="16"/>
                <w:color w:val="auto"/>
              </w:rPr>
              <w:t>Cash and cash equivalents</w:t>
            </w:r>
          </w:p>
        </w:tc>
        <w:tc>
          <w:tcPr>
            <w:tcW w:w="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b w:val="1"/>
                <w:bCs w:val="1"/>
                <w:color w:val="auto"/>
                <w:w w:val="99"/>
              </w:rPr>
              <w:t>$</w:t>
            </w: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b w:val="1"/>
                <w:bCs w:val="1"/>
                <w:color w:val="auto"/>
              </w:rPr>
              <w:t>1,649,832</w:t>
            </w: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12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1,357,664</w:t>
            </w:r>
          </w:p>
        </w:tc>
        <w:tc>
          <w:tcPr>
            <w:tcW w:w="0" w:type="dxa"/>
            <w:vAlign w:val="bottom"/>
          </w:tcPr>
          <w:p>
            <w:pPr>
              <w:spacing w:after="0"/>
              <w:rPr>
                <w:sz w:val="1"/>
                <w:szCs w:val="1"/>
                <w:color w:val="auto"/>
              </w:rPr>
            </w:pPr>
          </w:p>
        </w:tc>
      </w:tr>
      <w:tr>
        <w:trPr>
          <w:trHeight w:val="214"/>
        </w:trPr>
        <w:tc>
          <w:tcPr>
            <w:tcW w:w="8000" w:type="dxa"/>
            <w:vAlign w:val="bottom"/>
          </w:tcPr>
          <w:p>
            <w:pPr>
              <w:ind w:left="140"/>
              <w:spacing w:after="0"/>
              <w:rPr>
                <w:sz w:val="20"/>
                <w:szCs w:val="20"/>
                <w:color w:val="auto"/>
              </w:rPr>
            </w:pPr>
            <w:r>
              <w:rPr>
                <w:rFonts w:ascii="Times New Roman" w:cs="Times New Roman" w:eastAsia="Times New Roman" w:hAnsi="Times New Roman"/>
                <w:sz w:val="16"/>
                <w:szCs w:val="16"/>
                <w:color w:val="auto"/>
              </w:rPr>
              <w:t>Short-term investments</w:t>
            </w:r>
          </w:p>
        </w:tc>
        <w:tc>
          <w:tcPr>
            <w:tcW w:w="180" w:type="dxa"/>
            <w:vAlign w:val="bottom"/>
          </w:tcPr>
          <w:p>
            <w:pPr>
              <w:spacing w:after="0"/>
              <w:rPr>
                <w:sz w:val="18"/>
                <w:szCs w:val="18"/>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772,683</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644,003</w:t>
            </w:r>
          </w:p>
        </w:tc>
        <w:tc>
          <w:tcPr>
            <w:tcW w:w="0" w:type="dxa"/>
            <w:vAlign w:val="bottom"/>
          </w:tcPr>
          <w:p>
            <w:pPr>
              <w:spacing w:after="0"/>
              <w:rPr>
                <w:sz w:val="1"/>
                <w:szCs w:val="1"/>
                <w:color w:val="auto"/>
              </w:rPr>
            </w:pPr>
          </w:p>
        </w:tc>
      </w:tr>
      <w:tr>
        <w:trPr>
          <w:trHeight w:val="218"/>
        </w:trPr>
        <w:tc>
          <w:tcPr>
            <w:tcW w:w="800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6"/>
                <w:szCs w:val="16"/>
                <w:color w:val="auto"/>
              </w:rPr>
              <w:t>Restricted cash and cash equivalents</w:t>
            </w:r>
          </w:p>
        </w:tc>
        <w:tc>
          <w:tcPr>
            <w:tcW w:w="180" w:type="dxa"/>
            <w:vAlign w:val="bottom"/>
            <w:shd w:val="clear" w:color="auto" w:fill="CCEEFF"/>
          </w:tcPr>
          <w:p>
            <w:pPr>
              <w:spacing w:after="0"/>
              <w:rPr>
                <w:sz w:val="18"/>
                <w:szCs w:val="18"/>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b w:val="1"/>
                <w:bCs w:val="1"/>
                <w:color w:val="auto"/>
              </w:rPr>
              <w:t>764,419</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546,604</w:t>
            </w:r>
          </w:p>
        </w:tc>
        <w:tc>
          <w:tcPr>
            <w:tcW w:w="0" w:type="dxa"/>
            <w:vAlign w:val="bottom"/>
          </w:tcPr>
          <w:p>
            <w:pPr>
              <w:spacing w:after="0"/>
              <w:rPr>
                <w:sz w:val="1"/>
                <w:szCs w:val="1"/>
                <w:color w:val="auto"/>
              </w:rPr>
            </w:pPr>
          </w:p>
        </w:tc>
      </w:tr>
      <w:tr>
        <w:trPr>
          <w:trHeight w:val="214"/>
        </w:trPr>
        <w:tc>
          <w:tcPr>
            <w:tcW w:w="8000" w:type="dxa"/>
            <w:vAlign w:val="bottom"/>
          </w:tcPr>
          <w:p>
            <w:pPr>
              <w:ind w:left="140"/>
              <w:spacing w:after="0"/>
              <w:rPr>
                <w:sz w:val="20"/>
                <w:szCs w:val="20"/>
                <w:color w:val="auto"/>
              </w:rPr>
            </w:pPr>
            <w:r>
              <w:rPr>
                <w:rFonts w:ascii="Times New Roman" w:cs="Times New Roman" w:eastAsia="Times New Roman" w:hAnsi="Times New Roman"/>
                <w:sz w:val="16"/>
                <w:szCs w:val="16"/>
                <w:color w:val="auto"/>
              </w:rPr>
              <w:t>Accounts receivable, net of allowances of $350 and $443 at December 31, 2020 and March 31, 2020, respectively</w:t>
            </w:r>
          </w:p>
        </w:tc>
        <w:tc>
          <w:tcPr>
            <w:tcW w:w="180" w:type="dxa"/>
            <w:vAlign w:val="bottom"/>
          </w:tcPr>
          <w:p>
            <w:pPr>
              <w:spacing w:after="0"/>
              <w:rPr>
                <w:sz w:val="18"/>
                <w:szCs w:val="18"/>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581,136</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592,555</w:t>
            </w:r>
          </w:p>
        </w:tc>
        <w:tc>
          <w:tcPr>
            <w:tcW w:w="0" w:type="dxa"/>
            <w:vAlign w:val="bottom"/>
          </w:tcPr>
          <w:p>
            <w:pPr>
              <w:spacing w:after="0"/>
              <w:rPr>
                <w:sz w:val="1"/>
                <w:szCs w:val="1"/>
                <w:color w:val="auto"/>
              </w:rPr>
            </w:pPr>
          </w:p>
        </w:tc>
      </w:tr>
      <w:tr>
        <w:trPr>
          <w:trHeight w:val="218"/>
        </w:trPr>
        <w:tc>
          <w:tcPr>
            <w:tcW w:w="800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6"/>
                <w:szCs w:val="16"/>
                <w:color w:val="auto"/>
              </w:rPr>
              <w:t>Inventory</w:t>
            </w:r>
          </w:p>
        </w:tc>
        <w:tc>
          <w:tcPr>
            <w:tcW w:w="180" w:type="dxa"/>
            <w:vAlign w:val="bottom"/>
            <w:shd w:val="clear" w:color="auto" w:fill="CCEEFF"/>
          </w:tcPr>
          <w:p>
            <w:pPr>
              <w:spacing w:after="0"/>
              <w:rPr>
                <w:sz w:val="18"/>
                <w:szCs w:val="18"/>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b w:val="1"/>
                <w:bCs w:val="1"/>
                <w:color w:val="auto"/>
              </w:rPr>
              <w:t>26,733</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19,108</w:t>
            </w:r>
          </w:p>
        </w:tc>
        <w:tc>
          <w:tcPr>
            <w:tcW w:w="0" w:type="dxa"/>
            <w:vAlign w:val="bottom"/>
          </w:tcPr>
          <w:p>
            <w:pPr>
              <w:spacing w:after="0"/>
              <w:rPr>
                <w:sz w:val="1"/>
                <w:szCs w:val="1"/>
                <w:color w:val="auto"/>
              </w:rPr>
            </w:pPr>
          </w:p>
        </w:tc>
      </w:tr>
      <w:tr>
        <w:trPr>
          <w:trHeight w:val="214"/>
        </w:trPr>
        <w:tc>
          <w:tcPr>
            <w:tcW w:w="8000" w:type="dxa"/>
            <w:vAlign w:val="bottom"/>
          </w:tcPr>
          <w:p>
            <w:pPr>
              <w:ind w:left="140"/>
              <w:spacing w:after="0"/>
              <w:rPr>
                <w:sz w:val="20"/>
                <w:szCs w:val="20"/>
                <w:color w:val="auto"/>
              </w:rPr>
            </w:pPr>
            <w:r>
              <w:rPr>
                <w:rFonts w:ascii="Times New Roman" w:cs="Times New Roman" w:eastAsia="Times New Roman" w:hAnsi="Times New Roman"/>
                <w:sz w:val="16"/>
                <w:szCs w:val="16"/>
                <w:color w:val="auto"/>
              </w:rPr>
              <w:t>Software development costs and licenses</w:t>
            </w:r>
          </w:p>
        </w:tc>
        <w:tc>
          <w:tcPr>
            <w:tcW w:w="180" w:type="dxa"/>
            <w:vAlign w:val="bottom"/>
          </w:tcPr>
          <w:p>
            <w:pPr>
              <w:spacing w:after="0"/>
              <w:rPr>
                <w:sz w:val="18"/>
                <w:szCs w:val="18"/>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48,784</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40,316</w:t>
            </w:r>
          </w:p>
        </w:tc>
        <w:tc>
          <w:tcPr>
            <w:tcW w:w="0" w:type="dxa"/>
            <w:vAlign w:val="bottom"/>
          </w:tcPr>
          <w:p>
            <w:pPr>
              <w:spacing w:after="0"/>
              <w:rPr>
                <w:sz w:val="1"/>
                <w:szCs w:val="1"/>
                <w:color w:val="auto"/>
              </w:rPr>
            </w:pPr>
          </w:p>
        </w:tc>
      </w:tr>
      <w:tr>
        <w:trPr>
          <w:trHeight w:val="218"/>
        </w:trPr>
        <w:tc>
          <w:tcPr>
            <w:tcW w:w="800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6"/>
                <w:szCs w:val="16"/>
                <w:color w:val="auto"/>
              </w:rPr>
              <w:t>Deferred cost of goods sold</w:t>
            </w:r>
          </w:p>
        </w:tc>
        <w:tc>
          <w:tcPr>
            <w:tcW w:w="180" w:type="dxa"/>
            <w:vAlign w:val="bottom"/>
            <w:shd w:val="clear" w:color="auto" w:fill="CCEEFF"/>
          </w:tcPr>
          <w:p>
            <w:pPr>
              <w:spacing w:after="0"/>
              <w:rPr>
                <w:sz w:val="18"/>
                <w:szCs w:val="18"/>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b w:val="1"/>
                <w:bCs w:val="1"/>
                <w:color w:val="auto"/>
              </w:rPr>
              <w:t>19,854</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19,598</w:t>
            </w:r>
          </w:p>
        </w:tc>
        <w:tc>
          <w:tcPr>
            <w:tcW w:w="0" w:type="dxa"/>
            <w:vAlign w:val="bottom"/>
          </w:tcPr>
          <w:p>
            <w:pPr>
              <w:spacing w:after="0"/>
              <w:rPr>
                <w:sz w:val="1"/>
                <w:szCs w:val="1"/>
                <w:color w:val="auto"/>
              </w:rPr>
            </w:pPr>
          </w:p>
        </w:tc>
      </w:tr>
      <w:tr>
        <w:trPr>
          <w:trHeight w:val="214"/>
        </w:trPr>
        <w:tc>
          <w:tcPr>
            <w:tcW w:w="8000" w:type="dxa"/>
            <w:vAlign w:val="bottom"/>
            <w:tcBorders>
              <w:bottom w:val="single" w:sz="8" w:color="CCEEFF"/>
            </w:tcBorders>
          </w:tcPr>
          <w:p>
            <w:pPr>
              <w:ind w:left="140"/>
              <w:spacing w:after="0"/>
              <w:rPr>
                <w:sz w:val="20"/>
                <w:szCs w:val="20"/>
                <w:color w:val="auto"/>
              </w:rPr>
            </w:pPr>
            <w:r>
              <w:rPr>
                <w:rFonts w:ascii="Times New Roman" w:cs="Times New Roman" w:eastAsia="Times New Roman" w:hAnsi="Times New Roman"/>
                <w:sz w:val="16"/>
                <w:szCs w:val="16"/>
                <w:color w:val="auto"/>
              </w:rPr>
              <w:t>Prepaid expenses and other</w:t>
            </w:r>
          </w:p>
        </w:tc>
        <w:tc>
          <w:tcPr>
            <w:tcW w:w="180" w:type="dxa"/>
            <w:vAlign w:val="bottom"/>
            <w:tcBorders>
              <w:bottom w:val="single" w:sz="8" w:color="auto"/>
            </w:tcBorders>
          </w:tcPr>
          <w:p>
            <w:pPr>
              <w:spacing w:after="0"/>
              <w:rPr>
                <w:sz w:val="18"/>
                <w:szCs w:val="18"/>
                <w:color w:val="auto"/>
              </w:rPr>
            </w:pPr>
          </w:p>
        </w:tc>
        <w:tc>
          <w:tcPr>
            <w:tcW w:w="15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296,518</w:t>
            </w:r>
          </w:p>
        </w:tc>
        <w:tc>
          <w:tcPr>
            <w:tcW w:w="12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2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273,503</w:t>
            </w:r>
          </w:p>
        </w:tc>
        <w:tc>
          <w:tcPr>
            <w:tcW w:w="0" w:type="dxa"/>
            <w:vAlign w:val="bottom"/>
          </w:tcPr>
          <w:p>
            <w:pPr>
              <w:spacing w:after="0"/>
              <w:rPr>
                <w:sz w:val="1"/>
                <w:szCs w:val="1"/>
                <w:color w:val="auto"/>
              </w:rPr>
            </w:pPr>
          </w:p>
        </w:tc>
      </w:tr>
      <w:tr>
        <w:trPr>
          <w:trHeight w:val="211"/>
        </w:trPr>
        <w:tc>
          <w:tcPr>
            <w:tcW w:w="8000" w:type="dxa"/>
            <w:vAlign w:val="bottom"/>
            <w:shd w:val="clear" w:color="auto" w:fill="CCEEFF"/>
          </w:tcPr>
          <w:p>
            <w:pPr>
              <w:ind w:left="480"/>
              <w:spacing w:after="0"/>
              <w:rPr>
                <w:sz w:val="20"/>
                <w:szCs w:val="20"/>
                <w:color w:val="auto"/>
              </w:rPr>
            </w:pPr>
            <w:r>
              <w:rPr>
                <w:rFonts w:ascii="Times New Roman" w:cs="Times New Roman" w:eastAsia="Times New Roman" w:hAnsi="Times New Roman"/>
                <w:sz w:val="16"/>
                <w:szCs w:val="16"/>
                <w:color w:val="auto"/>
              </w:rPr>
              <w:t>Total current assets</w:t>
            </w:r>
          </w:p>
        </w:tc>
        <w:tc>
          <w:tcPr>
            <w:tcW w:w="180" w:type="dxa"/>
            <w:vAlign w:val="bottom"/>
            <w:shd w:val="clear" w:color="auto" w:fill="CCEEFF"/>
          </w:tcPr>
          <w:p>
            <w:pPr>
              <w:spacing w:after="0"/>
              <w:rPr>
                <w:sz w:val="18"/>
                <w:szCs w:val="18"/>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b w:val="1"/>
                <w:bCs w:val="1"/>
                <w:color w:val="auto"/>
              </w:rPr>
              <w:t>4,159,959</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3,493,351</w:t>
            </w:r>
          </w:p>
        </w:tc>
        <w:tc>
          <w:tcPr>
            <w:tcW w:w="0" w:type="dxa"/>
            <w:vAlign w:val="bottom"/>
          </w:tcPr>
          <w:p>
            <w:pPr>
              <w:spacing w:after="0"/>
              <w:rPr>
                <w:sz w:val="1"/>
                <w:szCs w:val="1"/>
                <w:color w:val="auto"/>
              </w:rPr>
            </w:pPr>
          </w:p>
        </w:tc>
      </w:tr>
      <w:tr>
        <w:trPr>
          <w:trHeight w:val="214"/>
        </w:trPr>
        <w:tc>
          <w:tcPr>
            <w:tcW w:w="8000" w:type="dxa"/>
            <w:vAlign w:val="bottom"/>
          </w:tcPr>
          <w:p>
            <w:pPr>
              <w:ind w:left="20"/>
              <w:spacing w:after="0"/>
              <w:rPr>
                <w:sz w:val="20"/>
                <w:szCs w:val="20"/>
                <w:color w:val="auto"/>
              </w:rPr>
            </w:pPr>
            <w:r>
              <w:rPr>
                <w:rFonts w:ascii="Times New Roman" w:cs="Times New Roman" w:eastAsia="Times New Roman" w:hAnsi="Times New Roman"/>
                <w:sz w:val="16"/>
                <w:szCs w:val="16"/>
                <w:color w:val="auto"/>
              </w:rPr>
              <w:t>Fixed assets, net</w:t>
            </w:r>
          </w:p>
        </w:tc>
        <w:tc>
          <w:tcPr>
            <w:tcW w:w="180" w:type="dxa"/>
            <w:vAlign w:val="bottom"/>
          </w:tcPr>
          <w:p>
            <w:pPr>
              <w:spacing w:after="0"/>
              <w:rPr>
                <w:sz w:val="18"/>
                <w:szCs w:val="18"/>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135,257</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131,888</w:t>
            </w:r>
          </w:p>
        </w:tc>
        <w:tc>
          <w:tcPr>
            <w:tcW w:w="0" w:type="dxa"/>
            <w:vAlign w:val="bottom"/>
          </w:tcPr>
          <w:p>
            <w:pPr>
              <w:spacing w:after="0"/>
              <w:rPr>
                <w:sz w:val="1"/>
                <w:szCs w:val="1"/>
                <w:color w:val="auto"/>
              </w:rPr>
            </w:pPr>
          </w:p>
        </w:tc>
      </w:tr>
      <w:tr>
        <w:trPr>
          <w:trHeight w:val="218"/>
        </w:trPr>
        <w:tc>
          <w:tcPr>
            <w:tcW w:w="80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Right-of-use assets</w:t>
            </w:r>
          </w:p>
        </w:tc>
        <w:tc>
          <w:tcPr>
            <w:tcW w:w="180" w:type="dxa"/>
            <w:vAlign w:val="bottom"/>
            <w:shd w:val="clear" w:color="auto" w:fill="CCEEFF"/>
          </w:tcPr>
          <w:p>
            <w:pPr>
              <w:spacing w:after="0"/>
              <w:rPr>
                <w:sz w:val="18"/>
                <w:szCs w:val="18"/>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b w:val="1"/>
                <w:bCs w:val="1"/>
                <w:color w:val="auto"/>
              </w:rPr>
              <w:t>161,750</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154,284</w:t>
            </w:r>
          </w:p>
        </w:tc>
        <w:tc>
          <w:tcPr>
            <w:tcW w:w="0" w:type="dxa"/>
            <w:vAlign w:val="bottom"/>
          </w:tcPr>
          <w:p>
            <w:pPr>
              <w:spacing w:after="0"/>
              <w:rPr>
                <w:sz w:val="1"/>
                <w:szCs w:val="1"/>
                <w:color w:val="auto"/>
              </w:rPr>
            </w:pPr>
          </w:p>
        </w:tc>
      </w:tr>
      <w:tr>
        <w:trPr>
          <w:trHeight w:val="214"/>
        </w:trPr>
        <w:tc>
          <w:tcPr>
            <w:tcW w:w="8000" w:type="dxa"/>
            <w:vAlign w:val="bottom"/>
          </w:tcPr>
          <w:p>
            <w:pPr>
              <w:ind w:left="20"/>
              <w:spacing w:after="0"/>
              <w:rPr>
                <w:sz w:val="20"/>
                <w:szCs w:val="20"/>
                <w:color w:val="auto"/>
              </w:rPr>
            </w:pPr>
            <w:r>
              <w:rPr>
                <w:rFonts w:ascii="Times New Roman" w:cs="Times New Roman" w:eastAsia="Times New Roman" w:hAnsi="Times New Roman"/>
                <w:sz w:val="16"/>
                <w:szCs w:val="16"/>
                <w:color w:val="auto"/>
              </w:rPr>
              <w:t>Software development costs and licenses, net of current portion</w:t>
            </w:r>
          </w:p>
        </w:tc>
        <w:tc>
          <w:tcPr>
            <w:tcW w:w="180" w:type="dxa"/>
            <w:vAlign w:val="bottom"/>
          </w:tcPr>
          <w:p>
            <w:pPr>
              <w:spacing w:after="0"/>
              <w:rPr>
                <w:sz w:val="18"/>
                <w:szCs w:val="18"/>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436,702</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401,778</w:t>
            </w:r>
          </w:p>
        </w:tc>
        <w:tc>
          <w:tcPr>
            <w:tcW w:w="0" w:type="dxa"/>
            <w:vAlign w:val="bottom"/>
          </w:tcPr>
          <w:p>
            <w:pPr>
              <w:spacing w:after="0"/>
              <w:rPr>
                <w:sz w:val="1"/>
                <w:szCs w:val="1"/>
                <w:color w:val="auto"/>
              </w:rPr>
            </w:pPr>
          </w:p>
        </w:tc>
      </w:tr>
      <w:tr>
        <w:trPr>
          <w:trHeight w:val="218"/>
        </w:trPr>
        <w:tc>
          <w:tcPr>
            <w:tcW w:w="80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Goodwill</w:t>
            </w:r>
          </w:p>
        </w:tc>
        <w:tc>
          <w:tcPr>
            <w:tcW w:w="180" w:type="dxa"/>
            <w:vAlign w:val="bottom"/>
            <w:shd w:val="clear" w:color="auto" w:fill="CCEEFF"/>
          </w:tcPr>
          <w:p>
            <w:pPr>
              <w:spacing w:after="0"/>
              <w:rPr>
                <w:sz w:val="18"/>
                <w:szCs w:val="18"/>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b w:val="1"/>
                <w:bCs w:val="1"/>
                <w:color w:val="auto"/>
              </w:rPr>
              <w:t>534,535</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386,494</w:t>
            </w:r>
          </w:p>
        </w:tc>
        <w:tc>
          <w:tcPr>
            <w:tcW w:w="0" w:type="dxa"/>
            <w:vAlign w:val="bottom"/>
          </w:tcPr>
          <w:p>
            <w:pPr>
              <w:spacing w:after="0"/>
              <w:rPr>
                <w:sz w:val="1"/>
                <w:szCs w:val="1"/>
                <w:color w:val="auto"/>
              </w:rPr>
            </w:pPr>
          </w:p>
        </w:tc>
      </w:tr>
      <w:tr>
        <w:trPr>
          <w:trHeight w:val="214"/>
        </w:trPr>
        <w:tc>
          <w:tcPr>
            <w:tcW w:w="8000" w:type="dxa"/>
            <w:vAlign w:val="bottom"/>
          </w:tcPr>
          <w:p>
            <w:pPr>
              <w:ind w:left="20"/>
              <w:spacing w:after="0"/>
              <w:rPr>
                <w:sz w:val="20"/>
                <w:szCs w:val="20"/>
                <w:color w:val="auto"/>
              </w:rPr>
            </w:pPr>
            <w:r>
              <w:rPr>
                <w:rFonts w:ascii="Times New Roman" w:cs="Times New Roman" w:eastAsia="Times New Roman" w:hAnsi="Times New Roman"/>
                <w:sz w:val="16"/>
                <w:szCs w:val="16"/>
                <w:color w:val="auto"/>
              </w:rPr>
              <w:t>Other intangibles, net</w:t>
            </w:r>
          </w:p>
        </w:tc>
        <w:tc>
          <w:tcPr>
            <w:tcW w:w="180" w:type="dxa"/>
            <w:vAlign w:val="bottom"/>
          </w:tcPr>
          <w:p>
            <w:pPr>
              <w:spacing w:after="0"/>
              <w:rPr>
                <w:sz w:val="18"/>
                <w:szCs w:val="18"/>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117,618</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51,260</w:t>
            </w:r>
          </w:p>
        </w:tc>
        <w:tc>
          <w:tcPr>
            <w:tcW w:w="0" w:type="dxa"/>
            <w:vAlign w:val="bottom"/>
          </w:tcPr>
          <w:p>
            <w:pPr>
              <w:spacing w:after="0"/>
              <w:rPr>
                <w:sz w:val="1"/>
                <w:szCs w:val="1"/>
                <w:color w:val="auto"/>
              </w:rPr>
            </w:pPr>
          </w:p>
        </w:tc>
      </w:tr>
      <w:tr>
        <w:trPr>
          <w:trHeight w:val="218"/>
        </w:trPr>
        <w:tc>
          <w:tcPr>
            <w:tcW w:w="80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Deferred tax assets</w:t>
            </w:r>
          </w:p>
        </w:tc>
        <w:tc>
          <w:tcPr>
            <w:tcW w:w="180" w:type="dxa"/>
            <w:vAlign w:val="bottom"/>
            <w:shd w:val="clear" w:color="auto" w:fill="CCEEFF"/>
          </w:tcPr>
          <w:p>
            <w:pPr>
              <w:spacing w:after="0"/>
              <w:rPr>
                <w:sz w:val="18"/>
                <w:szCs w:val="18"/>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b w:val="1"/>
                <w:bCs w:val="1"/>
                <w:color w:val="auto"/>
              </w:rPr>
              <w:t>127,312</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116,676</w:t>
            </w:r>
          </w:p>
        </w:tc>
        <w:tc>
          <w:tcPr>
            <w:tcW w:w="0" w:type="dxa"/>
            <w:vAlign w:val="bottom"/>
          </w:tcPr>
          <w:p>
            <w:pPr>
              <w:spacing w:after="0"/>
              <w:rPr>
                <w:sz w:val="1"/>
                <w:szCs w:val="1"/>
                <w:color w:val="auto"/>
              </w:rPr>
            </w:pPr>
          </w:p>
        </w:tc>
      </w:tr>
      <w:tr>
        <w:trPr>
          <w:trHeight w:val="214"/>
        </w:trPr>
        <w:tc>
          <w:tcPr>
            <w:tcW w:w="8000" w:type="dxa"/>
            <w:vAlign w:val="bottom"/>
          </w:tcPr>
          <w:p>
            <w:pPr>
              <w:ind w:left="20"/>
              <w:spacing w:after="0"/>
              <w:rPr>
                <w:sz w:val="20"/>
                <w:szCs w:val="20"/>
                <w:color w:val="auto"/>
              </w:rPr>
            </w:pPr>
            <w:r>
              <w:rPr>
                <w:rFonts w:ascii="Times New Roman" w:cs="Times New Roman" w:eastAsia="Times New Roman" w:hAnsi="Times New Roman"/>
                <w:sz w:val="16"/>
                <w:szCs w:val="16"/>
                <w:color w:val="auto"/>
              </w:rPr>
              <w:t>Long-term restricted cash and cash equivalents</w:t>
            </w:r>
          </w:p>
        </w:tc>
        <w:tc>
          <w:tcPr>
            <w:tcW w:w="180" w:type="dxa"/>
            <w:vAlign w:val="bottom"/>
          </w:tcPr>
          <w:p>
            <w:pPr>
              <w:spacing w:after="0"/>
              <w:rPr>
                <w:sz w:val="18"/>
                <w:szCs w:val="18"/>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98,538</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89,124</w:t>
            </w:r>
          </w:p>
        </w:tc>
        <w:tc>
          <w:tcPr>
            <w:tcW w:w="0" w:type="dxa"/>
            <w:vAlign w:val="bottom"/>
          </w:tcPr>
          <w:p>
            <w:pPr>
              <w:spacing w:after="0"/>
              <w:rPr>
                <w:sz w:val="1"/>
                <w:szCs w:val="1"/>
                <w:color w:val="auto"/>
              </w:rPr>
            </w:pPr>
          </w:p>
        </w:tc>
      </w:tr>
      <w:tr>
        <w:trPr>
          <w:trHeight w:val="216"/>
        </w:trPr>
        <w:tc>
          <w:tcPr>
            <w:tcW w:w="80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Other assets</w:t>
            </w:r>
          </w:p>
        </w:tc>
        <w:tc>
          <w:tcPr>
            <w:tcW w:w="180" w:type="dxa"/>
            <w:vAlign w:val="bottom"/>
            <w:tcBorders>
              <w:bottom w:val="single" w:sz="8" w:color="auto"/>
            </w:tcBorders>
            <w:shd w:val="clear" w:color="auto" w:fill="CCEEFF"/>
          </w:tcPr>
          <w:p>
            <w:pPr>
              <w:spacing w:after="0"/>
              <w:rPr>
                <w:sz w:val="18"/>
                <w:szCs w:val="18"/>
                <w:color w:val="auto"/>
              </w:rPr>
            </w:pPr>
          </w:p>
        </w:tc>
        <w:tc>
          <w:tcPr>
            <w:tcW w:w="15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b w:val="1"/>
                <w:bCs w:val="1"/>
                <w:color w:val="auto"/>
              </w:rPr>
              <w:t>194,428</w:t>
            </w:r>
          </w:p>
        </w:tc>
        <w:tc>
          <w:tcPr>
            <w:tcW w:w="12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12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123,977</w:t>
            </w:r>
          </w:p>
        </w:tc>
        <w:tc>
          <w:tcPr>
            <w:tcW w:w="0" w:type="dxa"/>
            <w:vAlign w:val="bottom"/>
          </w:tcPr>
          <w:p>
            <w:pPr>
              <w:spacing w:after="0"/>
              <w:rPr>
                <w:sz w:val="1"/>
                <w:szCs w:val="1"/>
                <w:color w:val="auto"/>
              </w:rPr>
            </w:pPr>
          </w:p>
        </w:tc>
      </w:tr>
      <w:tr>
        <w:trPr>
          <w:trHeight w:val="211"/>
        </w:trPr>
        <w:tc>
          <w:tcPr>
            <w:tcW w:w="8000" w:type="dxa"/>
            <w:vAlign w:val="bottom"/>
          </w:tcPr>
          <w:p>
            <w:pPr>
              <w:ind w:left="480"/>
              <w:spacing w:after="0"/>
              <w:rPr>
                <w:sz w:val="20"/>
                <w:szCs w:val="20"/>
                <w:color w:val="auto"/>
              </w:rPr>
            </w:pPr>
            <w:r>
              <w:rPr>
                <w:rFonts w:ascii="Times New Roman" w:cs="Times New Roman" w:eastAsia="Times New Roman" w:hAnsi="Times New Roman"/>
                <w:sz w:val="16"/>
                <w:szCs w:val="16"/>
                <w:color w:val="auto"/>
              </w:rPr>
              <w:t>Total assets</w:t>
            </w:r>
          </w:p>
        </w:tc>
        <w:tc>
          <w:tcPr>
            <w:tcW w:w="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w w:val="99"/>
              </w:rPr>
              <w:t>$</w:t>
            </w:r>
          </w:p>
        </w:tc>
        <w:tc>
          <w:tcPr>
            <w:tcW w:w="15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5,966,099</w:t>
            </w:r>
          </w:p>
        </w:tc>
        <w:tc>
          <w:tcPr>
            <w:tcW w:w="120" w:type="dxa"/>
            <w:vAlign w:val="bottom"/>
          </w:tcPr>
          <w:p>
            <w:pPr>
              <w:spacing w:after="0"/>
              <w:rPr>
                <w:sz w:val="18"/>
                <w:szCs w:val="18"/>
                <w:color w:val="auto"/>
              </w:rPr>
            </w:pPr>
          </w:p>
        </w:tc>
        <w:tc>
          <w:tcPr>
            <w:tcW w:w="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12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4,948,832</w:t>
            </w:r>
          </w:p>
        </w:tc>
        <w:tc>
          <w:tcPr>
            <w:tcW w:w="0" w:type="dxa"/>
            <w:vAlign w:val="bottom"/>
          </w:tcPr>
          <w:p>
            <w:pPr>
              <w:spacing w:after="0"/>
              <w:rPr>
                <w:sz w:val="1"/>
                <w:szCs w:val="1"/>
                <w:color w:val="auto"/>
              </w:rPr>
            </w:pPr>
          </w:p>
        </w:tc>
      </w:tr>
      <w:tr>
        <w:trPr>
          <w:trHeight w:val="20"/>
        </w:trPr>
        <w:tc>
          <w:tcPr>
            <w:tcW w:w="800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8000" w:type="dxa"/>
            <w:vAlign w:val="bottom"/>
            <w:shd w:val="clear" w:color="auto" w:fill="CCEEFF"/>
          </w:tcPr>
          <w:p>
            <w:pPr>
              <w:ind w:left="2240"/>
              <w:spacing w:after="0"/>
              <w:rPr>
                <w:sz w:val="20"/>
                <w:szCs w:val="20"/>
                <w:color w:val="auto"/>
              </w:rPr>
            </w:pPr>
            <w:r>
              <w:rPr>
                <w:rFonts w:ascii="Times New Roman" w:cs="Times New Roman" w:eastAsia="Times New Roman" w:hAnsi="Times New Roman"/>
                <w:sz w:val="16"/>
                <w:szCs w:val="16"/>
                <w:b w:val="1"/>
                <w:bCs w:val="1"/>
                <w:color w:val="auto"/>
              </w:rPr>
              <w:t>LIABILITIES AND STOCKHOLDERS' EQUITY</w:t>
            </w:r>
          </w:p>
        </w:tc>
        <w:tc>
          <w:tcPr>
            <w:tcW w:w="180" w:type="dxa"/>
            <w:vAlign w:val="bottom"/>
            <w:shd w:val="clear" w:color="auto" w:fill="CCEEFF"/>
          </w:tcPr>
          <w:p>
            <w:pPr>
              <w:spacing w:after="0"/>
              <w:rPr>
                <w:sz w:val="18"/>
                <w:szCs w:val="18"/>
                <w:color w:val="auto"/>
              </w:rPr>
            </w:pPr>
          </w:p>
        </w:tc>
        <w:tc>
          <w:tcPr>
            <w:tcW w:w="15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8000" w:type="dxa"/>
            <w:vAlign w:val="bottom"/>
          </w:tcPr>
          <w:p>
            <w:pPr>
              <w:ind w:left="20"/>
              <w:spacing w:after="0"/>
              <w:rPr>
                <w:sz w:val="20"/>
                <w:szCs w:val="20"/>
                <w:color w:val="auto"/>
              </w:rPr>
            </w:pPr>
            <w:r>
              <w:rPr>
                <w:rFonts w:ascii="Times New Roman" w:cs="Times New Roman" w:eastAsia="Times New Roman" w:hAnsi="Times New Roman"/>
                <w:sz w:val="16"/>
                <w:szCs w:val="16"/>
                <w:color w:val="auto"/>
              </w:rPr>
              <w:t>Current liabilities:</w:t>
            </w:r>
          </w:p>
        </w:tc>
        <w:tc>
          <w:tcPr>
            <w:tcW w:w="18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800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6"/>
                <w:szCs w:val="16"/>
                <w:color w:val="auto"/>
              </w:rPr>
              <w:t>Accounts payable</w:t>
            </w:r>
          </w:p>
        </w:tc>
        <w:tc>
          <w:tcPr>
            <w:tcW w:w="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b w:val="1"/>
                <w:bCs w:val="1"/>
                <w:color w:val="auto"/>
                <w:w w:val="99"/>
              </w:rPr>
              <w:t>$</w:t>
            </w: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b w:val="1"/>
                <w:bCs w:val="1"/>
                <w:color w:val="auto"/>
              </w:rPr>
              <w:t>100,159</w:t>
            </w: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12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65,684</w:t>
            </w:r>
          </w:p>
        </w:tc>
        <w:tc>
          <w:tcPr>
            <w:tcW w:w="0" w:type="dxa"/>
            <w:vAlign w:val="bottom"/>
          </w:tcPr>
          <w:p>
            <w:pPr>
              <w:spacing w:after="0"/>
              <w:rPr>
                <w:sz w:val="1"/>
                <w:szCs w:val="1"/>
                <w:color w:val="auto"/>
              </w:rPr>
            </w:pPr>
          </w:p>
        </w:tc>
      </w:tr>
      <w:tr>
        <w:trPr>
          <w:trHeight w:val="214"/>
        </w:trPr>
        <w:tc>
          <w:tcPr>
            <w:tcW w:w="8000" w:type="dxa"/>
            <w:vAlign w:val="bottom"/>
          </w:tcPr>
          <w:p>
            <w:pPr>
              <w:ind w:left="140"/>
              <w:spacing w:after="0"/>
              <w:rPr>
                <w:sz w:val="20"/>
                <w:szCs w:val="20"/>
                <w:color w:val="auto"/>
              </w:rPr>
            </w:pPr>
            <w:r>
              <w:rPr>
                <w:rFonts w:ascii="Times New Roman" w:cs="Times New Roman" w:eastAsia="Times New Roman" w:hAnsi="Times New Roman"/>
                <w:sz w:val="16"/>
                <w:szCs w:val="16"/>
                <w:color w:val="auto"/>
              </w:rPr>
              <w:t>Accrued expenses and other current liabilities</w:t>
            </w:r>
          </w:p>
        </w:tc>
        <w:tc>
          <w:tcPr>
            <w:tcW w:w="180" w:type="dxa"/>
            <w:vAlign w:val="bottom"/>
          </w:tcPr>
          <w:p>
            <w:pPr>
              <w:spacing w:after="0"/>
              <w:rPr>
                <w:sz w:val="18"/>
                <w:szCs w:val="18"/>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1,219,614</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1,169,884</w:t>
            </w:r>
          </w:p>
        </w:tc>
        <w:tc>
          <w:tcPr>
            <w:tcW w:w="0" w:type="dxa"/>
            <w:vAlign w:val="bottom"/>
          </w:tcPr>
          <w:p>
            <w:pPr>
              <w:spacing w:after="0"/>
              <w:rPr>
                <w:sz w:val="1"/>
                <w:szCs w:val="1"/>
                <w:color w:val="auto"/>
              </w:rPr>
            </w:pPr>
          </w:p>
        </w:tc>
      </w:tr>
      <w:tr>
        <w:trPr>
          <w:trHeight w:val="218"/>
        </w:trPr>
        <w:tc>
          <w:tcPr>
            <w:tcW w:w="800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6"/>
                <w:szCs w:val="16"/>
                <w:color w:val="auto"/>
              </w:rPr>
              <w:t>Deferred revenue</w:t>
            </w:r>
          </w:p>
        </w:tc>
        <w:tc>
          <w:tcPr>
            <w:tcW w:w="180" w:type="dxa"/>
            <w:vAlign w:val="bottom"/>
            <w:shd w:val="clear" w:color="auto" w:fill="CCEEFF"/>
          </w:tcPr>
          <w:p>
            <w:pPr>
              <w:spacing w:after="0"/>
              <w:rPr>
                <w:sz w:val="18"/>
                <w:szCs w:val="18"/>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b w:val="1"/>
                <w:bCs w:val="1"/>
                <w:color w:val="auto"/>
              </w:rPr>
              <w:t>991,476</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777,784</w:t>
            </w:r>
          </w:p>
        </w:tc>
        <w:tc>
          <w:tcPr>
            <w:tcW w:w="0" w:type="dxa"/>
            <w:vAlign w:val="bottom"/>
          </w:tcPr>
          <w:p>
            <w:pPr>
              <w:spacing w:after="0"/>
              <w:rPr>
                <w:sz w:val="1"/>
                <w:szCs w:val="1"/>
                <w:color w:val="auto"/>
              </w:rPr>
            </w:pPr>
          </w:p>
        </w:tc>
      </w:tr>
      <w:tr>
        <w:trPr>
          <w:trHeight w:val="214"/>
        </w:trPr>
        <w:tc>
          <w:tcPr>
            <w:tcW w:w="8000" w:type="dxa"/>
            <w:vAlign w:val="bottom"/>
            <w:tcBorders>
              <w:bottom w:val="single" w:sz="8" w:color="CCEEFF"/>
            </w:tcBorders>
          </w:tcPr>
          <w:p>
            <w:pPr>
              <w:ind w:left="140"/>
              <w:spacing w:after="0"/>
              <w:rPr>
                <w:sz w:val="20"/>
                <w:szCs w:val="20"/>
                <w:color w:val="auto"/>
              </w:rPr>
            </w:pPr>
            <w:r>
              <w:rPr>
                <w:rFonts w:ascii="Times New Roman" w:cs="Times New Roman" w:eastAsia="Times New Roman" w:hAnsi="Times New Roman"/>
                <w:sz w:val="16"/>
                <w:szCs w:val="16"/>
                <w:color w:val="auto"/>
              </w:rPr>
              <w:t>Lease liabilities</w:t>
            </w:r>
          </w:p>
        </w:tc>
        <w:tc>
          <w:tcPr>
            <w:tcW w:w="180" w:type="dxa"/>
            <w:vAlign w:val="bottom"/>
            <w:tcBorders>
              <w:bottom w:val="single" w:sz="8" w:color="auto"/>
            </w:tcBorders>
          </w:tcPr>
          <w:p>
            <w:pPr>
              <w:spacing w:after="0"/>
              <w:rPr>
                <w:sz w:val="18"/>
                <w:szCs w:val="18"/>
                <w:color w:val="auto"/>
              </w:rPr>
            </w:pPr>
          </w:p>
        </w:tc>
        <w:tc>
          <w:tcPr>
            <w:tcW w:w="15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30,540</w:t>
            </w:r>
          </w:p>
        </w:tc>
        <w:tc>
          <w:tcPr>
            <w:tcW w:w="12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2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25,187</w:t>
            </w:r>
          </w:p>
        </w:tc>
        <w:tc>
          <w:tcPr>
            <w:tcW w:w="0" w:type="dxa"/>
            <w:vAlign w:val="bottom"/>
          </w:tcPr>
          <w:p>
            <w:pPr>
              <w:spacing w:after="0"/>
              <w:rPr>
                <w:sz w:val="1"/>
                <w:szCs w:val="1"/>
                <w:color w:val="auto"/>
              </w:rPr>
            </w:pPr>
          </w:p>
        </w:tc>
      </w:tr>
      <w:tr>
        <w:trPr>
          <w:trHeight w:val="211"/>
        </w:trPr>
        <w:tc>
          <w:tcPr>
            <w:tcW w:w="8000" w:type="dxa"/>
            <w:vAlign w:val="bottom"/>
            <w:shd w:val="clear" w:color="auto" w:fill="CCEEFF"/>
          </w:tcPr>
          <w:p>
            <w:pPr>
              <w:ind w:left="480"/>
              <w:spacing w:after="0"/>
              <w:rPr>
                <w:sz w:val="20"/>
                <w:szCs w:val="20"/>
                <w:color w:val="auto"/>
              </w:rPr>
            </w:pPr>
            <w:r>
              <w:rPr>
                <w:rFonts w:ascii="Times New Roman" w:cs="Times New Roman" w:eastAsia="Times New Roman" w:hAnsi="Times New Roman"/>
                <w:sz w:val="16"/>
                <w:szCs w:val="16"/>
                <w:color w:val="auto"/>
              </w:rPr>
              <w:t>Total current liabilities</w:t>
            </w:r>
          </w:p>
        </w:tc>
        <w:tc>
          <w:tcPr>
            <w:tcW w:w="180" w:type="dxa"/>
            <w:vAlign w:val="bottom"/>
            <w:shd w:val="clear" w:color="auto" w:fill="CCEEFF"/>
          </w:tcPr>
          <w:p>
            <w:pPr>
              <w:spacing w:after="0"/>
              <w:rPr>
                <w:sz w:val="18"/>
                <w:szCs w:val="18"/>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b w:val="1"/>
                <w:bCs w:val="1"/>
                <w:color w:val="auto"/>
              </w:rPr>
              <w:t>2,341,789</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2,038,539</w:t>
            </w:r>
          </w:p>
        </w:tc>
        <w:tc>
          <w:tcPr>
            <w:tcW w:w="0" w:type="dxa"/>
            <w:vAlign w:val="bottom"/>
          </w:tcPr>
          <w:p>
            <w:pPr>
              <w:spacing w:after="0"/>
              <w:rPr>
                <w:sz w:val="1"/>
                <w:szCs w:val="1"/>
                <w:color w:val="auto"/>
              </w:rPr>
            </w:pPr>
          </w:p>
        </w:tc>
      </w:tr>
      <w:tr>
        <w:trPr>
          <w:trHeight w:val="214"/>
        </w:trPr>
        <w:tc>
          <w:tcPr>
            <w:tcW w:w="8000" w:type="dxa"/>
            <w:vAlign w:val="bottom"/>
          </w:tcPr>
          <w:p>
            <w:pPr>
              <w:ind w:left="20"/>
              <w:spacing w:after="0"/>
              <w:rPr>
                <w:sz w:val="20"/>
                <w:szCs w:val="20"/>
                <w:color w:val="auto"/>
              </w:rPr>
            </w:pPr>
            <w:r>
              <w:rPr>
                <w:rFonts w:ascii="Times New Roman" w:cs="Times New Roman" w:eastAsia="Times New Roman" w:hAnsi="Times New Roman"/>
                <w:sz w:val="16"/>
                <w:szCs w:val="16"/>
                <w:color w:val="auto"/>
              </w:rPr>
              <w:t>Non-current deferred revenue</w:t>
            </w:r>
          </w:p>
        </w:tc>
        <w:tc>
          <w:tcPr>
            <w:tcW w:w="180" w:type="dxa"/>
            <w:vAlign w:val="bottom"/>
          </w:tcPr>
          <w:p>
            <w:pPr>
              <w:spacing w:after="0"/>
              <w:rPr>
                <w:sz w:val="18"/>
                <w:szCs w:val="18"/>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31,813</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28,339</w:t>
            </w:r>
          </w:p>
        </w:tc>
        <w:tc>
          <w:tcPr>
            <w:tcW w:w="0" w:type="dxa"/>
            <w:vAlign w:val="bottom"/>
          </w:tcPr>
          <w:p>
            <w:pPr>
              <w:spacing w:after="0"/>
              <w:rPr>
                <w:sz w:val="1"/>
                <w:szCs w:val="1"/>
                <w:color w:val="auto"/>
              </w:rPr>
            </w:pPr>
          </w:p>
        </w:tc>
      </w:tr>
      <w:tr>
        <w:trPr>
          <w:trHeight w:val="218"/>
        </w:trPr>
        <w:tc>
          <w:tcPr>
            <w:tcW w:w="80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Non-current lease liabilities</w:t>
            </w:r>
          </w:p>
        </w:tc>
        <w:tc>
          <w:tcPr>
            <w:tcW w:w="180" w:type="dxa"/>
            <w:vAlign w:val="bottom"/>
            <w:shd w:val="clear" w:color="auto" w:fill="CCEEFF"/>
          </w:tcPr>
          <w:p>
            <w:pPr>
              <w:spacing w:after="0"/>
              <w:rPr>
                <w:sz w:val="18"/>
                <w:szCs w:val="18"/>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b w:val="1"/>
                <w:bCs w:val="1"/>
                <w:color w:val="auto"/>
              </w:rPr>
              <w:t>156,835</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152,059</w:t>
            </w:r>
          </w:p>
        </w:tc>
        <w:tc>
          <w:tcPr>
            <w:tcW w:w="0" w:type="dxa"/>
            <w:vAlign w:val="bottom"/>
          </w:tcPr>
          <w:p>
            <w:pPr>
              <w:spacing w:after="0"/>
              <w:rPr>
                <w:sz w:val="1"/>
                <w:szCs w:val="1"/>
                <w:color w:val="auto"/>
              </w:rPr>
            </w:pPr>
          </w:p>
        </w:tc>
      </w:tr>
      <w:tr>
        <w:trPr>
          <w:trHeight w:val="214"/>
        </w:trPr>
        <w:tc>
          <w:tcPr>
            <w:tcW w:w="8000" w:type="dxa"/>
            <w:vAlign w:val="bottom"/>
          </w:tcPr>
          <w:p>
            <w:pPr>
              <w:ind w:left="20"/>
              <w:spacing w:after="0"/>
              <w:rPr>
                <w:sz w:val="20"/>
                <w:szCs w:val="20"/>
                <w:color w:val="auto"/>
              </w:rPr>
            </w:pPr>
            <w:r>
              <w:rPr>
                <w:rFonts w:ascii="Times New Roman" w:cs="Times New Roman" w:eastAsia="Times New Roman" w:hAnsi="Times New Roman"/>
                <w:sz w:val="16"/>
                <w:szCs w:val="16"/>
                <w:color w:val="auto"/>
              </w:rPr>
              <w:t>Non-current software development royalties</w:t>
            </w:r>
          </w:p>
        </w:tc>
        <w:tc>
          <w:tcPr>
            <w:tcW w:w="180" w:type="dxa"/>
            <w:vAlign w:val="bottom"/>
          </w:tcPr>
          <w:p>
            <w:pPr>
              <w:spacing w:after="0"/>
              <w:rPr>
                <w:sz w:val="18"/>
                <w:szCs w:val="18"/>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108,667</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104,417</w:t>
            </w:r>
          </w:p>
        </w:tc>
        <w:tc>
          <w:tcPr>
            <w:tcW w:w="0" w:type="dxa"/>
            <w:vAlign w:val="bottom"/>
          </w:tcPr>
          <w:p>
            <w:pPr>
              <w:spacing w:after="0"/>
              <w:rPr>
                <w:sz w:val="1"/>
                <w:szCs w:val="1"/>
                <w:color w:val="auto"/>
              </w:rPr>
            </w:pPr>
          </w:p>
        </w:tc>
      </w:tr>
      <w:tr>
        <w:trPr>
          <w:trHeight w:val="218"/>
        </w:trPr>
        <w:tc>
          <w:tcPr>
            <w:tcW w:w="80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Other long-term liabilities</w:t>
            </w:r>
          </w:p>
        </w:tc>
        <w:tc>
          <w:tcPr>
            <w:tcW w:w="180" w:type="dxa"/>
            <w:vAlign w:val="bottom"/>
            <w:tcBorders>
              <w:bottom w:val="single" w:sz="8" w:color="auto"/>
            </w:tcBorders>
            <w:shd w:val="clear" w:color="auto" w:fill="CCEEFF"/>
          </w:tcPr>
          <w:p>
            <w:pPr>
              <w:spacing w:after="0"/>
              <w:rPr>
                <w:sz w:val="18"/>
                <w:szCs w:val="18"/>
                <w:color w:val="auto"/>
              </w:rPr>
            </w:pPr>
          </w:p>
        </w:tc>
        <w:tc>
          <w:tcPr>
            <w:tcW w:w="15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b w:val="1"/>
                <w:bCs w:val="1"/>
                <w:color w:val="auto"/>
              </w:rPr>
              <w:t>171,704</w:t>
            </w:r>
          </w:p>
        </w:tc>
        <w:tc>
          <w:tcPr>
            <w:tcW w:w="12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12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86,234</w:t>
            </w:r>
          </w:p>
        </w:tc>
        <w:tc>
          <w:tcPr>
            <w:tcW w:w="0" w:type="dxa"/>
            <w:vAlign w:val="bottom"/>
          </w:tcPr>
          <w:p>
            <w:pPr>
              <w:spacing w:after="0"/>
              <w:rPr>
                <w:sz w:val="1"/>
                <w:szCs w:val="1"/>
                <w:color w:val="auto"/>
              </w:rPr>
            </w:pPr>
          </w:p>
        </w:tc>
      </w:tr>
      <w:tr>
        <w:trPr>
          <w:trHeight w:val="208"/>
        </w:trPr>
        <w:tc>
          <w:tcPr>
            <w:tcW w:w="8000" w:type="dxa"/>
            <w:vAlign w:val="bottom"/>
            <w:tcBorders>
              <w:bottom w:val="single" w:sz="8" w:color="CCEEFF"/>
            </w:tcBorders>
          </w:tcPr>
          <w:p>
            <w:pPr>
              <w:ind w:left="480"/>
              <w:spacing w:after="0"/>
              <w:rPr>
                <w:sz w:val="20"/>
                <w:szCs w:val="20"/>
                <w:color w:val="auto"/>
              </w:rPr>
            </w:pPr>
            <w:r>
              <w:rPr>
                <w:rFonts w:ascii="Times New Roman" w:cs="Times New Roman" w:eastAsia="Times New Roman" w:hAnsi="Times New Roman"/>
                <w:sz w:val="16"/>
                <w:szCs w:val="16"/>
                <w:color w:val="auto"/>
              </w:rPr>
              <w:t>Total liabilities</w:t>
            </w:r>
          </w:p>
        </w:tc>
        <w:tc>
          <w:tcPr>
            <w:tcW w:w="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w w:val="99"/>
              </w:rPr>
              <w:t>$</w:t>
            </w:r>
          </w:p>
        </w:tc>
        <w:tc>
          <w:tcPr>
            <w:tcW w:w="15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2,810,808</w:t>
            </w:r>
          </w:p>
        </w:tc>
        <w:tc>
          <w:tcPr>
            <w:tcW w:w="12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12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2,409,588</w:t>
            </w:r>
          </w:p>
        </w:tc>
        <w:tc>
          <w:tcPr>
            <w:tcW w:w="0" w:type="dxa"/>
            <w:vAlign w:val="bottom"/>
          </w:tcPr>
          <w:p>
            <w:pPr>
              <w:spacing w:after="0"/>
              <w:rPr>
                <w:sz w:val="1"/>
                <w:szCs w:val="1"/>
                <w:color w:val="auto"/>
              </w:rPr>
            </w:pPr>
          </w:p>
        </w:tc>
      </w:tr>
      <w:tr>
        <w:trPr>
          <w:trHeight w:val="198"/>
        </w:trPr>
        <w:tc>
          <w:tcPr>
            <w:tcW w:w="80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Commitments and contingencies (See Note 13)</w:t>
            </w:r>
          </w:p>
        </w:tc>
        <w:tc>
          <w:tcPr>
            <w:tcW w:w="180" w:type="dxa"/>
            <w:vAlign w:val="bottom"/>
            <w:shd w:val="clear" w:color="auto" w:fill="CCEEFF"/>
          </w:tcPr>
          <w:p>
            <w:pPr>
              <w:spacing w:after="0"/>
              <w:rPr>
                <w:sz w:val="17"/>
                <w:szCs w:val="17"/>
                <w:color w:val="auto"/>
              </w:rPr>
            </w:pPr>
          </w:p>
        </w:tc>
        <w:tc>
          <w:tcPr>
            <w:tcW w:w="15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2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3"/>
        </w:trPr>
        <w:tc>
          <w:tcPr>
            <w:tcW w:w="8000" w:type="dxa"/>
            <w:vAlign w:val="bottom"/>
          </w:tcPr>
          <w:p>
            <w:pPr>
              <w:ind w:left="20"/>
              <w:spacing w:after="0"/>
              <w:rPr>
                <w:sz w:val="20"/>
                <w:szCs w:val="20"/>
                <w:color w:val="auto"/>
              </w:rPr>
            </w:pPr>
            <w:r>
              <w:rPr>
                <w:rFonts w:ascii="Times New Roman" w:cs="Times New Roman" w:eastAsia="Times New Roman" w:hAnsi="Times New Roman"/>
                <w:sz w:val="16"/>
                <w:szCs w:val="16"/>
                <w:color w:val="auto"/>
              </w:rPr>
              <w:t>Stockholders' equity:</w:t>
            </w:r>
          </w:p>
        </w:tc>
        <w:tc>
          <w:tcPr>
            <w:tcW w:w="18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65"/>
        </w:trPr>
        <w:tc>
          <w:tcPr>
            <w:tcW w:w="8000" w:type="dxa"/>
            <w:vAlign w:val="bottom"/>
            <w:shd w:val="clear" w:color="auto" w:fill="CCEEFF"/>
          </w:tcPr>
          <w:p>
            <w:pPr>
              <w:ind w:left="140"/>
              <w:spacing w:after="0" w:line="165" w:lineRule="exact"/>
              <w:rPr>
                <w:sz w:val="20"/>
                <w:szCs w:val="20"/>
                <w:color w:val="auto"/>
              </w:rPr>
            </w:pPr>
            <w:r>
              <w:rPr>
                <w:rFonts w:ascii="Times New Roman" w:cs="Times New Roman" w:eastAsia="Times New Roman" w:hAnsi="Times New Roman"/>
                <w:sz w:val="16"/>
                <w:szCs w:val="16"/>
                <w:color w:val="auto"/>
              </w:rPr>
              <w:t>Preferred stock, $.01 par value, 5,000 shares authorized; no shares issued and outstanding at December 31, 2020 and</w:t>
            </w:r>
          </w:p>
        </w:tc>
        <w:tc>
          <w:tcPr>
            <w:tcW w:w="180" w:type="dxa"/>
            <w:vAlign w:val="bottom"/>
            <w:shd w:val="clear" w:color="auto" w:fill="CCEEFF"/>
          </w:tcPr>
          <w:p>
            <w:pPr>
              <w:spacing w:after="0"/>
              <w:rPr>
                <w:sz w:val="14"/>
                <w:szCs w:val="14"/>
                <w:color w:val="auto"/>
              </w:rPr>
            </w:pPr>
          </w:p>
        </w:tc>
        <w:tc>
          <w:tcPr>
            <w:tcW w:w="1660" w:type="dxa"/>
            <w:vAlign w:val="bottom"/>
            <w:gridSpan w:val="2"/>
            <w:vMerge w:val="restart"/>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b w:val="1"/>
                <w:bCs w:val="1"/>
                <w:color w:val="auto"/>
              </w:rPr>
              <w:t>—</w:t>
            </w:r>
          </w:p>
        </w:tc>
        <w:tc>
          <w:tcPr>
            <w:tcW w:w="140" w:type="dxa"/>
            <w:vAlign w:val="bottom"/>
            <w:shd w:val="clear" w:color="auto" w:fill="CCEEFF"/>
          </w:tcPr>
          <w:p>
            <w:pPr>
              <w:spacing w:after="0"/>
              <w:rPr>
                <w:sz w:val="14"/>
                <w:szCs w:val="14"/>
                <w:color w:val="auto"/>
              </w:rPr>
            </w:pPr>
          </w:p>
        </w:tc>
        <w:tc>
          <w:tcPr>
            <w:tcW w:w="126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216"/>
        </w:trPr>
        <w:tc>
          <w:tcPr>
            <w:tcW w:w="800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6"/>
                <w:szCs w:val="16"/>
                <w:color w:val="auto"/>
              </w:rPr>
              <w:t>March 31, 2020</w:t>
            </w:r>
          </w:p>
        </w:tc>
        <w:tc>
          <w:tcPr>
            <w:tcW w:w="180" w:type="dxa"/>
            <w:vAlign w:val="bottom"/>
            <w:shd w:val="clear" w:color="auto" w:fill="CCEEFF"/>
          </w:tcPr>
          <w:p>
            <w:pPr>
              <w:spacing w:after="0"/>
              <w:rPr>
                <w:sz w:val="18"/>
                <w:szCs w:val="18"/>
                <w:color w:val="auto"/>
              </w:rPr>
            </w:pPr>
          </w:p>
        </w:tc>
        <w:tc>
          <w:tcPr>
            <w:tcW w:w="1660" w:type="dxa"/>
            <w:vAlign w:val="bottom"/>
            <w:gridSpan w:val="2"/>
            <w:vMerge w:val="continue"/>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60" w:type="dxa"/>
            <w:vAlign w:val="bottom"/>
            <w:vMerge w:val="continue"/>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62"/>
        </w:trPr>
        <w:tc>
          <w:tcPr>
            <w:tcW w:w="8000" w:type="dxa"/>
            <w:vAlign w:val="bottom"/>
          </w:tcPr>
          <w:p>
            <w:pPr>
              <w:ind w:left="140"/>
              <w:spacing w:after="0" w:line="162" w:lineRule="exact"/>
              <w:rPr>
                <w:sz w:val="20"/>
                <w:szCs w:val="20"/>
                <w:color w:val="auto"/>
              </w:rPr>
            </w:pPr>
            <w:r>
              <w:rPr>
                <w:rFonts w:ascii="Times New Roman" w:cs="Times New Roman" w:eastAsia="Times New Roman" w:hAnsi="Times New Roman"/>
                <w:sz w:val="16"/>
                <w:szCs w:val="16"/>
                <w:color w:val="auto"/>
              </w:rPr>
              <w:t>Common stock, $.01 par value, 200,000 shares authorized; 137,504 and 135,927 shares issued and 115,083 and 113,506</w:t>
            </w:r>
          </w:p>
        </w:tc>
        <w:tc>
          <w:tcPr>
            <w:tcW w:w="180" w:type="dxa"/>
            <w:vAlign w:val="bottom"/>
          </w:tcPr>
          <w:p>
            <w:pPr>
              <w:spacing w:after="0"/>
              <w:rPr>
                <w:sz w:val="14"/>
                <w:szCs w:val="14"/>
                <w:color w:val="auto"/>
              </w:rPr>
            </w:pPr>
          </w:p>
        </w:tc>
        <w:tc>
          <w:tcPr>
            <w:tcW w:w="154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1,375</w:t>
            </w: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6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1,359</w:t>
            </w:r>
          </w:p>
        </w:tc>
        <w:tc>
          <w:tcPr>
            <w:tcW w:w="0" w:type="dxa"/>
            <w:vAlign w:val="bottom"/>
          </w:tcPr>
          <w:p>
            <w:pPr>
              <w:spacing w:after="0"/>
              <w:rPr>
                <w:sz w:val="1"/>
                <w:szCs w:val="1"/>
                <w:color w:val="auto"/>
              </w:rPr>
            </w:pPr>
          </w:p>
        </w:tc>
      </w:tr>
      <w:tr>
        <w:trPr>
          <w:trHeight w:val="213"/>
        </w:trPr>
        <w:tc>
          <w:tcPr>
            <w:tcW w:w="8000" w:type="dxa"/>
            <w:vAlign w:val="bottom"/>
          </w:tcPr>
          <w:p>
            <w:pPr>
              <w:ind w:left="140"/>
              <w:spacing w:after="0"/>
              <w:rPr>
                <w:sz w:val="20"/>
                <w:szCs w:val="20"/>
                <w:color w:val="auto"/>
              </w:rPr>
            </w:pPr>
            <w:r>
              <w:rPr>
                <w:rFonts w:ascii="Times New Roman" w:cs="Times New Roman" w:eastAsia="Times New Roman" w:hAnsi="Times New Roman"/>
                <w:sz w:val="16"/>
                <w:szCs w:val="16"/>
                <w:color w:val="auto"/>
              </w:rPr>
              <w:t>outstanding at December 31, 2020 and March 31, 2020, respectively</w:t>
            </w:r>
          </w:p>
        </w:tc>
        <w:tc>
          <w:tcPr>
            <w:tcW w:w="180" w:type="dxa"/>
            <w:vAlign w:val="bottom"/>
          </w:tcPr>
          <w:p>
            <w:pPr>
              <w:spacing w:after="0"/>
              <w:rPr>
                <w:sz w:val="18"/>
                <w:szCs w:val="18"/>
                <w:color w:val="auto"/>
              </w:rPr>
            </w:pPr>
          </w:p>
        </w:tc>
        <w:tc>
          <w:tcPr>
            <w:tcW w:w="1540" w:type="dxa"/>
            <w:vAlign w:val="bottom"/>
            <w:vMerge w:val="continue"/>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6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800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6"/>
                <w:szCs w:val="16"/>
                <w:color w:val="auto"/>
              </w:rPr>
              <w:t>Additional paid-in capital</w:t>
            </w:r>
          </w:p>
        </w:tc>
        <w:tc>
          <w:tcPr>
            <w:tcW w:w="180" w:type="dxa"/>
            <w:vAlign w:val="bottom"/>
            <w:shd w:val="clear" w:color="auto" w:fill="CCEEFF"/>
          </w:tcPr>
          <w:p>
            <w:pPr>
              <w:spacing w:after="0"/>
              <w:rPr>
                <w:sz w:val="19"/>
                <w:szCs w:val="19"/>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b w:val="1"/>
                <w:bCs w:val="1"/>
                <w:color w:val="auto"/>
              </w:rPr>
              <w:t>2,327,913</w:t>
            </w: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2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2,134,748</w:t>
            </w:r>
          </w:p>
        </w:tc>
        <w:tc>
          <w:tcPr>
            <w:tcW w:w="0" w:type="dxa"/>
            <w:vAlign w:val="bottom"/>
          </w:tcPr>
          <w:p>
            <w:pPr>
              <w:spacing w:after="0"/>
              <w:rPr>
                <w:sz w:val="1"/>
                <w:szCs w:val="1"/>
                <w:color w:val="auto"/>
              </w:rPr>
            </w:pPr>
          </w:p>
        </w:tc>
      </w:tr>
      <w:tr>
        <w:trPr>
          <w:trHeight w:val="214"/>
        </w:trPr>
        <w:tc>
          <w:tcPr>
            <w:tcW w:w="8000" w:type="dxa"/>
            <w:vAlign w:val="bottom"/>
          </w:tcPr>
          <w:p>
            <w:pPr>
              <w:ind w:left="140"/>
              <w:spacing w:after="0"/>
              <w:rPr>
                <w:sz w:val="20"/>
                <w:szCs w:val="20"/>
                <w:color w:val="auto"/>
              </w:rPr>
            </w:pPr>
            <w:r>
              <w:rPr>
                <w:rFonts w:ascii="Times New Roman" w:cs="Times New Roman" w:eastAsia="Times New Roman" w:hAnsi="Times New Roman"/>
                <w:sz w:val="16"/>
                <w:szCs w:val="16"/>
                <w:color w:val="auto"/>
              </w:rPr>
              <w:t>Treasury stock, at cost; 22,421 common shares at December 31, 2020 and March 31, 2020</w:t>
            </w:r>
          </w:p>
        </w:tc>
        <w:tc>
          <w:tcPr>
            <w:tcW w:w="180" w:type="dxa"/>
            <w:vAlign w:val="bottom"/>
          </w:tcPr>
          <w:p>
            <w:pPr>
              <w:spacing w:after="0"/>
              <w:rPr>
                <w:sz w:val="18"/>
                <w:szCs w:val="18"/>
                <w:color w:val="auto"/>
              </w:rPr>
            </w:pPr>
          </w:p>
        </w:tc>
        <w:tc>
          <w:tcPr>
            <w:tcW w:w="15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(820,572)</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(820,572)</w:t>
            </w:r>
          </w:p>
        </w:tc>
        <w:tc>
          <w:tcPr>
            <w:tcW w:w="0" w:type="dxa"/>
            <w:vAlign w:val="bottom"/>
          </w:tcPr>
          <w:p>
            <w:pPr>
              <w:spacing w:after="0"/>
              <w:rPr>
                <w:sz w:val="1"/>
                <w:szCs w:val="1"/>
                <w:color w:val="auto"/>
              </w:rPr>
            </w:pPr>
          </w:p>
        </w:tc>
      </w:tr>
      <w:tr>
        <w:trPr>
          <w:trHeight w:val="218"/>
        </w:trPr>
        <w:tc>
          <w:tcPr>
            <w:tcW w:w="800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6"/>
                <w:szCs w:val="16"/>
                <w:color w:val="auto"/>
              </w:rPr>
              <w:t>Retained earnings</w:t>
            </w:r>
          </w:p>
        </w:tc>
        <w:tc>
          <w:tcPr>
            <w:tcW w:w="180" w:type="dxa"/>
            <w:vAlign w:val="bottom"/>
            <w:shd w:val="clear" w:color="auto" w:fill="CCEEFF"/>
          </w:tcPr>
          <w:p>
            <w:pPr>
              <w:spacing w:after="0"/>
              <w:rPr>
                <w:sz w:val="18"/>
                <w:szCs w:val="18"/>
                <w:color w:val="auto"/>
              </w:rPr>
            </w:pPr>
          </w:p>
        </w:tc>
        <w:tc>
          <w:tcPr>
            <w:tcW w:w="15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b w:val="1"/>
                <w:bCs w:val="1"/>
                <w:color w:val="auto"/>
              </w:rPr>
              <w:t>1,652,159</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1,282,085</w:t>
            </w:r>
          </w:p>
        </w:tc>
        <w:tc>
          <w:tcPr>
            <w:tcW w:w="0" w:type="dxa"/>
            <w:vAlign w:val="bottom"/>
          </w:tcPr>
          <w:p>
            <w:pPr>
              <w:spacing w:after="0"/>
              <w:rPr>
                <w:sz w:val="1"/>
                <w:szCs w:val="1"/>
                <w:color w:val="auto"/>
              </w:rPr>
            </w:pPr>
          </w:p>
        </w:tc>
      </w:tr>
      <w:tr>
        <w:trPr>
          <w:trHeight w:val="214"/>
        </w:trPr>
        <w:tc>
          <w:tcPr>
            <w:tcW w:w="8000" w:type="dxa"/>
            <w:vAlign w:val="bottom"/>
            <w:tcBorders>
              <w:bottom w:val="single" w:sz="8" w:color="CCEEFF"/>
            </w:tcBorders>
          </w:tcPr>
          <w:p>
            <w:pPr>
              <w:ind w:left="140"/>
              <w:spacing w:after="0"/>
              <w:rPr>
                <w:sz w:val="20"/>
                <w:szCs w:val="20"/>
                <w:color w:val="auto"/>
              </w:rPr>
            </w:pPr>
            <w:r>
              <w:rPr>
                <w:rFonts w:ascii="Times New Roman" w:cs="Times New Roman" w:eastAsia="Times New Roman" w:hAnsi="Times New Roman"/>
                <w:sz w:val="16"/>
                <w:szCs w:val="16"/>
                <w:color w:val="auto"/>
              </w:rPr>
              <w:t>Accumulated other comprehensive loss</w:t>
            </w:r>
          </w:p>
        </w:tc>
        <w:tc>
          <w:tcPr>
            <w:tcW w:w="180" w:type="dxa"/>
            <w:vAlign w:val="bottom"/>
            <w:tcBorders>
              <w:bottom w:val="single" w:sz="8" w:color="auto"/>
            </w:tcBorders>
          </w:tcPr>
          <w:p>
            <w:pPr>
              <w:spacing w:after="0"/>
              <w:rPr>
                <w:sz w:val="18"/>
                <w:szCs w:val="18"/>
                <w:color w:val="auto"/>
              </w:rPr>
            </w:pPr>
          </w:p>
        </w:tc>
        <w:tc>
          <w:tcPr>
            <w:tcW w:w="15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(5,584)</w:t>
            </w:r>
          </w:p>
        </w:tc>
        <w:tc>
          <w:tcPr>
            <w:tcW w:w="12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2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(58,376)</w:t>
            </w:r>
          </w:p>
        </w:tc>
        <w:tc>
          <w:tcPr>
            <w:tcW w:w="0" w:type="dxa"/>
            <w:vAlign w:val="bottom"/>
          </w:tcPr>
          <w:p>
            <w:pPr>
              <w:spacing w:after="0"/>
              <w:rPr>
                <w:sz w:val="1"/>
                <w:szCs w:val="1"/>
                <w:color w:val="auto"/>
              </w:rPr>
            </w:pPr>
          </w:p>
        </w:tc>
      </w:tr>
      <w:tr>
        <w:trPr>
          <w:trHeight w:val="210"/>
        </w:trPr>
        <w:tc>
          <w:tcPr>
            <w:tcW w:w="8000" w:type="dxa"/>
            <w:vAlign w:val="bottom"/>
            <w:shd w:val="clear" w:color="auto" w:fill="CCEEFF"/>
          </w:tcPr>
          <w:p>
            <w:pPr>
              <w:ind w:left="480"/>
              <w:spacing w:after="0"/>
              <w:rPr>
                <w:sz w:val="20"/>
                <w:szCs w:val="20"/>
                <w:color w:val="auto"/>
              </w:rPr>
            </w:pPr>
            <w:r>
              <w:rPr>
                <w:rFonts w:ascii="Times New Roman" w:cs="Times New Roman" w:eastAsia="Times New Roman" w:hAnsi="Times New Roman"/>
                <w:sz w:val="16"/>
                <w:szCs w:val="16"/>
                <w:color w:val="auto"/>
              </w:rPr>
              <w:t>Total stockholders' equity</w:t>
            </w:r>
          </w:p>
        </w:tc>
        <w:tc>
          <w:tcPr>
            <w:tcW w:w="180" w:type="dxa"/>
            <w:vAlign w:val="bottom"/>
            <w:tcBorders>
              <w:bottom w:val="single" w:sz="8" w:color="auto"/>
            </w:tcBorders>
            <w:shd w:val="clear" w:color="auto" w:fill="CCEEFF"/>
          </w:tcPr>
          <w:p>
            <w:pPr>
              <w:spacing w:after="0"/>
              <w:rPr>
                <w:sz w:val="18"/>
                <w:szCs w:val="18"/>
                <w:color w:val="auto"/>
              </w:rPr>
            </w:pPr>
          </w:p>
        </w:tc>
        <w:tc>
          <w:tcPr>
            <w:tcW w:w="15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b w:val="1"/>
                <w:bCs w:val="1"/>
                <w:color w:val="auto"/>
              </w:rPr>
              <w:t>3,155,291</w:t>
            </w:r>
          </w:p>
        </w:tc>
        <w:tc>
          <w:tcPr>
            <w:tcW w:w="12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12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2,539,244</w:t>
            </w:r>
          </w:p>
        </w:tc>
        <w:tc>
          <w:tcPr>
            <w:tcW w:w="0" w:type="dxa"/>
            <w:vAlign w:val="bottom"/>
          </w:tcPr>
          <w:p>
            <w:pPr>
              <w:spacing w:after="0"/>
              <w:rPr>
                <w:sz w:val="1"/>
                <w:szCs w:val="1"/>
                <w:color w:val="auto"/>
              </w:rPr>
            </w:pPr>
          </w:p>
        </w:tc>
      </w:tr>
      <w:tr>
        <w:trPr>
          <w:trHeight w:val="211"/>
        </w:trPr>
        <w:tc>
          <w:tcPr>
            <w:tcW w:w="8000" w:type="dxa"/>
            <w:vAlign w:val="bottom"/>
          </w:tcPr>
          <w:p>
            <w:pPr>
              <w:ind w:left="480"/>
              <w:spacing w:after="0"/>
              <w:rPr>
                <w:sz w:val="20"/>
                <w:szCs w:val="20"/>
                <w:color w:val="auto"/>
              </w:rPr>
            </w:pPr>
            <w:r>
              <w:rPr>
                <w:rFonts w:ascii="Times New Roman" w:cs="Times New Roman" w:eastAsia="Times New Roman" w:hAnsi="Times New Roman"/>
                <w:sz w:val="16"/>
                <w:szCs w:val="16"/>
                <w:color w:val="auto"/>
              </w:rPr>
              <w:t>Total liabilities and stockholders' equity</w:t>
            </w:r>
          </w:p>
        </w:tc>
        <w:tc>
          <w:tcPr>
            <w:tcW w:w="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w w:val="99"/>
              </w:rPr>
              <w:t>$</w:t>
            </w:r>
          </w:p>
        </w:tc>
        <w:tc>
          <w:tcPr>
            <w:tcW w:w="15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5,966,099</w:t>
            </w:r>
          </w:p>
        </w:tc>
        <w:tc>
          <w:tcPr>
            <w:tcW w:w="120" w:type="dxa"/>
            <w:vAlign w:val="bottom"/>
          </w:tcPr>
          <w:p>
            <w:pPr>
              <w:spacing w:after="0"/>
              <w:rPr>
                <w:sz w:val="18"/>
                <w:szCs w:val="18"/>
                <w:color w:val="auto"/>
              </w:rPr>
            </w:pPr>
          </w:p>
        </w:tc>
        <w:tc>
          <w:tcPr>
            <w:tcW w:w="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12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4,948,832</w:t>
            </w:r>
          </w:p>
        </w:tc>
        <w:tc>
          <w:tcPr>
            <w:tcW w:w="0" w:type="dxa"/>
            <w:vAlign w:val="bottom"/>
          </w:tcPr>
          <w:p>
            <w:pPr>
              <w:spacing w:after="0"/>
              <w:rPr>
                <w:sz w:val="1"/>
                <w:szCs w:val="1"/>
                <w:color w:val="auto"/>
              </w:rPr>
            </w:pPr>
          </w:p>
        </w:tc>
      </w:tr>
      <w:tr>
        <w:trPr>
          <w:trHeight w:val="20"/>
        </w:trPr>
        <w:tc>
          <w:tcPr>
            <w:tcW w:w="80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130" w:lineRule="exact"/>
        <w:rPr>
          <w:sz w:val="20"/>
          <w:szCs w:val="20"/>
          <w:color w:val="auto"/>
        </w:rPr>
      </w:pPr>
    </w:p>
    <w:p>
      <w:pPr>
        <w:jc w:val="center"/>
        <w:ind w:left="440"/>
        <w:spacing w:after="0"/>
        <w:rPr>
          <w:sz w:val="20"/>
          <w:szCs w:val="20"/>
          <w:color w:val="auto"/>
        </w:rPr>
      </w:pPr>
      <w:r>
        <w:rPr>
          <w:rFonts w:ascii="Times New Roman" w:cs="Times New Roman" w:eastAsia="Times New Roman" w:hAnsi="Times New Roman"/>
          <w:sz w:val="18"/>
          <w:szCs w:val="18"/>
          <w:color w:val="auto"/>
        </w:rPr>
        <w:t>See accompanying Notes.</w:t>
      </w:r>
    </w:p>
    <w:p>
      <w:pPr>
        <w:sectPr>
          <w:pgSz w:w="11900" w:h="16838" w:orient="portrait"/>
          <w:cols w:equalWidth="0" w:num="1">
            <w:col w:w="11240"/>
          </w:cols>
          <w:pgMar w:left="320" w:top="364"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6"/>
          <w:szCs w:val="16"/>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100330</wp:posOffset>
            </wp:positionV>
            <wp:extent cx="713232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4" w:right="339" w:bottom="1440" w:gutter="0" w:footer="0" w:header="0"/>
          <w:type w:val="continuous"/>
        </w:sectPr>
      </w:pPr>
    </w:p>
    <w:bookmarkStart w:id="3" w:name="page4"/>
    <w:bookmarkEnd w:id="3"/>
    <w:p>
      <w:pPr>
        <w:spacing w:after="0"/>
        <w:rPr>
          <w:rFonts w:ascii="Times New Roman" w:cs="Times New Roman" w:eastAsia="Times New Roman" w:hAnsi="Times New Roman"/>
          <w:sz w:val="18"/>
          <w:szCs w:val="18"/>
          <w:u w:val="single" w:color="auto"/>
          <w:color w:val="0000FF"/>
        </w:rPr>
      </w:pPr>
      <w:hyperlink w:anchor="page1">
        <w:r>
          <w:rPr>
            <w:rFonts w:ascii="Times New Roman" w:cs="Times New Roman" w:eastAsia="Times New Roman" w:hAnsi="Times New Roman"/>
            <w:sz w:val="18"/>
            <w:szCs w:val="18"/>
            <w:u w:val="single" w:color="auto"/>
            <w:color w:val="0000FF"/>
          </w:rPr>
          <w:t>Table of Contents</w:t>
        </w:r>
      </w:hyperlink>
    </w:p>
    <w:p>
      <w:pPr>
        <w:spacing w:after="0" w:line="200" w:lineRule="exact"/>
        <w:rPr>
          <w:sz w:val="20"/>
          <w:szCs w:val="20"/>
          <w:color w:val="auto"/>
        </w:rPr>
      </w:pPr>
    </w:p>
    <w:p>
      <w:pPr>
        <w:spacing w:after="0" w:line="264" w:lineRule="exact"/>
        <w:rPr>
          <w:sz w:val="20"/>
          <w:szCs w:val="20"/>
          <w:color w:val="auto"/>
        </w:rPr>
      </w:pPr>
    </w:p>
    <w:p>
      <w:pPr>
        <w:jc w:val="center"/>
        <w:spacing w:after="0" w:line="432" w:lineRule="auto"/>
        <w:rPr>
          <w:sz w:val="20"/>
          <w:szCs w:val="20"/>
          <w:color w:val="auto"/>
        </w:rPr>
      </w:pPr>
      <w:r>
        <w:rPr>
          <w:rFonts w:ascii="Times New Roman" w:cs="Times New Roman" w:eastAsia="Times New Roman" w:hAnsi="Times New Roman"/>
          <w:sz w:val="18"/>
          <w:szCs w:val="18"/>
          <w:b w:val="1"/>
          <w:bCs w:val="1"/>
          <w:color w:val="auto"/>
        </w:rPr>
        <w:t>TAKE-TWO INTERACTIVE SOFTWARE, INC. CONDENSED CONSOLIDATED STATEMENTS OF OPERATIONS (Unaudited) (in thousands, except per share amounts)</w:t>
      </w:r>
    </w:p>
    <w:tbl>
      <w:tblPr>
        <w:tblLayout w:type="fixed"/>
        <w:tblInd w:w="0" w:type="dxa"/>
        <w:tblCellMar>
          <w:top w:w="0" w:type="dxa"/>
          <w:left w:w="0" w:type="dxa"/>
          <w:bottom w:w="0" w:type="dxa"/>
          <w:right w:w="0" w:type="dxa"/>
        </w:tblCellMar>
      </w:tblPr>
      <w:tr>
        <w:trPr>
          <w:trHeight w:val="147"/>
        </w:trPr>
        <w:tc>
          <w:tcPr>
            <w:tcW w:w="6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480" w:type="dxa"/>
            <w:vAlign w:val="bottom"/>
            <w:gridSpan w:val="5"/>
            <w:vMerge w:val="restart"/>
          </w:tcPr>
          <w:p>
            <w:pPr>
              <w:ind w:left="20"/>
              <w:spacing w:after="0"/>
              <w:rPr>
                <w:sz w:val="20"/>
                <w:szCs w:val="20"/>
                <w:color w:val="auto"/>
              </w:rPr>
            </w:pPr>
            <w:r>
              <w:rPr>
                <w:rFonts w:ascii="Times New Roman" w:cs="Times New Roman" w:eastAsia="Times New Roman" w:hAnsi="Times New Roman"/>
                <w:sz w:val="14"/>
                <w:szCs w:val="14"/>
                <w:b w:val="1"/>
                <w:bCs w:val="1"/>
                <w:color w:val="auto"/>
              </w:rPr>
              <w:t>Three Months Ended December 31,</w:t>
            </w:r>
          </w:p>
        </w:tc>
        <w:tc>
          <w:tcPr>
            <w:tcW w:w="300" w:type="dxa"/>
            <w:vAlign w:val="bottom"/>
          </w:tcPr>
          <w:p>
            <w:pPr>
              <w:spacing w:after="0"/>
              <w:rPr>
                <w:sz w:val="12"/>
                <w:szCs w:val="12"/>
                <w:color w:val="auto"/>
              </w:rPr>
            </w:pPr>
          </w:p>
        </w:tc>
        <w:tc>
          <w:tcPr>
            <w:tcW w:w="2200" w:type="dxa"/>
            <w:vAlign w:val="bottom"/>
            <w:gridSpan w:val="4"/>
          </w:tcPr>
          <w:p>
            <w:pPr>
              <w:jc w:val="right"/>
              <w:ind w:right="555"/>
              <w:spacing w:after="0" w:line="147" w:lineRule="exact"/>
              <w:rPr>
                <w:sz w:val="20"/>
                <w:szCs w:val="20"/>
                <w:color w:val="auto"/>
              </w:rPr>
            </w:pPr>
            <w:r>
              <w:rPr>
                <w:rFonts w:ascii="Times New Roman" w:cs="Times New Roman" w:eastAsia="Times New Roman" w:hAnsi="Times New Roman"/>
                <w:sz w:val="14"/>
                <w:szCs w:val="14"/>
                <w:b w:val="1"/>
                <w:bCs w:val="1"/>
                <w:color w:val="auto"/>
              </w:rPr>
              <w:t>Nine Months Ended</w:t>
            </w:r>
          </w:p>
        </w:tc>
        <w:tc>
          <w:tcPr>
            <w:tcW w:w="0" w:type="dxa"/>
            <w:vAlign w:val="bottom"/>
          </w:tcPr>
          <w:p>
            <w:pPr>
              <w:spacing w:after="0"/>
              <w:rPr>
                <w:sz w:val="1"/>
                <w:szCs w:val="1"/>
                <w:color w:val="auto"/>
              </w:rPr>
            </w:pPr>
          </w:p>
        </w:tc>
      </w:tr>
      <w:tr>
        <w:trPr>
          <w:trHeight w:val="112"/>
        </w:trPr>
        <w:tc>
          <w:tcPr>
            <w:tcW w:w="6120" w:type="dxa"/>
            <w:vAlign w:val="bottom"/>
          </w:tcPr>
          <w:p>
            <w:pPr>
              <w:spacing w:after="0"/>
              <w:rPr>
                <w:sz w:val="9"/>
                <w:szCs w:val="9"/>
                <w:color w:val="auto"/>
              </w:rPr>
            </w:pPr>
          </w:p>
        </w:tc>
        <w:tc>
          <w:tcPr>
            <w:tcW w:w="140" w:type="dxa"/>
            <w:vAlign w:val="bottom"/>
          </w:tcPr>
          <w:p>
            <w:pPr>
              <w:spacing w:after="0"/>
              <w:rPr>
                <w:sz w:val="9"/>
                <w:szCs w:val="9"/>
                <w:color w:val="auto"/>
              </w:rPr>
            </w:pPr>
          </w:p>
        </w:tc>
        <w:tc>
          <w:tcPr>
            <w:tcW w:w="2480" w:type="dxa"/>
            <w:vAlign w:val="bottom"/>
            <w:gridSpan w:val="5"/>
            <w:vMerge w:val="continue"/>
          </w:tcPr>
          <w:p>
            <w:pPr>
              <w:spacing w:after="0"/>
              <w:rPr>
                <w:sz w:val="9"/>
                <w:szCs w:val="9"/>
                <w:color w:val="auto"/>
              </w:rPr>
            </w:pPr>
          </w:p>
        </w:tc>
        <w:tc>
          <w:tcPr>
            <w:tcW w:w="300" w:type="dxa"/>
            <w:vAlign w:val="bottom"/>
          </w:tcPr>
          <w:p>
            <w:pPr>
              <w:spacing w:after="0"/>
              <w:rPr>
                <w:sz w:val="9"/>
                <w:szCs w:val="9"/>
                <w:color w:val="auto"/>
              </w:rPr>
            </w:pPr>
          </w:p>
        </w:tc>
        <w:tc>
          <w:tcPr>
            <w:tcW w:w="1400" w:type="dxa"/>
            <w:vAlign w:val="bottom"/>
            <w:gridSpan w:val="3"/>
            <w:vMerge w:val="restart"/>
          </w:tcPr>
          <w:p>
            <w:pPr>
              <w:jc w:val="right"/>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8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78"/>
        </w:trPr>
        <w:tc>
          <w:tcPr>
            <w:tcW w:w="6120" w:type="dxa"/>
            <w:vAlign w:val="bottom"/>
          </w:tcPr>
          <w:p>
            <w:pPr>
              <w:spacing w:after="0"/>
              <w:rPr>
                <w:sz w:val="6"/>
                <w:szCs w:val="6"/>
                <w:color w:val="auto"/>
              </w:rPr>
            </w:pPr>
          </w:p>
        </w:tc>
        <w:tc>
          <w:tcPr>
            <w:tcW w:w="140" w:type="dxa"/>
            <w:vAlign w:val="bottom"/>
            <w:tcBorders>
              <w:bottom w:val="single" w:sz="8" w:color="auto"/>
            </w:tcBorders>
          </w:tcPr>
          <w:p>
            <w:pPr>
              <w:spacing w:after="0"/>
              <w:rPr>
                <w:sz w:val="6"/>
                <w:szCs w:val="6"/>
                <w:color w:val="auto"/>
              </w:rPr>
            </w:pPr>
          </w:p>
        </w:tc>
        <w:tc>
          <w:tcPr>
            <w:tcW w:w="1060" w:type="dxa"/>
            <w:vAlign w:val="bottom"/>
            <w:tcBorders>
              <w:bottom w:val="single" w:sz="8" w:color="auto"/>
            </w:tcBorders>
          </w:tcPr>
          <w:p>
            <w:pPr>
              <w:spacing w:after="0"/>
              <w:rPr>
                <w:sz w:val="6"/>
                <w:szCs w:val="6"/>
                <w:color w:val="auto"/>
              </w:rPr>
            </w:pPr>
          </w:p>
        </w:tc>
        <w:tc>
          <w:tcPr>
            <w:tcW w:w="120" w:type="dxa"/>
            <w:vAlign w:val="bottom"/>
            <w:tcBorders>
              <w:bottom w:val="single" w:sz="8" w:color="auto"/>
            </w:tcBorders>
          </w:tcPr>
          <w:p>
            <w:pPr>
              <w:spacing w:after="0"/>
              <w:rPr>
                <w:sz w:val="6"/>
                <w:szCs w:val="6"/>
                <w:color w:val="auto"/>
              </w:rPr>
            </w:pPr>
          </w:p>
        </w:tc>
        <w:tc>
          <w:tcPr>
            <w:tcW w:w="280" w:type="dxa"/>
            <w:vAlign w:val="bottom"/>
            <w:tcBorders>
              <w:bottom w:val="single" w:sz="8" w:color="auto"/>
            </w:tcBorders>
          </w:tcPr>
          <w:p>
            <w:pPr>
              <w:spacing w:after="0"/>
              <w:rPr>
                <w:sz w:val="6"/>
                <w:szCs w:val="6"/>
                <w:color w:val="auto"/>
              </w:rPr>
            </w:pPr>
          </w:p>
        </w:tc>
        <w:tc>
          <w:tcPr>
            <w:tcW w:w="920" w:type="dxa"/>
            <w:vAlign w:val="bottom"/>
            <w:tcBorders>
              <w:bottom w:val="single" w:sz="8" w:color="auto"/>
            </w:tcBorders>
          </w:tcPr>
          <w:p>
            <w:pPr>
              <w:spacing w:after="0"/>
              <w:rPr>
                <w:sz w:val="6"/>
                <w:szCs w:val="6"/>
                <w:color w:val="auto"/>
              </w:rPr>
            </w:pPr>
          </w:p>
        </w:tc>
        <w:tc>
          <w:tcPr>
            <w:tcW w:w="100" w:type="dxa"/>
            <w:vAlign w:val="bottom"/>
          </w:tcPr>
          <w:p>
            <w:pPr>
              <w:spacing w:after="0"/>
              <w:rPr>
                <w:sz w:val="6"/>
                <w:szCs w:val="6"/>
                <w:color w:val="auto"/>
              </w:rPr>
            </w:pPr>
          </w:p>
        </w:tc>
        <w:tc>
          <w:tcPr>
            <w:tcW w:w="300" w:type="dxa"/>
            <w:vAlign w:val="bottom"/>
            <w:tcBorders>
              <w:bottom w:val="single" w:sz="8" w:color="auto"/>
            </w:tcBorders>
          </w:tcPr>
          <w:p>
            <w:pPr>
              <w:spacing w:after="0"/>
              <w:rPr>
                <w:sz w:val="6"/>
                <w:szCs w:val="6"/>
                <w:color w:val="auto"/>
              </w:rPr>
            </w:pPr>
          </w:p>
        </w:tc>
        <w:tc>
          <w:tcPr>
            <w:tcW w:w="1400" w:type="dxa"/>
            <w:vAlign w:val="bottom"/>
            <w:tcBorders>
              <w:bottom w:val="single" w:sz="8" w:color="auto"/>
            </w:tcBorders>
            <w:gridSpan w:val="3"/>
            <w:vMerge w:val="continue"/>
          </w:tcPr>
          <w:p>
            <w:pPr>
              <w:spacing w:after="0"/>
              <w:rPr>
                <w:sz w:val="6"/>
                <w:szCs w:val="6"/>
                <w:color w:val="auto"/>
              </w:rPr>
            </w:pPr>
          </w:p>
        </w:tc>
        <w:tc>
          <w:tcPr>
            <w:tcW w:w="80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86"/>
        </w:trPr>
        <w:tc>
          <w:tcPr>
            <w:tcW w:w="6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60" w:type="dxa"/>
            <w:vAlign w:val="bottom"/>
          </w:tcPr>
          <w:p>
            <w:pPr>
              <w:jc w:val="right"/>
              <w:ind w:right="376"/>
              <w:spacing w:after="0"/>
              <w:rPr>
                <w:sz w:val="20"/>
                <w:szCs w:val="20"/>
                <w:color w:val="auto"/>
              </w:rPr>
            </w:pPr>
            <w:r>
              <w:rPr>
                <w:rFonts w:ascii="Times New Roman" w:cs="Times New Roman" w:eastAsia="Times New Roman" w:hAnsi="Times New Roman"/>
                <w:sz w:val="14"/>
                <w:szCs w:val="14"/>
                <w:b w:val="1"/>
                <w:bCs w:val="1"/>
                <w:color w:val="auto"/>
              </w:rPr>
              <w:t>2020</w:t>
            </w:r>
          </w:p>
        </w:tc>
        <w:tc>
          <w:tcPr>
            <w:tcW w:w="1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20" w:type="dxa"/>
            <w:vAlign w:val="bottom"/>
          </w:tcPr>
          <w:p>
            <w:pPr>
              <w:jc w:val="right"/>
              <w:ind w:right="375"/>
              <w:spacing w:after="0"/>
              <w:rPr>
                <w:sz w:val="20"/>
                <w:szCs w:val="20"/>
                <w:color w:val="auto"/>
              </w:rPr>
            </w:pPr>
            <w:r>
              <w:rPr>
                <w:rFonts w:ascii="Times New Roman" w:cs="Times New Roman" w:eastAsia="Times New Roman" w:hAnsi="Times New Roman"/>
                <w:sz w:val="14"/>
                <w:szCs w:val="14"/>
                <w:b w:val="1"/>
                <w:bCs w:val="1"/>
                <w:color w:val="auto"/>
              </w:rPr>
              <w:t>2019</w:t>
            </w:r>
          </w:p>
        </w:tc>
        <w:tc>
          <w:tcPr>
            <w:tcW w:w="1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980" w:type="dxa"/>
            <w:vAlign w:val="bottom"/>
          </w:tcPr>
          <w:p>
            <w:pPr>
              <w:jc w:val="right"/>
              <w:ind w:right="416"/>
              <w:spacing w:after="0"/>
              <w:rPr>
                <w:sz w:val="20"/>
                <w:szCs w:val="20"/>
                <w:color w:val="auto"/>
              </w:rPr>
            </w:pPr>
            <w:r>
              <w:rPr>
                <w:rFonts w:ascii="Times New Roman" w:cs="Times New Roman" w:eastAsia="Times New Roman" w:hAnsi="Times New Roman"/>
                <w:sz w:val="14"/>
                <w:szCs w:val="14"/>
                <w:b w:val="1"/>
                <w:bCs w:val="1"/>
                <w:color w:val="auto"/>
              </w:rPr>
              <w:t>2020</w:t>
            </w:r>
          </w:p>
        </w:tc>
        <w:tc>
          <w:tcPr>
            <w:tcW w:w="1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800" w:type="dxa"/>
            <w:vAlign w:val="bottom"/>
          </w:tcPr>
          <w:p>
            <w:pPr>
              <w:jc w:val="right"/>
              <w:ind w:right="335"/>
              <w:spacing w:after="0"/>
              <w:rPr>
                <w:sz w:val="20"/>
                <w:szCs w:val="20"/>
                <w:color w:val="auto"/>
              </w:rPr>
            </w:pPr>
            <w:r>
              <w:rPr>
                <w:rFonts w:ascii="Times New Roman" w:cs="Times New Roman" w:eastAsia="Times New Roman" w:hAnsi="Times New Roman"/>
                <w:sz w:val="14"/>
                <w:szCs w:val="14"/>
                <w:b w:val="1"/>
                <w:bCs w:val="1"/>
                <w:color w:val="auto"/>
              </w:rPr>
              <w:t>2019</w:t>
            </w:r>
          </w:p>
        </w:tc>
        <w:tc>
          <w:tcPr>
            <w:tcW w:w="0" w:type="dxa"/>
            <w:vAlign w:val="bottom"/>
          </w:tcPr>
          <w:p>
            <w:pPr>
              <w:spacing w:after="0"/>
              <w:rPr>
                <w:sz w:val="1"/>
                <w:szCs w:val="1"/>
                <w:color w:val="auto"/>
              </w:rPr>
            </w:pPr>
          </w:p>
        </w:tc>
      </w:tr>
      <w:tr>
        <w:trPr>
          <w:trHeight w:val="23"/>
        </w:trPr>
        <w:tc>
          <w:tcPr>
            <w:tcW w:w="6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0"/>
        </w:trPr>
        <w:tc>
          <w:tcPr>
            <w:tcW w:w="61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Net revenue</w:t>
            </w: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b w:val="1"/>
                <w:bCs w:val="1"/>
                <w:color w:val="auto"/>
                <w:w w:val="93"/>
              </w:rPr>
              <w:t>$</w:t>
            </w:r>
          </w:p>
        </w:tc>
        <w:tc>
          <w:tcPr>
            <w:tcW w:w="10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b w:val="1"/>
                <w:bCs w:val="1"/>
                <w:color w:val="auto"/>
              </w:rPr>
              <w:t>860,889</w:t>
            </w: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jc w:val="right"/>
              <w:ind w:right="95"/>
              <w:spacing w:after="0"/>
              <w:rPr>
                <w:sz w:val="20"/>
                <w:szCs w:val="20"/>
                <w:color w:val="auto"/>
              </w:rPr>
            </w:pPr>
            <w:r>
              <w:rPr>
                <w:rFonts w:ascii="Times New Roman" w:cs="Times New Roman" w:eastAsia="Times New Roman" w:hAnsi="Times New Roman"/>
                <w:sz w:val="17"/>
                <w:szCs w:val="17"/>
                <w:color w:val="auto"/>
                <w:w w:val="93"/>
              </w:rPr>
              <w:t>$</w:t>
            </w: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930,129</w:t>
            </w: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jc w:val="right"/>
              <w:ind w:right="115"/>
              <w:spacing w:after="0"/>
              <w:rPr>
                <w:sz w:val="20"/>
                <w:szCs w:val="20"/>
                <w:color w:val="auto"/>
              </w:rPr>
            </w:pPr>
            <w:r>
              <w:rPr>
                <w:rFonts w:ascii="Times New Roman" w:cs="Times New Roman" w:eastAsia="Times New Roman" w:hAnsi="Times New Roman"/>
                <w:sz w:val="17"/>
                <w:szCs w:val="17"/>
                <w:b w:val="1"/>
                <w:bCs w:val="1"/>
                <w:color w:val="auto"/>
                <w:w w:val="93"/>
              </w:rPr>
              <w:t>$</w:t>
            </w: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b w:val="1"/>
                <w:bCs w:val="1"/>
                <w:color w:val="auto"/>
              </w:rPr>
              <w:t>2,533,341</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jc w:val="right"/>
              <w:ind w:right="135"/>
              <w:spacing w:after="0"/>
              <w:rPr>
                <w:sz w:val="20"/>
                <w:szCs w:val="20"/>
                <w:color w:val="auto"/>
              </w:rPr>
            </w:pPr>
            <w:r>
              <w:rPr>
                <w:rFonts w:ascii="Times New Roman" w:cs="Times New Roman" w:eastAsia="Times New Roman" w:hAnsi="Times New Roman"/>
                <w:sz w:val="17"/>
                <w:szCs w:val="17"/>
                <w:color w:val="auto"/>
                <w:w w:val="93"/>
              </w:rPr>
              <w:t>$</w:t>
            </w: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2,328,429</w:t>
            </w:r>
          </w:p>
        </w:tc>
        <w:tc>
          <w:tcPr>
            <w:tcW w:w="0" w:type="dxa"/>
            <w:vAlign w:val="bottom"/>
          </w:tcPr>
          <w:p>
            <w:pPr>
              <w:spacing w:after="0"/>
              <w:rPr>
                <w:sz w:val="1"/>
                <w:szCs w:val="1"/>
                <w:color w:val="auto"/>
              </w:rPr>
            </w:pPr>
          </w:p>
        </w:tc>
      </w:tr>
      <w:tr>
        <w:trPr>
          <w:trHeight w:val="229"/>
        </w:trPr>
        <w:tc>
          <w:tcPr>
            <w:tcW w:w="612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Cost of goods sold</w:t>
            </w:r>
          </w:p>
        </w:tc>
        <w:tc>
          <w:tcPr>
            <w:tcW w:w="14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b w:val="1"/>
                <w:bCs w:val="1"/>
                <w:color w:val="auto"/>
              </w:rPr>
              <w:t>346,244</w:t>
            </w:r>
          </w:p>
        </w:tc>
        <w:tc>
          <w:tcPr>
            <w:tcW w:w="120" w:type="dxa"/>
            <w:vAlign w:val="bottom"/>
            <w:tcBorders>
              <w:bottom w:val="single" w:sz="8" w:color="CCEEFF"/>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437,093</w:t>
            </w:r>
          </w:p>
        </w:tc>
        <w:tc>
          <w:tcPr>
            <w:tcW w:w="100" w:type="dxa"/>
            <w:vAlign w:val="bottom"/>
            <w:tcBorders>
              <w:bottom w:val="single" w:sz="8" w:color="CCEEFF"/>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b w:val="1"/>
                <w:bCs w:val="1"/>
                <w:color w:val="auto"/>
              </w:rPr>
              <w:t>1,255,438</w:t>
            </w:r>
          </w:p>
        </w:tc>
        <w:tc>
          <w:tcPr>
            <w:tcW w:w="100" w:type="dxa"/>
            <w:vAlign w:val="bottom"/>
            <w:tcBorders>
              <w:bottom w:val="single" w:sz="8" w:color="CCEEFF"/>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1,146,810</w:t>
            </w:r>
          </w:p>
        </w:tc>
        <w:tc>
          <w:tcPr>
            <w:tcW w:w="0" w:type="dxa"/>
            <w:vAlign w:val="bottom"/>
          </w:tcPr>
          <w:p>
            <w:pPr>
              <w:spacing w:after="0"/>
              <w:rPr>
                <w:sz w:val="1"/>
                <w:szCs w:val="1"/>
                <w:color w:val="auto"/>
              </w:rPr>
            </w:pPr>
          </w:p>
        </w:tc>
      </w:tr>
      <w:tr>
        <w:trPr>
          <w:trHeight w:val="209"/>
        </w:trPr>
        <w:tc>
          <w:tcPr>
            <w:tcW w:w="61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Gross profit</w:t>
            </w:r>
          </w:p>
        </w:tc>
        <w:tc>
          <w:tcPr>
            <w:tcW w:w="14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b w:val="1"/>
                <w:bCs w:val="1"/>
                <w:color w:val="auto"/>
              </w:rPr>
              <w:t>514,645</w:t>
            </w: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493,036</w:t>
            </w: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b w:val="1"/>
                <w:bCs w:val="1"/>
                <w:color w:val="auto"/>
              </w:rPr>
              <w:t>1,277,903</w:t>
            </w: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1,181,619</w:t>
            </w:r>
          </w:p>
        </w:tc>
        <w:tc>
          <w:tcPr>
            <w:tcW w:w="0" w:type="dxa"/>
            <w:vAlign w:val="bottom"/>
          </w:tcPr>
          <w:p>
            <w:pPr>
              <w:spacing w:after="0"/>
              <w:rPr>
                <w:sz w:val="1"/>
                <w:szCs w:val="1"/>
                <w:color w:val="auto"/>
              </w:rPr>
            </w:pPr>
          </w:p>
        </w:tc>
      </w:tr>
      <w:tr>
        <w:trPr>
          <w:trHeight w:val="230"/>
        </w:trPr>
        <w:tc>
          <w:tcPr>
            <w:tcW w:w="61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Selling and marketing</w:t>
            </w:r>
          </w:p>
        </w:tc>
        <w:tc>
          <w:tcPr>
            <w:tcW w:w="14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7"/>
                <w:szCs w:val="17"/>
                <w:b w:val="1"/>
                <w:bCs w:val="1"/>
                <w:color w:val="auto"/>
              </w:rPr>
              <w:t>139,906</w:t>
            </w: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137,068</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7"/>
                <w:szCs w:val="17"/>
                <w:b w:val="1"/>
                <w:bCs w:val="1"/>
                <w:color w:val="auto"/>
              </w:rPr>
              <w:t>338,376</w:t>
            </w:r>
          </w:p>
        </w:tc>
        <w:tc>
          <w:tcPr>
            <w:tcW w:w="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378,455</w:t>
            </w:r>
          </w:p>
        </w:tc>
        <w:tc>
          <w:tcPr>
            <w:tcW w:w="0" w:type="dxa"/>
            <w:vAlign w:val="bottom"/>
          </w:tcPr>
          <w:p>
            <w:pPr>
              <w:spacing w:after="0"/>
              <w:rPr>
                <w:sz w:val="1"/>
                <w:szCs w:val="1"/>
                <w:color w:val="auto"/>
              </w:rPr>
            </w:pPr>
          </w:p>
        </w:tc>
      </w:tr>
      <w:tr>
        <w:trPr>
          <w:trHeight w:val="229"/>
        </w:trPr>
        <w:tc>
          <w:tcPr>
            <w:tcW w:w="61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General and administrative</w:t>
            </w:r>
          </w:p>
        </w:tc>
        <w:tc>
          <w:tcPr>
            <w:tcW w:w="14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b w:val="1"/>
                <w:bCs w:val="1"/>
                <w:color w:val="auto"/>
              </w:rPr>
              <w:t>98,624</w:t>
            </w:r>
          </w:p>
        </w:tc>
        <w:tc>
          <w:tcPr>
            <w:tcW w:w="12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84,531</w:t>
            </w:r>
          </w:p>
        </w:tc>
        <w:tc>
          <w:tcPr>
            <w:tcW w:w="10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b w:val="1"/>
                <w:bCs w:val="1"/>
                <w:color w:val="auto"/>
              </w:rPr>
              <w:t>292,230</w:t>
            </w:r>
          </w:p>
        </w:tc>
        <w:tc>
          <w:tcPr>
            <w:tcW w:w="10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236,023</w:t>
            </w:r>
          </w:p>
        </w:tc>
        <w:tc>
          <w:tcPr>
            <w:tcW w:w="0" w:type="dxa"/>
            <w:vAlign w:val="bottom"/>
          </w:tcPr>
          <w:p>
            <w:pPr>
              <w:spacing w:after="0"/>
              <w:rPr>
                <w:sz w:val="1"/>
                <w:szCs w:val="1"/>
                <w:color w:val="auto"/>
              </w:rPr>
            </w:pPr>
          </w:p>
        </w:tc>
      </w:tr>
      <w:tr>
        <w:trPr>
          <w:trHeight w:val="230"/>
        </w:trPr>
        <w:tc>
          <w:tcPr>
            <w:tcW w:w="61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Research and development</w:t>
            </w:r>
          </w:p>
        </w:tc>
        <w:tc>
          <w:tcPr>
            <w:tcW w:w="14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7"/>
                <w:szCs w:val="17"/>
                <w:b w:val="1"/>
                <w:bCs w:val="1"/>
                <w:color w:val="auto"/>
              </w:rPr>
              <w:t>86,428</w:t>
            </w: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82,520</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7"/>
                <w:szCs w:val="17"/>
                <w:b w:val="1"/>
                <w:bCs w:val="1"/>
                <w:color w:val="auto"/>
              </w:rPr>
              <w:t>233,752</w:t>
            </w:r>
          </w:p>
        </w:tc>
        <w:tc>
          <w:tcPr>
            <w:tcW w:w="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227,680</w:t>
            </w:r>
          </w:p>
        </w:tc>
        <w:tc>
          <w:tcPr>
            <w:tcW w:w="0" w:type="dxa"/>
            <w:vAlign w:val="bottom"/>
          </w:tcPr>
          <w:p>
            <w:pPr>
              <w:spacing w:after="0"/>
              <w:rPr>
                <w:sz w:val="1"/>
                <w:szCs w:val="1"/>
                <w:color w:val="auto"/>
              </w:rPr>
            </w:pPr>
          </w:p>
        </w:tc>
      </w:tr>
      <w:tr>
        <w:trPr>
          <w:trHeight w:val="229"/>
        </w:trPr>
        <w:tc>
          <w:tcPr>
            <w:tcW w:w="61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Depreciation and amortization</w:t>
            </w:r>
          </w:p>
        </w:tc>
        <w:tc>
          <w:tcPr>
            <w:tcW w:w="14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b w:val="1"/>
                <w:bCs w:val="1"/>
                <w:color w:val="auto"/>
              </w:rPr>
              <w:t>14,007</w:t>
            </w:r>
          </w:p>
        </w:tc>
        <w:tc>
          <w:tcPr>
            <w:tcW w:w="12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12,330</w:t>
            </w:r>
          </w:p>
        </w:tc>
        <w:tc>
          <w:tcPr>
            <w:tcW w:w="10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b w:val="1"/>
                <w:bCs w:val="1"/>
                <w:color w:val="auto"/>
              </w:rPr>
              <w:t>40,116</w:t>
            </w:r>
          </w:p>
        </w:tc>
        <w:tc>
          <w:tcPr>
            <w:tcW w:w="10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35,611</w:t>
            </w:r>
          </w:p>
        </w:tc>
        <w:tc>
          <w:tcPr>
            <w:tcW w:w="0" w:type="dxa"/>
            <w:vAlign w:val="bottom"/>
          </w:tcPr>
          <w:p>
            <w:pPr>
              <w:spacing w:after="0"/>
              <w:rPr>
                <w:sz w:val="1"/>
                <w:szCs w:val="1"/>
                <w:color w:val="auto"/>
              </w:rPr>
            </w:pPr>
          </w:p>
        </w:tc>
      </w:tr>
      <w:tr>
        <w:trPr>
          <w:trHeight w:val="229"/>
        </w:trPr>
        <w:tc>
          <w:tcPr>
            <w:tcW w:w="612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Business reorganization</w:t>
            </w:r>
          </w:p>
        </w:tc>
        <w:tc>
          <w:tcPr>
            <w:tcW w:w="14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b w:val="1"/>
                <w:bCs w:val="1"/>
                <w:color w:val="auto"/>
              </w:rPr>
              <w:t>(377)</w:t>
            </w:r>
          </w:p>
        </w:tc>
        <w:tc>
          <w:tcPr>
            <w:tcW w:w="120" w:type="dxa"/>
            <w:vAlign w:val="bottom"/>
            <w:tcBorders>
              <w:bottom w:val="single" w:sz="8" w:color="CCEEFF"/>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(246)</w:t>
            </w:r>
          </w:p>
        </w:tc>
        <w:tc>
          <w:tcPr>
            <w:tcW w:w="100" w:type="dxa"/>
            <w:vAlign w:val="bottom"/>
            <w:tcBorders>
              <w:bottom w:val="single" w:sz="8" w:color="CCEEFF"/>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b w:val="1"/>
                <w:bCs w:val="1"/>
                <w:color w:val="auto"/>
              </w:rPr>
              <w:t>(138)</w:t>
            </w:r>
          </w:p>
        </w:tc>
        <w:tc>
          <w:tcPr>
            <w:tcW w:w="100" w:type="dxa"/>
            <w:vAlign w:val="bottom"/>
            <w:tcBorders>
              <w:bottom w:val="single" w:sz="8" w:color="CCEEFF"/>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467</w:t>
            </w:r>
          </w:p>
        </w:tc>
        <w:tc>
          <w:tcPr>
            <w:tcW w:w="0" w:type="dxa"/>
            <w:vAlign w:val="bottom"/>
          </w:tcPr>
          <w:p>
            <w:pPr>
              <w:spacing w:after="0"/>
              <w:rPr>
                <w:sz w:val="1"/>
                <w:szCs w:val="1"/>
                <w:color w:val="auto"/>
              </w:rPr>
            </w:pPr>
          </w:p>
        </w:tc>
      </w:tr>
      <w:tr>
        <w:trPr>
          <w:trHeight w:val="210"/>
        </w:trPr>
        <w:tc>
          <w:tcPr>
            <w:tcW w:w="61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Total operating expenses</w:t>
            </w:r>
          </w:p>
        </w:tc>
        <w:tc>
          <w:tcPr>
            <w:tcW w:w="140" w:type="dxa"/>
            <w:vAlign w:val="bottom"/>
            <w:tcBorders>
              <w:bottom w:val="single" w:sz="8" w:color="auto"/>
            </w:tcBorders>
            <w:shd w:val="clear" w:color="auto" w:fill="CCEEFF"/>
          </w:tcPr>
          <w:p>
            <w:pPr>
              <w:spacing w:after="0"/>
              <w:rPr>
                <w:sz w:val="18"/>
                <w:szCs w:val="18"/>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b w:val="1"/>
                <w:bCs w:val="1"/>
                <w:color w:val="auto"/>
              </w:rPr>
              <w:t>338,588</w:t>
            </w:r>
          </w:p>
        </w:tc>
        <w:tc>
          <w:tcPr>
            <w:tcW w:w="120" w:type="dxa"/>
            <w:vAlign w:val="bottom"/>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316,203</w:t>
            </w:r>
          </w:p>
        </w:tc>
        <w:tc>
          <w:tcPr>
            <w:tcW w:w="100" w:type="dxa"/>
            <w:vAlign w:val="bottom"/>
            <w:shd w:val="clear" w:color="auto" w:fill="CCEEFF"/>
          </w:tcPr>
          <w:p>
            <w:pPr>
              <w:spacing w:after="0"/>
              <w:rPr>
                <w:sz w:val="18"/>
                <w:szCs w:val="18"/>
                <w:color w:val="auto"/>
              </w:rPr>
            </w:pPr>
          </w:p>
        </w:tc>
        <w:tc>
          <w:tcPr>
            <w:tcW w:w="300" w:type="dxa"/>
            <w:vAlign w:val="bottom"/>
            <w:tcBorders>
              <w:bottom w:val="single" w:sz="8" w:color="auto"/>
            </w:tcBorders>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b w:val="1"/>
                <w:bCs w:val="1"/>
                <w:color w:val="auto"/>
              </w:rPr>
              <w:t>904,336</w:t>
            </w:r>
          </w:p>
        </w:tc>
        <w:tc>
          <w:tcPr>
            <w:tcW w:w="100" w:type="dxa"/>
            <w:vAlign w:val="bottom"/>
            <w:shd w:val="clear" w:color="auto" w:fill="CCEEFF"/>
          </w:tcPr>
          <w:p>
            <w:pPr>
              <w:spacing w:after="0"/>
              <w:rPr>
                <w:sz w:val="18"/>
                <w:szCs w:val="18"/>
                <w:color w:val="auto"/>
              </w:rPr>
            </w:pPr>
          </w:p>
        </w:tc>
        <w:tc>
          <w:tcPr>
            <w:tcW w:w="32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878,236</w:t>
            </w:r>
          </w:p>
        </w:tc>
        <w:tc>
          <w:tcPr>
            <w:tcW w:w="0" w:type="dxa"/>
            <w:vAlign w:val="bottom"/>
          </w:tcPr>
          <w:p>
            <w:pPr>
              <w:spacing w:after="0"/>
              <w:rPr>
                <w:sz w:val="1"/>
                <w:szCs w:val="1"/>
                <w:color w:val="auto"/>
              </w:rPr>
            </w:pPr>
          </w:p>
        </w:tc>
      </w:tr>
      <w:tr>
        <w:trPr>
          <w:trHeight w:val="209"/>
        </w:trPr>
        <w:tc>
          <w:tcPr>
            <w:tcW w:w="61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Income from operations</w:t>
            </w:r>
          </w:p>
        </w:tc>
        <w:tc>
          <w:tcPr>
            <w:tcW w:w="14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7"/>
                <w:szCs w:val="17"/>
                <w:b w:val="1"/>
                <w:bCs w:val="1"/>
                <w:color w:val="auto"/>
              </w:rPr>
              <w:t>176,057</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176,833</w:t>
            </w: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7"/>
                <w:szCs w:val="17"/>
                <w:b w:val="1"/>
                <w:bCs w:val="1"/>
                <w:color w:val="auto"/>
              </w:rPr>
              <w:t>373,567</w:t>
            </w:r>
          </w:p>
        </w:tc>
        <w:tc>
          <w:tcPr>
            <w:tcW w:w="1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303,383</w:t>
            </w:r>
          </w:p>
        </w:tc>
        <w:tc>
          <w:tcPr>
            <w:tcW w:w="0" w:type="dxa"/>
            <w:vAlign w:val="bottom"/>
          </w:tcPr>
          <w:p>
            <w:pPr>
              <w:spacing w:after="0"/>
              <w:rPr>
                <w:sz w:val="1"/>
                <w:szCs w:val="1"/>
                <w:color w:val="auto"/>
              </w:rPr>
            </w:pPr>
          </w:p>
        </w:tc>
      </w:tr>
      <w:tr>
        <w:trPr>
          <w:trHeight w:val="230"/>
        </w:trPr>
        <w:tc>
          <w:tcPr>
            <w:tcW w:w="61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Interest and other, net</w:t>
            </w:r>
          </w:p>
        </w:tc>
        <w:tc>
          <w:tcPr>
            <w:tcW w:w="14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b w:val="1"/>
                <w:bCs w:val="1"/>
                <w:color w:val="auto"/>
              </w:rPr>
              <w:t>1,098</w:t>
            </w:r>
          </w:p>
        </w:tc>
        <w:tc>
          <w:tcPr>
            <w:tcW w:w="12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11,943</w:t>
            </w:r>
          </w:p>
        </w:tc>
        <w:tc>
          <w:tcPr>
            <w:tcW w:w="10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b w:val="1"/>
                <w:bCs w:val="1"/>
                <w:color w:val="auto"/>
              </w:rPr>
              <w:t>12,022</w:t>
            </w:r>
          </w:p>
        </w:tc>
        <w:tc>
          <w:tcPr>
            <w:tcW w:w="10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30,422</w:t>
            </w:r>
          </w:p>
        </w:tc>
        <w:tc>
          <w:tcPr>
            <w:tcW w:w="0" w:type="dxa"/>
            <w:vAlign w:val="bottom"/>
          </w:tcPr>
          <w:p>
            <w:pPr>
              <w:spacing w:after="0"/>
              <w:rPr>
                <w:sz w:val="1"/>
                <w:szCs w:val="1"/>
                <w:color w:val="auto"/>
              </w:rPr>
            </w:pPr>
          </w:p>
        </w:tc>
      </w:tr>
      <w:tr>
        <w:trPr>
          <w:trHeight w:val="229"/>
        </w:trPr>
        <w:tc>
          <w:tcPr>
            <w:tcW w:w="61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Gain on long-term investments, net</w:t>
            </w:r>
          </w:p>
        </w:tc>
        <w:tc>
          <w:tcPr>
            <w:tcW w:w="14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39,291</w:t>
            </w: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02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30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38,636</w:t>
            </w:r>
          </w:p>
        </w:tc>
        <w:tc>
          <w:tcPr>
            <w:tcW w:w="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09"/>
        </w:trPr>
        <w:tc>
          <w:tcPr>
            <w:tcW w:w="612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Income before income taxes</w:t>
            </w:r>
          </w:p>
        </w:tc>
        <w:tc>
          <w:tcPr>
            <w:tcW w:w="140" w:type="dxa"/>
            <w:vAlign w:val="bottom"/>
            <w:tcBorders>
              <w:top w:val="single" w:sz="8" w:color="auto"/>
            </w:tcBorders>
            <w:shd w:val="clear" w:color="auto" w:fill="CCEEFF"/>
          </w:tcPr>
          <w:p>
            <w:pPr>
              <w:spacing w:after="0"/>
              <w:rPr>
                <w:sz w:val="18"/>
                <w:szCs w:val="18"/>
                <w:color w:val="auto"/>
              </w:rPr>
            </w:pPr>
          </w:p>
        </w:tc>
        <w:tc>
          <w:tcPr>
            <w:tcW w:w="10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b w:val="1"/>
                <w:bCs w:val="1"/>
                <w:color w:val="auto"/>
              </w:rPr>
              <w:t>216,446</w:t>
            </w:r>
          </w:p>
        </w:tc>
        <w:tc>
          <w:tcPr>
            <w:tcW w:w="120" w:type="dxa"/>
            <w:vAlign w:val="bottom"/>
            <w:tcBorders>
              <w:top w:val="single" w:sz="8" w:color="CCEEFF"/>
            </w:tcBorders>
            <w:shd w:val="clear" w:color="auto" w:fill="CCEEFF"/>
          </w:tcPr>
          <w:p>
            <w:pPr>
              <w:spacing w:after="0"/>
              <w:rPr>
                <w:sz w:val="18"/>
                <w:szCs w:val="18"/>
                <w:color w:val="auto"/>
              </w:rPr>
            </w:pPr>
          </w:p>
        </w:tc>
        <w:tc>
          <w:tcPr>
            <w:tcW w:w="280" w:type="dxa"/>
            <w:vAlign w:val="bottom"/>
            <w:tcBorders>
              <w:top w:val="single" w:sz="8" w:color="auto"/>
            </w:tcBorders>
            <w:shd w:val="clear" w:color="auto" w:fill="CCEEFF"/>
          </w:tcPr>
          <w:p>
            <w:pPr>
              <w:spacing w:after="0"/>
              <w:rPr>
                <w:sz w:val="18"/>
                <w:szCs w:val="18"/>
                <w:color w:val="auto"/>
              </w:rPr>
            </w:pPr>
          </w:p>
        </w:tc>
        <w:tc>
          <w:tcPr>
            <w:tcW w:w="9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188,776</w:t>
            </w:r>
          </w:p>
        </w:tc>
        <w:tc>
          <w:tcPr>
            <w:tcW w:w="100" w:type="dxa"/>
            <w:vAlign w:val="bottom"/>
            <w:tcBorders>
              <w:top w:val="single" w:sz="8" w:color="CCEEFF"/>
            </w:tcBorders>
            <w:shd w:val="clear" w:color="auto" w:fill="CCEEFF"/>
          </w:tcPr>
          <w:p>
            <w:pPr>
              <w:spacing w:after="0"/>
              <w:rPr>
                <w:sz w:val="18"/>
                <w:szCs w:val="18"/>
                <w:color w:val="auto"/>
              </w:rPr>
            </w:pPr>
          </w:p>
        </w:tc>
        <w:tc>
          <w:tcPr>
            <w:tcW w:w="300" w:type="dxa"/>
            <w:vAlign w:val="bottom"/>
            <w:tcBorders>
              <w:top w:val="single" w:sz="8" w:color="auto"/>
            </w:tcBorders>
            <w:shd w:val="clear" w:color="auto" w:fill="CCEEFF"/>
          </w:tcPr>
          <w:p>
            <w:pPr>
              <w:spacing w:after="0"/>
              <w:rPr>
                <w:sz w:val="18"/>
                <w:szCs w:val="18"/>
                <w:color w:val="auto"/>
              </w:rPr>
            </w:pPr>
          </w:p>
        </w:tc>
        <w:tc>
          <w:tcPr>
            <w:tcW w:w="9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b w:val="1"/>
                <w:bCs w:val="1"/>
                <w:color w:val="auto"/>
              </w:rPr>
              <w:t>424,225</w:t>
            </w:r>
          </w:p>
        </w:tc>
        <w:tc>
          <w:tcPr>
            <w:tcW w:w="100" w:type="dxa"/>
            <w:vAlign w:val="bottom"/>
            <w:tcBorders>
              <w:top w:val="single" w:sz="8" w:color="CCEEFF"/>
            </w:tcBorders>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333,805</w:t>
            </w:r>
          </w:p>
        </w:tc>
        <w:tc>
          <w:tcPr>
            <w:tcW w:w="0" w:type="dxa"/>
            <w:vAlign w:val="bottom"/>
          </w:tcPr>
          <w:p>
            <w:pPr>
              <w:spacing w:after="0"/>
              <w:rPr>
                <w:sz w:val="1"/>
                <w:szCs w:val="1"/>
                <w:color w:val="auto"/>
              </w:rPr>
            </w:pPr>
          </w:p>
        </w:tc>
      </w:tr>
      <w:tr>
        <w:trPr>
          <w:trHeight w:val="230"/>
        </w:trPr>
        <w:tc>
          <w:tcPr>
            <w:tcW w:w="612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Provision for income taxes</w:t>
            </w:r>
          </w:p>
        </w:tc>
        <w:tc>
          <w:tcPr>
            <w:tcW w:w="14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b w:val="1"/>
                <w:bCs w:val="1"/>
                <w:color w:val="auto"/>
              </w:rPr>
              <w:t>34,198</w:t>
            </w:r>
          </w:p>
        </w:tc>
        <w:tc>
          <w:tcPr>
            <w:tcW w:w="120" w:type="dxa"/>
            <w:vAlign w:val="bottom"/>
            <w:tcBorders>
              <w:bottom w:val="single" w:sz="8" w:color="CCEEFF"/>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25,134</w:t>
            </w:r>
          </w:p>
        </w:tc>
        <w:tc>
          <w:tcPr>
            <w:tcW w:w="100" w:type="dxa"/>
            <w:vAlign w:val="bottom"/>
            <w:tcBorders>
              <w:bottom w:val="single" w:sz="8" w:color="CCEEFF"/>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b w:val="1"/>
                <w:bCs w:val="1"/>
                <w:color w:val="auto"/>
              </w:rPr>
              <w:t>54,151</w:t>
            </w:r>
          </w:p>
        </w:tc>
        <w:tc>
          <w:tcPr>
            <w:tcW w:w="100" w:type="dxa"/>
            <w:vAlign w:val="bottom"/>
            <w:tcBorders>
              <w:bottom w:val="single" w:sz="8" w:color="CCEEFF"/>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8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52,068</w:t>
            </w:r>
          </w:p>
        </w:tc>
        <w:tc>
          <w:tcPr>
            <w:tcW w:w="0" w:type="dxa"/>
            <w:vAlign w:val="bottom"/>
          </w:tcPr>
          <w:p>
            <w:pPr>
              <w:spacing w:after="0"/>
              <w:rPr>
                <w:sz w:val="1"/>
                <w:szCs w:val="1"/>
                <w:color w:val="auto"/>
              </w:rPr>
            </w:pPr>
          </w:p>
        </w:tc>
      </w:tr>
      <w:tr>
        <w:trPr>
          <w:trHeight w:val="234"/>
        </w:trPr>
        <w:tc>
          <w:tcPr>
            <w:tcW w:w="612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Net income</w:t>
            </w:r>
          </w:p>
        </w:tc>
        <w:tc>
          <w:tcPr>
            <w:tcW w:w="1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b w:val="1"/>
                <w:bCs w:val="1"/>
                <w:color w:val="auto"/>
                <w:w w:val="93"/>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b w:val="1"/>
                <w:bCs w:val="1"/>
                <w:color w:val="auto"/>
              </w:rPr>
              <w:t>182,248</w:t>
            </w:r>
          </w:p>
        </w:tc>
        <w:tc>
          <w:tcPr>
            <w:tcW w:w="120" w:type="dxa"/>
            <w:vAlign w:val="bottom"/>
            <w:tcBorders>
              <w:bottom w:val="single" w:sz="8" w:color="CCEEFF"/>
            </w:tcBorders>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jc w:val="right"/>
              <w:ind w:right="95"/>
              <w:spacing w:after="0"/>
              <w:rPr>
                <w:sz w:val="20"/>
                <w:szCs w:val="20"/>
                <w:color w:val="auto"/>
              </w:rPr>
            </w:pPr>
            <w:r>
              <w:rPr>
                <w:rFonts w:ascii="Times New Roman" w:cs="Times New Roman" w:eastAsia="Times New Roman" w:hAnsi="Times New Roman"/>
                <w:sz w:val="17"/>
                <w:szCs w:val="17"/>
                <w:color w:val="auto"/>
                <w:w w:val="93"/>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163,642</w:t>
            </w:r>
          </w:p>
        </w:tc>
        <w:tc>
          <w:tcPr>
            <w:tcW w:w="100" w:type="dxa"/>
            <w:vAlign w:val="bottom"/>
            <w:tcBorders>
              <w:bottom w:val="single" w:sz="8" w:color="CCEEFF"/>
            </w:tcBorders>
            <w:shd w:val="clear" w:color="auto" w:fill="CCEEFF"/>
          </w:tcPr>
          <w:p>
            <w:pPr>
              <w:spacing w:after="0"/>
              <w:rPr>
                <w:sz w:val="19"/>
                <w:szCs w:val="19"/>
                <w:color w:val="auto"/>
              </w:rPr>
            </w:pPr>
          </w:p>
        </w:tc>
        <w:tc>
          <w:tcPr>
            <w:tcW w:w="300" w:type="dxa"/>
            <w:vAlign w:val="bottom"/>
            <w:tcBorders>
              <w:bottom w:val="single" w:sz="8" w:color="auto"/>
            </w:tcBorders>
            <w:shd w:val="clear" w:color="auto" w:fill="CCEEFF"/>
          </w:tcPr>
          <w:p>
            <w:pPr>
              <w:jc w:val="right"/>
              <w:ind w:right="115"/>
              <w:spacing w:after="0"/>
              <w:rPr>
                <w:sz w:val="20"/>
                <w:szCs w:val="20"/>
                <w:color w:val="auto"/>
              </w:rPr>
            </w:pPr>
            <w:r>
              <w:rPr>
                <w:rFonts w:ascii="Times New Roman" w:cs="Times New Roman" w:eastAsia="Times New Roman" w:hAnsi="Times New Roman"/>
                <w:sz w:val="17"/>
                <w:szCs w:val="17"/>
                <w:b w:val="1"/>
                <w:bCs w:val="1"/>
                <w:color w:val="auto"/>
                <w:w w:val="93"/>
              </w:rPr>
              <w:t>$</w:t>
            </w:r>
          </w:p>
        </w:tc>
        <w:tc>
          <w:tcPr>
            <w:tcW w:w="9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b w:val="1"/>
                <w:bCs w:val="1"/>
                <w:color w:val="auto"/>
              </w:rPr>
              <w:t>370,074</w:t>
            </w:r>
          </w:p>
        </w:tc>
        <w:tc>
          <w:tcPr>
            <w:tcW w:w="100" w:type="dxa"/>
            <w:vAlign w:val="bottom"/>
            <w:tcBorders>
              <w:bottom w:val="single" w:sz="8" w:color="CCEEFF"/>
            </w:tcBorders>
            <w:shd w:val="clear" w:color="auto" w:fill="CCEEFF"/>
          </w:tcPr>
          <w:p>
            <w:pPr>
              <w:spacing w:after="0"/>
              <w:rPr>
                <w:sz w:val="19"/>
                <w:szCs w:val="19"/>
                <w:color w:val="auto"/>
              </w:rPr>
            </w:pPr>
          </w:p>
        </w:tc>
        <w:tc>
          <w:tcPr>
            <w:tcW w:w="320" w:type="dxa"/>
            <w:vAlign w:val="bottom"/>
            <w:tcBorders>
              <w:bottom w:val="single" w:sz="8" w:color="auto"/>
            </w:tcBorders>
            <w:shd w:val="clear" w:color="auto" w:fill="CCEEFF"/>
          </w:tcPr>
          <w:p>
            <w:pPr>
              <w:jc w:val="right"/>
              <w:ind w:right="135"/>
              <w:spacing w:after="0"/>
              <w:rPr>
                <w:sz w:val="20"/>
                <w:szCs w:val="20"/>
                <w:color w:val="auto"/>
              </w:rPr>
            </w:pPr>
            <w:r>
              <w:rPr>
                <w:rFonts w:ascii="Times New Roman" w:cs="Times New Roman" w:eastAsia="Times New Roman" w:hAnsi="Times New Roman"/>
                <w:sz w:val="17"/>
                <w:szCs w:val="17"/>
                <w:color w:val="auto"/>
                <w:w w:val="93"/>
              </w:rPr>
              <w:t>$</w:t>
            </w:r>
          </w:p>
        </w:tc>
        <w:tc>
          <w:tcPr>
            <w:tcW w:w="8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281,737</w:t>
            </w:r>
          </w:p>
        </w:tc>
        <w:tc>
          <w:tcPr>
            <w:tcW w:w="0" w:type="dxa"/>
            <w:vAlign w:val="bottom"/>
          </w:tcPr>
          <w:p>
            <w:pPr>
              <w:spacing w:after="0"/>
              <w:rPr>
                <w:sz w:val="1"/>
                <w:szCs w:val="1"/>
                <w:color w:val="auto"/>
              </w:rPr>
            </w:pPr>
          </w:p>
        </w:tc>
      </w:tr>
      <w:tr>
        <w:trPr>
          <w:trHeight w:val="20"/>
        </w:trPr>
        <w:tc>
          <w:tcPr>
            <w:tcW w:w="6120" w:type="dxa"/>
            <w:vAlign w:val="bottom"/>
            <w:tcBorders>
              <w:top w:val="single" w:sz="8" w:color="CCEEFF"/>
              <w:bottom w:val="single" w:sz="8" w:color="CCEEFF"/>
            </w:tcBorders>
            <w:vMerge w:val="restart"/>
          </w:tcPr>
          <w:p>
            <w:pPr>
              <w:ind w:left="20"/>
              <w:spacing w:after="0"/>
              <w:rPr>
                <w:sz w:val="20"/>
                <w:szCs w:val="20"/>
                <w:color w:val="auto"/>
              </w:rPr>
            </w:pPr>
            <w:r>
              <w:rPr>
                <w:rFonts w:ascii="Times New Roman" w:cs="Times New Roman" w:eastAsia="Times New Roman" w:hAnsi="Times New Roman"/>
                <w:sz w:val="18"/>
                <w:szCs w:val="18"/>
                <w:color w:val="auto"/>
              </w:rPr>
              <w:t>Earnings per share:</w:t>
            </w: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6"/>
        </w:trPr>
        <w:tc>
          <w:tcPr>
            <w:tcW w:w="6120" w:type="dxa"/>
            <w:vAlign w:val="bottom"/>
            <w:vMerge w:val="continue"/>
          </w:tcPr>
          <w:p>
            <w:pPr>
              <w:spacing w:after="0"/>
              <w:rPr>
                <w:sz w:val="16"/>
                <w:szCs w:val="16"/>
                <w:color w:val="auto"/>
              </w:rPr>
            </w:pPr>
          </w:p>
        </w:tc>
        <w:tc>
          <w:tcPr>
            <w:tcW w:w="14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4"/>
        </w:trPr>
        <w:tc>
          <w:tcPr>
            <w:tcW w:w="61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Basic earnings per share</w:t>
            </w: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b w:val="1"/>
                <w:bCs w:val="1"/>
                <w:color w:val="auto"/>
                <w:w w:val="93"/>
              </w:rPr>
              <w:t>$</w:t>
            </w:r>
          </w:p>
        </w:tc>
        <w:tc>
          <w:tcPr>
            <w:tcW w:w="10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b w:val="1"/>
                <w:bCs w:val="1"/>
                <w:color w:val="auto"/>
              </w:rPr>
              <w:t>1.58</w:t>
            </w:r>
          </w:p>
        </w:tc>
        <w:tc>
          <w:tcPr>
            <w:tcW w:w="120" w:type="dxa"/>
            <w:vAlign w:val="bottom"/>
            <w:shd w:val="clear" w:color="auto" w:fill="CCEEFF"/>
          </w:tcPr>
          <w:p>
            <w:pPr>
              <w:spacing w:after="0"/>
              <w:rPr>
                <w:sz w:val="20"/>
                <w:szCs w:val="20"/>
                <w:color w:val="auto"/>
              </w:rPr>
            </w:pPr>
          </w:p>
        </w:tc>
        <w:tc>
          <w:tcPr>
            <w:tcW w:w="280" w:type="dxa"/>
            <w:vAlign w:val="bottom"/>
            <w:shd w:val="clear" w:color="auto" w:fill="CCEEFF"/>
          </w:tcPr>
          <w:p>
            <w:pPr>
              <w:jc w:val="right"/>
              <w:ind w:right="95"/>
              <w:spacing w:after="0"/>
              <w:rPr>
                <w:sz w:val="20"/>
                <w:szCs w:val="20"/>
                <w:color w:val="auto"/>
              </w:rPr>
            </w:pPr>
            <w:r>
              <w:rPr>
                <w:rFonts w:ascii="Times New Roman" w:cs="Times New Roman" w:eastAsia="Times New Roman" w:hAnsi="Times New Roman"/>
                <w:sz w:val="17"/>
                <w:szCs w:val="17"/>
                <w:color w:val="auto"/>
                <w:w w:val="93"/>
              </w:rPr>
              <w:t>$</w:t>
            </w: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1.44</w:t>
            </w:r>
          </w:p>
        </w:tc>
        <w:tc>
          <w:tcPr>
            <w:tcW w:w="100" w:type="dxa"/>
            <w:vAlign w:val="bottom"/>
            <w:shd w:val="clear" w:color="auto" w:fill="CCEEFF"/>
          </w:tcPr>
          <w:p>
            <w:pPr>
              <w:spacing w:after="0"/>
              <w:rPr>
                <w:sz w:val="20"/>
                <w:szCs w:val="20"/>
                <w:color w:val="auto"/>
              </w:rPr>
            </w:pPr>
          </w:p>
        </w:tc>
        <w:tc>
          <w:tcPr>
            <w:tcW w:w="300" w:type="dxa"/>
            <w:vAlign w:val="bottom"/>
            <w:shd w:val="clear" w:color="auto" w:fill="CCEEFF"/>
          </w:tcPr>
          <w:p>
            <w:pPr>
              <w:jc w:val="right"/>
              <w:ind w:right="115"/>
              <w:spacing w:after="0"/>
              <w:rPr>
                <w:sz w:val="20"/>
                <w:szCs w:val="20"/>
                <w:color w:val="auto"/>
              </w:rPr>
            </w:pPr>
            <w:r>
              <w:rPr>
                <w:rFonts w:ascii="Times New Roman" w:cs="Times New Roman" w:eastAsia="Times New Roman" w:hAnsi="Times New Roman"/>
                <w:sz w:val="17"/>
                <w:szCs w:val="17"/>
                <w:b w:val="1"/>
                <w:bCs w:val="1"/>
                <w:color w:val="auto"/>
                <w:w w:val="93"/>
              </w:rPr>
              <w:t>$</w:t>
            </w: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b w:val="1"/>
                <w:bCs w:val="1"/>
                <w:color w:val="auto"/>
              </w:rPr>
              <w:t>3.23</w:t>
            </w:r>
          </w:p>
        </w:tc>
        <w:tc>
          <w:tcPr>
            <w:tcW w:w="100" w:type="dxa"/>
            <w:vAlign w:val="bottom"/>
            <w:shd w:val="clear" w:color="auto" w:fill="CCEEFF"/>
          </w:tcPr>
          <w:p>
            <w:pPr>
              <w:spacing w:after="0"/>
              <w:rPr>
                <w:sz w:val="20"/>
                <w:szCs w:val="20"/>
                <w:color w:val="auto"/>
              </w:rPr>
            </w:pPr>
          </w:p>
        </w:tc>
        <w:tc>
          <w:tcPr>
            <w:tcW w:w="320" w:type="dxa"/>
            <w:vAlign w:val="bottom"/>
            <w:shd w:val="clear" w:color="auto" w:fill="CCEEFF"/>
          </w:tcPr>
          <w:p>
            <w:pPr>
              <w:jc w:val="right"/>
              <w:ind w:right="135"/>
              <w:spacing w:after="0"/>
              <w:rPr>
                <w:sz w:val="20"/>
                <w:szCs w:val="20"/>
                <w:color w:val="auto"/>
              </w:rPr>
            </w:pPr>
            <w:r>
              <w:rPr>
                <w:rFonts w:ascii="Times New Roman" w:cs="Times New Roman" w:eastAsia="Times New Roman" w:hAnsi="Times New Roman"/>
                <w:sz w:val="17"/>
                <w:szCs w:val="17"/>
                <w:color w:val="auto"/>
                <w:w w:val="93"/>
              </w:rPr>
              <w:t>$</w:t>
            </w: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2.49</w:t>
            </w:r>
          </w:p>
        </w:tc>
        <w:tc>
          <w:tcPr>
            <w:tcW w:w="0" w:type="dxa"/>
            <w:vAlign w:val="bottom"/>
          </w:tcPr>
          <w:p>
            <w:pPr>
              <w:spacing w:after="0"/>
              <w:rPr>
                <w:sz w:val="1"/>
                <w:szCs w:val="1"/>
                <w:color w:val="auto"/>
              </w:rPr>
            </w:pPr>
          </w:p>
        </w:tc>
      </w:tr>
      <w:tr>
        <w:trPr>
          <w:trHeight w:val="234"/>
        </w:trPr>
        <w:tc>
          <w:tcPr>
            <w:tcW w:w="61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Diluted earnings per share</w:t>
            </w:r>
          </w:p>
        </w:tc>
        <w:tc>
          <w:tcPr>
            <w:tcW w:w="140" w:type="dxa"/>
            <w:vAlign w:val="bottom"/>
          </w:tcPr>
          <w:p>
            <w:pPr>
              <w:jc w:val="right"/>
              <w:spacing w:after="0"/>
              <w:rPr>
                <w:sz w:val="20"/>
                <w:szCs w:val="20"/>
                <w:color w:val="auto"/>
              </w:rPr>
            </w:pPr>
            <w:r>
              <w:rPr>
                <w:rFonts w:ascii="Times New Roman" w:cs="Times New Roman" w:eastAsia="Times New Roman" w:hAnsi="Times New Roman"/>
                <w:sz w:val="17"/>
                <w:szCs w:val="17"/>
                <w:b w:val="1"/>
                <w:bCs w:val="1"/>
                <w:color w:val="auto"/>
                <w:w w:val="93"/>
              </w:rPr>
              <w:t>$</w:t>
            </w:r>
          </w:p>
        </w:tc>
        <w:tc>
          <w:tcPr>
            <w:tcW w:w="1060" w:type="dxa"/>
            <w:vAlign w:val="bottom"/>
          </w:tcPr>
          <w:p>
            <w:pPr>
              <w:jc w:val="right"/>
              <w:spacing w:after="0"/>
              <w:rPr>
                <w:sz w:val="20"/>
                <w:szCs w:val="20"/>
                <w:color w:val="auto"/>
              </w:rPr>
            </w:pPr>
            <w:r>
              <w:rPr>
                <w:rFonts w:ascii="Times New Roman" w:cs="Times New Roman" w:eastAsia="Times New Roman" w:hAnsi="Times New Roman"/>
                <w:sz w:val="17"/>
                <w:szCs w:val="17"/>
                <w:b w:val="1"/>
                <w:bCs w:val="1"/>
                <w:color w:val="auto"/>
              </w:rPr>
              <w:t>1.57</w:t>
            </w:r>
          </w:p>
        </w:tc>
        <w:tc>
          <w:tcPr>
            <w:tcW w:w="120" w:type="dxa"/>
            <w:vAlign w:val="bottom"/>
          </w:tcPr>
          <w:p>
            <w:pPr>
              <w:spacing w:after="0"/>
              <w:rPr>
                <w:sz w:val="20"/>
                <w:szCs w:val="20"/>
                <w:color w:val="auto"/>
              </w:rPr>
            </w:pPr>
          </w:p>
        </w:tc>
        <w:tc>
          <w:tcPr>
            <w:tcW w:w="280" w:type="dxa"/>
            <w:vAlign w:val="bottom"/>
          </w:tcPr>
          <w:p>
            <w:pPr>
              <w:jc w:val="right"/>
              <w:ind w:right="95"/>
              <w:spacing w:after="0"/>
              <w:rPr>
                <w:sz w:val="20"/>
                <w:szCs w:val="20"/>
                <w:color w:val="auto"/>
              </w:rPr>
            </w:pPr>
            <w:r>
              <w:rPr>
                <w:rFonts w:ascii="Times New Roman" w:cs="Times New Roman" w:eastAsia="Times New Roman" w:hAnsi="Times New Roman"/>
                <w:sz w:val="17"/>
                <w:szCs w:val="17"/>
                <w:color w:val="auto"/>
                <w:w w:val="93"/>
              </w:rPr>
              <w:t>$</w:t>
            </w:r>
          </w:p>
        </w:tc>
        <w:tc>
          <w:tcPr>
            <w:tcW w:w="92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1.43</w:t>
            </w:r>
          </w:p>
        </w:tc>
        <w:tc>
          <w:tcPr>
            <w:tcW w:w="100" w:type="dxa"/>
            <w:vAlign w:val="bottom"/>
          </w:tcPr>
          <w:p>
            <w:pPr>
              <w:spacing w:after="0"/>
              <w:rPr>
                <w:sz w:val="20"/>
                <w:szCs w:val="20"/>
                <w:color w:val="auto"/>
              </w:rPr>
            </w:pPr>
          </w:p>
        </w:tc>
        <w:tc>
          <w:tcPr>
            <w:tcW w:w="300" w:type="dxa"/>
            <w:vAlign w:val="bottom"/>
          </w:tcPr>
          <w:p>
            <w:pPr>
              <w:jc w:val="right"/>
              <w:ind w:right="115"/>
              <w:spacing w:after="0"/>
              <w:rPr>
                <w:sz w:val="20"/>
                <w:szCs w:val="20"/>
                <w:color w:val="auto"/>
              </w:rPr>
            </w:pPr>
            <w:r>
              <w:rPr>
                <w:rFonts w:ascii="Times New Roman" w:cs="Times New Roman" w:eastAsia="Times New Roman" w:hAnsi="Times New Roman"/>
                <w:sz w:val="17"/>
                <w:szCs w:val="17"/>
                <w:b w:val="1"/>
                <w:bCs w:val="1"/>
                <w:color w:val="auto"/>
                <w:w w:val="93"/>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17"/>
                <w:szCs w:val="17"/>
                <w:b w:val="1"/>
                <w:bCs w:val="1"/>
                <w:color w:val="auto"/>
              </w:rPr>
              <w:t>3.20</w:t>
            </w:r>
          </w:p>
        </w:tc>
        <w:tc>
          <w:tcPr>
            <w:tcW w:w="100" w:type="dxa"/>
            <w:vAlign w:val="bottom"/>
          </w:tcPr>
          <w:p>
            <w:pPr>
              <w:spacing w:after="0"/>
              <w:rPr>
                <w:sz w:val="20"/>
                <w:szCs w:val="20"/>
                <w:color w:val="auto"/>
              </w:rPr>
            </w:pPr>
          </w:p>
        </w:tc>
        <w:tc>
          <w:tcPr>
            <w:tcW w:w="320" w:type="dxa"/>
            <w:vAlign w:val="bottom"/>
          </w:tcPr>
          <w:p>
            <w:pPr>
              <w:jc w:val="right"/>
              <w:ind w:right="135"/>
              <w:spacing w:after="0"/>
              <w:rPr>
                <w:sz w:val="20"/>
                <w:szCs w:val="20"/>
                <w:color w:val="auto"/>
              </w:rPr>
            </w:pPr>
            <w:r>
              <w:rPr>
                <w:rFonts w:ascii="Times New Roman" w:cs="Times New Roman" w:eastAsia="Times New Roman" w:hAnsi="Times New Roman"/>
                <w:sz w:val="17"/>
                <w:szCs w:val="17"/>
                <w:color w:val="auto"/>
                <w:w w:val="93"/>
              </w:rPr>
              <w:t>$</w:t>
            </w:r>
          </w:p>
        </w:tc>
        <w:tc>
          <w:tcPr>
            <w:tcW w:w="8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2.47</w:t>
            </w:r>
          </w:p>
        </w:tc>
        <w:tc>
          <w:tcPr>
            <w:tcW w:w="0" w:type="dxa"/>
            <w:vAlign w:val="bottom"/>
          </w:tcPr>
          <w:p>
            <w:pPr>
              <w:spacing w:after="0"/>
              <w:rPr>
                <w:sz w:val="1"/>
                <w:szCs w:val="1"/>
                <w:color w:val="auto"/>
              </w:rPr>
            </w:pPr>
          </w:p>
        </w:tc>
      </w:tr>
    </w:tbl>
    <w:p>
      <w:pPr>
        <w:spacing w:after="0" w:line="112" w:lineRule="exact"/>
        <w:rPr>
          <w:sz w:val="20"/>
          <w:szCs w:val="20"/>
          <w:color w:val="auto"/>
        </w:rPr>
      </w:pPr>
    </w:p>
    <w:p>
      <w:pPr>
        <w:jc w:val="center"/>
        <w:ind w:left="360"/>
        <w:spacing w:after="0"/>
        <w:rPr>
          <w:sz w:val="20"/>
          <w:szCs w:val="20"/>
          <w:color w:val="auto"/>
        </w:rPr>
      </w:pPr>
      <w:r>
        <w:rPr>
          <w:rFonts w:ascii="Times New Roman" w:cs="Times New Roman" w:eastAsia="Times New Roman" w:hAnsi="Times New Roman"/>
          <w:sz w:val="18"/>
          <w:szCs w:val="18"/>
          <w:color w:val="auto"/>
        </w:rPr>
        <w:t>See accompanying Notes.</w:t>
      </w: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4" w:right="339" w:bottom="1440" w:gutter="0" w:footer="0" w:header="0"/>
        </w:sectPr>
      </w:pPr>
    </w:p>
    <w:bookmarkStart w:id="4" w:name="page5"/>
    <w:bookmarkEnd w:id="4"/>
    <w:p>
      <w:pPr>
        <w:spacing w:after="0"/>
        <w:rPr>
          <w:rFonts w:ascii="Times New Roman" w:cs="Times New Roman" w:eastAsia="Times New Roman" w:hAnsi="Times New Roman"/>
          <w:sz w:val="18"/>
          <w:szCs w:val="18"/>
          <w:u w:val="single" w:color="auto"/>
          <w:color w:val="0000FF"/>
        </w:rPr>
      </w:pPr>
      <w:hyperlink w:anchor="page1">
        <w:r>
          <w:rPr>
            <w:rFonts w:ascii="Times New Roman" w:cs="Times New Roman" w:eastAsia="Times New Roman" w:hAnsi="Times New Roman"/>
            <w:sz w:val="18"/>
            <w:szCs w:val="18"/>
            <w:u w:val="single" w:color="auto"/>
            <w:color w:val="0000FF"/>
          </w:rPr>
          <w:t>Table of Contents</w:t>
        </w:r>
      </w:hyperlink>
    </w:p>
    <w:p>
      <w:pPr>
        <w:spacing w:after="0" w:line="200" w:lineRule="exact"/>
        <w:rPr>
          <w:sz w:val="20"/>
          <w:szCs w:val="20"/>
          <w:color w:val="auto"/>
        </w:rPr>
      </w:pPr>
    </w:p>
    <w:p>
      <w:pPr>
        <w:spacing w:after="0" w:line="264" w:lineRule="exact"/>
        <w:rPr>
          <w:sz w:val="20"/>
          <w:szCs w:val="20"/>
          <w:color w:val="auto"/>
        </w:rPr>
      </w:pPr>
    </w:p>
    <w:p>
      <w:pPr>
        <w:jc w:val="center"/>
        <w:spacing w:after="0" w:line="497" w:lineRule="auto"/>
        <w:rPr>
          <w:sz w:val="20"/>
          <w:szCs w:val="20"/>
          <w:color w:val="auto"/>
        </w:rPr>
      </w:pPr>
      <w:r>
        <w:rPr>
          <w:rFonts w:ascii="Times New Roman" w:cs="Times New Roman" w:eastAsia="Times New Roman" w:hAnsi="Times New Roman"/>
          <w:sz w:val="18"/>
          <w:szCs w:val="18"/>
          <w:b w:val="1"/>
          <w:bCs w:val="1"/>
          <w:color w:val="auto"/>
        </w:rPr>
        <w:t>TAKE-TWO INTERACTIVE SOFTWARE, INC. CONDENSED CONSOLIDATED STATEMENTS OF COMPREHENSIVE INCOME (Unaudited) (in thousands)</w:t>
      </w: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6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2100" w:type="dxa"/>
            <w:vAlign w:val="bottom"/>
            <w:gridSpan w:val="5"/>
          </w:tcPr>
          <w:p>
            <w:pPr>
              <w:ind w:left="220"/>
              <w:spacing w:after="0"/>
              <w:rPr>
                <w:sz w:val="20"/>
                <w:szCs w:val="20"/>
                <w:color w:val="auto"/>
              </w:rPr>
            </w:pPr>
            <w:r>
              <w:rPr>
                <w:rFonts w:ascii="Times New Roman" w:cs="Times New Roman" w:eastAsia="Times New Roman" w:hAnsi="Times New Roman"/>
                <w:sz w:val="14"/>
                <w:szCs w:val="14"/>
                <w:b w:val="1"/>
                <w:bCs w:val="1"/>
                <w:color w:val="auto"/>
              </w:rPr>
              <w:t>Three Months Ended</w:t>
            </w:r>
          </w:p>
        </w:tc>
        <w:tc>
          <w:tcPr>
            <w:tcW w:w="2240" w:type="dxa"/>
            <w:vAlign w:val="bottom"/>
            <w:gridSpan w:val="5"/>
            <w:vMerge w:val="restart"/>
          </w:tcPr>
          <w:p>
            <w:pPr>
              <w:jc w:val="right"/>
              <w:spacing w:after="0"/>
              <w:rPr>
                <w:sz w:val="20"/>
                <w:szCs w:val="20"/>
                <w:color w:val="auto"/>
              </w:rPr>
            </w:pPr>
            <w:r>
              <w:rPr>
                <w:rFonts w:ascii="Times New Roman" w:cs="Times New Roman" w:eastAsia="Times New Roman" w:hAnsi="Times New Roman"/>
                <w:sz w:val="14"/>
                <w:szCs w:val="14"/>
                <w:b w:val="1"/>
                <w:bCs w:val="1"/>
                <w:color w:val="auto"/>
              </w:rPr>
              <w:t>Nine Months Ended December 31,</w:t>
            </w:r>
          </w:p>
        </w:tc>
        <w:tc>
          <w:tcPr>
            <w:tcW w:w="0" w:type="dxa"/>
            <w:vAlign w:val="bottom"/>
          </w:tcPr>
          <w:p>
            <w:pPr>
              <w:spacing w:after="0"/>
              <w:rPr>
                <w:sz w:val="1"/>
                <w:szCs w:val="1"/>
                <w:color w:val="auto"/>
              </w:rPr>
            </w:pPr>
          </w:p>
        </w:tc>
      </w:tr>
      <w:tr>
        <w:trPr>
          <w:trHeight w:val="189"/>
        </w:trPr>
        <w:tc>
          <w:tcPr>
            <w:tcW w:w="664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30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70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240" w:type="dxa"/>
            <w:vAlign w:val="bottom"/>
            <w:tcBorders>
              <w:bottom w:val="single" w:sz="8" w:color="auto"/>
            </w:tcBorders>
            <w:gridSpan w:val="5"/>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09"/>
        </w:trPr>
        <w:tc>
          <w:tcPr>
            <w:tcW w:w="6640" w:type="dxa"/>
            <w:vAlign w:val="bottom"/>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ind w:right="315"/>
              <w:spacing w:after="0"/>
              <w:rPr>
                <w:sz w:val="20"/>
                <w:szCs w:val="20"/>
                <w:color w:val="auto"/>
              </w:rPr>
            </w:pPr>
            <w:r>
              <w:rPr>
                <w:rFonts w:ascii="Times New Roman" w:cs="Times New Roman" w:eastAsia="Times New Roman" w:hAnsi="Times New Roman"/>
                <w:sz w:val="14"/>
                <w:szCs w:val="14"/>
                <w:b w:val="1"/>
                <w:bCs w:val="1"/>
                <w:color w:val="auto"/>
              </w:rPr>
              <w:t>2020</w:t>
            </w:r>
          </w:p>
        </w:tc>
        <w:tc>
          <w:tcPr>
            <w:tcW w:w="100" w:type="dxa"/>
            <w:vAlign w:val="bottom"/>
            <w:shd w:val="clear" w:color="auto" w:fill="CCEEFF"/>
          </w:tcPr>
          <w:p>
            <w:pPr>
              <w:spacing w:after="0"/>
              <w:rPr>
                <w:sz w:val="18"/>
                <w:szCs w:val="18"/>
                <w:color w:val="auto"/>
              </w:rPr>
            </w:pPr>
          </w:p>
        </w:tc>
        <w:tc>
          <w:tcPr>
            <w:tcW w:w="380" w:type="dxa"/>
            <w:vAlign w:val="bottom"/>
            <w:tcBorders>
              <w:bottom w:val="single" w:sz="8" w:color="auto"/>
            </w:tcBorders>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w w:val="99"/>
              </w:rPr>
              <w:t>2019</w:t>
            </w:r>
          </w:p>
        </w:tc>
        <w:tc>
          <w:tcPr>
            <w:tcW w:w="10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2020</w:t>
            </w:r>
          </w:p>
        </w:tc>
        <w:tc>
          <w:tcPr>
            <w:tcW w:w="12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ind w:right="292"/>
              <w:spacing w:after="0"/>
              <w:rPr>
                <w:sz w:val="20"/>
                <w:szCs w:val="20"/>
                <w:color w:val="auto"/>
              </w:rPr>
            </w:pPr>
            <w:r>
              <w:rPr>
                <w:rFonts w:ascii="Times New Roman" w:cs="Times New Roman" w:eastAsia="Times New Roman" w:hAnsi="Times New Roman"/>
                <w:sz w:val="14"/>
                <w:szCs w:val="14"/>
                <w:b w:val="1"/>
                <w:bCs w:val="1"/>
                <w:color w:val="auto"/>
              </w:rPr>
              <w:t>2019</w:t>
            </w:r>
          </w:p>
        </w:tc>
        <w:tc>
          <w:tcPr>
            <w:tcW w:w="0" w:type="dxa"/>
            <w:vAlign w:val="bottom"/>
          </w:tcPr>
          <w:p>
            <w:pPr>
              <w:spacing w:after="0"/>
              <w:rPr>
                <w:sz w:val="1"/>
                <w:szCs w:val="1"/>
                <w:color w:val="auto"/>
              </w:rPr>
            </w:pPr>
          </w:p>
        </w:tc>
      </w:tr>
      <w:tr>
        <w:trPr>
          <w:trHeight w:val="223"/>
        </w:trPr>
        <w:tc>
          <w:tcPr>
            <w:tcW w:w="66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Net income</w:t>
            </w:r>
          </w:p>
        </w:tc>
        <w:tc>
          <w:tcPr>
            <w:tcW w:w="260" w:type="dxa"/>
            <w:vAlign w:val="bottom"/>
          </w:tcPr>
          <w:p>
            <w:pPr>
              <w:jc w:val="right"/>
              <w:ind w:right="50"/>
              <w:spacing w:after="0"/>
              <w:rPr>
                <w:sz w:val="20"/>
                <w:szCs w:val="20"/>
                <w:color w:val="auto"/>
              </w:rPr>
            </w:pPr>
            <w:r>
              <w:rPr>
                <w:rFonts w:ascii="Times New Roman" w:cs="Times New Roman" w:eastAsia="Times New Roman" w:hAnsi="Times New Roman"/>
                <w:sz w:val="18"/>
                <w:szCs w:val="18"/>
                <w:b w:val="1"/>
                <w:bCs w:val="1"/>
                <w:color w:val="auto"/>
              </w:rPr>
              <w:t>$</w:t>
            </w: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182,248</w:t>
            </w:r>
          </w:p>
        </w:tc>
        <w:tc>
          <w:tcPr>
            <w:tcW w:w="100" w:type="dxa"/>
            <w:vAlign w:val="bottom"/>
          </w:tcPr>
          <w:p>
            <w:pPr>
              <w:spacing w:after="0"/>
              <w:rPr>
                <w:sz w:val="19"/>
                <w:szCs w:val="19"/>
                <w:color w:val="auto"/>
              </w:rPr>
            </w:pPr>
          </w:p>
        </w:tc>
        <w:tc>
          <w:tcPr>
            <w:tcW w:w="380" w:type="dxa"/>
            <w:vAlign w:val="bottom"/>
          </w:tcPr>
          <w:p>
            <w:pPr>
              <w:jc w:val="right"/>
              <w:ind w:right="170"/>
              <w:spacing w:after="0"/>
              <w:rPr>
                <w:sz w:val="20"/>
                <w:szCs w:val="20"/>
                <w:color w:val="auto"/>
              </w:rPr>
            </w:pPr>
            <w:r>
              <w:rPr>
                <w:rFonts w:ascii="Times New Roman" w:cs="Times New Roman" w:eastAsia="Times New Roman" w:hAnsi="Times New Roman"/>
                <w:sz w:val="18"/>
                <w:szCs w:val="18"/>
                <w:color w:val="auto"/>
              </w:rPr>
              <w:t>$</w:t>
            </w: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163,642</w:t>
            </w:r>
          </w:p>
        </w:tc>
        <w:tc>
          <w:tcPr>
            <w:tcW w:w="100" w:type="dxa"/>
            <w:vAlign w:val="bottom"/>
          </w:tcPr>
          <w:p>
            <w:pPr>
              <w:spacing w:after="0"/>
              <w:rPr>
                <w:sz w:val="19"/>
                <w:szCs w:val="19"/>
                <w:color w:val="auto"/>
              </w:rPr>
            </w:pPr>
          </w:p>
        </w:tc>
        <w:tc>
          <w:tcPr>
            <w:tcW w:w="240" w:type="dxa"/>
            <w:vAlign w:val="bottom"/>
          </w:tcPr>
          <w:p>
            <w:pPr>
              <w:jc w:val="right"/>
              <w:ind w:right="56"/>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370,074</w:t>
            </w:r>
          </w:p>
        </w:tc>
        <w:tc>
          <w:tcPr>
            <w:tcW w:w="120" w:type="dxa"/>
            <w:vAlign w:val="bottom"/>
          </w:tcPr>
          <w:p>
            <w:pPr>
              <w:spacing w:after="0"/>
              <w:rPr>
                <w:sz w:val="19"/>
                <w:szCs w:val="19"/>
                <w:color w:val="auto"/>
              </w:rPr>
            </w:pP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281,737</w:t>
            </w:r>
          </w:p>
        </w:tc>
        <w:tc>
          <w:tcPr>
            <w:tcW w:w="0" w:type="dxa"/>
            <w:vAlign w:val="bottom"/>
          </w:tcPr>
          <w:p>
            <w:pPr>
              <w:spacing w:after="0"/>
              <w:rPr>
                <w:sz w:val="1"/>
                <w:szCs w:val="1"/>
                <w:color w:val="auto"/>
              </w:rPr>
            </w:pPr>
          </w:p>
        </w:tc>
      </w:tr>
      <w:tr>
        <w:trPr>
          <w:trHeight w:val="229"/>
        </w:trPr>
        <w:tc>
          <w:tcPr>
            <w:tcW w:w="66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Other comprehensive income (loss):</w:t>
            </w:r>
          </w:p>
        </w:tc>
        <w:tc>
          <w:tcPr>
            <w:tcW w:w="26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7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64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Foreign currency translation adjustment</w:t>
            </w:r>
          </w:p>
        </w:tc>
        <w:tc>
          <w:tcPr>
            <w:tcW w:w="26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30,135</w:t>
            </w:r>
          </w:p>
        </w:tc>
        <w:tc>
          <w:tcPr>
            <w:tcW w:w="1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18,172</w:t>
            </w: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53,697</w:t>
            </w: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(3,192)</w:t>
            </w:r>
          </w:p>
        </w:tc>
        <w:tc>
          <w:tcPr>
            <w:tcW w:w="0" w:type="dxa"/>
            <w:vAlign w:val="bottom"/>
          </w:tcPr>
          <w:p>
            <w:pPr>
              <w:spacing w:after="0"/>
              <w:rPr>
                <w:sz w:val="1"/>
                <w:szCs w:val="1"/>
                <w:color w:val="auto"/>
              </w:rPr>
            </w:pPr>
          </w:p>
        </w:tc>
      </w:tr>
      <w:tr>
        <w:trPr>
          <w:trHeight w:val="229"/>
        </w:trPr>
        <w:tc>
          <w:tcPr>
            <w:tcW w:w="664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Cash flow hedges:</w:t>
            </w:r>
          </w:p>
        </w:tc>
        <w:tc>
          <w:tcPr>
            <w:tcW w:w="26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7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664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Change in unrealized gains</w:t>
            </w:r>
          </w:p>
        </w:tc>
        <w:tc>
          <w:tcPr>
            <w:tcW w:w="260" w:type="dxa"/>
            <w:vAlign w:val="bottom"/>
          </w:tcPr>
          <w:p>
            <w:pPr>
              <w:spacing w:after="0"/>
              <w:rPr>
                <w:sz w:val="19"/>
                <w:szCs w:val="19"/>
                <w:color w:val="auto"/>
              </w:rPr>
            </w:pPr>
          </w:p>
        </w:tc>
        <w:tc>
          <w:tcPr>
            <w:tcW w:w="92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b w:val="1"/>
                <w:bCs w:val="1"/>
                <w:color w:val="auto"/>
              </w:rPr>
              <w:t>—</w:t>
            </w:r>
          </w:p>
        </w:tc>
        <w:tc>
          <w:tcPr>
            <w:tcW w:w="38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(3,728)</w:t>
            </w: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(3,817)</w:t>
            </w: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2,297</w:t>
            </w:r>
          </w:p>
        </w:tc>
        <w:tc>
          <w:tcPr>
            <w:tcW w:w="0" w:type="dxa"/>
            <w:vAlign w:val="bottom"/>
          </w:tcPr>
          <w:p>
            <w:pPr>
              <w:spacing w:after="0"/>
              <w:rPr>
                <w:sz w:val="1"/>
                <w:szCs w:val="1"/>
                <w:color w:val="auto"/>
              </w:rPr>
            </w:pPr>
          </w:p>
        </w:tc>
      </w:tr>
      <w:tr>
        <w:trPr>
          <w:trHeight w:val="230"/>
        </w:trPr>
        <w:tc>
          <w:tcPr>
            <w:tcW w:w="664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Reclassification to earnings</w:t>
            </w:r>
          </w:p>
        </w:tc>
        <w:tc>
          <w:tcPr>
            <w:tcW w:w="26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(600)</w:t>
            </w:r>
          </w:p>
        </w:tc>
        <w:tc>
          <w:tcPr>
            <w:tcW w:w="10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2,184</w:t>
            </w: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(1,933)</w:t>
            </w: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(1,157)</w:t>
            </w:r>
          </w:p>
        </w:tc>
        <w:tc>
          <w:tcPr>
            <w:tcW w:w="0" w:type="dxa"/>
            <w:vAlign w:val="bottom"/>
          </w:tcPr>
          <w:p>
            <w:pPr>
              <w:spacing w:after="0"/>
              <w:rPr>
                <w:sz w:val="1"/>
                <w:szCs w:val="1"/>
                <w:color w:val="auto"/>
              </w:rPr>
            </w:pPr>
          </w:p>
        </w:tc>
      </w:tr>
      <w:tr>
        <w:trPr>
          <w:trHeight w:val="229"/>
        </w:trPr>
        <w:tc>
          <w:tcPr>
            <w:tcW w:w="664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Tax effect on effective cash flow hedges</w:t>
            </w:r>
          </w:p>
        </w:tc>
        <w:tc>
          <w:tcPr>
            <w:tcW w:w="260" w:type="dxa"/>
            <w:vAlign w:val="bottom"/>
          </w:tcPr>
          <w:p>
            <w:pPr>
              <w:spacing w:after="0"/>
              <w:rPr>
                <w:sz w:val="19"/>
                <w:szCs w:val="19"/>
                <w:color w:val="auto"/>
              </w:rPr>
            </w:pPr>
          </w:p>
        </w:tc>
        <w:tc>
          <w:tcPr>
            <w:tcW w:w="92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b w:val="1"/>
                <w:bCs w:val="1"/>
                <w:color w:val="auto"/>
              </w:rPr>
              <w:t>—</w:t>
            </w:r>
          </w:p>
        </w:tc>
        <w:tc>
          <w:tcPr>
            <w:tcW w:w="38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(386)</w:t>
            </w: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845</w:t>
            </w: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301</w:t>
            </w:r>
          </w:p>
        </w:tc>
        <w:tc>
          <w:tcPr>
            <w:tcW w:w="0" w:type="dxa"/>
            <w:vAlign w:val="bottom"/>
          </w:tcPr>
          <w:p>
            <w:pPr>
              <w:spacing w:after="0"/>
              <w:rPr>
                <w:sz w:val="1"/>
                <w:szCs w:val="1"/>
                <w:color w:val="auto"/>
              </w:rPr>
            </w:pPr>
          </w:p>
        </w:tc>
      </w:tr>
      <w:tr>
        <w:trPr>
          <w:trHeight w:val="223"/>
        </w:trPr>
        <w:tc>
          <w:tcPr>
            <w:tcW w:w="6640" w:type="dxa"/>
            <w:vAlign w:val="bottom"/>
            <w:tcBorders>
              <w:top w:val="single" w:sz="8" w:color="auto"/>
            </w:tcBorders>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Change in fair value of effective cash flow hedge</w:t>
            </w:r>
          </w:p>
        </w:tc>
        <w:tc>
          <w:tcPr>
            <w:tcW w:w="260" w:type="dxa"/>
            <w:vAlign w:val="bottom"/>
            <w:tcBorders>
              <w:top w:val="single" w:sz="8" w:color="auto"/>
            </w:tcBorders>
            <w:shd w:val="clear" w:color="auto" w:fill="CCEEFF"/>
          </w:tcPr>
          <w:p>
            <w:pPr>
              <w:spacing w:after="0"/>
              <w:rPr>
                <w:sz w:val="19"/>
                <w:szCs w:val="19"/>
                <w:color w:val="auto"/>
              </w:rPr>
            </w:pPr>
          </w:p>
        </w:tc>
        <w:tc>
          <w:tcPr>
            <w:tcW w:w="8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(600)</w:t>
            </w:r>
          </w:p>
        </w:tc>
        <w:tc>
          <w:tcPr>
            <w:tcW w:w="100" w:type="dxa"/>
            <w:vAlign w:val="bottom"/>
            <w:tcBorders>
              <w:top w:val="single" w:sz="8" w:color="CCEEFF"/>
            </w:tcBorders>
            <w:shd w:val="clear" w:color="auto" w:fill="CCEEFF"/>
          </w:tcPr>
          <w:p>
            <w:pPr>
              <w:spacing w:after="0"/>
              <w:rPr>
                <w:sz w:val="19"/>
                <w:szCs w:val="19"/>
                <w:color w:val="auto"/>
              </w:rPr>
            </w:pPr>
          </w:p>
        </w:tc>
        <w:tc>
          <w:tcPr>
            <w:tcW w:w="380" w:type="dxa"/>
            <w:vAlign w:val="bottom"/>
            <w:tcBorders>
              <w:top w:val="single" w:sz="8" w:color="auto"/>
            </w:tcBorders>
            <w:shd w:val="clear" w:color="auto" w:fill="CCEEFF"/>
          </w:tcPr>
          <w:p>
            <w:pPr>
              <w:spacing w:after="0"/>
              <w:rPr>
                <w:sz w:val="19"/>
                <w:szCs w:val="19"/>
                <w:color w:val="auto"/>
              </w:rPr>
            </w:pPr>
          </w:p>
        </w:tc>
        <w:tc>
          <w:tcPr>
            <w:tcW w:w="7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(1,930)</w:t>
            </w:r>
          </w:p>
        </w:tc>
        <w:tc>
          <w:tcPr>
            <w:tcW w:w="100" w:type="dxa"/>
            <w:vAlign w:val="bottom"/>
            <w:tcBorders>
              <w:top w:val="single" w:sz="8" w:color="CCEEFF"/>
            </w:tcBorders>
            <w:shd w:val="clear" w:color="auto" w:fill="CCEEFF"/>
          </w:tcPr>
          <w:p>
            <w:pPr>
              <w:spacing w:after="0"/>
              <w:rPr>
                <w:sz w:val="19"/>
                <w:szCs w:val="19"/>
                <w:color w:val="auto"/>
              </w:rPr>
            </w:pPr>
          </w:p>
        </w:tc>
        <w:tc>
          <w:tcPr>
            <w:tcW w:w="240" w:type="dxa"/>
            <w:vAlign w:val="bottom"/>
            <w:tcBorders>
              <w:top w:val="single" w:sz="8" w:color="auto"/>
            </w:tcBorders>
            <w:shd w:val="clear" w:color="auto" w:fill="CCEEFF"/>
          </w:tcPr>
          <w:p>
            <w:pPr>
              <w:spacing w:after="0"/>
              <w:rPr>
                <w:sz w:val="19"/>
                <w:szCs w:val="19"/>
                <w:color w:val="auto"/>
              </w:rPr>
            </w:pPr>
          </w:p>
        </w:tc>
        <w:tc>
          <w:tcPr>
            <w:tcW w:w="8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(4,905)</w:t>
            </w:r>
          </w:p>
        </w:tc>
        <w:tc>
          <w:tcPr>
            <w:tcW w:w="120" w:type="dxa"/>
            <w:vAlign w:val="bottom"/>
            <w:tcBorders>
              <w:top w:val="single" w:sz="8" w:color="CCEEFF"/>
            </w:tcBorders>
            <w:shd w:val="clear" w:color="auto" w:fill="CCEEFF"/>
          </w:tcPr>
          <w:p>
            <w:pPr>
              <w:spacing w:after="0"/>
              <w:rPr>
                <w:sz w:val="19"/>
                <w:szCs w:val="19"/>
                <w:color w:val="auto"/>
              </w:rPr>
            </w:pPr>
          </w:p>
        </w:tc>
        <w:tc>
          <w:tcPr>
            <w:tcW w:w="240" w:type="dxa"/>
            <w:vAlign w:val="bottom"/>
            <w:tcBorders>
              <w:top w:val="single" w:sz="8" w:color="auto"/>
            </w:tcBorders>
            <w:shd w:val="clear" w:color="auto" w:fill="CCEEFF"/>
          </w:tcPr>
          <w:p>
            <w:pPr>
              <w:spacing w:after="0"/>
              <w:rPr>
                <w:sz w:val="19"/>
                <w:szCs w:val="19"/>
                <w:color w:val="auto"/>
              </w:rPr>
            </w:pPr>
          </w:p>
        </w:tc>
        <w:tc>
          <w:tcPr>
            <w:tcW w:w="8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1,441</w:t>
            </w:r>
          </w:p>
        </w:tc>
        <w:tc>
          <w:tcPr>
            <w:tcW w:w="0" w:type="dxa"/>
            <w:vAlign w:val="bottom"/>
          </w:tcPr>
          <w:p>
            <w:pPr>
              <w:spacing w:after="0"/>
              <w:rPr>
                <w:sz w:val="1"/>
                <w:szCs w:val="1"/>
                <w:color w:val="auto"/>
              </w:rPr>
            </w:pPr>
          </w:p>
        </w:tc>
      </w:tr>
      <w:tr>
        <w:trPr>
          <w:trHeight w:val="229"/>
        </w:trPr>
        <w:tc>
          <w:tcPr>
            <w:tcW w:w="6640" w:type="dxa"/>
            <w:vAlign w:val="bottom"/>
            <w:tcBorders>
              <w:bottom w:val="single" w:sz="8" w:color="auto"/>
            </w:tcBorders>
          </w:tcPr>
          <w:p>
            <w:pPr>
              <w:ind w:left="140"/>
              <w:spacing w:after="0"/>
              <w:rPr>
                <w:sz w:val="20"/>
                <w:szCs w:val="20"/>
                <w:color w:val="auto"/>
              </w:rPr>
            </w:pPr>
            <w:r>
              <w:rPr>
                <w:rFonts w:ascii="Times New Roman" w:cs="Times New Roman" w:eastAsia="Times New Roman" w:hAnsi="Times New Roman"/>
                <w:sz w:val="18"/>
                <w:szCs w:val="18"/>
                <w:color w:val="auto"/>
              </w:rPr>
              <w:t>Change in fair value of available for sale securities</w:t>
            </w:r>
          </w:p>
        </w:tc>
        <w:tc>
          <w:tcPr>
            <w:tcW w:w="26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(295)</w:t>
            </w:r>
          </w:p>
        </w:tc>
        <w:tc>
          <w:tcPr>
            <w:tcW w:w="100" w:type="dxa"/>
            <w:vAlign w:val="bottom"/>
            <w:tcBorders>
              <w:bottom w:val="single" w:sz="8" w:color="CCEEFF"/>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(267)</w:t>
            </w:r>
          </w:p>
        </w:tc>
        <w:tc>
          <w:tcPr>
            <w:tcW w:w="100" w:type="dxa"/>
            <w:vAlign w:val="bottom"/>
            <w:tcBorders>
              <w:bottom w:val="single" w:sz="8" w:color="CCEEFF"/>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4,000</w:t>
            </w:r>
          </w:p>
        </w:tc>
        <w:tc>
          <w:tcPr>
            <w:tcW w:w="120" w:type="dxa"/>
            <w:vAlign w:val="bottom"/>
            <w:tcBorders>
              <w:bottom w:val="single" w:sz="8" w:color="CCEEFF"/>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453</w:t>
            </w:r>
          </w:p>
        </w:tc>
        <w:tc>
          <w:tcPr>
            <w:tcW w:w="0" w:type="dxa"/>
            <w:vAlign w:val="bottom"/>
          </w:tcPr>
          <w:p>
            <w:pPr>
              <w:spacing w:after="0"/>
              <w:rPr>
                <w:sz w:val="1"/>
                <w:szCs w:val="1"/>
                <w:color w:val="auto"/>
              </w:rPr>
            </w:pPr>
          </w:p>
        </w:tc>
      </w:tr>
      <w:tr>
        <w:trPr>
          <w:trHeight w:val="223"/>
        </w:trPr>
        <w:tc>
          <w:tcPr>
            <w:tcW w:w="6640" w:type="dxa"/>
            <w:vAlign w:val="bottom"/>
            <w:tcBorders>
              <w:bottom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Other comprehensive income (loss)</w:t>
            </w:r>
          </w:p>
        </w:tc>
        <w:tc>
          <w:tcPr>
            <w:tcW w:w="260" w:type="dxa"/>
            <w:vAlign w:val="bottom"/>
            <w:tcBorders>
              <w:bottom w:val="single" w:sz="8" w:color="auto"/>
            </w:tcBorders>
            <w:shd w:val="clear" w:color="auto" w:fill="CCEEFF"/>
          </w:tcPr>
          <w:p>
            <w:pPr>
              <w:spacing w:after="0"/>
              <w:rPr>
                <w:sz w:val="19"/>
                <w:szCs w:val="19"/>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29,240</w:t>
            </w:r>
          </w:p>
        </w:tc>
        <w:tc>
          <w:tcPr>
            <w:tcW w:w="100" w:type="dxa"/>
            <w:vAlign w:val="bottom"/>
            <w:shd w:val="clear" w:color="auto" w:fill="CCEEFF"/>
          </w:tcPr>
          <w:p>
            <w:pPr>
              <w:spacing w:after="0"/>
              <w:rPr>
                <w:sz w:val="19"/>
                <w:szCs w:val="19"/>
                <w:color w:val="auto"/>
              </w:rPr>
            </w:pPr>
          </w:p>
        </w:tc>
        <w:tc>
          <w:tcPr>
            <w:tcW w:w="380" w:type="dxa"/>
            <w:vAlign w:val="bottom"/>
            <w:tcBorders>
              <w:bottom w:val="single" w:sz="8" w:color="auto"/>
            </w:tcBorders>
            <w:shd w:val="clear" w:color="auto" w:fill="CCEEFF"/>
          </w:tcPr>
          <w:p>
            <w:pPr>
              <w:spacing w:after="0"/>
              <w:rPr>
                <w:sz w:val="19"/>
                <w:szCs w:val="19"/>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15,975</w:t>
            </w:r>
          </w:p>
        </w:tc>
        <w:tc>
          <w:tcPr>
            <w:tcW w:w="100" w:type="dxa"/>
            <w:vAlign w:val="bottom"/>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spacing w:after="0"/>
              <w:rPr>
                <w:sz w:val="19"/>
                <w:szCs w:val="19"/>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52,792</w:t>
            </w:r>
          </w:p>
        </w:tc>
        <w:tc>
          <w:tcPr>
            <w:tcW w:w="120" w:type="dxa"/>
            <w:vAlign w:val="bottom"/>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spacing w:after="0"/>
              <w:rPr>
                <w:sz w:val="19"/>
                <w:szCs w:val="19"/>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(1,298)</w:t>
            </w:r>
          </w:p>
        </w:tc>
        <w:tc>
          <w:tcPr>
            <w:tcW w:w="0" w:type="dxa"/>
            <w:vAlign w:val="bottom"/>
          </w:tcPr>
          <w:p>
            <w:pPr>
              <w:spacing w:after="0"/>
              <w:rPr>
                <w:sz w:val="1"/>
                <w:szCs w:val="1"/>
                <w:color w:val="auto"/>
              </w:rPr>
            </w:pPr>
          </w:p>
        </w:tc>
      </w:tr>
      <w:tr>
        <w:trPr>
          <w:trHeight w:val="223"/>
        </w:trPr>
        <w:tc>
          <w:tcPr>
            <w:tcW w:w="664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Comprehensive income</w:t>
            </w:r>
          </w:p>
        </w:tc>
        <w:tc>
          <w:tcPr>
            <w:tcW w:w="260" w:type="dxa"/>
            <w:vAlign w:val="bottom"/>
            <w:tcBorders>
              <w:bottom w:val="single" w:sz="8" w:color="auto"/>
            </w:tcBorders>
          </w:tcPr>
          <w:p>
            <w:pPr>
              <w:jc w:val="right"/>
              <w:ind w:right="50"/>
              <w:spacing w:after="0"/>
              <w:rPr>
                <w:sz w:val="20"/>
                <w:szCs w:val="20"/>
                <w:color w:val="auto"/>
              </w:rPr>
            </w:pPr>
            <w:r>
              <w:rPr>
                <w:rFonts w:ascii="Times New Roman" w:cs="Times New Roman" w:eastAsia="Times New Roman" w:hAnsi="Times New Roman"/>
                <w:sz w:val="18"/>
                <w:szCs w:val="18"/>
                <w:b w:val="1"/>
                <w:bCs w:val="1"/>
                <w:color w:val="auto"/>
              </w:rPr>
              <w:t>$</w:t>
            </w:r>
          </w:p>
        </w:tc>
        <w:tc>
          <w:tcPr>
            <w:tcW w:w="8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211,488</w:t>
            </w:r>
          </w:p>
        </w:tc>
        <w:tc>
          <w:tcPr>
            <w:tcW w:w="100" w:type="dxa"/>
            <w:vAlign w:val="bottom"/>
          </w:tcPr>
          <w:p>
            <w:pPr>
              <w:spacing w:after="0"/>
              <w:rPr>
                <w:sz w:val="19"/>
                <w:szCs w:val="19"/>
                <w:color w:val="auto"/>
              </w:rPr>
            </w:pPr>
          </w:p>
        </w:tc>
        <w:tc>
          <w:tcPr>
            <w:tcW w:w="380" w:type="dxa"/>
            <w:vAlign w:val="bottom"/>
            <w:tcBorders>
              <w:bottom w:val="single" w:sz="8" w:color="auto"/>
            </w:tcBorders>
          </w:tcPr>
          <w:p>
            <w:pPr>
              <w:jc w:val="right"/>
              <w:ind w:right="170"/>
              <w:spacing w:after="0"/>
              <w:rPr>
                <w:sz w:val="20"/>
                <w:szCs w:val="20"/>
                <w:color w:val="auto"/>
              </w:rPr>
            </w:pPr>
            <w:r>
              <w:rPr>
                <w:rFonts w:ascii="Times New Roman" w:cs="Times New Roman" w:eastAsia="Times New Roman" w:hAnsi="Times New Roman"/>
                <w:sz w:val="18"/>
                <w:szCs w:val="18"/>
                <w:color w:val="auto"/>
              </w:rPr>
              <w:t>$</w:t>
            </w:r>
          </w:p>
        </w:tc>
        <w:tc>
          <w:tcPr>
            <w:tcW w:w="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179,617</w:t>
            </w:r>
          </w:p>
        </w:tc>
        <w:tc>
          <w:tcPr>
            <w:tcW w:w="100" w:type="dxa"/>
            <w:vAlign w:val="bottom"/>
          </w:tcPr>
          <w:p>
            <w:pPr>
              <w:spacing w:after="0"/>
              <w:rPr>
                <w:sz w:val="19"/>
                <w:szCs w:val="19"/>
                <w:color w:val="auto"/>
              </w:rPr>
            </w:pPr>
          </w:p>
        </w:tc>
        <w:tc>
          <w:tcPr>
            <w:tcW w:w="240" w:type="dxa"/>
            <w:vAlign w:val="bottom"/>
            <w:tcBorders>
              <w:bottom w:val="single" w:sz="8" w:color="auto"/>
            </w:tcBorders>
          </w:tcPr>
          <w:p>
            <w:pPr>
              <w:jc w:val="right"/>
              <w:ind w:right="56"/>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8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422,866</w:t>
            </w:r>
          </w:p>
        </w:tc>
        <w:tc>
          <w:tcPr>
            <w:tcW w:w="120" w:type="dxa"/>
            <w:vAlign w:val="bottom"/>
          </w:tcPr>
          <w:p>
            <w:pPr>
              <w:spacing w:after="0"/>
              <w:rPr>
                <w:sz w:val="19"/>
                <w:szCs w:val="19"/>
                <w:color w:val="auto"/>
              </w:rPr>
            </w:pPr>
          </w:p>
        </w:tc>
        <w:tc>
          <w:tcPr>
            <w:tcW w:w="240" w:type="dxa"/>
            <w:vAlign w:val="bottom"/>
            <w:tcBorders>
              <w:bottom w:val="single" w:sz="8" w:color="auto"/>
            </w:tcBorders>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280,439</w:t>
            </w:r>
          </w:p>
        </w:tc>
        <w:tc>
          <w:tcPr>
            <w:tcW w:w="0" w:type="dxa"/>
            <w:vAlign w:val="bottom"/>
          </w:tcPr>
          <w:p>
            <w:pPr>
              <w:spacing w:after="0"/>
              <w:rPr>
                <w:sz w:val="1"/>
                <w:szCs w:val="1"/>
                <w:color w:val="auto"/>
              </w:rPr>
            </w:pPr>
          </w:p>
        </w:tc>
      </w:tr>
      <w:tr>
        <w:trPr>
          <w:trHeight w:val="21"/>
        </w:trPr>
        <w:tc>
          <w:tcPr>
            <w:tcW w:w="664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8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See accompanying Notes.</w:t>
      </w: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4" w:right="339" w:bottom="1440" w:gutter="0" w:footer="0" w:header="0"/>
        </w:sectPr>
      </w:pPr>
    </w:p>
    <w:bookmarkStart w:id="5" w:name="page6"/>
    <w:bookmarkEnd w:id="5"/>
    <w:p>
      <w:pPr>
        <w:jc w:val="center"/>
        <w:spacing w:after="0" w:line="440" w:lineRule="auto"/>
        <w:rPr>
          <w:sz w:val="20"/>
          <w:szCs w:val="20"/>
          <w:color w:val="auto"/>
        </w:rPr>
      </w:pPr>
      <w:r>
        <w:rPr>
          <w:rFonts w:ascii="Times New Roman" w:cs="Times New Roman" w:eastAsia="Times New Roman" w:hAnsi="Times New Roman"/>
          <w:sz w:val="18"/>
          <w:szCs w:val="18"/>
          <w:b w:val="1"/>
          <w:bCs w:val="1"/>
          <w:color w:val="auto"/>
        </w:rPr>
        <w:t>TAKE-TWO INTERACTIVE SOFTWARE, INC. CONDENSED CONSOLIDATED STATEMENTS OF CASH FLOWS (Unaudited) (in thousands)</w:t>
      </w:r>
    </w:p>
    <w:p>
      <w:pPr>
        <w:spacing w:after="0" w:line="20"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818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2720" w:type="dxa"/>
            <w:vAlign w:val="bottom"/>
            <w:tcBorders>
              <w:bottom w:val="single" w:sz="8" w:color="auto"/>
            </w:tcBorders>
            <w:gridSpan w:val="4"/>
          </w:tcPr>
          <w:p>
            <w:pPr>
              <w:jc w:val="right"/>
              <w:ind w:right="351"/>
              <w:spacing w:after="0"/>
              <w:rPr>
                <w:sz w:val="20"/>
                <w:szCs w:val="20"/>
                <w:color w:val="auto"/>
              </w:rPr>
            </w:pPr>
            <w:r>
              <w:rPr>
                <w:rFonts w:ascii="Times New Roman" w:cs="Times New Roman" w:eastAsia="Times New Roman" w:hAnsi="Times New Roman"/>
                <w:sz w:val="14"/>
                <w:szCs w:val="14"/>
                <w:b w:val="1"/>
                <w:bCs w:val="1"/>
                <w:color w:val="auto"/>
              </w:rPr>
              <w:t>Nine Months Ended December 31,</w:t>
            </w:r>
          </w:p>
        </w:tc>
      </w:tr>
      <w:tr>
        <w:trPr>
          <w:trHeight w:val="209"/>
        </w:trPr>
        <w:tc>
          <w:tcPr>
            <w:tcW w:w="8180" w:type="dxa"/>
            <w:vAlign w:val="bottom"/>
            <w:tcBorders>
              <w:bottom w:val="single" w:sz="8" w:color="CCEEFF"/>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1180" w:type="dxa"/>
            <w:vAlign w:val="bottom"/>
            <w:tcBorders>
              <w:bottom w:val="single" w:sz="8" w:color="auto"/>
            </w:tcBorders>
          </w:tcPr>
          <w:p>
            <w:pPr>
              <w:jc w:val="right"/>
              <w:ind w:right="511"/>
              <w:spacing w:after="0"/>
              <w:rPr>
                <w:sz w:val="20"/>
                <w:szCs w:val="20"/>
                <w:color w:val="auto"/>
              </w:rPr>
            </w:pPr>
            <w:r>
              <w:rPr>
                <w:rFonts w:ascii="Times New Roman" w:cs="Times New Roman" w:eastAsia="Times New Roman" w:hAnsi="Times New Roman"/>
                <w:sz w:val="14"/>
                <w:szCs w:val="14"/>
                <w:b w:val="1"/>
                <w:bCs w:val="1"/>
                <w:color w:val="auto"/>
              </w:rPr>
              <w:t>2020</w:t>
            </w:r>
          </w:p>
        </w:tc>
        <w:tc>
          <w:tcPr>
            <w:tcW w:w="100" w:type="dxa"/>
            <w:vAlign w:val="bottom"/>
            <w:tcBorders>
              <w:bottom w:val="single" w:sz="8" w:color="CCEEFF"/>
            </w:tcBorders>
          </w:tcPr>
          <w:p>
            <w:pPr>
              <w:spacing w:after="0"/>
              <w:rPr>
                <w:sz w:val="18"/>
                <w:szCs w:val="18"/>
                <w:color w:val="auto"/>
              </w:rPr>
            </w:pPr>
          </w:p>
        </w:tc>
        <w:tc>
          <w:tcPr>
            <w:tcW w:w="340" w:type="dxa"/>
            <w:vAlign w:val="bottom"/>
            <w:tcBorders>
              <w:bottom w:val="single" w:sz="8" w:color="auto"/>
            </w:tcBorders>
          </w:tcPr>
          <w:p>
            <w:pPr>
              <w:spacing w:after="0"/>
              <w:rPr>
                <w:sz w:val="18"/>
                <w:szCs w:val="18"/>
                <w:color w:val="auto"/>
              </w:rPr>
            </w:pPr>
          </w:p>
        </w:tc>
        <w:tc>
          <w:tcPr>
            <w:tcW w:w="1100" w:type="dxa"/>
            <w:vAlign w:val="bottom"/>
            <w:tcBorders>
              <w:bottom w:val="single" w:sz="8" w:color="auto"/>
            </w:tcBorders>
          </w:tcPr>
          <w:p>
            <w:pPr>
              <w:jc w:val="right"/>
              <w:ind w:right="491"/>
              <w:spacing w:after="0"/>
              <w:rPr>
                <w:sz w:val="20"/>
                <w:szCs w:val="20"/>
                <w:color w:val="auto"/>
              </w:rPr>
            </w:pPr>
            <w:r>
              <w:rPr>
                <w:rFonts w:ascii="Times New Roman" w:cs="Times New Roman" w:eastAsia="Times New Roman" w:hAnsi="Times New Roman"/>
                <w:sz w:val="14"/>
                <w:szCs w:val="14"/>
                <w:b w:val="1"/>
                <w:bCs w:val="1"/>
                <w:color w:val="auto"/>
              </w:rPr>
              <w:t>2019</w:t>
            </w:r>
          </w:p>
        </w:tc>
      </w:tr>
      <w:tr>
        <w:trPr>
          <w:trHeight w:val="228"/>
        </w:trPr>
        <w:tc>
          <w:tcPr>
            <w:tcW w:w="81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Operating activities:</w:t>
            </w:r>
          </w:p>
        </w:tc>
        <w:tc>
          <w:tcPr>
            <w:tcW w:w="28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spacing w:after="0"/>
              <w:rPr>
                <w:sz w:val="19"/>
                <w:szCs w:val="19"/>
                <w:color w:val="auto"/>
              </w:rPr>
            </w:pPr>
          </w:p>
        </w:tc>
      </w:tr>
      <w:tr>
        <w:trPr>
          <w:trHeight w:val="229"/>
        </w:trPr>
        <w:tc>
          <w:tcPr>
            <w:tcW w:w="818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Net income</w:t>
            </w:r>
          </w:p>
        </w:tc>
        <w:tc>
          <w:tcPr>
            <w:tcW w:w="280" w:type="dxa"/>
            <w:vAlign w:val="bottom"/>
          </w:tcPr>
          <w:p>
            <w:pPr>
              <w:jc w:val="right"/>
              <w:ind w:right="70"/>
              <w:spacing w:after="0"/>
              <w:rPr>
                <w:sz w:val="20"/>
                <w:szCs w:val="20"/>
                <w:color w:val="auto"/>
              </w:rPr>
            </w:pPr>
            <w:r>
              <w:rPr>
                <w:rFonts w:ascii="Times New Roman" w:cs="Times New Roman" w:eastAsia="Times New Roman" w:hAnsi="Times New Roman"/>
                <w:sz w:val="18"/>
                <w:szCs w:val="18"/>
                <w:b w:val="1"/>
                <w:bCs w:val="1"/>
                <w:color w:val="auto"/>
              </w:rPr>
              <w:t>$</w:t>
            </w: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370,074</w:t>
            </w:r>
          </w:p>
        </w:tc>
        <w:tc>
          <w:tcPr>
            <w:tcW w:w="100" w:type="dxa"/>
            <w:vAlign w:val="bottom"/>
          </w:tcPr>
          <w:p>
            <w:pPr>
              <w:spacing w:after="0"/>
              <w:rPr>
                <w:sz w:val="19"/>
                <w:szCs w:val="19"/>
                <w:color w:val="auto"/>
              </w:rPr>
            </w:pPr>
          </w:p>
        </w:tc>
        <w:tc>
          <w:tcPr>
            <w:tcW w:w="340" w:type="dxa"/>
            <w:vAlign w:val="bottom"/>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281,737</w:t>
            </w:r>
          </w:p>
        </w:tc>
      </w:tr>
      <w:tr>
        <w:trPr>
          <w:trHeight w:val="229"/>
        </w:trPr>
        <w:tc>
          <w:tcPr>
            <w:tcW w:w="818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Adjustments to reconcile net income to net cash provided by operating activities:</w:t>
            </w:r>
          </w:p>
        </w:tc>
        <w:tc>
          <w:tcPr>
            <w:tcW w:w="28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spacing w:after="0"/>
              <w:rPr>
                <w:sz w:val="19"/>
                <w:szCs w:val="19"/>
                <w:color w:val="auto"/>
              </w:rPr>
            </w:pPr>
          </w:p>
        </w:tc>
      </w:tr>
      <w:tr>
        <w:trPr>
          <w:trHeight w:val="230"/>
        </w:trPr>
        <w:tc>
          <w:tcPr>
            <w:tcW w:w="818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Amortization and impairment of software development costs and licenses</w:t>
            </w:r>
          </w:p>
        </w:tc>
        <w:tc>
          <w:tcPr>
            <w:tcW w:w="28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113,392</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115,823</w:t>
            </w:r>
          </w:p>
        </w:tc>
      </w:tr>
      <w:tr>
        <w:trPr>
          <w:trHeight w:val="229"/>
        </w:trPr>
        <w:tc>
          <w:tcPr>
            <w:tcW w:w="8180" w:type="dxa"/>
            <w:vAlign w:val="bottom"/>
            <w:shd w:val="clear" w:color="auto" w:fill="CCEEFF"/>
          </w:tcPr>
          <w:p>
            <w:pPr>
              <w:ind w:left="200"/>
              <w:spacing w:after="0"/>
              <w:rPr>
                <w:sz w:val="20"/>
                <w:szCs w:val="20"/>
                <w:color w:val="auto"/>
              </w:rPr>
            </w:pPr>
            <w:r>
              <w:rPr>
                <w:rFonts w:ascii="Times New Roman" w:cs="Times New Roman" w:eastAsia="Times New Roman" w:hAnsi="Times New Roman"/>
                <w:sz w:val="18"/>
                <w:szCs w:val="18"/>
                <w:color w:val="auto"/>
              </w:rPr>
              <w:t>Depreciation</w:t>
            </w:r>
          </w:p>
        </w:tc>
        <w:tc>
          <w:tcPr>
            <w:tcW w:w="280" w:type="dxa"/>
            <w:vAlign w:val="bottom"/>
            <w:shd w:val="clear" w:color="auto" w:fill="CCEEFF"/>
          </w:tcPr>
          <w:p>
            <w:pPr>
              <w:spacing w:after="0"/>
              <w:rPr>
                <w:sz w:val="19"/>
                <w:szCs w:val="19"/>
                <w:color w:val="auto"/>
              </w:rPr>
            </w:pPr>
          </w:p>
        </w:tc>
        <w:tc>
          <w:tcPr>
            <w:tcW w:w="1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40,790</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35,246</w:t>
            </w:r>
          </w:p>
        </w:tc>
      </w:tr>
      <w:tr>
        <w:trPr>
          <w:trHeight w:val="229"/>
        </w:trPr>
        <w:tc>
          <w:tcPr>
            <w:tcW w:w="818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Amortization and impairment of intellectual property</w:t>
            </w:r>
          </w:p>
        </w:tc>
        <w:tc>
          <w:tcPr>
            <w:tcW w:w="28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22,006</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15,981</w:t>
            </w:r>
          </w:p>
        </w:tc>
      </w:tr>
      <w:tr>
        <w:trPr>
          <w:trHeight w:val="230"/>
        </w:trPr>
        <w:tc>
          <w:tcPr>
            <w:tcW w:w="8180" w:type="dxa"/>
            <w:vAlign w:val="bottom"/>
            <w:shd w:val="clear" w:color="auto" w:fill="CCEEFF"/>
          </w:tcPr>
          <w:p>
            <w:pPr>
              <w:ind w:left="200"/>
              <w:spacing w:after="0"/>
              <w:rPr>
                <w:sz w:val="20"/>
                <w:szCs w:val="20"/>
                <w:color w:val="auto"/>
              </w:rPr>
            </w:pPr>
            <w:r>
              <w:rPr>
                <w:rFonts w:ascii="Times New Roman" w:cs="Times New Roman" w:eastAsia="Times New Roman" w:hAnsi="Times New Roman"/>
                <w:sz w:val="18"/>
                <w:szCs w:val="18"/>
                <w:color w:val="auto"/>
              </w:rPr>
              <w:t>Stock-based compensation</w:t>
            </w:r>
          </w:p>
        </w:tc>
        <w:tc>
          <w:tcPr>
            <w:tcW w:w="280" w:type="dxa"/>
            <w:vAlign w:val="bottom"/>
            <w:shd w:val="clear" w:color="auto" w:fill="CCEEFF"/>
          </w:tcPr>
          <w:p>
            <w:pPr>
              <w:spacing w:after="0"/>
              <w:rPr>
                <w:sz w:val="19"/>
                <w:szCs w:val="19"/>
                <w:color w:val="auto"/>
              </w:rPr>
            </w:pPr>
          </w:p>
        </w:tc>
        <w:tc>
          <w:tcPr>
            <w:tcW w:w="1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139,835</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176,598</w:t>
            </w:r>
          </w:p>
        </w:tc>
      </w:tr>
      <w:tr>
        <w:trPr>
          <w:trHeight w:val="229"/>
        </w:trPr>
        <w:tc>
          <w:tcPr>
            <w:tcW w:w="818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Gain on long-term investments</w:t>
            </w:r>
          </w:p>
        </w:tc>
        <w:tc>
          <w:tcPr>
            <w:tcW w:w="28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(40,588)</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30"/>
        </w:trPr>
        <w:tc>
          <w:tcPr>
            <w:tcW w:w="8180" w:type="dxa"/>
            <w:vAlign w:val="bottom"/>
            <w:shd w:val="clear" w:color="auto" w:fill="CCEEFF"/>
          </w:tcPr>
          <w:p>
            <w:pPr>
              <w:ind w:left="200"/>
              <w:spacing w:after="0"/>
              <w:rPr>
                <w:sz w:val="20"/>
                <w:szCs w:val="20"/>
                <w:color w:val="auto"/>
              </w:rPr>
            </w:pPr>
            <w:r>
              <w:rPr>
                <w:rFonts w:ascii="Times New Roman" w:cs="Times New Roman" w:eastAsia="Times New Roman" w:hAnsi="Times New Roman"/>
                <w:sz w:val="18"/>
                <w:szCs w:val="18"/>
                <w:color w:val="auto"/>
              </w:rPr>
              <w:t>Other, net</w:t>
            </w:r>
          </w:p>
        </w:tc>
        <w:tc>
          <w:tcPr>
            <w:tcW w:w="280" w:type="dxa"/>
            <w:vAlign w:val="bottom"/>
            <w:shd w:val="clear" w:color="auto" w:fill="CCEEFF"/>
          </w:tcPr>
          <w:p>
            <w:pPr>
              <w:spacing w:after="0"/>
              <w:rPr>
                <w:sz w:val="19"/>
                <w:szCs w:val="19"/>
                <w:color w:val="auto"/>
              </w:rPr>
            </w:pPr>
          </w:p>
        </w:tc>
        <w:tc>
          <w:tcPr>
            <w:tcW w:w="1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(89)</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1,809</w:t>
            </w:r>
          </w:p>
        </w:tc>
      </w:tr>
      <w:tr>
        <w:trPr>
          <w:trHeight w:val="229"/>
        </w:trPr>
        <w:tc>
          <w:tcPr>
            <w:tcW w:w="818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Changes in assets and liabilities:</w:t>
            </w:r>
          </w:p>
        </w:tc>
        <w:tc>
          <w:tcPr>
            <w:tcW w:w="28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spacing w:after="0"/>
              <w:rPr>
                <w:sz w:val="19"/>
                <w:szCs w:val="19"/>
                <w:color w:val="auto"/>
              </w:rPr>
            </w:pPr>
          </w:p>
        </w:tc>
      </w:tr>
      <w:tr>
        <w:trPr>
          <w:trHeight w:val="229"/>
        </w:trPr>
        <w:tc>
          <w:tcPr>
            <w:tcW w:w="8180" w:type="dxa"/>
            <w:vAlign w:val="bottom"/>
            <w:shd w:val="clear" w:color="auto" w:fill="CCEEFF"/>
          </w:tcPr>
          <w:p>
            <w:pPr>
              <w:ind w:left="200"/>
              <w:spacing w:after="0"/>
              <w:rPr>
                <w:sz w:val="20"/>
                <w:szCs w:val="20"/>
                <w:color w:val="auto"/>
              </w:rPr>
            </w:pPr>
            <w:r>
              <w:rPr>
                <w:rFonts w:ascii="Times New Roman" w:cs="Times New Roman" w:eastAsia="Times New Roman" w:hAnsi="Times New Roman"/>
                <w:sz w:val="18"/>
                <w:szCs w:val="18"/>
                <w:color w:val="auto"/>
              </w:rPr>
              <w:t>Accounts receivable</w:t>
            </w:r>
          </w:p>
        </w:tc>
        <w:tc>
          <w:tcPr>
            <w:tcW w:w="280" w:type="dxa"/>
            <w:vAlign w:val="bottom"/>
            <w:shd w:val="clear" w:color="auto" w:fill="CCEEFF"/>
          </w:tcPr>
          <w:p>
            <w:pPr>
              <w:spacing w:after="0"/>
              <w:rPr>
                <w:sz w:val="19"/>
                <w:szCs w:val="19"/>
                <w:color w:val="auto"/>
              </w:rPr>
            </w:pPr>
          </w:p>
        </w:tc>
        <w:tc>
          <w:tcPr>
            <w:tcW w:w="1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19,544</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(249,709)</w:t>
            </w:r>
          </w:p>
        </w:tc>
      </w:tr>
      <w:tr>
        <w:trPr>
          <w:trHeight w:val="230"/>
        </w:trPr>
        <w:tc>
          <w:tcPr>
            <w:tcW w:w="818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Inventory</w:t>
            </w:r>
          </w:p>
        </w:tc>
        <w:tc>
          <w:tcPr>
            <w:tcW w:w="28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(6,452)</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3,688</w:t>
            </w:r>
          </w:p>
        </w:tc>
      </w:tr>
      <w:tr>
        <w:trPr>
          <w:trHeight w:val="229"/>
        </w:trPr>
        <w:tc>
          <w:tcPr>
            <w:tcW w:w="8180" w:type="dxa"/>
            <w:vAlign w:val="bottom"/>
            <w:shd w:val="clear" w:color="auto" w:fill="CCEEFF"/>
          </w:tcPr>
          <w:p>
            <w:pPr>
              <w:ind w:left="200"/>
              <w:spacing w:after="0"/>
              <w:rPr>
                <w:sz w:val="20"/>
                <w:szCs w:val="20"/>
                <w:color w:val="auto"/>
              </w:rPr>
            </w:pPr>
            <w:r>
              <w:rPr>
                <w:rFonts w:ascii="Times New Roman" w:cs="Times New Roman" w:eastAsia="Times New Roman" w:hAnsi="Times New Roman"/>
                <w:sz w:val="18"/>
                <w:szCs w:val="18"/>
                <w:color w:val="auto"/>
              </w:rPr>
              <w:t>Software development costs and licenses</w:t>
            </w:r>
          </w:p>
        </w:tc>
        <w:tc>
          <w:tcPr>
            <w:tcW w:w="280" w:type="dxa"/>
            <w:vAlign w:val="bottom"/>
            <w:shd w:val="clear" w:color="auto" w:fill="CCEEFF"/>
          </w:tcPr>
          <w:p>
            <w:pPr>
              <w:spacing w:after="0"/>
              <w:rPr>
                <w:sz w:val="19"/>
                <w:szCs w:val="19"/>
                <w:color w:val="auto"/>
              </w:rPr>
            </w:pPr>
          </w:p>
        </w:tc>
        <w:tc>
          <w:tcPr>
            <w:tcW w:w="1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(144,951)</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(18,552)</w:t>
            </w:r>
          </w:p>
        </w:tc>
      </w:tr>
      <w:tr>
        <w:trPr>
          <w:trHeight w:val="230"/>
        </w:trPr>
        <w:tc>
          <w:tcPr>
            <w:tcW w:w="818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Prepaid expenses and other assets</w:t>
            </w:r>
          </w:p>
        </w:tc>
        <w:tc>
          <w:tcPr>
            <w:tcW w:w="28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(49,321)</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(215,060)</w:t>
            </w:r>
          </w:p>
        </w:tc>
      </w:tr>
      <w:tr>
        <w:trPr>
          <w:trHeight w:val="229"/>
        </w:trPr>
        <w:tc>
          <w:tcPr>
            <w:tcW w:w="8180" w:type="dxa"/>
            <w:vAlign w:val="bottom"/>
            <w:shd w:val="clear" w:color="auto" w:fill="CCEEFF"/>
          </w:tcPr>
          <w:p>
            <w:pPr>
              <w:ind w:left="200"/>
              <w:spacing w:after="0"/>
              <w:rPr>
                <w:sz w:val="20"/>
                <w:szCs w:val="20"/>
                <w:color w:val="auto"/>
              </w:rPr>
            </w:pPr>
            <w:r>
              <w:rPr>
                <w:rFonts w:ascii="Times New Roman" w:cs="Times New Roman" w:eastAsia="Times New Roman" w:hAnsi="Times New Roman"/>
                <w:sz w:val="18"/>
                <w:szCs w:val="18"/>
                <w:color w:val="auto"/>
              </w:rPr>
              <w:t>Deferred revenue</w:t>
            </w:r>
          </w:p>
        </w:tc>
        <w:tc>
          <w:tcPr>
            <w:tcW w:w="280" w:type="dxa"/>
            <w:vAlign w:val="bottom"/>
            <w:shd w:val="clear" w:color="auto" w:fill="CCEEFF"/>
          </w:tcPr>
          <w:p>
            <w:pPr>
              <w:spacing w:after="0"/>
              <w:rPr>
                <w:sz w:val="19"/>
                <w:szCs w:val="19"/>
                <w:color w:val="auto"/>
              </w:rPr>
            </w:pPr>
          </w:p>
        </w:tc>
        <w:tc>
          <w:tcPr>
            <w:tcW w:w="1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208,182</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11,751</w:t>
            </w:r>
          </w:p>
        </w:tc>
      </w:tr>
      <w:tr>
        <w:trPr>
          <w:trHeight w:val="229"/>
        </w:trPr>
        <w:tc>
          <w:tcPr>
            <w:tcW w:w="8180" w:type="dxa"/>
            <w:vAlign w:val="bottom"/>
          </w:tcPr>
          <w:p>
            <w:pPr>
              <w:ind w:left="200"/>
              <w:spacing w:after="0"/>
              <w:rPr>
                <w:sz w:val="20"/>
                <w:szCs w:val="20"/>
                <w:color w:val="auto"/>
              </w:rPr>
            </w:pPr>
            <w:r>
              <w:rPr>
                <w:rFonts w:ascii="Times New Roman" w:cs="Times New Roman" w:eastAsia="Times New Roman" w:hAnsi="Times New Roman"/>
                <w:sz w:val="18"/>
                <w:szCs w:val="18"/>
                <w:color w:val="auto"/>
              </w:rPr>
              <w:t>Deferred cost of goods sold</w:t>
            </w:r>
          </w:p>
        </w:tc>
        <w:tc>
          <w:tcPr>
            <w:tcW w:w="28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463</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18,602</w:t>
            </w:r>
          </w:p>
        </w:tc>
      </w:tr>
      <w:tr>
        <w:trPr>
          <w:trHeight w:val="230"/>
        </w:trPr>
        <w:tc>
          <w:tcPr>
            <w:tcW w:w="8180" w:type="dxa"/>
            <w:vAlign w:val="bottom"/>
            <w:shd w:val="clear" w:color="auto" w:fill="CCEEFF"/>
          </w:tcPr>
          <w:p>
            <w:pPr>
              <w:ind w:left="200"/>
              <w:spacing w:after="0"/>
              <w:rPr>
                <w:sz w:val="20"/>
                <w:szCs w:val="20"/>
                <w:color w:val="auto"/>
              </w:rPr>
            </w:pPr>
            <w:r>
              <w:rPr>
                <w:rFonts w:ascii="Times New Roman" w:cs="Times New Roman" w:eastAsia="Times New Roman" w:hAnsi="Times New Roman"/>
                <w:sz w:val="18"/>
                <w:szCs w:val="18"/>
                <w:color w:val="auto"/>
              </w:rPr>
              <w:t>Accounts payable, accrued expenses and other liabilities</w:t>
            </w:r>
          </w:p>
        </w:tc>
        <w:tc>
          <w:tcPr>
            <w:tcW w:w="280" w:type="dxa"/>
            <w:vAlign w:val="bottom"/>
            <w:tcBorders>
              <w:bottom w:val="single" w:sz="8" w:color="auto"/>
            </w:tcBorders>
            <w:shd w:val="clear" w:color="auto" w:fill="CCEEFF"/>
          </w:tcPr>
          <w:p>
            <w:pPr>
              <w:spacing w:after="0"/>
              <w:rPr>
                <w:sz w:val="19"/>
                <w:szCs w:val="19"/>
                <w:color w:val="auto"/>
              </w:rPr>
            </w:pPr>
          </w:p>
        </w:tc>
        <w:tc>
          <w:tcPr>
            <w:tcW w:w="11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114,776</w:t>
            </w:r>
          </w:p>
        </w:tc>
        <w:tc>
          <w:tcPr>
            <w:tcW w:w="100" w:type="dxa"/>
            <w:vAlign w:val="bottom"/>
            <w:shd w:val="clear" w:color="auto" w:fill="CCEEFF"/>
          </w:tcPr>
          <w:p>
            <w:pPr>
              <w:spacing w:after="0"/>
              <w:rPr>
                <w:sz w:val="19"/>
                <w:szCs w:val="19"/>
                <w:color w:val="auto"/>
              </w:rPr>
            </w:pPr>
          </w:p>
        </w:tc>
        <w:tc>
          <w:tcPr>
            <w:tcW w:w="340" w:type="dxa"/>
            <w:vAlign w:val="bottom"/>
            <w:tcBorders>
              <w:bottom w:val="single" w:sz="8" w:color="auto"/>
            </w:tcBorders>
            <w:shd w:val="clear" w:color="auto" w:fill="CCEEFF"/>
          </w:tcPr>
          <w:p>
            <w:pPr>
              <w:spacing w:after="0"/>
              <w:rPr>
                <w:sz w:val="19"/>
                <w:szCs w:val="19"/>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262,061</w:t>
            </w:r>
          </w:p>
        </w:tc>
      </w:tr>
      <w:tr>
        <w:trPr>
          <w:trHeight w:val="223"/>
        </w:trPr>
        <w:tc>
          <w:tcPr>
            <w:tcW w:w="8180" w:type="dxa"/>
            <w:vAlign w:val="bottom"/>
            <w:tcBorders>
              <w:bottom w:val="single" w:sz="8" w:color="CCEEFF"/>
            </w:tcBorders>
          </w:tcPr>
          <w:p>
            <w:pPr>
              <w:ind w:left="120"/>
              <w:spacing w:after="0"/>
              <w:rPr>
                <w:sz w:val="20"/>
                <w:szCs w:val="20"/>
                <w:color w:val="auto"/>
              </w:rPr>
            </w:pPr>
            <w:r>
              <w:rPr>
                <w:rFonts w:ascii="Times New Roman" w:cs="Times New Roman" w:eastAsia="Times New Roman" w:hAnsi="Times New Roman"/>
                <w:sz w:val="18"/>
                <w:szCs w:val="18"/>
                <w:color w:val="auto"/>
              </w:rPr>
              <w:t>Net cash provided by operating activities</w:t>
            </w:r>
          </w:p>
        </w:tc>
        <w:tc>
          <w:tcPr>
            <w:tcW w:w="28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787,661</w:t>
            </w:r>
          </w:p>
        </w:tc>
        <w:tc>
          <w:tcPr>
            <w:tcW w:w="100" w:type="dxa"/>
            <w:vAlign w:val="bottom"/>
            <w:tcBorders>
              <w:bottom w:val="single" w:sz="8" w:color="CCEEFF"/>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439,975</w:t>
            </w:r>
          </w:p>
        </w:tc>
      </w:tr>
      <w:tr>
        <w:trPr>
          <w:trHeight w:val="223"/>
        </w:trPr>
        <w:tc>
          <w:tcPr>
            <w:tcW w:w="81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Investing activities:</w:t>
            </w:r>
          </w:p>
        </w:tc>
        <w:tc>
          <w:tcPr>
            <w:tcW w:w="28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spacing w:after="0"/>
              <w:rPr>
                <w:sz w:val="19"/>
                <w:szCs w:val="19"/>
                <w:color w:val="auto"/>
              </w:rPr>
            </w:pPr>
          </w:p>
        </w:tc>
      </w:tr>
      <w:tr>
        <w:trPr>
          <w:trHeight w:val="229"/>
        </w:trPr>
        <w:tc>
          <w:tcPr>
            <w:tcW w:w="818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Change in bank time deposits</w:t>
            </w:r>
          </w:p>
        </w:tc>
        <w:tc>
          <w:tcPr>
            <w:tcW w:w="28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73,000</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114,720</w:t>
            </w:r>
          </w:p>
        </w:tc>
      </w:tr>
      <w:tr>
        <w:trPr>
          <w:trHeight w:val="230"/>
        </w:trPr>
        <w:tc>
          <w:tcPr>
            <w:tcW w:w="818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Proceeds from available-for-sale securities</w:t>
            </w:r>
          </w:p>
        </w:tc>
        <w:tc>
          <w:tcPr>
            <w:tcW w:w="280" w:type="dxa"/>
            <w:vAlign w:val="bottom"/>
            <w:shd w:val="clear" w:color="auto" w:fill="CCEEFF"/>
          </w:tcPr>
          <w:p>
            <w:pPr>
              <w:spacing w:after="0"/>
              <w:rPr>
                <w:sz w:val="19"/>
                <w:szCs w:val="19"/>
                <w:color w:val="auto"/>
              </w:rPr>
            </w:pPr>
          </w:p>
        </w:tc>
        <w:tc>
          <w:tcPr>
            <w:tcW w:w="1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363,628</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243,170</w:t>
            </w:r>
          </w:p>
        </w:tc>
      </w:tr>
      <w:tr>
        <w:trPr>
          <w:trHeight w:val="230"/>
        </w:trPr>
        <w:tc>
          <w:tcPr>
            <w:tcW w:w="818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Purchases of available-for-sale securities</w:t>
            </w:r>
          </w:p>
        </w:tc>
        <w:tc>
          <w:tcPr>
            <w:tcW w:w="28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(563,815)</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(311,995)</w:t>
            </w:r>
          </w:p>
        </w:tc>
      </w:tr>
      <w:tr>
        <w:trPr>
          <w:trHeight w:val="230"/>
        </w:trPr>
        <w:tc>
          <w:tcPr>
            <w:tcW w:w="818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Purchases of fixed assets</w:t>
            </w:r>
          </w:p>
        </w:tc>
        <w:tc>
          <w:tcPr>
            <w:tcW w:w="280" w:type="dxa"/>
            <w:vAlign w:val="bottom"/>
            <w:shd w:val="clear" w:color="auto" w:fill="CCEEFF"/>
          </w:tcPr>
          <w:p>
            <w:pPr>
              <w:spacing w:after="0"/>
              <w:rPr>
                <w:sz w:val="19"/>
                <w:szCs w:val="19"/>
                <w:color w:val="auto"/>
              </w:rPr>
            </w:pPr>
          </w:p>
        </w:tc>
        <w:tc>
          <w:tcPr>
            <w:tcW w:w="1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(40,207)</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(34,790)</w:t>
            </w:r>
          </w:p>
        </w:tc>
      </w:tr>
      <w:tr>
        <w:trPr>
          <w:trHeight w:val="229"/>
        </w:trPr>
        <w:tc>
          <w:tcPr>
            <w:tcW w:w="818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Proceeds from sale of long-term investment</w:t>
            </w:r>
          </w:p>
        </w:tc>
        <w:tc>
          <w:tcPr>
            <w:tcW w:w="28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22,472</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30"/>
        </w:trPr>
        <w:tc>
          <w:tcPr>
            <w:tcW w:w="818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Purchases of long-term investments</w:t>
            </w:r>
          </w:p>
        </w:tc>
        <w:tc>
          <w:tcPr>
            <w:tcW w:w="280" w:type="dxa"/>
            <w:vAlign w:val="bottom"/>
            <w:shd w:val="clear" w:color="auto" w:fill="CCEEFF"/>
          </w:tcPr>
          <w:p>
            <w:pPr>
              <w:spacing w:after="0"/>
              <w:rPr>
                <w:sz w:val="19"/>
                <w:szCs w:val="19"/>
                <w:color w:val="auto"/>
              </w:rPr>
            </w:pPr>
          </w:p>
        </w:tc>
        <w:tc>
          <w:tcPr>
            <w:tcW w:w="1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(16,452)</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(26,142)</w:t>
            </w:r>
          </w:p>
        </w:tc>
      </w:tr>
      <w:tr>
        <w:trPr>
          <w:trHeight w:val="230"/>
        </w:trPr>
        <w:tc>
          <w:tcPr>
            <w:tcW w:w="8180" w:type="dxa"/>
            <w:vAlign w:val="bottom"/>
            <w:tcBorders>
              <w:bottom w:val="single" w:sz="8" w:color="CCEEFF"/>
            </w:tcBorders>
          </w:tcPr>
          <w:p>
            <w:pPr>
              <w:ind w:left="120"/>
              <w:spacing w:after="0"/>
              <w:rPr>
                <w:sz w:val="20"/>
                <w:szCs w:val="20"/>
                <w:color w:val="auto"/>
              </w:rPr>
            </w:pPr>
            <w:r>
              <w:rPr>
                <w:rFonts w:ascii="Times New Roman" w:cs="Times New Roman" w:eastAsia="Times New Roman" w:hAnsi="Times New Roman"/>
                <w:sz w:val="18"/>
                <w:szCs w:val="18"/>
                <w:color w:val="auto"/>
              </w:rPr>
              <w:t>Business acquisitions</w:t>
            </w:r>
          </w:p>
        </w:tc>
        <w:tc>
          <w:tcPr>
            <w:tcW w:w="28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(79,525)</w:t>
            </w:r>
          </w:p>
        </w:tc>
        <w:tc>
          <w:tcPr>
            <w:tcW w:w="100" w:type="dxa"/>
            <w:vAlign w:val="bottom"/>
            <w:tcBorders>
              <w:bottom w:val="single" w:sz="8" w:color="CCEEFF"/>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(12,040)</w:t>
            </w:r>
          </w:p>
        </w:tc>
      </w:tr>
      <w:tr>
        <w:trPr>
          <w:trHeight w:val="223"/>
        </w:trPr>
        <w:tc>
          <w:tcPr>
            <w:tcW w:w="818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Net cash used in investing activities</w:t>
            </w:r>
          </w:p>
        </w:tc>
        <w:tc>
          <w:tcPr>
            <w:tcW w:w="280" w:type="dxa"/>
            <w:vAlign w:val="bottom"/>
            <w:tcBorders>
              <w:bottom w:val="single" w:sz="8" w:color="auto"/>
            </w:tcBorders>
            <w:shd w:val="clear" w:color="auto" w:fill="CCEEFF"/>
          </w:tcPr>
          <w:p>
            <w:pPr>
              <w:spacing w:after="0"/>
              <w:rPr>
                <w:sz w:val="19"/>
                <w:szCs w:val="19"/>
                <w:color w:val="auto"/>
              </w:rPr>
            </w:pPr>
          </w:p>
        </w:tc>
        <w:tc>
          <w:tcPr>
            <w:tcW w:w="11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(240,899)</w:t>
            </w:r>
          </w:p>
        </w:tc>
        <w:tc>
          <w:tcPr>
            <w:tcW w:w="100" w:type="dxa"/>
            <w:vAlign w:val="bottom"/>
            <w:shd w:val="clear" w:color="auto" w:fill="CCEEFF"/>
          </w:tcPr>
          <w:p>
            <w:pPr>
              <w:spacing w:after="0"/>
              <w:rPr>
                <w:sz w:val="19"/>
                <w:szCs w:val="19"/>
                <w:color w:val="auto"/>
              </w:rPr>
            </w:pPr>
          </w:p>
        </w:tc>
        <w:tc>
          <w:tcPr>
            <w:tcW w:w="340" w:type="dxa"/>
            <w:vAlign w:val="bottom"/>
            <w:tcBorders>
              <w:bottom w:val="single" w:sz="8" w:color="auto"/>
            </w:tcBorders>
            <w:shd w:val="clear" w:color="auto" w:fill="CCEEFF"/>
          </w:tcPr>
          <w:p>
            <w:pPr>
              <w:spacing w:after="0"/>
              <w:rPr>
                <w:sz w:val="19"/>
                <w:szCs w:val="19"/>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(27,077)</w:t>
            </w:r>
          </w:p>
        </w:tc>
      </w:tr>
      <w:tr>
        <w:trPr>
          <w:trHeight w:val="223"/>
        </w:trPr>
        <w:tc>
          <w:tcPr>
            <w:tcW w:w="81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Financing activities:</w:t>
            </w:r>
          </w:p>
        </w:tc>
        <w:tc>
          <w:tcPr>
            <w:tcW w:w="28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00" w:type="dxa"/>
            <w:vAlign w:val="bottom"/>
          </w:tcPr>
          <w:p>
            <w:pPr>
              <w:spacing w:after="0"/>
              <w:rPr>
                <w:sz w:val="19"/>
                <w:szCs w:val="19"/>
                <w:color w:val="auto"/>
              </w:rPr>
            </w:pPr>
          </w:p>
        </w:tc>
      </w:tr>
      <w:tr>
        <w:trPr>
          <w:trHeight w:val="230"/>
        </w:trPr>
        <w:tc>
          <w:tcPr>
            <w:tcW w:w="818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Tax payment related to net share settlements on restricted stock awards</w:t>
            </w:r>
          </w:p>
        </w:tc>
        <w:tc>
          <w:tcPr>
            <w:tcW w:w="280" w:type="dxa"/>
            <w:vAlign w:val="bottom"/>
            <w:shd w:val="clear" w:color="auto" w:fill="CCEEFF"/>
          </w:tcPr>
          <w:p>
            <w:pPr>
              <w:spacing w:after="0"/>
              <w:rPr>
                <w:sz w:val="19"/>
                <w:szCs w:val="19"/>
                <w:color w:val="auto"/>
              </w:rPr>
            </w:pPr>
          </w:p>
        </w:tc>
        <w:tc>
          <w:tcPr>
            <w:tcW w:w="1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(60,586)</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(71,260)</w:t>
            </w:r>
          </w:p>
        </w:tc>
      </w:tr>
      <w:tr>
        <w:trPr>
          <w:trHeight w:val="230"/>
        </w:trPr>
        <w:tc>
          <w:tcPr>
            <w:tcW w:w="8180" w:type="dxa"/>
            <w:vAlign w:val="bottom"/>
            <w:tcBorders>
              <w:bottom w:val="single" w:sz="8" w:color="CCEEFF"/>
            </w:tcBorders>
          </w:tcPr>
          <w:p>
            <w:pPr>
              <w:ind w:left="120"/>
              <w:spacing w:after="0"/>
              <w:rPr>
                <w:sz w:val="20"/>
                <w:szCs w:val="20"/>
                <w:color w:val="auto"/>
              </w:rPr>
            </w:pPr>
            <w:r>
              <w:rPr>
                <w:rFonts w:ascii="Times New Roman" w:cs="Times New Roman" w:eastAsia="Times New Roman" w:hAnsi="Times New Roman"/>
                <w:sz w:val="18"/>
                <w:szCs w:val="18"/>
                <w:color w:val="auto"/>
              </w:rPr>
              <w:t>Issuance of common stock</w:t>
            </w:r>
          </w:p>
        </w:tc>
        <w:tc>
          <w:tcPr>
            <w:tcW w:w="28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14,215</w:t>
            </w:r>
          </w:p>
        </w:tc>
        <w:tc>
          <w:tcPr>
            <w:tcW w:w="100" w:type="dxa"/>
            <w:vAlign w:val="bottom"/>
            <w:tcBorders>
              <w:bottom w:val="single" w:sz="8" w:color="CCEEFF"/>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10,515</w:t>
            </w:r>
          </w:p>
        </w:tc>
      </w:tr>
      <w:tr>
        <w:trPr>
          <w:trHeight w:val="223"/>
        </w:trPr>
        <w:tc>
          <w:tcPr>
            <w:tcW w:w="818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Net cash used in financing activities</w:t>
            </w:r>
          </w:p>
        </w:tc>
        <w:tc>
          <w:tcPr>
            <w:tcW w:w="280" w:type="dxa"/>
            <w:vAlign w:val="bottom"/>
            <w:tcBorders>
              <w:bottom w:val="single" w:sz="8" w:color="auto"/>
            </w:tcBorders>
            <w:shd w:val="clear" w:color="auto" w:fill="CCEEFF"/>
          </w:tcPr>
          <w:p>
            <w:pPr>
              <w:spacing w:after="0"/>
              <w:rPr>
                <w:sz w:val="19"/>
                <w:szCs w:val="19"/>
                <w:color w:val="auto"/>
              </w:rPr>
            </w:pPr>
          </w:p>
        </w:tc>
        <w:tc>
          <w:tcPr>
            <w:tcW w:w="11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(46,371)</w:t>
            </w:r>
          </w:p>
        </w:tc>
        <w:tc>
          <w:tcPr>
            <w:tcW w:w="100" w:type="dxa"/>
            <w:vAlign w:val="bottom"/>
            <w:shd w:val="clear" w:color="auto" w:fill="CCEEFF"/>
          </w:tcPr>
          <w:p>
            <w:pPr>
              <w:spacing w:after="0"/>
              <w:rPr>
                <w:sz w:val="19"/>
                <w:szCs w:val="19"/>
                <w:color w:val="auto"/>
              </w:rPr>
            </w:pPr>
          </w:p>
        </w:tc>
        <w:tc>
          <w:tcPr>
            <w:tcW w:w="340" w:type="dxa"/>
            <w:vAlign w:val="bottom"/>
            <w:tcBorders>
              <w:bottom w:val="single" w:sz="8" w:color="auto"/>
            </w:tcBorders>
            <w:shd w:val="clear" w:color="auto" w:fill="CCEEFF"/>
          </w:tcPr>
          <w:p>
            <w:pPr>
              <w:spacing w:after="0"/>
              <w:rPr>
                <w:sz w:val="19"/>
                <w:szCs w:val="19"/>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(60,745)</w:t>
            </w:r>
          </w:p>
        </w:tc>
      </w:tr>
      <w:tr>
        <w:trPr>
          <w:trHeight w:val="223"/>
        </w:trPr>
        <w:tc>
          <w:tcPr>
            <w:tcW w:w="8180" w:type="dxa"/>
            <w:vAlign w:val="bottom"/>
            <w:tcBorders>
              <w:bottom w:val="single" w:sz="8" w:color="CCEEFF"/>
            </w:tcBorders>
          </w:tcPr>
          <w:p>
            <w:pPr>
              <w:spacing w:after="0"/>
              <w:rPr>
                <w:sz w:val="20"/>
                <w:szCs w:val="20"/>
                <w:color w:val="auto"/>
              </w:rPr>
            </w:pPr>
            <w:r>
              <w:rPr>
                <w:rFonts w:ascii="Times New Roman" w:cs="Times New Roman" w:eastAsia="Times New Roman" w:hAnsi="Times New Roman"/>
                <w:sz w:val="18"/>
                <w:szCs w:val="18"/>
                <w:color w:val="auto"/>
              </w:rPr>
              <w:t>Effects of foreign currency exchange rates on cash, cash equivalents, and restricted cash and cash equivalents</w:t>
            </w:r>
          </w:p>
        </w:tc>
        <w:tc>
          <w:tcPr>
            <w:tcW w:w="28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19,006</w:t>
            </w:r>
          </w:p>
        </w:tc>
        <w:tc>
          <w:tcPr>
            <w:tcW w:w="100" w:type="dxa"/>
            <w:vAlign w:val="bottom"/>
            <w:tcBorders>
              <w:bottom w:val="single" w:sz="8" w:color="CCEEFF"/>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(1,705)</w:t>
            </w:r>
          </w:p>
        </w:tc>
      </w:tr>
      <w:tr>
        <w:trPr>
          <w:trHeight w:val="223"/>
        </w:trPr>
        <w:tc>
          <w:tcPr>
            <w:tcW w:w="81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change in cash, cash equivalents, and restricted cash and cash equivalents</w:t>
            </w:r>
          </w:p>
        </w:tc>
        <w:tc>
          <w:tcPr>
            <w:tcW w:w="280" w:type="dxa"/>
            <w:vAlign w:val="bottom"/>
            <w:shd w:val="clear" w:color="auto" w:fill="CCEEFF"/>
          </w:tcPr>
          <w:p>
            <w:pPr>
              <w:spacing w:after="0"/>
              <w:rPr>
                <w:sz w:val="19"/>
                <w:szCs w:val="19"/>
                <w:color w:val="auto"/>
              </w:rPr>
            </w:pPr>
          </w:p>
        </w:tc>
        <w:tc>
          <w:tcPr>
            <w:tcW w:w="1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519,397</w:t>
            </w:r>
          </w:p>
        </w:tc>
        <w:tc>
          <w:tcPr>
            <w:tcW w:w="1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350,448</w:t>
            </w:r>
          </w:p>
        </w:tc>
      </w:tr>
      <w:tr>
        <w:trPr>
          <w:trHeight w:val="230"/>
        </w:trPr>
        <w:tc>
          <w:tcPr>
            <w:tcW w:w="8180" w:type="dxa"/>
            <w:vAlign w:val="bottom"/>
            <w:tcBorders>
              <w:bottom w:val="single" w:sz="8" w:color="CCEEFF"/>
            </w:tcBorders>
          </w:tcPr>
          <w:p>
            <w:pPr>
              <w:spacing w:after="0"/>
              <w:rPr>
                <w:sz w:val="20"/>
                <w:szCs w:val="20"/>
                <w:color w:val="auto"/>
              </w:rPr>
            </w:pPr>
            <w:r>
              <w:rPr>
                <w:rFonts w:ascii="Times New Roman" w:cs="Times New Roman" w:eastAsia="Times New Roman" w:hAnsi="Times New Roman"/>
                <w:sz w:val="18"/>
                <w:szCs w:val="18"/>
                <w:color w:val="auto"/>
              </w:rPr>
              <w:t>Cash, cash equivalents, and restricted cash and cash equivalents, beginning of year</w:t>
            </w:r>
          </w:p>
        </w:tc>
        <w:tc>
          <w:tcPr>
            <w:tcW w:w="28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1,993,392</w:t>
            </w:r>
          </w:p>
        </w:tc>
        <w:tc>
          <w:tcPr>
            <w:tcW w:w="100" w:type="dxa"/>
            <w:vAlign w:val="bottom"/>
            <w:tcBorders>
              <w:bottom w:val="single" w:sz="8" w:color="CCEEFF"/>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1,391,986</w:t>
            </w:r>
          </w:p>
        </w:tc>
      </w:tr>
      <w:tr>
        <w:trPr>
          <w:trHeight w:val="248"/>
        </w:trPr>
        <w:tc>
          <w:tcPr>
            <w:tcW w:w="818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Cash, cash equivalents, and restricted cash and cash equivalents, end of period</w:t>
            </w:r>
          </w:p>
        </w:tc>
        <w:tc>
          <w:tcPr>
            <w:tcW w:w="280" w:type="dxa"/>
            <w:vAlign w:val="bottom"/>
            <w:tcBorders>
              <w:bottom w:val="single" w:sz="8" w:color="auto"/>
            </w:tcBorders>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b w:val="1"/>
                <w:bCs w:val="1"/>
                <w:color w:val="auto"/>
              </w:rPr>
              <w:t>$</w:t>
            </w:r>
          </w:p>
        </w:tc>
        <w:tc>
          <w:tcPr>
            <w:tcW w:w="11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2,512,789</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auto"/>
            </w:tcBorders>
            <w:shd w:val="clear" w:color="auto" w:fill="CCEEFF"/>
          </w:tcPr>
          <w:p>
            <w:pPr>
              <w:jc w:val="right"/>
              <w:ind w:right="150"/>
              <w:spacing w:after="0"/>
              <w:rPr>
                <w:sz w:val="20"/>
                <w:szCs w:val="20"/>
                <w:color w:val="auto"/>
              </w:rPr>
            </w:pPr>
            <w:r>
              <w:rPr>
                <w:rFonts w:ascii="Times New Roman" w:cs="Times New Roman" w:eastAsia="Times New Roman" w:hAnsi="Times New Roman"/>
                <w:sz w:val="18"/>
                <w:szCs w:val="18"/>
                <w:color w:val="auto"/>
                <w:w w:val="88"/>
              </w:rPr>
              <w:t>$</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1,742,434</w:t>
            </w:r>
          </w:p>
        </w:tc>
      </w:tr>
      <w:tr>
        <w:trPr>
          <w:trHeight w:val="20"/>
        </w:trPr>
        <w:tc>
          <w:tcPr>
            <w:tcW w:w="818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1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color w:val="auto"/>
        </w:rPr>
        <w:t>See accompanying Notes.</w:t>
      </w: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85725</wp:posOffset>
            </wp:positionV>
            <wp:extent cx="7132320" cy="171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80"/>
          </w:cols>
          <w:pgMar w:left="360" w:top="1170" w:right="359" w:bottom="1440" w:gutter="0" w:footer="0" w:header="0"/>
        </w:sectPr>
      </w:pPr>
    </w:p>
    <w:bookmarkStart w:id="6" w:name="page7"/>
    <w:bookmarkEnd w:id="6"/>
    <w:p>
      <w:pPr>
        <w:jc w:val="center"/>
        <w:spacing w:after="0" w:line="507" w:lineRule="auto"/>
        <w:rPr>
          <w:sz w:val="20"/>
          <w:szCs w:val="20"/>
          <w:color w:val="auto"/>
        </w:rPr>
      </w:pPr>
      <w:r>
        <w:rPr>
          <w:rFonts w:ascii="Times New Roman" w:cs="Times New Roman" w:eastAsia="Times New Roman" w:hAnsi="Times New Roman"/>
          <w:sz w:val="18"/>
          <w:szCs w:val="18"/>
          <w:b w:val="1"/>
          <w:bCs w:val="1"/>
          <w:color w:val="auto"/>
        </w:rPr>
        <w:t>TAKE-TWO INTERACTIVE SOFTWARE, INC. CONDENSED CONSOLIDATED STATEMENTS OF STOCKHOLDERS EQUITY (Unaudited) (in thousands)</w:t>
      </w:r>
    </w:p>
    <w:p>
      <w:pPr>
        <w:spacing w:after="0" w:line="117"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26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64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3060" w:type="dxa"/>
            <w:vAlign w:val="bottom"/>
            <w:tcBorders>
              <w:bottom w:val="single" w:sz="8" w:color="auto"/>
            </w:tcBorders>
            <w:gridSpan w:val="8"/>
          </w:tcPr>
          <w:p>
            <w:pPr>
              <w:ind w:left="220"/>
              <w:spacing w:after="0"/>
              <w:rPr>
                <w:sz w:val="20"/>
                <w:szCs w:val="20"/>
                <w:color w:val="auto"/>
              </w:rPr>
            </w:pPr>
            <w:r>
              <w:rPr>
                <w:rFonts w:ascii="Times New Roman" w:cs="Times New Roman" w:eastAsia="Times New Roman" w:hAnsi="Times New Roman"/>
                <w:sz w:val="13"/>
                <w:szCs w:val="13"/>
                <w:b w:val="1"/>
                <w:bCs w:val="1"/>
                <w:color w:val="auto"/>
              </w:rPr>
              <w:t>Three Months Ended December 31, 2020</w:t>
            </w:r>
          </w:p>
        </w:tc>
        <w:tc>
          <w:tcPr>
            <w:tcW w:w="1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48"/>
        </w:trPr>
        <w:tc>
          <w:tcPr>
            <w:tcW w:w="26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760" w:type="dxa"/>
            <w:vAlign w:val="bottom"/>
            <w:gridSpan w:val="5"/>
          </w:tcPr>
          <w:p>
            <w:pPr>
              <w:ind w:left="380"/>
              <w:spacing w:after="0"/>
              <w:rPr>
                <w:sz w:val="20"/>
                <w:szCs w:val="20"/>
                <w:color w:val="auto"/>
              </w:rPr>
            </w:pPr>
            <w:r>
              <w:rPr>
                <w:rFonts w:ascii="Times New Roman" w:cs="Times New Roman" w:eastAsia="Times New Roman" w:hAnsi="Times New Roman"/>
                <w:sz w:val="13"/>
                <w:szCs w:val="13"/>
                <w:b w:val="1"/>
                <w:bCs w:val="1"/>
                <w:color w:val="auto"/>
              </w:rPr>
              <w:t>Common Stock</w:t>
            </w:r>
          </w:p>
        </w:tc>
        <w:tc>
          <w:tcPr>
            <w:tcW w:w="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60" w:type="dxa"/>
            <w:vAlign w:val="bottom"/>
            <w:gridSpan w:val="5"/>
          </w:tcPr>
          <w:p>
            <w:pPr>
              <w:ind w:left="420"/>
              <w:spacing w:after="0"/>
              <w:rPr>
                <w:sz w:val="20"/>
                <w:szCs w:val="20"/>
                <w:color w:val="auto"/>
              </w:rPr>
            </w:pPr>
            <w:r>
              <w:rPr>
                <w:rFonts w:ascii="Times New Roman" w:cs="Times New Roman" w:eastAsia="Times New Roman" w:hAnsi="Times New Roman"/>
                <w:sz w:val="13"/>
                <w:szCs w:val="13"/>
                <w:b w:val="1"/>
                <w:bCs w:val="1"/>
                <w:color w:val="auto"/>
              </w:rPr>
              <w:t>Treasury Stock</w:t>
            </w:r>
          </w:p>
        </w:tc>
        <w:tc>
          <w:tcPr>
            <w:tcW w:w="18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00" w:type="dxa"/>
            <w:vAlign w:val="bottom"/>
            <w:gridSpan w:val="2"/>
          </w:tcPr>
          <w:p>
            <w:pPr>
              <w:jc w:val="center"/>
              <w:ind w:right="240"/>
              <w:spacing w:after="0"/>
              <w:rPr>
                <w:sz w:val="20"/>
                <w:szCs w:val="20"/>
                <w:color w:val="auto"/>
              </w:rPr>
            </w:pPr>
            <w:r>
              <w:rPr>
                <w:rFonts w:ascii="Times New Roman" w:cs="Times New Roman" w:eastAsia="Times New Roman" w:hAnsi="Times New Roman"/>
                <w:sz w:val="13"/>
                <w:szCs w:val="13"/>
                <w:b w:val="1"/>
                <w:bCs w:val="1"/>
                <w:color w:val="auto"/>
              </w:rPr>
              <w:t>Accumulated</w:t>
            </w:r>
          </w:p>
        </w:tc>
        <w:tc>
          <w:tcPr>
            <w:tcW w:w="14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54"/>
        </w:trPr>
        <w:tc>
          <w:tcPr>
            <w:tcW w:w="2680" w:type="dxa"/>
            <w:vAlign w:val="bottom"/>
          </w:tcPr>
          <w:p>
            <w:pPr>
              <w:spacing w:after="0"/>
              <w:rPr>
                <w:sz w:val="4"/>
                <w:szCs w:val="4"/>
                <w:color w:val="auto"/>
              </w:rPr>
            </w:pPr>
          </w:p>
        </w:tc>
        <w:tc>
          <w:tcPr>
            <w:tcW w:w="100" w:type="dxa"/>
            <w:vAlign w:val="bottom"/>
          </w:tcPr>
          <w:p>
            <w:pPr>
              <w:spacing w:after="0"/>
              <w:rPr>
                <w:sz w:val="4"/>
                <w:szCs w:val="4"/>
                <w:color w:val="auto"/>
              </w:rPr>
            </w:pPr>
          </w:p>
        </w:tc>
        <w:tc>
          <w:tcPr>
            <w:tcW w:w="78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640" w:type="dxa"/>
            <w:vAlign w:val="bottom"/>
            <w:tcBorders>
              <w:bottom w:val="single" w:sz="8" w:color="auto"/>
            </w:tcBorders>
          </w:tcPr>
          <w:p>
            <w:pPr>
              <w:spacing w:after="0"/>
              <w:rPr>
                <w:sz w:val="4"/>
                <w:szCs w:val="4"/>
                <w:color w:val="auto"/>
              </w:rPr>
            </w:pPr>
          </w:p>
        </w:tc>
        <w:tc>
          <w:tcPr>
            <w:tcW w:w="120" w:type="dxa"/>
            <w:vAlign w:val="bottom"/>
          </w:tcPr>
          <w:p>
            <w:pPr>
              <w:spacing w:after="0"/>
              <w:rPr>
                <w:sz w:val="4"/>
                <w:szCs w:val="4"/>
                <w:color w:val="auto"/>
              </w:rPr>
            </w:pPr>
          </w:p>
        </w:tc>
        <w:tc>
          <w:tcPr>
            <w:tcW w:w="120" w:type="dxa"/>
            <w:vAlign w:val="bottom"/>
          </w:tcPr>
          <w:p>
            <w:pPr>
              <w:spacing w:after="0"/>
              <w:rPr>
                <w:sz w:val="4"/>
                <w:szCs w:val="4"/>
                <w:color w:val="auto"/>
              </w:rPr>
            </w:pPr>
          </w:p>
        </w:tc>
        <w:tc>
          <w:tcPr>
            <w:tcW w:w="900" w:type="dxa"/>
            <w:vAlign w:val="bottom"/>
            <w:gridSpan w:val="2"/>
            <w:vMerge w:val="restart"/>
          </w:tcPr>
          <w:p>
            <w:pPr>
              <w:jc w:val="center"/>
              <w:ind w:right="240"/>
              <w:spacing w:after="0" w:line="122" w:lineRule="exact"/>
              <w:rPr>
                <w:sz w:val="20"/>
                <w:szCs w:val="20"/>
                <w:color w:val="auto"/>
              </w:rPr>
            </w:pPr>
            <w:r>
              <w:rPr>
                <w:rFonts w:ascii="Times New Roman" w:cs="Times New Roman" w:eastAsia="Times New Roman" w:hAnsi="Times New Roman"/>
                <w:sz w:val="13"/>
                <w:szCs w:val="13"/>
                <w:b w:val="1"/>
                <w:bCs w:val="1"/>
                <w:color w:val="auto"/>
              </w:rPr>
              <w:t>Additional</w:t>
            </w:r>
          </w:p>
        </w:tc>
        <w:tc>
          <w:tcPr>
            <w:tcW w:w="76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120" w:type="dxa"/>
            <w:vAlign w:val="bottom"/>
          </w:tcPr>
          <w:p>
            <w:pPr>
              <w:spacing w:after="0"/>
              <w:rPr>
                <w:sz w:val="4"/>
                <w:szCs w:val="4"/>
                <w:color w:val="auto"/>
              </w:rPr>
            </w:pPr>
          </w:p>
        </w:tc>
        <w:tc>
          <w:tcPr>
            <w:tcW w:w="180" w:type="dxa"/>
            <w:vAlign w:val="bottom"/>
          </w:tcPr>
          <w:p>
            <w:pPr>
              <w:spacing w:after="0"/>
              <w:rPr>
                <w:sz w:val="4"/>
                <w:szCs w:val="4"/>
                <w:color w:val="auto"/>
              </w:rPr>
            </w:pPr>
          </w:p>
        </w:tc>
        <w:tc>
          <w:tcPr>
            <w:tcW w:w="1020" w:type="dxa"/>
            <w:vAlign w:val="bottom"/>
            <w:gridSpan w:val="2"/>
            <w:vMerge w:val="restart"/>
          </w:tcPr>
          <w:p>
            <w:pPr>
              <w:ind w:left="100"/>
              <w:spacing w:after="0"/>
              <w:rPr>
                <w:sz w:val="20"/>
                <w:szCs w:val="20"/>
                <w:color w:val="auto"/>
              </w:rPr>
            </w:pPr>
            <w:r>
              <w:rPr>
                <w:rFonts w:ascii="Times New Roman" w:cs="Times New Roman" w:eastAsia="Times New Roman" w:hAnsi="Times New Roman"/>
                <w:sz w:val="13"/>
                <w:szCs w:val="13"/>
                <w:b w:val="1"/>
                <w:bCs w:val="1"/>
                <w:color w:val="auto"/>
              </w:rPr>
              <w:t>Retained</w:t>
            </w:r>
          </w:p>
        </w:tc>
        <w:tc>
          <w:tcPr>
            <w:tcW w:w="140" w:type="dxa"/>
            <w:vAlign w:val="bottom"/>
          </w:tcPr>
          <w:p>
            <w:pPr>
              <w:spacing w:after="0"/>
              <w:rPr>
                <w:sz w:val="4"/>
                <w:szCs w:val="4"/>
                <w:color w:val="auto"/>
              </w:rPr>
            </w:pPr>
          </w:p>
        </w:tc>
        <w:tc>
          <w:tcPr>
            <w:tcW w:w="1200" w:type="dxa"/>
            <w:vAlign w:val="bottom"/>
            <w:gridSpan w:val="2"/>
            <w:vMerge w:val="restart"/>
          </w:tcPr>
          <w:p>
            <w:pPr>
              <w:jc w:val="center"/>
              <w:ind w:right="220"/>
              <w:spacing w:after="0" w:line="122" w:lineRule="exact"/>
              <w:rPr>
                <w:sz w:val="20"/>
                <w:szCs w:val="20"/>
                <w:color w:val="auto"/>
              </w:rPr>
            </w:pPr>
            <w:r>
              <w:rPr>
                <w:rFonts w:ascii="Times New Roman" w:cs="Times New Roman" w:eastAsia="Times New Roman" w:hAnsi="Times New Roman"/>
                <w:sz w:val="13"/>
                <w:szCs w:val="13"/>
                <w:b w:val="1"/>
                <w:bCs w:val="1"/>
                <w:color w:val="auto"/>
              </w:rPr>
              <w:t>Other</w:t>
            </w:r>
          </w:p>
        </w:tc>
        <w:tc>
          <w:tcPr>
            <w:tcW w:w="140" w:type="dxa"/>
            <w:vAlign w:val="bottom"/>
          </w:tcPr>
          <w:p>
            <w:pPr>
              <w:spacing w:after="0"/>
              <w:rPr>
                <w:sz w:val="4"/>
                <w:szCs w:val="4"/>
                <w:color w:val="auto"/>
              </w:rPr>
            </w:pPr>
          </w:p>
        </w:tc>
        <w:tc>
          <w:tcPr>
            <w:tcW w:w="1020" w:type="dxa"/>
            <w:vAlign w:val="bottom"/>
            <w:vMerge w:val="restart"/>
          </w:tcPr>
          <w:p>
            <w:pPr>
              <w:jc w:val="center"/>
              <w:ind w:right="53"/>
              <w:spacing w:after="0" w:line="122" w:lineRule="exact"/>
              <w:rPr>
                <w:sz w:val="20"/>
                <w:szCs w:val="20"/>
                <w:color w:val="auto"/>
              </w:rPr>
            </w:pPr>
            <w:r>
              <w:rPr>
                <w:rFonts w:ascii="Times New Roman" w:cs="Times New Roman" w:eastAsia="Times New Roman" w:hAnsi="Times New Roman"/>
                <w:sz w:val="13"/>
                <w:szCs w:val="13"/>
                <w:b w:val="1"/>
                <w:bCs w:val="1"/>
                <w:color w:val="auto"/>
              </w:rPr>
              <w:t>Total</w:t>
            </w:r>
          </w:p>
        </w:tc>
        <w:tc>
          <w:tcPr>
            <w:tcW w:w="0" w:type="dxa"/>
            <w:vAlign w:val="bottom"/>
          </w:tcPr>
          <w:p>
            <w:pPr>
              <w:spacing w:after="0"/>
              <w:rPr>
                <w:sz w:val="1"/>
                <w:szCs w:val="1"/>
                <w:color w:val="auto"/>
              </w:rPr>
            </w:pPr>
          </w:p>
        </w:tc>
      </w:tr>
      <w:tr>
        <w:trPr>
          <w:trHeight w:val="48"/>
        </w:trPr>
        <w:tc>
          <w:tcPr>
            <w:tcW w:w="2680" w:type="dxa"/>
            <w:vAlign w:val="bottom"/>
          </w:tcPr>
          <w:p>
            <w:pPr>
              <w:spacing w:after="0"/>
              <w:rPr>
                <w:sz w:val="4"/>
                <w:szCs w:val="4"/>
                <w:color w:val="auto"/>
              </w:rPr>
            </w:pPr>
          </w:p>
        </w:tc>
        <w:tc>
          <w:tcPr>
            <w:tcW w:w="100" w:type="dxa"/>
            <w:vAlign w:val="bottom"/>
          </w:tcPr>
          <w:p>
            <w:pPr>
              <w:spacing w:after="0"/>
              <w:rPr>
                <w:sz w:val="4"/>
                <w:szCs w:val="4"/>
                <w:color w:val="auto"/>
              </w:rPr>
            </w:pPr>
          </w:p>
        </w:tc>
        <w:tc>
          <w:tcPr>
            <w:tcW w:w="7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640" w:type="dxa"/>
            <w:vAlign w:val="bottom"/>
          </w:tcPr>
          <w:p>
            <w:pPr>
              <w:spacing w:after="0"/>
              <w:rPr>
                <w:sz w:val="4"/>
                <w:szCs w:val="4"/>
                <w:color w:val="auto"/>
              </w:rPr>
            </w:pPr>
          </w:p>
        </w:tc>
        <w:tc>
          <w:tcPr>
            <w:tcW w:w="120" w:type="dxa"/>
            <w:vAlign w:val="bottom"/>
          </w:tcPr>
          <w:p>
            <w:pPr>
              <w:spacing w:after="0"/>
              <w:rPr>
                <w:sz w:val="4"/>
                <w:szCs w:val="4"/>
                <w:color w:val="auto"/>
              </w:rPr>
            </w:pPr>
          </w:p>
        </w:tc>
        <w:tc>
          <w:tcPr>
            <w:tcW w:w="120" w:type="dxa"/>
            <w:vAlign w:val="bottom"/>
          </w:tcPr>
          <w:p>
            <w:pPr>
              <w:spacing w:after="0"/>
              <w:rPr>
                <w:sz w:val="4"/>
                <w:szCs w:val="4"/>
                <w:color w:val="auto"/>
              </w:rPr>
            </w:pPr>
          </w:p>
        </w:tc>
        <w:tc>
          <w:tcPr>
            <w:tcW w:w="900" w:type="dxa"/>
            <w:vAlign w:val="bottom"/>
            <w:gridSpan w:val="2"/>
            <w:vMerge w:val="continue"/>
          </w:tcPr>
          <w:p>
            <w:pPr>
              <w:spacing w:after="0"/>
              <w:rPr>
                <w:sz w:val="4"/>
                <w:szCs w:val="4"/>
                <w:color w:val="auto"/>
              </w:rPr>
            </w:pPr>
          </w:p>
        </w:tc>
        <w:tc>
          <w:tcPr>
            <w:tcW w:w="760" w:type="dxa"/>
            <w:vAlign w:val="bottom"/>
          </w:tcPr>
          <w:p>
            <w:pPr>
              <w:spacing w:after="0"/>
              <w:rPr>
                <w:sz w:val="4"/>
                <w:szCs w:val="4"/>
                <w:color w:val="auto"/>
              </w:rPr>
            </w:pPr>
          </w:p>
        </w:tc>
        <w:tc>
          <w:tcPr>
            <w:tcW w:w="100" w:type="dxa"/>
            <w:vAlign w:val="bottom"/>
          </w:tcPr>
          <w:p>
            <w:pPr>
              <w:spacing w:after="0"/>
              <w:rPr>
                <w:sz w:val="4"/>
                <w:szCs w:val="4"/>
                <w:color w:val="auto"/>
              </w:rPr>
            </w:pPr>
          </w:p>
        </w:tc>
        <w:tc>
          <w:tcPr>
            <w:tcW w:w="160" w:type="dxa"/>
            <w:vAlign w:val="bottom"/>
          </w:tcPr>
          <w:p>
            <w:pPr>
              <w:spacing w:after="0"/>
              <w:rPr>
                <w:sz w:val="4"/>
                <w:szCs w:val="4"/>
                <w:color w:val="auto"/>
              </w:rPr>
            </w:pPr>
          </w:p>
        </w:tc>
        <w:tc>
          <w:tcPr>
            <w:tcW w:w="720" w:type="dxa"/>
            <w:vAlign w:val="bottom"/>
          </w:tcPr>
          <w:p>
            <w:pPr>
              <w:spacing w:after="0"/>
              <w:rPr>
                <w:sz w:val="4"/>
                <w:szCs w:val="4"/>
                <w:color w:val="auto"/>
              </w:rPr>
            </w:pPr>
          </w:p>
        </w:tc>
        <w:tc>
          <w:tcPr>
            <w:tcW w:w="120" w:type="dxa"/>
            <w:vAlign w:val="bottom"/>
          </w:tcPr>
          <w:p>
            <w:pPr>
              <w:spacing w:after="0"/>
              <w:rPr>
                <w:sz w:val="4"/>
                <w:szCs w:val="4"/>
                <w:color w:val="auto"/>
              </w:rPr>
            </w:pPr>
          </w:p>
        </w:tc>
        <w:tc>
          <w:tcPr>
            <w:tcW w:w="180" w:type="dxa"/>
            <w:vAlign w:val="bottom"/>
          </w:tcPr>
          <w:p>
            <w:pPr>
              <w:spacing w:after="0"/>
              <w:rPr>
                <w:sz w:val="4"/>
                <w:szCs w:val="4"/>
                <w:color w:val="auto"/>
              </w:rPr>
            </w:pPr>
          </w:p>
        </w:tc>
        <w:tc>
          <w:tcPr>
            <w:tcW w:w="1020" w:type="dxa"/>
            <w:vAlign w:val="bottom"/>
            <w:gridSpan w:val="2"/>
            <w:vMerge w:val="continue"/>
          </w:tcPr>
          <w:p>
            <w:pPr>
              <w:spacing w:after="0"/>
              <w:rPr>
                <w:sz w:val="4"/>
                <w:szCs w:val="4"/>
                <w:color w:val="auto"/>
              </w:rPr>
            </w:pPr>
          </w:p>
        </w:tc>
        <w:tc>
          <w:tcPr>
            <w:tcW w:w="140" w:type="dxa"/>
            <w:vAlign w:val="bottom"/>
          </w:tcPr>
          <w:p>
            <w:pPr>
              <w:spacing w:after="0"/>
              <w:rPr>
                <w:sz w:val="4"/>
                <w:szCs w:val="4"/>
                <w:color w:val="auto"/>
              </w:rPr>
            </w:pPr>
          </w:p>
        </w:tc>
        <w:tc>
          <w:tcPr>
            <w:tcW w:w="1200" w:type="dxa"/>
            <w:vAlign w:val="bottom"/>
            <w:gridSpan w:val="2"/>
            <w:vMerge w:val="continue"/>
          </w:tcPr>
          <w:p>
            <w:pPr>
              <w:spacing w:after="0"/>
              <w:rPr>
                <w:sz w:val="4"/>
                <w:szCs w:val="4"/>
                <w:color w:val="auto"/>
              </w:rPr>
            </w:pPr>
          </w:p>
        </w:tc>
        <w:tc>
          <w:tcPr>
            <w:tcW w:w="140" w:type="dxa"/>
            <w:vAlign w:val="bottom"/>
          </w:tcPr>
          <w:p>
            <w:pPr>
              <w:spacing w:after="0"/>
              <w:rPr>
                <w:sz w:val="4"/>
                <w:szCs w:val="4"/>
                <w:color w:val="auto"/>
              </w:rPr>
            </w:pPr>
          </w:p>
        </w:tc>
        <w:tc>
          <w:tcPr>
            <w:tcW w:w="102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35"/>
        </w:trPr>
        <w:tc>
          <w:tcPr>
            <w:tcW w:w="26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80" w:type="dxa"/>
            <w:vAlign w:val="bottom"/>
            <w:gridSpan w:val="2"/>
            <w:vMerge w:val="restart"/>
          </w:tcPr>
          <w:p>
            <w:pPr>
              <w:ind w:left="200"/>
              <w:spacing w:after="0"/>
              <w:rPr>
                <w:sz w:val="20"/>
                <w:szCs w:val="20"/>
                <w:color w:val="auto"/>
              </w:rPr>
            </w:pPr>
            <w:r>
              <w:rPr>
                <w:rFonts w:ascii="Times New Roman" w:cs="Times New Roman" w:eastAsia="Times New Roman" w:hAnsi="Times New Roman"/>
                <w:sz w:val="13"/>
                <w:szCs w:val="13"/>
                <w:b w:val="1"/>
                <w:bCs w:val="1"/>
                <w:color w:val="auto"/>
              </w:rPr>
              <w:t>Shares</w:t>
            </w:r>
          </w:p>
        </w:tc>
        <w:tc>
          <w:tcPr>
            <w:tcW w:w="120" w:type="dxa"/>
            <w:vAlign w:val="bottom"/>
          </w:tcPr>
          <w:p>
            <w:pPr>
              <w:spacing w:after="0"/>
              <w:rPr>
                <w:sz w:val="11"/>
                <w:szCs w:val="11"/>
                <w:color w:val="auto"/>
              </w:rPr>
            </w:pPr>
          </w:p>
        </w:tc>
        <w:tc>
          <w:tcPr>
            <w:tcW w:w="760" w:type="dxa"/>
            <w:vAlign w:val="bottom"/>
            <w:gridSpan w:val="2"/>
            <w:vMerge w:val="restart"/>
          </w:tcPr>
          <w:p>
            <w:pPr>
              <w:ind w:left="20"/>
              <w:spacing w:after="0"/>
              <w:rPr>
                <w:sz w:val="20"/>
                <w:szCs w:val="20"/>
                <w:color w:val="auto"/>
              </w:rPr>
            </w:pPr>
            <w:r>
              <w:rPr>
                <w:rFonts w:ascii="Times New Roman" w:cs="Times New Roman" w:eastAsia="Times New Roman" w:hAnsi="Times New Roman"/>
                <w:sz w:val="13"/>
                <w:szCs w:val="13"/>
                <w:b w:val="1"/>
                <w:bCs w:val="1"/>
                <w:color w:val="auto"/>
              </w:rPr>
              <w:t>Amount</w:t>
            </w:r>
          </w:p>
        </w:tc>
        <w:tc>
          <w:tcPr>
            <w:tcW w:w="120" w:type="dxa"/>
            <w:vAlign w:val="bottom"/>
          </w:tcPr>
          <w:p>
            <w:pPr>
              <w:spacing w:after="0"/>
              <w:rPr>
                <w:sz w:val="11"/>
                <w:szCs w:val="11"/>
                <w:color w:val="auto"/>
              </w:rPr>
            </w:pPr>
          </w:p>
        </w:tc>
        <w:tc>
          <w:tcPr>
            <w:tcW w:w="900" w:type="dxa"/>
            <w:vAlign w:val="bottom"/>
            <w:gridSpan w:val="2"/>
          </w:tcPr>
          <w:p>
            <w:pPr>
              <w:jc w:val="center"/>
              <w:ind w:right="240"/>
              <w:spacing w:after="0" w:line="135" w:lineRule="exact"/>
              <w:rPr>
                <w:sz w:val="20"/>
                <w:szCs w:val="20"/>
                <w:color w:val="auto"/>
              </w:rPr>
            </w:pPr>
            <w:r>
              <w:rPr>
                <w:rFonts w:ascii="Times New Roman" w:cs="Times New Roman" w:eastAsia="Times New Roman" w:hAnsi="Times New Roman"/>
                <w:sz w:val="13"/>
                <w:szCs w:val="13"/>
                <w:b w:val="1"/>
                <w:bCs w:val="1"/>
                <w:color w:val="auto"/>
              </w:rPr>
              <w:t>Paid-in</w:t>
            </w:r>
          </w:p>
        </w:tc>
        <w:tc>
          <w:tcPr>
            <w:tcW w:w="860" w:type="dxa"/>
            <w:vAlign w:val="bottom"/>
            <w:gridSpan w:val="2"/>
            <w:vMerge w:val="restart"/>
          </w:tcPr>
          <w:p>
            <w:pPr>
              <w:ind w:left="180"/>
              <w:spacing w:after="0"/>
              <w:rPr>
                <w:sz w:val="20"/>
                <w:szCs w:val="20"/>
                <w:color w:val="auto"/>
              </w:rPr>
            </w:pPr>
            <w:r>
              <w:rPr>
                <w:rFonts w:ascii="Times New Roman" w:cs="Times New Roman" w:eastAsia="Times New Roman" w:hAnsi="Times New Roman"/>
                <w:sz w:val="13"/>
                <w:szCs w:val="13"/>
                <w:b w:val="1"/>
                <w:bCs w:val="1"/>
                <w:color w:val="auto"/>
              </w:rPr>
              <w:t>Shares</w:t>
            </w:r>
          </w:p>
        </w:tc>
        <w:tc>
          <w:tcPr>
            <w:tcW w:w="160" w:type="dxa"/>
            <w:vAlign w:val="bottom"/>
          </w:tcPr>
          <w:p>
            <w:pPr>
              <w:spacing w:after="0"/>
              <w:rPr>
                <w:sz w:val="11"/>
                <w:szCs w:val="11"/>
                <w:color w:val="auto"/>
              </w:rPr>
            </w:pPr>
          </w:p>
        </w:tc>
        <w:tc>
          <w:tcPr>
            <w:tcW w:w="840" w:type="dxa"/>
            <w:vAlign w:val="bottom"/>
            <w:gridSpan w:val="2"/>
            <w:vMerge w:val="restart"/>
          </w:tcPr>
          <w:p>
            <w:pPr>
              <w:ind w:left="60"/>
              <w:spacing w:after="0"/>
              <w:rPr>
                <w:sz w:val="20"/>
                <w:szCs w:val="20"/>
                <w:color w:val="auto"/>
              </w:rPr>
            </w:pPr>
            <w:r>
              <w:rPr>
                <w:rFonts w:ascii="Times New Roman" w:cs="Times New Roman" w:eastAsia="Times New Roman" w:hAnsi="Times New Roman"/>
                <w:sz w:val="13"/>
                <w:szCs w:val="13"/>
                <w:b w:val="1"/>
                <w:bCs w:val="1"/>
                <w:color w:val="auto"/>
              </w:rPr>
              <w:t>Amount</w:t>
            </w:r>
          </w:p>
        </w:tc>
        <w:tc>
          <w:tcPr>
            <w:tcW w:w="180" w:type="dxa"/>
            <w:vAlign w:val="bottom"/>
          </w:tcPr>
          <w:p>
            <w:pPr>
              <w:spacing w:after="0"/>
              <w:rPr>
                <w:sz w:val="11"/>
                <w:szCs w:val="11"/>
                <w:color w:val="auto"/>
              </w:rPr>
            </w:pPr>
          </w:p>
        </w:tc>
        <w:tc>
          <w:tcPr>
            <w:tcW w:w="1020" w:type="dxa"/>
            <w:vAlign w:val="bottom"/>
            <w:gridSpan w:val="2"/>
            <w:vMerge w:val="continue"/>
          </w:tcPr>
          <w:p>
            <w:pPr>
              <w:spacing w:after="0"/>
              <w:rPr>
                <w:sz w:val="11"/>
                <w:szCs w:val="11"/>
                <w:color w:val="auto"/>
              </w:rPr>
            </w:pPr>
          </w:p>
        </w:tc>
        <w:tc>
          <w:tcPr>
            <w:tcW w:w="140" w:type="dxa"/>
            <w:vAlign w:val="bottom"/>
          </w:tcPr>
          <w:p>
            <w:pPr>
              <w:spacing w:after="0"/>
              <w:rPr>
                <w:sz w:val="11"/>
                <w:szCs w:val="11"/>
                <w:color w:val="auto"/>
              </w:rPr>
            </w:pPr>
          </w:p>
        </w:tc>
        <w:tc>
          <w:tcPr>
            <w:tcW w:w="1200" w:type="dxa"/>
            <w:vAlign w:val="bottom"/>
            <w:gridSpan w:val="2"/>
          </w:tcPr>
          <w:p>
            <w:pPr>
              <w:jc w:val="center"/>
              <w:ind w:right="220"/>
              <w:spacing w:after="0" w:line="135" w:lineRule="exact"/>
              <w:rPr>
                <w:sz w:val="20"/>
                <w:szCs w:val="20"/>
                <w:color w:val="auto"/>
              </w:rPr>
            </w:pPr>
            <w:r>
              <w:rPr>
                <w:rFonts w:ascii="Times New Roman" w:cs="Times New Roman" w:eastAsia="Times New Roman" w:hAnsi="Times New Roman"/>
                <w:sz w:val="13"/>
                <w:szCs w:val="13"/>
                <w:b w:val="1"/>
                <w:bCs w:val="1"/>
                <w:color w:val="auto"/>
              </w:rPr>
              <w:t>Comprehensive</w:t>
            </w:r>
          </w:p>
        </w:tc>
        <w:tc>
          <w:tcPr>
            <w:tcW w:w="140" w:type="dxa"/>
            <w:vAlign w:val="bottom"/>
          </w:tcPr>
          <w:p>
            <w:pPr>
              <w:spacing w:after="0"/>
              <w:rPr>
                <w:sz w:val="11"/>
                <w:szCs w:val="11"/>
                <w:color w:val="auto"/>
              </w:rPr>
            </w:pPr>
          </w:p>
        </w:tc>
        <w:tc>
          <w:tcPr>
            <w:tcW w:w="1020" w:type="dxa"/>
            <w:vAlign w:val="bottom"/>
          </w:tcPr>
          <w:p>
            <w:pPr>
              <w:jc w:val="center"/>
              <w:ind w:right="53"/>
              <w:spacing w:after="0" w:line="135" w:lineRule="exact"/>
              <w:rPr>
                <w:sz w:val="20"/>
                <w:szCs w:val="20"/>
                <w:color w:val="auto"/>
              </w:rPr>
            </w:pPr>
            <w:r>
              <w:rPr>
                <w:rFonts w:ascii="Times New Roman" w:cs="Times New Roman" w:eastAsia="Times New Roman" w:hAnsi="Times New Roman"/>
                <w:sz w:val="13"/>
                <w:szCs w:val="13"/>
                <w:b w:val="1"/>
                <w:bCs w:val="1"/>
                <w:color w:val="auto"/>
              </w:rPr>
              <w:t>Stockholders'</w:t>
            </w:r>
          </w:p>
        </w:tc>
        <w:tc>
          <w:tcPr>
            <w:tcW w:w="0" w:type="dxa"/>
            <w:vAlign w:val="bottom"/>
          </w:tcPr>
          <w:p>
            <w:pPr>
              <w:spacing w:after="0"/>
              <w:rPr>
                <w:sz w:val="1"/>
                <w:szCs w:val="1"/>
                <w:color w:val="auto"/>
              </w:rPr>
            </w:pPr>
          </w:p>
        </w:tc>
      </w:tr>
      <w:tr>
        <w:trPr>
          <w:trHeight w:val="184"/>
        </w:trPr>
        <w:tc>
          <w:tcPr>
            <w:tcW w:w="26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8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76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900" w:type="dxa"/>
            <w:vAlign w:val="bottom"/>
            <w:gridSpan w:val="2"/>
          </w:tcPr>
          <w:p>
            <w:pPr>
              <w:jc w:val="center"/>
              <w:ind w:right="240"/>
              <w:spacing w:after="0"/>
              <w:rPr>
                <w:sz w:val="20"/>
                <w:szCs w:val="20"/>
                <w:color w:val="auto"/>
              </w:rPr>
            </w:pPr>
            <w:r>
              <w:rPr>
                <w:rFonts w:ascii="Times New Roman" w:cs="Times New Roman" w:eastAsia="Times New Roman" w:hAnsi="Times New Roman"/>
                <w:sz w:val="13"/>
                <w:szCs w:val="13"/>
                <w:b w:val="1"/>
                <w:bCs w:val="1"/>
                <w:color w:val="auto"/>
              </w:rPr>
              <w:t>Capital</w:t>
            </w:r>
          </w:p>
        </w:tc>
        <w:tc>
          <w:tcPr>
            <w:tcW w:w="860" w:type="dxa"/>
            <w:vAlign w:val="bottom"/>
            <w:gridSpan w:val="2"/>
            <w:vMerge w:val="continue"/>
          </w:tcPr>
          <w:p>
            <w:pPr>
              <w:spacing w:after="0"/>
              <w:rPr>
                <w:sz w:val="15"/>
                <w:szCs w:val="15"/>
                <w:color w:val="auto"/>
              </w:rPr>
            </w:pPr>
          </w:p>
        </w:tc>
        <w:tc>
          <w:tcPr>
            <w:tcW w:w="160" w:type="dxa"/>
            <w:vAlign w:val="bottom"/>
          </w:tcPr>
          <w:p>
            <w:pPr>
              <w:spacing w:after="0"/>
              <w:rPr>
                <w:sz w:val="15"/>
                <w:szCs w:val="15"/>
                <w:color w:val="auto"/>
              </w:rPr>
            </w:pPr>
          </w:p>
        </w:tc>
        <w:tc>
          <w:tcPr>
            <w:tcW w:w="840" w:type="dxa"/>
            <w:vAlign w:val="bottom"/>
            <w:gridSpan w:val="2"/>
            <w:vMerge w:val="continue"/>
          </w:tcPr>
          <w:p>
            <w:pPr>
              <w:spacing w:after="0"/>
              <w:rPr>
                <w:sz w:val="15"/>
                <w:szCs w:val="15"/>
                <w:color w:val="auto"/>
              </w:rPr>
            </w:pPr>
          </w:p>
        </w:tc>
        <w:tc>
          <w:tcPr>
            <w:tcW w:w="180" w:type="dxa"/>
            <w:vAlign w:val="bottom"/>
          </w:tcPr>
          <w:p>
            <w:pPr>
              <w:spacing w:after="0"/>
              <w:rPr>
                <w:sz w:val="15"/>
                <w:szCs w:val="15"/>
                <w:color w:val="auto"/>
              </w:rPr>
            </w:pPr>
          </w:p>
        </w:tc>
        <w:tc>
          <w:tcPr>
            <w:tcW w:w="1020" w:type="dxa"/>
            <w:vAlign w:val="bottom"/>
            <w:gridSpan w:val="2"/>
          </w:tcPr>
          <w:p>
            <w:pPr>
              <w:ind w:left="100"/>
              <w:spacing w:after="0"/>
              <w:rPr>
                <w:sz w:val="20"/>
                <w:szCs w:val="20"/>
                <w:color w:val="auto"/>
              </w:rPr>
            </w:pPr>
            <w:r>
              <w:rPr>
                <w:rFonts w:ascii="Times New Roman" w:cs="Times New Roman" w:eastAsia="Times New Roman" w:hAnsi="Times New Roman"/>
                <w:sz w:val="13"/>
                <w:szCs w:val="13"/>
                <w:b w:val="1"/>
                <w:bCs w:val="1"/>
                <w:color w:val="auto"/>
              </w:rPr>
              <w:t>Earnings</w:t>
            </w:r>
          </w:p>
        </w:tc>
        <w:tc>
          <w:tcPr>
            <w:tcW w:w="140" w:type="dxa"/>
            <w:vAlign w:val="bottom"/>
          </w:tcPr>
          <w:p>
            <w:pPr>
              <w:spacing w:after="0"/>
              <w:rPr>
                <w:sz w:val="15"/>
                <w:szCs w:val="15"/>
                <w:color w:val="auto"/>
              </w:rPr>
            </w:pPr>
          </w:p>
        </w:tc>
        <w:tc>
          <w:tcPr>
            <w:tcW w:w="1200" w:type="dxa"/>
            <w:vAlign w:val="bottom"/>
            <w:gridSpan w:val="2"/>
          </w:tcPr>
          <w:p>
            <w:pPr>
              <w:jc w:val="center"/>
              <w:ind w:right="240"/>
              <w:spacing w:after="0"/>
              <w:rPr>
                <w:sz w:val="20"/>
                <w:szCs w:val="20"/>
                <w:color w:val="auto"/>
              </w:rPr>
            </w:pPr>
            <w:r>
              <w:rPr>
                <w:rFonts w:ascii="Times New Roman" w:cs="Times New Roman" w:eastAsia="Times New Roman" w:hAnsi="Times New Roman"/>
                <w:sz w:val="13"/>
                <w:szCs w:val="13"/>
                <w:b w:val="1"/>
                <w:bCs w:val="1"/>
                <w:color w:val="auto"/>
              </w:rPr>
              <w:t>Income (Loss)</w:t>
            </w:r>
          </w:p>
        </w:tc>
        <w:tc>
          <w:tcPr>
            <w:tcW w:w="140" w:type="dxa"/>
            <w:vAlign w:val="bottom"/>
          </w:tcPr>
          <w:p>
            <w:pPr>
              <w:spacing w:after="0"/>
              <w:rPr>
                <w:sz w:val="15"/>
                <w:szCs w:val="15"/>
                <w:color w:val="auto"/>
              </w:rPr>
            </w:pPr>
          </w:p>
        </w:tc>
        <w:tc>
          <w:tcPr>
            <w:tcW w:w="1020" w:type="dxa"/>
            <w:vAlign w:val="bottom"/>
          </w:tcPr>
          <w:p>
            <w:pPr>
              <w:jc w:val="center"/>
              <w:ind w:right="53"/>
              <w:spacing w:after="0"/>
              <w:rPr>
                <w:sz w:val="20"/>
                <w:szCs w:val="20"/>
                <w:color w:val="auto"/>
              </w:rPr>
            </w:pPr>
            <w:r>
              <w:rPr>
                <w:rFonts w:ascii="Times New Roman" w:cs="Times New Roman" w:eastAsia="Times New Roman" w:hAnsi="Times New Roman"/>
                <w:sz w:val="13"/>
                <w:szCs w:val="13"/>
                <w:b w:val="1"/>
                <w:bCs w:val="1"/>
                <w:color w:val="auto"/>
              </w:rPr>
              <w:t>Equity</w:t>
            </w:r>
          </w:p>
        </w:tc>
        <w:tc>
          <w:tcPr>
            <w:tcW w:w="0" w:type="dxa"/>
            <w:vAlign w:val="bottom"/>
          </w:tcPr>
          <w:p>
            <w:pPr>
              <w:spacing w:after="0"/>
              <w:rPr>
                <w:sz w:val="1"/>
                <w:szCs w:val="1"/>
                <w:color w:val="auto"/>
              </w:rPr>
            </w:pPr>
          </w:p>
        </w:tc>
      </w:tr>
      <w:tr>
        <w:trPr>
          <w:trHeight w:val="181"/>
        </w:trPr>
        <w:tc>
          <w:tcPr>
            <w:tcW w:w="2780" w:type="dxa"/>
            <w:vAlign w:val="bottom"/>
            <w:gridSpan w:val="2"/>
          </w:tcPr>
          <w:p>
            <w:pPr>
              <w:ind w:left="20"/>
              <w:spacing w:after="0"/>
              <w:rPr>
                <w:sz w:val="20"/>
                <w:szCs w:val="20"/>
                <w:color w:val="auto"/>
              </w:rPr>
            </w:pPr>
            <w:r>
              <w:rPr>
                <w:rFonts w:ascii="Times New Roman" w:cs="Times New Roman" w:eastAsia="Times New Roman" w:hAnsi="Times New Roman"/>
                <w:sz w:val="13"/>
                <w:szCs w:val="13"/>
                <w:color w:val="auto"/>
              </w:rPr>
              <w:t>Balance, September 30, 2020</w:t>
            </w:r>
          </w:p>
        </w:tc>
        <w:tc>
          <w:tcPr>
            <w:tcW w:w="7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137,349</w:t>
            </w:r>
          </w:p>
        </w:tc>
        <w:tc>
          <w:tcPr>
            <w:tcW w:w="100" w:type="dxa"/>
            <w:vAlign w:val="bottom"/>
          </w:tcPr>
          <w:p>
            <w:pPr>
              <w:spacing w:after="0"/>
              <w:rPr>
                <w:sz w:val="15"/>
                <w:szCs w:val="15"/>
                <w:color w:val="auto"/>
              </w:rPr>
            </w:pPr>
          </w:p>
        </w:tc>
        <w:tc>
          <w:tcPr>
            <w:tcW w:w="1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6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1,373</w:t>
            </w:r>
          </w:p>
        </w:tc>
        <w:tc>
          <w:tcPr>
            <w:tcW w:w="120" w:type="dxa"/>
            <w:vAlign w:val="bottom"/>
          </w:tcPr>
          <w:p>
            <w:pPr>
              <w:spacing w:after="0"/>
              <w:rPr>
                <w:sz w:val="15"/>
                <w:szCs w:val="15"/>
                <w:color w:val="auto"/>
              </w:rPr>
            </w:pPr>
          </w:p>
        </w:tc>
        <w:tc>
          <w:tcPr>
            <w:tcW w:w="1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7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2,285,394</w:t>
            </w:r>
          </w:p>
        </w:tc>
        <w:tc>
          <w:tcPr>
            <w:tcW w:w="120" w:type="dxa"/>
            <w:vAlign w:val="bottom"/>
          </w:tcPr>
          <w:p>
            <w:pPr>
              <w:spacing w:after="0"/>
              <w:rPr>
                <w:sz w:val="15"/>
                <w:szCs w:val="15"/>
                <w:color w:val="auto"/>
              </w:rPr>
            </w:pPr>
          </w:p>
        </w:tc>
        <w:tc>
          <w:tcPr>
            <w:tcW w:w="760" w:type="dxa"/>
            <w:vAlign w:val="bottom"/>
            <w:tcBorders>
              <w:top w:val="single" w:sz="8" w:color="auto"/>
            </w:tcBorders>
          </w:tcPr>
          <w:p>
            <w:pPr>
              <w:ind w:left="280"/>
              <w:spacing w:after="0"/>
              <w:rPr>
                <w:sz w:val="20"/>
                <w:szCs w:val="20"/>
                <w:color w:val="auto"/>
              </w:rPr>
            </w:pPr>
            <w:r>
              <w:rPr>
                <w:rFonts w:ascii="Times New Roman" w:cs="Times New Roman" w:eastAsia="Times New Roman" w:hAnsi="Times New Roman"/>
                <w:sz w:val="13"/>
                <w:szCs w:val="13"/>
                <w:color w:val="auto"/>
              </w:rPr>
              <w:t>(22,421)</w:t>
            </w:r>
          </w:p>
        </w:tc>
        <w:tc>
          <w:tcPr>
            <w:tcW w:w="100" w:type="dxa"/>
            <w:vAlign w:val="bottom"/>
            <w:tcBorders>
              <w:top w:val="single" w:sz="8" w:color="auto"/>
            </w:tcBorders>
          </w:tcPr>
          <w:p>
            <w:pPr>
              <w:spacing w:after="0"/>
              <w:rPr>
                <w:sz w:val="15"/>
                <w:szCs w:val="15"/>
                <w:color w:val="auto"/>
              </w:rPr>
            </w:pPr>
          </w:p>
        </w:tc>
        <w:tc>
          <w:tcPr>
            <w:tcW w:w="1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720" w:type="dxa"/>
            <w:vAlign w:val="bottom"/>
            <w:tcBorders>
              <w:top w:val="single" w:sz="8" w:color="auto"/>
            </w:tcBorders>
          </w:tcPr>
          <w:p>
            <w:pPr>
              <w:ind w:left="160"/>
              <w:spacing w:after="0"/>
              <w:rPr>
                <w:sz w:val="20"/>
                <w:szCs w:val="20"/>
                <w:color w:val="auto"/>
              </w:rPr>
            </w:pPr>
            <w:r>
              <w:rPr>
                <w:rFonts w:ascii="Times New Roman" w:cs="Times New Roman" w:eastAsia="Times New Roman" w:hAnsi="Times New Roman"/>
                <w:sz w:val="13"/>
                <w:szCs w:val="13"/>
                <w:color w:val="auto"/>
              </w:rPr>
              <w:t>(820,572)</w:t>
            </w:r>
          </w:p>
        </w:tc>
        <w:tc>
          <w:tcPr>
            <w:tcW w:w="120" w:type="dxa"/>
            <w:vAlign w:val="bottom"/>
          </w:tcPr>
          <w:p>
            <w:pPr>
              <w:spacing w:after="0"/>
              <w:rPr>
                <w:sz w:val="15"/>
                <w:szCs w:val="15"/>
                <w:color w:val="auto"/>
              </w:rPr>
            </w:pPr>
          </w:p>
        </w:tc>
        <w:tc>
          <w:tcPr>
            <w:tcW w:w="180" w:type="dxa"/>
            <w:vAlign w:val="bottom"/>
            <w:tcBorders>
              <w:top w:val="single" w:sz="8" w:color="auto"/>
            </w:tcBorders>
          </w:tcPr>
          <w:p>
            <w:pPr>
              <w:jc w:val="right"/>
              <w:ind w:right="33"/>
              <w:spacing w:after="0"/>
              <w:rPr>
                <w:sz w:val="20"/>
                <w:szCs w:val="20"/>
                <w:color w:val="auto"/>
              </w:rPr>
            </w:pPr>
            <w:r>
              <w:rPr>
                <w:rFonts w:ascii="Times New Roman" w:cs="Times New Roman" w:eastAsia="Times New Roman" w:hAnsi="Times New Roman"/>
                <w:sz w:val="13"/>
                <w:szCs w:val="13"/>
                <w:color w:val="auto"/>
                <w:w w:val="91"/>
              </w:rPr>
              <w:t>$</w:t>
            </w:r>
          </w:p>
        </w:tc>
        <w:tc>
          <w:tcPr>
            <w:tcW w:w="9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1,469,911</w:t>
            </w:r>
          </w:p>
        </w:tc>
        <w:tc>
          <w:tcPr>
            <w:tcW w:w="100" w:type="dxa"/>
            <w:vAlign w:val="bottom"/>
          </w:tcPr>
          <w:p>
            <w:pPr>
              <w:spacing w:after="0"/>
              <w:rPr>
                <w:sz w:val="15"/>
                <w:szCs w:val="15"/>
                <w:color w:val="auto"/>
              </w:rPr>
            </w:pPr>
          </w:p>
        </w:tc>
        <w:tc>
          <w:tcPr>
            <w:tcW w:w="1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1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(34,824)</w:t>
            </w:r>
          </w:p>
        </w:tc>
        <w:tc>
          <w:tcPr>
            <w:tcW w:w="100" w:type="dxa"/>
            <w:vAlign w:val="bottom"/>
          </w:tcPr>
          <w:p>
            <w:pPr>
              <w:spacing w:after="0"/>
              <w:rPr>
                <w:sz w:val="15"/>
                <w:szCs w:val="15"/>
                <w:color w:val="auto"/>
              </w:rPr>
            </w:pPr>
          </w:p>
        </w:tc>
        <w:tc>
          <w:tcPr>
            <w:tcW w:w="1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2,901,282</w:t>
            </w:r>
          </w:p>
        </w:tc>
        <w:tc>
          <w:tcPr>
            <w:tcW w:w="0" w:type="dxa"/>
            <w:vAlign w:val="bottom"/>
          </w:tcPr>
          <w:p>
            <w:pPr>
              <w:spacing w:after="0"/>
              <w:rPr>
                <w:sz w:val="1"/>
                <w:szCs w:val="1"/>
                <w:color w:val="auto"/>
              </w:rPr>
            </w:pPr>
          </w:p>
        </w:tc>
      </w:tr>
      <w:tr>
        <w:trPr>
          <w:trHeight w:val="196"/>
        </w:trPr>
        <w:tc>
          <w:tcPr>
            <w:tcW w:w="278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3"/>
                <w:szCs w:val="13"/>
                <w:color w:val="auto"/>
              </w:rPr>
              <w:t>Net income</w:t>
            </w:r>
          </w:p>
        </w:tc>
        <w:tc>
          <w:tcPr>
            <w:tcW w:w="8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CEEFF"/>
          </w:tcPr>
          <w:p>
            <w:pPr>
              <w:spacing w:after="0"/>
              <w:rPr>
                <w:sz w:val="17"/>
                <w:szCs w:val="17"/>
                <w:color w:val="auto"/>
              </w:rPr>
            </w:pPr>
          </w:p>
        </w:tc>
        <w:tc>
          <w:tcPr>
            <w:tcW w:w="76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CEEFF"/>
          </w:tcPr>
          <w:p>
            <w:pPr>
              <w:spacing w:after="0"/>
              <w:rPr>
                <w:sz w:val="17"/>
                <w:szCs w:val="17"/>
                <w:color w:val="auto"/>
              </w:rPr>
            </w:pPr>
          </w:p>
        </w:tc>
        <w:tc>
          <w:tcPr>
            <w:tcW w:w="90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860" w:type="dxa"/>
            <w:vAlign w:val="bottom"/>
            <w:gridSpan w:val="2"/>
            <w:shd w:val="clear" w:color="auto" w:fill="CCEEFF"/>
          </w:tcPr>
          <w:p>
            <w:pPr>
              <w:ind w:left="560"/>
              <w:spacing w:after="0"/>
              <w:rPr>
                <w:sz w:val="20"/>
                <w:szCs w:val="20"/>
                <w:color w:val="auto"/>
              </w:rPr>
            </w:pPr>
            <w:r>
              <w:rPr>
                <w:rFonts w:ascii="Times New Roman" w:cs="Times New Roman" w:eastAsia="Times New Roman" w:hAnsi="Times New Roman"/>
                <w:sz w:val="13"/>
                <w:szCs w:val="13"/>
                <w:color w:val="auto"/>
              </w:rPr>
              <w:t>—</w:t>
            </w:r>
          </w:p>
        </w:tc>
        <w:tc>
          <w:tcPr>
            <w:tcW w:w="160" w:type="dxa"/>
            <w:vAlign w:val="bottom"/>
            <w:shd w:val="clear" w:color="auto" w:fill="CCEEFF"/>
          </w:tcPr>
          <w:p>
            <w:pPr>
              <w:spacing w:after="0"/>
              <w:rPr>
                <w:sz w:val="17"/>
                <w:szCs w:val="17"/>
                <w:color w:val="auto"/>
              </w:rPr>
            </w:pPr>
          </w:p>
        </w:tc>
        <w:tc>
          <w:tcPr>
            <w:tcW w:w="840" w:type="dxa"/>
            <w:vAlign w:val="bottom"/>
            <w:gridSpan w:val="2"/>
            <w:shd w:val="clear" w:color="auto" w:fill="CCEEFF"/>
          </w:tcPr>
          <w:p>
            <w:pPr>
              <w:ind w:left="520"/>
              <w:spacing w:after="0"/>
              <w:rPr>
                <w:sz w:val="20"/>
                <w:szCs w:val="20"/>
                <w:color w:val="auto"/>
              </w:rPr>
            </w:pPr>
            <w:r>
              <w:rPr>
                <w:rFonts w:ascii="Times New Roman" w:cs="Times New Roman" w:eastAsia="Times New Roman" w:hAnsi="Times New Roman"/>
                <w:sz w:val="13"/>
                <w:szCs w:val="13"/>
                <w:color w:val="auto"/>
              </w:rPr>
              <w:t>—</w:t>
            </w:r>
          </w:p>
        </w:tc>
        <w:tc>
          <w:tcPr>
            <w:tcW w:w="180" w:type="dxa"/>
            <w:vAlign w:val="bottom"/>
            <w:shd w:val="clear" w:color="auto" w:fill="CCEEFF"/>
          </w:tcPr>
          <w:p>
            <w:pPr>
              <w:spacing w:after="0"/>
              <w:rPr>
                <w:sz w:val="17"/>
                <w:szCs w:val="17"/>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182,248</w:t>
            </w: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2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CCEEFF"/>
          </w:tcPr>
          <w:p>
            <w:pPr>
              <w:spacing w:after="0"/>
              <w:rPr>
                <w:sz w:val="17"/>
                <w:szCs w:val="17"/>
                <w:color w:val="auto"/>
              </w:rPr>
            </w:pPr>
          </w:p>
        </w:tc>
        <w:tc>
          <w:tcPr>
            <w:tcW w:w="10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182,248</w:t>
            </w:r>
          </w:p>
        </w:tc>
        <w:tc>
          <w:tcPr>
            <w:tcW w:w="0" w:type="dxa"/>
            <w:vAlign w:val="bottom"/>
          </w:tcPr>
          <w:p>
            <w:pPr>
              <w:spacing w:after="0"/>
              <w:rPr>
                <w:sz w:val="1"/>
                <w:szCs w:val="1"/>
                <w:color w:val="auto"/>
              </w:rPr>
            </w:pPr>
          </w:p>
        </w:tc>
      </w:tr>
      <w:tr>
        <w:trPr>
          <w:trHeight w:val="122"/>
        </w:trPr>
        <w:tc>
          <w:tcPr>
            <w:tcW w:w="2780" w:type="dxa"/>
            <w:vAlign w:val="bottom"/>
            <w:gridSpan w:val="2"/>
          </w:tcPr>
          <w:p>
            <w:pPr>
              <w:ind w:left="20"/>
              <w:spacing w:after="0" w:line="122" w:lineRule="exact"/>
              <w:rPr>
                <w:sz w:val="20"/>
                <w:szCs w:val="20"/>
                <w:color w:val="auto"/>
              </w:rPr>
            </w:pPr>
            <w:r>
              <w:rPr>
                <w:rFonts w:ascii="Times New Roman" w:cs="Times New Roman" w:eastAsia="Times New Roman" w:hAnsi="Times New Roman"/>
                <w:sz w:val="13"/>
                <w:szCs w:val="13"/>
                <w:color w:val="auto"/>
              </w:rPr>
              <w:t>Change in cumulative foreign currency translation</w:t>
            </w:r>
          </w:p>
        </w:tc>
        <w:tc>
          <w:tcPr>
            <w:tcW w:w="88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0"/>
                <w:szCs w:val="10"/>
                <w:color w:val="auto"/>
              </w:rPr>
            </w:pPr>
          </w:p>
        </w:tc>
        <w:tc>
          <w:tcPr>
            <w:tcW w:w="76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0"/>
                <w:szCs w:val="10"/>
                <w:color w:val="auto"/>
              </w:rPr>
            </w:pPr>
          </w:p>
        </w:tc>
        <w:tc>
          <w:tcPr>
            <w:tcW w:w="90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860" w:type="dxa"/>
            <w:vAlign w:val="bottom"/>
            <w:gridSpan w:val="2"/>
            <w:vMerge w:val="restart"/>
          </w:tcPr>
          <w:p>
            <w:pPr>
              <w:ind w:left="560"/>
              <w:spacing w:after="0"/>
              <w:rPr>
                <w:sz w:val="20"/>
                <w:szCs w:val="20"/>
                <w:color w:val="auto"/>
              </w:rPr>
            </w:pPr>
            <w:r>
              <w:rPr>
                <w:rFonts w:ascii="Times New Roman" w:cs="Times New Roman" w:eastAsia="Times New Roman" w:hAnsi="Times New Roman"/>
                <w:sz w:val="13"/>
                <w:szCs w:val="13"/>
                <w:color w:val="auto"/>
              </w:rPr>
              <w:t>—</w:t>
            </w:r>
          </w:p>
        </w:tc>
        <w:tc>
          <w:tcPr>
            <w:tcW w:w="160" w:type="dxa"/>
            <w:vAlign w:val="bottom"/>
          </w:tcPr>
          <w:p>
            <w:pPr>
              <w:spacing w:after="0"/>
              <w:rPr>
                <w:sz w:val="10"/>
                <w:szCs w:val="10"/>
                <w:color w:val="auto"/>
              </w:rPr>
            </w:pPr>
          </w:p>
        </w:tc>
        <w:tc>
          <w:tcPr>
            <w:tcW w:w="840" w:type="dxa"/>
            <w:vAlign w:val="bottom"/>
            <w:gridSpan w:val="2"/>
            <w:vMerge w:val="restart"/>
          </w:tcPr>
          <w:p>
            <w:pPr>
              <w:ind w:left="520"/>
              <w:spacing w:after="0"/>
              <w:rPr>
                <w:sz w:val="20"/>
                <w:szCs w:val="20"/>
                <w:color w:val="auto"/>
              </w:rPr>
            </w:pPr>
            <w:r>
              <w:rPr>
                <w:rFonts w:ascii="Times New Roman" w:cs="Times New Roman" w:eastAsia="Times New Roman" w:hAnsi="Times New Roman"/>
                <w:sz w:val="13"/>
                <w:szCs w:val="13"/>
                <w:color w:val="auto"/>
              </w:rPr>
              <w:t>—</w:t>
            </w:r>
          </w:p>
        </w:tc>
        <w:tc>
          <w:tcPr>
            <w:tcW w:w="180" w:type="dxa"/>
            <w:vAlign w:val="bottom"/>
          </w:tcPr>
          <w:p>
            <w:pPr>
              <w:spacing w:after="0"/>
              <w:rPr>
                <w:sz w:val="10"/>
                <w:szCs w:val="10"/>
                <w:color w:val="auto"/>
              </w:rPr>
            </w:pPr>
          </w:p>
        </w:tc>
        <w:tc>
          <w:tcPr>
            <w:tcW w:w="1020" w:type="dxa"/>
            <w:vAlign w:val="bottom"/>
            <w:gridSpan w:val="2"/>
            <w:vMerge w:val="restart"/>
          </w:tcPr>
          <w:p>
            <w:pPr>
              <w:ind w:left="66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10"/>
                <w:szCs w:val="10"/>
                <w:color w:val="auto"/>
              </w:rPr>
            </w:pPr>
          </w:p>
        </w:tc>
        <w:tc>
          <w:tcPr>
            <w:tcW w:w="110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30,135</w:t>
            </w:r>
          </w:p>
        </w:tc>
        <w:tc>
          <w:tcPr>
            <w:tcW w:w="1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2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30,135</w:t>
            </w:r>
          </w:p>
        </w:tc>
        <w:tc>
          <w:tcPr>
            <w:tcW w:w="0" w:type="dxa"/>
            <w:vAlign w:val="bottom"/>
          </w:tcPr>
          <w:p>
            <w:pPr>
              <w:spacing w:after="0"/>
              <w:rPr>
                <w:sz w:val="1"/>
                <w:szCs w:val="1"/>
                <w:color w:val="auto"/>
              </w:rPr>
            </w:pPr>
          </w:p>
        </w:tc>
      </w:tr>
      <w:tr>
        <w:trPr>
          <w:trHeight w:val="175"/>
        </w:trPr>
        <w:tc>
          <w:tcPr>
            <w:tcW w:w="2780" w:type="dxa"/>
            <w:vAlign w:val="bottom"/>
            <w:gridSpan w:val="2"/>
          </w:tcPr>
          <w:p>
            <w:pPr>
              <w:ind w:left="20"/>
              <w:spacing w:after="0"/>
              <w:rPr>
                <w:sz w:val="20"/>
                <w:szCs w:val="20"/>
                <w:color w:val="auto"/>
              </w:rPr>
            </w:pPr>
            <w:r>
              <w:rPr>
                <w:rFonts w:ascii="Times New Roman" w:cs="Times New Roman" w:eastAsia="Times New Roman" w:hAnsi="Times New Roman"/>
                <w:sz w:val="13"/>
                <w:szCs w:val="13"/>
                <w:color w:val="auto"/>
              </w:rPr>
              <w:t>adjustment</w:t>
            </w:r>
          </w:p>
        </w:tc>
        <w:tc>
          <w:tcPr>
            <w:tcW w:w="88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76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900" w:type="dxa"/>
            <w:vAlign w:val="bottom"/>
            <w:gridSpan w:val="2"/>
            <w:vMerge w:val="continue"/>
          </w:tcPr>
          <w:p>
            <w:pPr>
              <w:spacing w:after="0"/>
              <w:rPr>
                <w:sz w:val="15"/>
                <w:szCs w:val="15"/>
                <w:color w:val="auto"/>
              </w:rPr>
            </w:pPr>
          </w:p>
        </w:tc>
        <w:tc>
          <w:tcPr>
            <w:tcW w:w="860" w:type="dxa"/>
            <w:vAlign w:val="bottom"/>
            <w:gridSpan w:val="2"/>
            <w:vMerge w:val="continue"/>
          </w:tcPr>
          <w:p>
            <w:pPr>
              <w:spacing w:after="0"/>
              <w:rPr>
                <w:sz w:val="15"/>
                <w:szCs w:val="15"/>
                <w:color w:val="auto"/>
              </w:rPr>
            </w:pPr>
          </w:p>
        </w:tc>
        <w:tc>
          <w:tcPr>
            <w:tcW w:w="160" w:type="dxa"/>
            <w:vAlign w:val="bottom"/>
          </w:tcPr>
          <w:p>
            <w:pPr>
              <w:spacing w:after="0"/>
              <w:rPr>
                <w:sz w:val="15"/>
                <w:szCs w:val="15"/>
                <w:color w:val="auto"/>
              </w:rPr>
            </w:pPr>
          </w:p>
        </w:tc>
        <w:tc>
          <w:tcPr>
            <w:tcW w:w="840" w:type="dxa"/>
            <w:vAlign w:val="bottom"/>
            <w:gridSpan w:val="2"/>
            <w:vMerge w:val="continue"/>
          </w:tcPr>
          <w:p>
            <w:pPr>
              <w:spacing w:after="0"/>
              <w:rPr>
                <w:sz w:val="15"/>
                <w:szCs w:val="15"/>
                <w:color w:val="auto"/>
              </w:rPr>
            </w:pPr>
          </w:p>
        </w:tc>
        <w:tc>
          <w:tcPr>
            <w:tcW w:w="180" w:type="dxa"/>
            <w:vAlign w:val="bottom"/>
          </w:tcPr>
          <w:p>
            <w:pPr>
              <w:spacing w:after="0"/>
              <w:rPr>
                <w:sz w:val="15"/>
                <w:szCs w:val="15"/>
                <w:color w:val="auto"/>
              </w:rPr>
            </w:pPr>
          </w:p>
        </w:tc>
        <w:tc>
          <w:tcPr>
            <w:tcW w:w="1020" w:type="dxa"/>
            <w:vAlign w:val="bottom"/>
            <w:gridSpan w:val="2"/>
            <w:vMerge w:val="continue"/>
          </w:tcPr>
          <w:p>
            <w:pPr>
              <w:spacing w:after="0"/>
              <w:rPr>
                <w:sz w:val="15"/>
                <w:szCs w:val="15"/>
                <w:color w:val="auto"/>
              </w:rPr>
            </w:pPr>
          </w:p>
        </w:tc>
        <w:tc>
          <w:tcPr>
            <w:tcW w:w="140" w:type="dxa"/>
            <w:vAlign w:val="bottom"/>
          </w:tcPr>
          <w:p>
            <w:pPr>
              <w:spacing w:after="0"/>
              <w:rPr>
                <w:sz w:val="15"/>
                <w:szCs w:val="15"/>
                <w:color w:val="auto"/>
              </w:rPr>
            </w:pPr>
          </w:p>
        </w:tc>
        <w:tc>
          <w:tcPr>
            <w:tcW w:w="110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30"/>
        </w:trPr>
        <w:tc>
          <w:tcPr>
            <w:tcW w:w="278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3"/>
                <w:szCs w:val="13"/>
                <w:color w:val="auto"/>
              </w:rPr>
              <w:t>Change in gains on cash flow hedge, net</w:t>
            </w:r>
          </w:p>
        </w:tc>
        <w:tc>
          <w:tcPr>
            <w:tcW w:w="8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CEEFF"/>
          </w:tcPr>
          <w:p>
            <w:pPr>
              <w:spacing w:after="0"/>
              <w:rPr>
                <w:sz w:val="19"/>
                <w:szCs w:val="19"/>
                <w:color w:val="auto"/>
              </w:rPr>
            </w:pPr>
          </w:p>
        </w:tc>
        <w:tc>
          <w:tcPr>
            <w:tcW w:w="76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CEEFF"/>
          </w:tcPr>
          <w:p>
            <w:pPr>
              <w:spacing w:after="0"/>
              <w:rPr>
                <w:sz w:val="19"/>
                <w:szCs w:val="19"/>
                <w:color w:val="auto"/>
              </w:rPr>
            </w:pPr>
          </w:p>
        </w:tc>
        <w:tc>
          <w:tcPr>
            <w:tcW w:w="90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860" w:type="dxa"/>
            <w:vAlign w:val="bottom"/>
            <w:gridSpan w:val="2"/>
            <w:shd w:val="clear" w:color="auto" w:fill="CCEEFF"/>
          </w:tcPr>
          <w:p>
            <w:pPr>
              <w:ind w:left="560"/>
              <w:spacing w:after="0"/>
              <w:rPr>
                <w:sz w:val="20"/>
                <w:szCs w:val="20"/>
                <w:color w:val="auto"/>
              </w:rPr>
            </w:pPr>
            <w:r>
              <w:rPr>
                <w:rFonts w:ascii="Times New Roman" w:cs="Times New Roman" w:eastAsia="Times New Roman" w:hAnsi="Times New Roman"/>
                <w:sz w:val="13"/>
                <w:szCs w:val="13"/>
                <w:color w:val="auto"/>
              </w:rPr>
              <w:t>—</w:t>
            </w:r>
          </w:p>
        </w:tc>
        <w:tc>
          <w:tcPr>
            <w:tcW w:w="160" w:type="dxa"/>
            <w:vAlign w:val="bottom"/>
            <w:shd w:val="clear" w:color="auto" w:fill="CCEEFF"/>
          </w:tcPr>
          <w:p>
            <w:pPr>
              <w:spacing w:after="0"/>
              <w:rPr>
                <w:sz w:val="19"/>
                <w:szCs w:val="19"/>
                <w:color w:val="auto"/>
              </w:rPr>
            </w:pPr>
          </w:p>
        </w:tc>
        <w:tc>
          <w:tcPr>
            <w:tcW w:w="840" w:type="dxa"/>
            <w:vAlign w:val="bottom"/>
            <w:gridSpan w:val="2"/>
            <w:shd w:val="clear" w:color="auto" w:fill="CCEEFF"/>
          </w:tcPr>
          <w:p>
            <w:pPr>
              <w:ind w:left="520"/>
              <w:spacing w:after="0"/>
              <w:rPr>
                <w:sz w:val="20"/>
                <w:szCs w:val="20"/>
                <w:color w:val="auto"/>
              </w:rPr>
            </w:pPr>
            <w:r>
              <w:rPr>
                <w:rFonts w:ascii="Times New Roman" w:cs="Times New Roman" w:eastAsia="Times New Roman" w:hAnsi="Times New Roman"/>
                <w:sz w:val="13"/>
                <w:szCs w:val="13"/>
                <w:color w:val="auto"/>
              </w:rPr>
              <w:t>—</w:t>
            </w:r>
          </w:p>
        </w:tc>
        <w:tc>
          <w:tcPr>
            <w:tcW w:w="180" w:type="dxa"/>
            <w:vAlign w:val="bottom"/>
            <w:shd w:val="clear" w:color="auto" w:fill="CCEEFF"/>
          </w:tcPr>
          <w:p>
            <w:pPr>
              <w:spacing w:after="0"/>
              <w:rPr>
                <w:sz w:val="19"/>
                <w:szCs w:val="19"/>
                <w:color w:val="auto"/>
              </w:rPr>
            </w:pPr>
          </w:p>
        </w:tc>
        <w:tc>
          <w:tcPr>
            <w:tcW w:w="1020" w:type="dxa"/>
            <w:vAlign w:val="bottom"/>
            <w:gridSpan w:val="2"/>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(600)</w:t>
            </w: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0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(600)</w:t>
            </w:r>
          </w:p>
        </w:tc>
        <w:tc>
          <w:tcPr>
            <w:tcW w:w="0" w:type="dxa"/>
            <w:vAlign w:val="bottom"/>
          </w:tcPr>
          <w:p>
            <w:pPr>
              <w:spacing w:after="0"/>
              <w:rPr>
                <w:sz w:val="1"/>
                <w:szCs w:val="1"/>
                <w:color w:val="auto"/>
              </w:rPr>
            </w:pPr>
          </w:p>
        </w:tc>
      </w:tr>
      <w:tr>
        <w:trPr>
          <w:trHeight w:val="121"/>
        </w:trPr>
        <w:tc>
          <w:tcPr>
            <w:tcW w:w="2780" w:type="dxa"/>
            <w:vAlign w:val="bottom"/>
            <w:gridSpan w:val="2"/>
          </w:tcPr>
          <w:p>
            <w:pPr>
              <w:ind w:left="20"/>
              <w:spacing w:after="0" w:line="122" w:lineRule="exact"/>
              <w:rPr>
                <w:sz w:val="20"/>
                <w:szCs w:val="20"/>
                <w:color w:val="auto"/>
              </w:rPr>
            </w:pPr>
            <w:r>
              <w:rPr>
                <w:rFonts w:ascii="Times New Roman" w:cs="Times New Roman" w:eastAsia="Times New Roman" w:hAnsi="Times New Roman"/>
                <w:sz w:val="13"/>
                <w:szCs w:val="13"/>
                <w:color w:val="auto"/>
              </w:rPr>
              <w:t>Net unrealized gain on available-for-sale securities,</w:t>
            </w:r>
          </w:p>
        </w:tc>
        <w:tc>
          <w:tcPr>
            <w:tcW w:w="88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0"/>
                <w:szCs w:val="10"/>
                <w:color w:val="auto"/>
              </w:rPr>
            </w:pPr>
          </w:p>
        </w:tc>
        <w:tc>
          <w:tcPr>
            <w:tcW w:w="76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0"/>
                <w:szCs w:val="10"/>
                <w:color w:val="auto"/>
              </w:rPr>
            </w:pPr>
          </w:p>
        </w:tc>
        <w:tc>
          <w:tcPr>
            <w:tcW w:w="90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860" w:type="dxa"/>
            <w:vAlign w:val="bottom"/>
            <w:gridSpan w:val="2"/>
            <w:vMerge w:val="restart"/>
          </w:tcPr>
          <w:p>
            <w:pPr>
              <w:ind w:left="560"/>
              <w:spacing w:after="0"/>
              <w:rPr>
                <w:sz w:val="20"/>
                <w:szCs w:val="20"/>
                <w:color w:val="auto"/>
              </w:rPr>
            </w:pPr>
            <w:r>
              <w:rPr>
                <w:rFonts w:ascii="Times New Roman" w:cs="Times New Roman" w:eastAsia="Times New Roman" w:hAnsi="Times New Roman"/>
                <w:sz w:val="13"/>
                <w:szCs w:val="13"/>
                <w:color w:val="auto"/>
              </w:rPr>
              <w:t>—</w:t>
            </w:r>
          </w:p>
        </w:tc>
        <w:tc>
          <w:tcPr>
            <w:tcW w:w="160" w:type="dxa"/>
            <w:vAlign w:val="bottom"/>
          </w:tcPr>
          <w:p>
            <w:pPr>
              <w:spacing w:after="0"/>
              <w:rPr>
                <w:sz w:val="10"/>
                <w:szCs w:val="10"/>
                <w:color w:val="auto"/>
              </w:rPr>
            </w:pPr>
          </w:p>
        </w:tc>
        <w:tc>
          <w:tcPr>
            <w:tcW w:w="840" w:type="dxa"/>
            <w:vAlign w:val="bottom"/>
            <w:gridSpan w:val="2"/>
            <w:vMerge w:val="restart"/>
          </w:tcPr>
          <w:p>
            <w:pPr>
              <w:ind w:left="520"/>
              <w:spacing w:after="0"/>
              <w:rPr>
                <w:sz w:val="20"/>
                <w:szCs w:val="20"/>
                <w:color w:val="auto"/>
              </w:rPr>
            </w:pPr>
            <w:r>
              <w:rPr>
                <w:rFonts w:ascii="Times New Roman" w:cs="Times New Roman" w:eastAsia="Times New Roman" w:hAnsi="Times New Roman"/>
                <w:sz w:val="13"/>
                <w:szCs w:val="13"/>
                <w:color w:val="auto"/>
              </w:rPr>
              <w:t>—</w:t>
            </w:r>
          </w:p>
        </w:tc>
        <w:tc>
          <w:tcPr>
            <w:tcW w:w="180" w:type="dxa"/>
            <w:vAlign w:val="bottom"/>
          </w:tcPr>
          <w:p>
            <w:pPr>
              <w:spacing w:after="0"/>
              <w:rPr>
                <w:sz w:val="10"/>
                <w:szCs w:val="10"/>
                <w:color w:val="auto"/>
              </w:rPr>
            </w:pPr>
          </w:p>
        </w:tc>
        <w:tc>
          <w:tcPr>
            <w:tcW w:w="1020" w:type="dxa"/>
            <w:vAlign w:val="bottom"/>
            <w:gridSpan w:val="2"/>
            <w:vMerge w:val="restart"/>
          </w:tcPr>
          <w:p>
            <w:pPr>
              <w:ind w:left="66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10"/>
                <w:szCs w:val="10"/>
                <w:color w:val="auto"/>
              </w:rPr>
            </w:pPr>
          </w:p>
        </w:tc>
        <w:tc>
          <w:tcPr>
            <w:tcW w:w="110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(295)</w:t>
            </w:r>
          </w:p>
        </w:tc>
        <w:tc>
          <w:tcPr>
            <w:tcW w:w="1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2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(295)</w:t>
            </w:r>
          </w:p>
        </w:tc>
        <w:tc>
          <w:tcPr>
            <w:tcW w:w="0" w:type="dxa"/>
            <w:vAlign w:val="bottom"/>
          </w:tcPr>
          <w:p>
            <w:pPr>
              <w:spacing w:after="0"/>
              <w:rPr>
                <w:sz w:val="1"/>
                <w:szCs w:val="1"/>
                <w:color w:val="auto"/>
              </w:rPr>
            </w:pPr>
          </w:p>
        </w:tc>
      </w:tr>
      <w:tr>
        <w:trPr>
          <w:trHeight w:val="176"/>
        </w:trPr>
        <w:tc>
          <w:tcPr>
            <w:tcW w:w="2780" w:type="dxa"/>
            <w:vAlign w:val="bottom"/>
            <w:gridSpan w:val="2"/>
          </w:tcPr>
          <w:p>
            <w:pPr>
              <w:ind w:left="20"/>
              <w:spacing w:after="0"/>
              <w:rPr>
                <w:sz w:val="20"/>
                <w:szCs w:val="20"/>
                <w:color w:val="auto"/>
              </w:rPr>
            </w:pPr>
            <w:r>
              <w:rPr>
                <w:rFonts w:ascii="Times New Roman" w:cs="Times New Roman" w:eastAsia="Times New Roman" w:hAnsi="Times New Roman"/>
                <w:sz w:val="13"/>
                <w:szCs w:val="13"/>
                <w:color w:val="auto"/>
              </w:rPr>
              <w:t>net of taxes</w:t>
            </w:r>
          </w:p>
        </w:tc>
        <w:tc>
          <w:tcPr>
            <w:tcW w:w="88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76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900" w:type="dxa"/>
            <w:vAlign w:val="bottom"/>
            <w:gridSpan w:val="2"/>
            <w:vMerge w:val="continue"/>
          </w:tcPr>
          <w:p>
            <w:pPr>
              <w:spacing w:after="0"/>
              <w:rPr>
                <w:sz w:val="15"/>
                <w:szCs w:val="15"/>
                <w:color w:val="auto"/>
              </w:rPr>
            </w:pPr>
          </w:p>
        </w:tc>
        <w:tc>
          <w:tcPr>
            <w:tcW w:w="860" w:type="dxa"/>
            <w:vAlign w:val="bottom"/>
            <w:gridSpan w:val="2"/>
            <w:vMerge w:val="continue"/>
          </w:tcPr>
          <w:p>
            <w:pPr>
              <w:spacing w:after="0"/>
              <w:rPr>
                <w:sz w:val="15"/>
                <w:szCs w:val="15"/>
                <w:color w:val="auto"/>
              </w:rPr>
            </w:pPr>
          </w:p>
        </w:tc>
        <w:tc>
          <w:tcPr>
            <w:tcW w:w="160" w:type="dxa"/>
            <w:vAlign w:val="bottom"/>
          </w:tcPr>
          <w:p>
            <w:pPr>
              <w:spacing w:after="0"/>
              <w:rPr>
                <w:sz w:val="15"/>
                <w:szCs w:val="15"/>
                <w:color w:val="auto"/>
              </w:rPr>
            </w:pPr>
          </w:p>
        </w:tc>
        <w:tc>
          <w:tcPr>
            <w:tcW w:w="840" w:type="dxa"/>
            <w:vAlign w:val="bottom"/>
            <w:gridSpan w:val="2"/>
            <w:vMerge w:val="continue"/>
          </w:tcPr>
          <w:p>
            <w:pPr>
              <w:spacing w:after="0"/>
              <w:rPr>
                <w:sz w:val="15"/>
                <w:szCs w:val="15"/>
                <w:color w:val="auto"/>
              </w:rPr>
            </w:pPr>
          </w:p>
        </w:tc>
        <w:tc>
          <w:tcPr>
            <w:tcW w:w="180" w:type="dxa"/>
            <w:vAlign w:val="bottom"/>
          </w:tcPr>
          <w:p>
            <w:pPr>
              <w:spacing w:after="0"/>
              <w:rPr>
                <w:sz w:val="15"/>
                <w:szCs w:val="15"/>
                <w:color w:val="auto"/>
              </w:rPr>
            </w:pPr>
          </w:p>
        </w:tc>
        <w:tc>
          <w:tcPr>
            <w:tcW w:w="1020" w:type="dxa"/>
            <w:vAlign w:val="bottom"/>
            <w:gridSpan w:val="2"/>
            <w:vMerge w:val="continue"/>
          </w:tcPr>
          <w:p>
            <w:pPr>
              <w:spacing w:after="0"/>
              <w:rPr>
                <w:sz w:val="15"/>
                <w:szCs w:val="15"/>
                <w:color w:val="auto"/>
              </w:rPr>
            </w:pPr>
          </w:p>
        </w:tc>
        <w:tc>
          <w:tcPr>
            <w:tcW w:w="140" w:type="dxa"/>
            <w:vAlign w:val="bottom"/>
          </w:tcPr>
          <w:p>
            <w:pPr>
              <w:spacing w:after="0"/>
              <w:rPr>
                <w:sz w:val="15"/>
                <w:szCs w:val="15"/>
                <w:color w:val="auto"/>
              </w:rPr>
            </w:pPr>
          </w:p>
        </w:tc>
        <w:tc>
          <w:tcPr>
            <w:tcW w:w="110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29"/>
        </w:trPr>
        <w:tc>
          <w:tcPr>
            <w:tcW w:w="278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3"/>
                <w:szCs w:val="13"/>
                <w:color w:val="auto"/>
              </w:rPr>
              <w:t>Stock-based compensation</w:t>
            </w:r>
          </w:p>
        </w:tc>
        <w:tc>
          <w:tcPr>
            <w:tcW w:w="8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CEEFF"/>
          </w:tcPr>
          <w:p>
            <w:pPr>
              <w:spacing w:after="0"/>
              <w:rPr>
                <w:sz w:val="19"/>
                <w:szCs w:val="19"/>
                <w:color w:val="auto"/>
              </w:rPr>
            </w:pPr>
          </w:p>
        </w:tc>
        <w:tc>
          <w:tcPr>
            <w:tcW w:w="76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CEEFF"/>
          </w:tcPr>
          <w:p>
            <w:pPr>
              <w:spacing w:after="0"/>
              <w:rPr>
                <w:sz w:val="19"/>
                <w:szCs w:val="19"/>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47,192</w:t>
            </w:r>
          </w:p>
        </w:tc>
        <w:tc>
          <w:tcPr>
            <w:tcW w:w="120" w:type="dxa"/>
            <w:vAlign w:val="bottom"/>
            <w:shd w:val="clear" w:color="auto" w:fill="CCEEFF"/>
          </w:tcPr>
          <w:p>
            <w:pPr>
              <w:spacing w:after="0"/>
              <w:rPr>
                <w:sz w:val="19"/>
                <w:szCs w:val="19"/>
                <w:color w:val="auto"/>
              </w:rPr>
            </w:pPr>
          </w:p>
        </w:tc>
        <w:tc>
          <w:tcPr>
            <w:tcW w:w="860" w:type="dxa"/>
            <w:vAlign w:val="bottom"/>
            <w:gridSpan w:val="2"/>
            <w:shd w:val="clear" w:color="auto" w:fill="CCEEFF"/>
          </w:tcPr>
          <w:p>
            <w:pPr>
              <w:ind w:left="560"/>
              <w:spacing w:after="0"/>
              <w:rPr>
                <w:sz w:val="20"/>
                <w:szCs w:val="20"/>
                <w:color w:val="auto"/>
              </w:rPr>
            </w:pPr>
            <w:r>
              <w:rPr>
                <w:rFonts w:ascii="Times New Roman" w:cs="Times New Roman" w:eastAsia="Times New Roman" w:hAnsi="Times New Roman"/>
                <w:sz w:val="13"/>
                <w:szCs w:val="13"/>
                <w:color w:val="auto"/>
              </w:rPr>
              <w:t>—</w:t>
            </w:r>
          </w:p>
        </w:tc>
        <w:tc>
          <w:tcPr>
            <w:tcW w:w="160" w:type="dxa"/>
            <w:vAlign w:val="bottom"/>
            <w:shd w:val="clear" w:color="auto" w:fill="CCEEFF"/>
          </w:tcPr>
          <w:p>
            <w:pPr>
              <w:spacing w:after="0"/>
              <w:rPr>
                <w:sz w:val="19"/>
                <w:szCs w:val="19"/>
                <w:color w:val="auto"/>
              </w:rPr>
            </w:pPr>
          </w:p>
        </w:tc>
        <w:tc>
          <w:tcPr>
            <w:tcW w:w="840" w:type="dxa"/>
            <w:vAlign w:val="bottom"/>
            <w:gridSpan w:val="2"/>
            <w:shd w:val="clear" w:color="auto" w:fill="CCEEFF"/>
          </w:tcPr>
          <w:p>
            <w:pPr>
              <w:ind w:left="520"/>
              <w:spacing w:after="0"/>
              <w:rPr>
                <w:sz w:val="20"/>
                <w:szCs w:val="20"/>
                <w:color w:val="auto"/>
              </w:rPr>
            </w:pPr>
            <w:r>
              <w:rPr>
                <w:rFonts w:ascii="Times New Roman" w:cs="Times New Roman" w:eastAsia="Times New Roman" w:hAnsi="Times New Roman"/>
                <w:sz w:val="13"/>
                <w:szCs w:val="13"/>
                <w:color w:val="auto"/>
              </w:rPr>
              <w:t>—</w:t>
            </w:r>
          </w:p>
        </w:tc>
        <w:tc>
          <w:tcPr>
            <w:tcW w:w="180" w:type="dxa"/>
            <w:vAlign w:val="bottom"/>
            <w:shd w:val="clear" w:color="auto" w:fill="CCEEFF"/>
          </w:tcPr>
          <w:p>
            <w:pPr>
              <w:spacing w:after="0"/>
              <w:rPr>
                <w:sz w:val="19"/>
                <w:szCs w:val="19"/>
                <w:color w:val="auto"/>
              </w:rPr>
            </w:pPr>
          </w:p>
        </w:tc>
        <w:tc>
          <w:tcPr>
            <w:tcW w:w="1020" w:type="dxa"/>
            <w:vAlign w:val="bottom"/>
            <w:gridSpan w:val="2"/>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shd w:val="clear" w:color="auto" w:fill="CCEEFF"/>
          </w:tcPr>
          <w:p>
            <w:pPr>
              <w:spacing w:after="0"/>
              <w:rPr>
                <w:sz w:val="19"/>
                <w:szCs w:val="19"/>
                <w:color w:val="auto"/>
              </w:rPr>
            </w:pPr>
          </w:p>
        </w:tc>
        <w:tc>
          <w:tcPr>
            <w:tcW w:w="12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CCEEFF"/>
          </w:tcPr>
          <w:p>
            <w:pPr>
              <w:spacing w:after="0"/>
              <w:rPr>
                <w:sz w:val="19"/>
                <w:szCs w:val="19"/>
                <w:color w:val="auto"/>
              </w:rPr>
            </w:pPr>
          </w:p>
        </w:tc>
        <w:tc>
          <w:tcPr>
            <w:tcW w:w="10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47,192</w:t>
            </w:r>
          </w:p>
        </w:tc>
        <w:tc>
          <w:tcPr>
            <w:tcW w:w="0" w:type="dxa"/>
            <w:vAlign w:val="bottom"/>
          </w:tcPr>
          <w:p>
            <w:pPr>
              <w:spacing w:after="0"/>
              <w:rPr>
                <w:sz w:val="1"/>
                <w:szCs w:val="1"/>
                <w:color w:val="auto"/>
              </w:rPr>
            </w:pPr>
          </w:p>
        </w:tc>
      </w:tr>
      <w:tr>
        <w:trPr>
          <w:trHeight w:val="122"/>
        </w:trPr>
        <w:tc>
          <w:tcPr>
            <w:tcW w:w="2780" w:type="dxa"/>
            <w:vAlign w:val="bottom"/>
            <w:gridSpan w:val="2"/>
          </w:tcPr>
          <w:p>
            <w:pPr>
              <w:ind w:left="20"/>
              <w:spacing w:after="0" w:line="122" w:lineRule="exact"/>
              <w:rPr>
                <w:sz w:val="20"/>
                <w:szCs w:val="20"/>
                <w:color w:val="auto"/>
              </w:rPr>
            </w:pPr>
            <w:r>
              <w:rPr>
                <w:rFonts w:ascii="Times New Roman" w:cs="Times New Roman" w:eastAsia="Times New Roman" w:hAnsi="Times New Roman"/>
                <w:sz w:val="13"/>
                <w:szCs w:val="13"/>
                <w:color w:val="auto"/>
              </w:rPr>
              <w:t>Issuance of restricted stock, net of forfeitures and</w:t>
            </w:r>
          </w:p>
        </w:tc>
        <w:tc>
          <w:tcPr>
            <w:tcW w:w="78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141</w:t>
            </w:r>
          </w:p>
        </w:tc>
        <w:tc>
          <w:tcPr>
            <w:tcW w:w="1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4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2</w:t>
            </w:r>
          </w:p>
        </w:tc>
        <w:tc>
          <w:tcPr>
            <w:tcW w:w="1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78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(1)</w:t>
            </w:r>
          </w:p>
        </w:tc>
        <w:tc>
          <w:tcPr>
            <w:tcW w:w="120" w:type="dxa"/>
            <w:vAlign w:val="bottom"/>
          </w:tcPr>
          <w:p>
            <w:pPr>
              <w:spacing w:after="0"/>
              <w:rPr>
                <w:sz w:val="10"/>
                <w:szCs w:val="10"/>
                <w:color w:val="auto"/>
              </w:rPr>
            </w:pPr>
          </w:p>
        </w:tc>
        <w:tc>
          <w:tcPr>
            <w:tcW w:w="860" w:type="dxa"/>
            <w:vAlign w:val="bottom"/>
            <w:gridSpan w:val="2"/>
            <w:vMerge w:val="restart"/>
          </w:tcPr>
          <w:p>
            <w:pPr>
              <w:ind w:left="560"/>
              <w:spacing w:after="0"/>
              <w:rPr>
                <w:sz w:val="20"/>
                <w:szCs w:val="20"/>
                <w:color w:val="auto"/>
              </w:rPr>
            </w:pPr>
            <w:r>
              <w:rPr>
                <w:rFonts w:ascii="Times New Roman" w:cs="Times New Roman" w:eastAsia="Times New Roman" w:hAnsi="Times New Roman"/>
                <w:sz w:val="13"/>
                <w:szCs w:val="13"/>
                <w:color w:val="auto"/>
              </w:rPr>
              <w:t>—</w:t>
            </w:r>
          </w:p>
        </w:tc>
        <w:tc>
          <w:tcPr>
            <w:tcW w:w="160" w:type="dxa"/>
            <w:vAlign w:val="bottom"/>
          </w:tcPr>
          <w:p>
            <w:pPr>
              <w:spacing w:after="0"/>
              <w:rPr>
                <w:sz w:val="10"/>
                <w:szCs w:val="10"/>
                <w:color w:val="auto"/>
              </w:rPr>
            </w:pPr>
          </w:p>
        </w:tc>
        <w:tc>
          <w:tcPr>
            <w:tcW w:w="840" w:type="dxa"/>
            <w:vAlign w:val="bottom"/>
            <w:gridSpan w:val="2"/>
            <w:vMerge w:val="restart"/>
          </w:tcPr>
          <w:p>
            <w:pPr>
              <w:ind w:left="520"/>
              <w:spacing w:after="0"/>
              <w:rPr>
                <w:sz w:val="20"/>
                <w:szCs w:val="20"/>
                <w:color w:val="auto"/>
              </w:rPr>
            </w:pPr>
            <w:r>
              <w:rPr>
                <w:rFonts w:ascii="Times New Roman" w:cs="Times New Roman" w:eastAsia="Times New Roman" w:hAnsi="Times New Roman"/>
                <w:sz w:val="13"/>
                <w:szCs w:val="13"/>
                <w:color w:val="auto"/>
              </w:rPr>
              <w:t>—</w:t>
            </w:r>
          </w:p>
        </w:tc>
        <w:tc>
          <w:tcPr>
            <w:tcW w:w="180" w:type="dxa"/>
            <w:vAlign w:val="bottom"/>
          </w:tcPr>
          <w:p>
            <w:pPr>
              <w:spacing w:after="0"/>
              <w:rPr>
                <w:sz w:val="10"/>
                <w:szCs w:val="10"/>
                <w:color w:val="auto"/>
              </w:rPr>
            </w:pPr>
          </w:p>
        </w:tc>
        <w:tc>
          <w:tcPr>
            <w:tcW w:w="1020" w:type="dxa"/>
            <w:vAlign w:val="bottom"/>
            <w:gridSpan w:val="2"/>
            <w:vMerge w:val="restart"/>
          </w:tcPr>
          <w:p>
            <w:pPr>
              <w:ind w:left="66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10"/>
                <w:szCs w:val="10"/>
                <w:color w:val="auto"/>
              </w:rPr>
            </w:pPr>
          </w:p>
        </w:tc>
        <w:tc>
          <w:tcPr>
            <w:tcW w:w="120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0"/>
                <w:szCs w:val="10"/>
                <w:color w:val="auto"/>
              </w:rPr>
            </w:pPr>
          </w:p>
        </w:tc>
        <w:tc>
          <w:tcPr>
            <w:tcW w:w="102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1</w:t>
            </w:r>
          </w:p>
        </w:tc>
        <w:tc>
          <w:tcPr>
            <w:tcW w:w="0" w:type="dxa"/>
            <w:vAlign w:val="bottom"/>
          </w:tcPr>
          <w:p>
            <w:pPr>
              <w:spacing w:after="0"/>
              <w:rPr>
                <w:sz w:val="1"/>
                <w:szCs w:val="1"/>
                <w:color w:val="auto"/>
              </w:rPr>
            </w:pPr>
          </w:p>
        </w:tc>
      </w:tr>
      <w:tr>
        <w:trPr>
          <w:trHeight w:val="176"/>
        </w:trPr>
        <w:tc>
          <w:tcPr>
            <w:tcW w:w="2780" w:type="dxa"/>
            <w:vAlign w:val="bottom"/>
            <w:gridSpan w:val="2"/>
          </w:tcPr>
          <w:p>
            <w:pPr>
              <w:ind w:left="20"/>
              <w:spacing w:after="0"/>
              <w:rPr>
                <w:sz w:val="20"/>
                <w:szCs w:val="20"/>
                <w:color w:val="auto"/>
              </w:rPr>
            </w:pPr>
            <w:r>
              <w:rPr>
                <w:rFonts w:ascii="Times New Roman" w:cs="Times New Roman" w:eastAsia="Times New Roman" w:hAnsi="Times New Roman"/>
                <w:sz w:val="13"/>
                <w:szCs w:val="13"/>
                <w:color w:val="auto"/>
              </w:rPr>
              <w:t>cancellations</w:t>
            </w:r>
          </w:p>
        </w:tc>
        <w:tc>
          <w:tcPr>
            <w:tcW w:w="78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40" w:type="dxa"/>
            <w:vAlign w:val="bottom"/>
            <w:vMerge w:val="continue"/>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80" w:type="dxa"/>
            <w:vAlign w:val="bottom"/>
            <w:vMerge w:val="continue"/>
          </w:tcPr>
          <w:p>
            <w:pPr>
              <w:spacing w:after="0"/>
              <w:rPr>
                <w:sz w:val="15"/>
                <w:szCs w:val="15"/>
                <w:color w:val="auto"/>
              </w:rPr>
            </w:pPr>
          </w:p>
        </w:tc>
        <w:tc>
          <w:tcPr>
            <w:tcW w:w="120" w:type="dxa"/>
            <w:vAlign w:val="bottom"/>
          </w:tcPr>
          <w:p>
            <w:pPr>
              <w:spacing w:after="0"/>
              <w:rPr>
                <w:sz w:val="15"/>
                <w:szCs w:val="15"/>
                <w:color w:val="auto"/>
              </w:rPr>
            </w:pPr>
          </w:p>
        </w:tc>
        <w:tc>
          <w:tcPr>
            <w:tcW w:w="860" w:type="dxa"/>
            <w:vAlign w:val="bottom"/>
            <w:gridSpan w:val="2"/>
            <w:vMerge w:val="continue"/>
          </w:tcPr>
          <w:p>
            <w:pPr>
              <w:spacing w:after="0"/>
              <w:rPr>
                <w:sz w:val="15"/>
                <w:szCs w:val="15"/>
                <w:color w:val="auto"/>
              </w:rPr>
            </w:pPr>
          </w:p>
        </w:tc>
        <w:tc>
          <w:tcPr>
            <w:tcW w:w="160" w:type="dxa"/>
            <w:vAlign w:val="bottom"/>
          </w:tcPr>
          <w:p>
            <w:pPr>
              <w:spacing w:after="0"/>
              <w:rPr>
                <w:sz w:val="15"/>
                <w:szCs w:val="15"/>
                <w:color w:val="auto"/>
              </w:rPr>
            </w:pPr>
          </w:p>
        </w:tc>
        <w:tc>
          <w:tcPr>
            <w:tcW w:w="840" w:type="dxa"/>
            <w:vAlign w:val="bottom"/>
            <w:gridSpan w:val="2"/>
            <w:vMerge w:val="continue"/>
          </w:tcPr>
          <w:p>
            <w:pPr>
              <w:spacing w:after="0"/>
              <w:rPr>
                <w:sz w:val="15"/>
                <w:szCs w:val="15"/>
                <w:color w:val="auto"/>
              </w:rPr>
            </w:pPr>
          </w:p>
        </w:tc>
        <w:tc>
          <w:tcPr>
            <w:tcW w:w="180" w:type="dxa"/>
            <w:vAlign w:val="bottom"/>
          </w:tcPr>
          <w:p>
            <w:pPr>
              <w:spacing w:after="0"/>
              <w:rPr>
                <w:sz w:val="15"/>
                <w:szCs w:val="15"/>
                <w:color w:val="auto"/>
              </w:rPr>
            </w:pPr>
          </w:p>
        </w:tc>
        <w:tc>
          <w:tcPr>
            <w:tcW w:w="1020" w:type="dxa"/>
            <w:vAlign w:val="bottom"/>
            <w:gridSpan w:val="2"/>
            <w:vMerge w:val="continue"/>
          </w:tcPr>
          <w:p>
            <w:pPr>
              <w:spacing w:after="0"/>
              <w:rPr>
                <w:sz w:val="15"/>
                <w:szCs w:val="15"/>
                <w:color w:val="auto"/>
              </w:rPr>
            </w:pPr>
          </w:p>
        </w:tc>
        <w:tc>
          <w:tcPr>
            <w:tcW w:w="140" w:type="dxa"/>
            <w:vAlign w:val="bottom"/>
          </w:tcPr>
          <w:p>
            <w:pPr>
              <w:spacing w:after="0"/>
              <w:rPr>
                <w:sz w:val="15"/>
                <w:szCs w:val="15"/>
                <w:color w:val="auto"/>
              </w:rPr>
            </w:pPr>
          </w:p>
        </w:tc>
        <w:tc>
          <w:tcPr>
            <w:tcW w:w="1200" w:type="dxa"/>
            <w:vAlign w:val="bottom"/>
            <w:gridSpan w:val="2"/>
            <w:vMerge w:val="continue"/>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29"/>
        </w:trPr>
        <w:tc>
          <w:tcPr>
            <w:tcW w:w="278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3"/>
                <w:szCs w:val="13"/>
                <w:color w:val="auto"/>
              </w:rPr>
              <w:t>Net share settlement of restricted stock awards</w:t>
            </w: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(60)</w:t>
            </w:r>
          </w:p>
        </w:tc>
        <w:tc>
          <w:tcPr>
            <w:tcW w:w="1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6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(1)</w:t>
            </w: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(12,383)</w:t>
            </w:r>
          </w:p>
        </w:tc>
        <w:tc>
          <w:tcPr>
            <w:tcW w:w="120" w:type="dxa"/>
            <w:vAlign w:val="bottom"/>
            <w:shd w:val="clear" w:color="auto" w:fill="CCEEFF"/>
          </w:tcPr>
          <w:p>
            <w:pPr>
              <w:spacing w:after="0"/>
              <w:rPr>
                <w:sz w:val="19"/>
                <w:szCs w:val="19"/>
                <w:color w:val="auto"/>
              </w:rPr>
            </w:pPr>
          </w:p>
        </w:tc>
        <w:tc>
          <w:tcPr>
            <w:tcW w:w="860" w:type="dxa"/>
            <w:vAlign w:val="bottom"/>
            <w:gridSpan w:val="2"/>
            <w:shd w:val="clear" w:color="auto" w:fill="CCEEFF"/>
          </w:tcPr>
          <w:p>
            <w:pPr>
              <w:ind w:left="560"/>
              <w:spacing w:after="0"/>
              <w:rPr>
                <w:sz w:val="20"/>
                <w:szCs w:val="20"/>
                <w:color w:val="auto"/>
              </w:rPr>
            </w:pPr>
            <w:r>
              <w:rPr>
                <w:rFonts w:ascii="Times New Roman" w:cs="Times New Roman" w:eastAsia="Times New Roman" w:hAnsi="Times New Roman"/>
                <w:sz w:val="13"/>
                <w:szCs w:val="13"/>
                <w:color w:val="auto"/>
              </w:rPr>
              <w:t>—</w:t>
            </w:r>
          </w:p>
        </w:tc>
        <w:tc>
          <w:tcPr>
            <w:tcW w:w="160" w:type="dxa"/>
            <w:vAlign w:val="bottom"/>
            <w:shd w:val="clear" w:color="auto" w:fill="CCEEFF"/>
          </w:tcPr>
          <w:p>
            <w:pPr>
              <w:spacing w:after="0"/>
              <w:rPr>
                <w:sz w:val="19"/>
                <w:szCs w:val="19"/>
                <w:color w:val="auto"/>
              </w:rPr>
            </w:pPr>
          </w:p>
        </w:tc>
        <w:tc>
          <w:tcPr>
            <w:tcW w:w="840" w:type="dxa"/>
            <w:vAlign w:val="bottom"/>
            <w:gridSpan w:val="2"/>
            <w:shd w:val="clear" w:color="auto" w:fill="CCEEFF"/>
          </w:tcPr>
          <w:p>
            <w:pPr>
              <w:ind w:left="520"/>
              <w:spacing w:after="0"/>
              <w:rPr>
                <w:sz w:val="20"/>
                <w:szCs w:val="20"/>
                <w:color w:val="auto"/>
              </w:rPr>
            </w:pPr>
            <w:r>
              <w:rPr>
                <w:rFonts w:ascii="Times New Roman" w:cs="Times New Roman" w:eastAsia="Times New Roman" w:hAnsi="Times New Roman"/>
                <w:sz w:val="13"/>
                <w:szCs w:val="13"/>
                <w:color w:val="auto"/>
              </w:rPr>
              <w:t>—</w:t>
            </w:r>
          </w:p>
        </w:tc>
        <w:tc>
          <w:tcPr>
            <w:tcW w:w="180" w:type="dxa"/>
            <w:vAlign w:val="bottom"/>
            <w:shd w:val="clear" w:color="auto" w:fill="CCEEFF"/>
          </w:tcPr>
          <w:p>
            <w:pPr>
              <w:spacing w:after="0"/>
              <w:rPr>
                <w:sz w:val="19"/>
                <w:szCs w:val="19"/>
                <w:color w:val="auto"/>
              </w:rPr>
            </w:pPr>
          </w:p>
        </w:tc>
        <w:tc>
          <w:tcPr>
            <w:tcW w:w="1020" w:type="dxa"/>
            <w:vAlign w:val="bottom"/>
            <w:gridSpan w:val="2"/>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shd w:val="clear" w:color="auto" w:fill="CCEEFF"/>
          </w:tcPr>
          <w:p>
            <w:pPr>
              <w:spacing w:after="0"/>
              <w:rPr>
                <w:sz w:val="19"/>
                <w:szCs w:val="19"/>
                <w:color w:val="auto"/>
              </w:rPr>
            </w:pPr>
          </w:p>
        </w:tc>
        <w:tc>
          <w:tcPr>
            <w:tcW w:w="12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CCEEFF"/>
          </w:tcPr>
          <w:p>
            <w:pPr>
              <w:spacing w:after="0"/>
              <w:rPr>
                <w:sz w:val="19"/>
                <w:szCs w:val="19"/>
                <w:color w:val="auto"/>
              </w:rPr>
            </w:pPr>
          </w:p>
        </w:tc>
        <w:tc>
          <w:tcPr>
            <w:tcW w:w="10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(12,384)</w:t>
            </w:r>
          </w:p>
        </w:tc>
        <w:tc>
          <w:tcPr>
            <w:tcW w:w="0" w:type="dxa"/>
            <w:vAlign w:val="bottom"/>
          </w:tcPr>
          <w:p>
            <w:pPr>
              <w:spacing w:after="0"/>
              <w:rPr>
                <w:sz w:val="1"/>
                <w:szCs w:val="1"/>
                <w:color w:val="auto"/>
              </w:rPr>
            </w:pPr>
          </w:p>
        </w:tc>
      </w:tr>
      <w:tr>
        <w:trPr>
          <w:trHeight w:val="183"/>
        </w:trPr>
        <w:tc>
          <w:tcPr>
            <w:tcW w:w="268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3"/>
                <w:szCs w:val="13"/>
                <w:color w:val="auto"/>
              </w:rPr>
              <w:t>Employee share purchase plan settlement</w:t>
            </w:r>
          </w:p>
        </w:tc>
        <w:tc>
          <w:tcPr>
            <w:tcW w:w="100" w:type="dxa"/>
            <w:vAlign w:val="bottom"/>
            <w:tcBorders>
              <w:bottom w:val="single" w:sz="8" w:color="CCEEFF"/>
            </w:tcBorders>
          </w:tcPr>
          <w:p>
            <w:pPr>
              <w:spacing w:after="0"/>
              <w:rPr>
                <w:sz w:val="15"/>
                <w:szCs w:val="15"/>
                <w:color w:val="auto"/>
              </w:rPr>
            </w:pP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74</w:t>
            </w:r>
          </w:p>
        </w:tc>
        <w:tc>
          <w:tcPr>
            <w:tcW w:w="100" w:type="dxa"/>
            <w:vAlign w:val="bottom"/>
            <w:tcBorders>
              <w:bottom w:val="single" w:sz="8" w:color="CCEEFF"/>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6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1</w:t>
            </w:r>
          </w:p>
        </w:tc>
        <w:tc>
          <w:tcPr>
            <w:tcW w:w="120" w:type="dxa"/>
            <w:vAlign w:val="bottom"/>
            <w:tcBorders>
              <w:bottom w:val="single" w:sz="8" w:color="CCEEFF"/>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7,711</w:t>
            </w:r>
          </w:p>
        </w:tc>
        <w:tc>
          <w:tcPr>
            <w:tcW w:w="120" w:type="dxa"/>
            <w:vAlign w:val="bottom"/>
            <w:tcBorders>
              <w:bottom w:val="single" w:sz="8" w:color="CCEEFF"/>
            </w:tcBorders>
          </w:tcPr>
          <w:p>
            <w:pPr>
              <w:spacing w:after="0"/>
              <w:rPr>
                <w:sz w:val="15"/>
                <w:szCs w:val="15"/>
                <w:color w:val="auto"/>
              </w:rPr>
            </w:pPr>
          </w:p>
        </w:tc>
        <w:tc>
          <w:tcPr>
            <w:tcW w:w="760" w:type="dxa"/>
            <w:vAlign w:val="bottom"/>
            <w:tcBorders>
              <w:bottom w:val="single" w:sz="8" w:color="auto"/>
            </w:tcBorders>
          </w:tcPr>
          <w:p>
            <w:pPr>
              <w:ind w:left="56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Borders>
              <w:bottom w:val="single" w:sz="8" w:color="CCEEFF"/>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720" w:type="dxa"/>
            <w:vAlign w:val="bottom"/>
            <w:tcBorders>
              <w:bottom w:val="single" w:sz="8" w:color="auto"/>
            </w:tcBorders>
          </w:tcPr>
          <w:p>
            <w:pPr>
              <w:ind w:left="52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Borders>
              <w:bottom w:val="single" w:sz="8" w:color="CCEEFF"/>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7,712</w:t>
            </w:r>
          </w:p>
        </w:tc>
        <w:tc>
          <w:tcPr>
            <w:tcW w:w="0" w:type="dxa"/>
            <w:vAlign w:val="bottom"/>
          </w:tcPr>
          <w:p>
            <w:pPr>
              <w:spacing w:after="0"/>
              <w:rPr>
                <w:sz w:val="1"/>
                <w:szCs w:val="1"/>
                <w:color w:val="auto"/>
              </w:rPr>
            </w:pPr>
          </w:p>
        </w:tc>
      </w:tr>
      <w:tr>
        <w:trPr>
          <w:trHeight w:val="204"/>
        </w:trPr>
        <w:tc>
          <w:tcPr>
            <w:tcW w:w="2680" w:type="dxa"/>
            <w:vAlign w:val="bottom"/>
            <w:tcBorders>
              <w:bottom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3"/>
                <w:szCs w:val="13"/>
                <w:b w:val="1"/>
                <w:bCs w:val="1"/>
                <w:color w:val="auto"/>
              </w:rPr>
              <w:t>Balance, December 31, 2020</w:t>
            </w:r>
          </w:p>
        </w:tc>
        <w:tc>
          <w:tcPr>
            <w:tcW w:w="100" w:type="dxa"/>
            <w:vAlign w:val="bottom"/>
            <w:tcBorders>
              <w:bottom w:val="single" w:sz="8" w:color="CCEEFF"/>
            </w:tcBorders>
            <w:shd w:val="clear" w:color="auto" w:fill="CCEEFF"/>
          </w:tcPr>
          <w:p>
            <w:pPr>
              <w:spacing w:after="0"/>
              <w:rPr>
                <w:sz w:val="17"/>
                <w:szCs w:val="17"/>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3"/>
                <w:szCs w:val="13"/>
                <w:b w:val="1"/>
                <w:bCs w:val="1"/>
                <w:color w:val="auto"/>
              </w:rPr>
              <w:t>137,504</w:t>
            </w:r>
          </w:p>
        </w:tc>
        <w:tc>
          <w:tcPr>
            <w:tcW w:w="100" w:type="dxa"/>
            <w:vAlign w:val="bottom"/>
            <w:tcBorders>
              <w:bottom w:val="single" w:sz="8" w:color="CCEEFF"/>
            </w:tcBorders>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3"/>
                <w:szCs w:val="13"/>
                <w:b w:val="1"/>
                <w:bCs w:val="1"/>
                <w:color w:val="auto"/>
                <w:w w:val="91"/>
              </w:rPr>
              <w:t>$</w:t>
            </w:r>
          </w:p>
        </w:tc>
        <w:tc>
          <w:tcPr>
            <w:tcW w:w="6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3"/>
                <w:szCs w:val="13"/>
                <w:b w:val="1"/>
                <w:bCs w:val="1"/>
                <w:color w:val="auto"/>
              </w:rPr>
              <w:t>1,375</w:t>
            </w:r>
          </w:p>
        </w:tc>
        <w:tc>
          <w:tcPr>
            <w:tcW w:w="120" w:type="dxa"/>
            <w:vAlign w:val="bottom"/>
            <w:tcBorders>
              <w:bottom w:val="single" w:sz="8" w:color="CCEEFF"/>
            </w:tcBorders>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3"/>
                <w:szCs w:val="13"/>
                <w:b w:val="1"/>
                <w:bCs w:val="1"/>
                <w:color w:val="auto"/>
                <w:w w:val="91"/>
              </w:rPr>
              <w:t>$</w:t>
            </w:r>
          </w:p>
        </w:tc>
        <w:tc>
          <w:tcPr>
            <w:tcW w:w="7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3"/>
                <w:szCs w:val="13"/>
                <w:b w:val="1"/>
                <w:bCs w:val="1"/>
                <w:color w:val="auto"/>
              </w:rPr>
              <w:t>2,327,913</w:t>
            </w:r>
          </w:p>
        </w:tc>
        <w:tc>
          <w:tcPr>
            <w:tcW w:w="120" w:type="dxa"/>
            <w:vAlign w:val="bottom"/>
            <w:tcBorders>
              <w:bottom w:val="single" w:sz="8" w:color="CCEEFF"/>
            </w:tcBorders>
            <w:shd w:val="clear" w:color="auto" w:fill="CCEEFF"/>
          </w:tcPr>
          <w:p>
            <w:pPr>
              <w:spacing w:after="0"/>
              <w:rPr>
                <w:sz w:val="17"/>
                <w:szCs w:val="17"/>
                <w:color w:val="auto"/>
              </w:rPr>
            </w:pPr>
          </w:p>
        </w:tc>
        <w:tc>
          <w:tcPr>
            <w:tcW w:w="760" w:type="dxa"/>
            <w:vAlign w:val="bottom"/>
            <w:tcBorders>
              <w:bottom w:val="single" w:sz="8" w:color="auto"/>
            </w:tcBorders>
            <w:shd w:val="clear" w:color="auto" w:fill="CCEEFF"/>
          </w:tcPr>
          <w:p>
            <w:pPr>
              <w:ind w:left="280"/>
              <w:spacing w:after="0"/>
              <w:rPr>
                <w:sz w:val="20"/>
                <w:szCs w:val="20"/>
                <w:color w:val="auto"/>
              </w:rPr>
            </w:pPr>
            <w:r>
              <w:rPr>
                <w:rFonts w:ascii="Times New Roman" w:cs="Times New Roman" w:eastAsia="Times New Roman" w:hAnsi="Times New Roman"/>
                <w:sz w:val="13"/>
                <w:szCs w:val="13"/>
                <w:b w:val="1"/>
                <w:bCs w:val="1"/>
                <w:color w:val="auto"/>
              </w:rPr>
              <w:t>(22,421)</w:t>
            </w:r>
          </w:p>
        </w:tc>
        <w:tc>
          <w:tcPr>
            <w:tcW w:w="100" w:type="dxa"/>
            <w:vAlign w:val="bottom"/>
            <w:tcBorders>
              <w:bottom w:val="single" w:sz="8" w:color="CCEEFF"/>
            </w:tcBorders>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3"/>
                <w:szCs w:val="13"/>
                <w:b w:val="1"/>
                <w:bCs w:val="1"/>
                <w:color w:val="auto"/>
              </w:rPr>
              <w:t>$</w:t>
            </w:r>
          </w:p>
        </w:tc>
        <w:tc>
          <w:tcPr>
            <w:tcW w:w="720" w:type="dxa"/>
            <w:vAlign w:val="bottom"/>
            <w:tcBorders>
              <w:bottom w:val="single" w:sz="8" w:color="auto"/>
            </w:tcBorders>
            <w:shd w:val="clear" w:color="auto" w:fill="CCEEFF"/>
          </w:tcPr>
          <w:p>
            <w:pPr>
              <w:ind w:left="160"/>
              <w:spacing w:after="0"/>
              <w:rPr>
                <w:sz w:val="20"/>
                <w:szCs w:val="20"/>
                <w:color w:val="auto"/>
              </w:rPr>
            </w:pPr>
            <w:r>
              <w:rPr>
                <w:rFonts w:ascii="Times New Roman" w:cs="Times New Roman" w:eastAsia="Times New Roman" w:hAnsi="Times New Roman"/>
                <w:sz w:val="13"/>
                <w:szCs w:val="13"/>
                <w:b w:val="1"/>
                <w:bCs w:val="1"/>
                <w:color w:val="auto"/>
              </w:rPr>
              <w:t>(820,572)</w:t>
            </w:r>
          </w:p>
        </w:tc>
        <w:tc>
          <w:tcPr>
            <w:tcW w:w="120" w:type="dxa"/>
            <w:vAlign w:val="bottom"/>
            <w:tcBorders>
              <w:bottom w:val="single" w:sz="8" w:color="CCEEFF"/>
            </w:tcBorders>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jc w:val="right"/>
              <w:ind w:right="33"/>
              <w:spacing w:after="0"/>
              <w:rPr>
                <w:sz w:val="20"/>
                <w:szCs w:val="20"/>
                <w:color w:val="auto"/>
              </w:rPr>
            </w:pPr>
            <w:r>
              <w:rPr>
                <w:rFonts w:ascii="Times New Roman" w:cs="Times New Roman" w:eastAsia="Times New Roman" w:hAnsi="Times New Roman"/>
                <w:sz w:val="13"/>
                <w:szCs w:val="13"/>
                <w:b w:val="1"/>
                <w:bCs w:val="1"/>
                <w:color w:val="auto"/>
                <w:w w:val="91"/>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3"/>
                <w:szCs w:val="13"/>
                <w:b w:val="1"/>
                <w:bCs w:val="1"/>
                <w:color w:val="auto"/>
              </w:rPr>
              <w:t>1,652,159</w:t>
            </w:r>
          </w:p>
        </w:tc>
        <w:tc>
          <w:tcPr>
            <w:tcW w:w="10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3"/>
                <w:szCs w:val="13"/>
                <w:b w:val="1"/>
                <w:bCs w:val="1"/>
                <w:color w:val="auto"/>
              </w:rPr>
              <w:t>$</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3"/>
                <w:szCs w:val="13"/>
                <w:b w:val="1"/>
                <w:bCs w:val="1"/>
                <w:color w:val="auto"/>
              </w:rPr>
              <w:t>(5,584)</w:t>
            </w:r>
          </w:p>
        </w:tc>
        <w:tc>
          <w:tcPr>
            <w:tcW w:w="10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3"/>
                <w:szCs w:val="13"/>
                <w:b w:val="1"/>
                <w:bCs w:val="1"/>
                <w:color w:val="auto"/>
              </w:rPr>
              <w:t>$</w:t>
            </w:r>
          </w:p>
        </w:tc>
        <w:tc>
          <w:tcPr>
            <w:tcW w:w="10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3"/>
                <w:szCs w:val="13"/>
                <w:b w:val="1"/>
                <w:bCs w:val="1"/>
                <w:color w:val="auto"/>
              </w:rPr>
              <w:t>3,155,291</w:t>
            </w:r>
          </w:p>
        </w:tc>
        <w:tc>
          <w:tcPr>
            <w:tcW w:w="0" w:type="dxa"/>
            <w:vAlign w:val="bottom"/>
          </w:tcPr>
          <w:p>
            <w:pPr>
              <w:spacing w:after="0"/>
              <w:rPr>
                <w:sz w:val="1"/>
                <w:szCs w:val="1"/>
                <w:color w:val="auto"/>
              </w:rPr>
            </w:pPr>
          </w:p>
        </w:tc>
      </w:tr>
      <w:tr>
        <w:trPr>
          <w:trHeight w:val="20"/>
        </w:trPr>
        <w:tc>
          <w:tcPr>
            <w:tcW w:w="26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80" w:type="dxa"/>
            <w:vAlign w:val="bottom"/>
            <w:tcBorders>
              <w:bottom w:val="single" w:sz="8" w:color="auto"/>
            </w:tcBorders>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00" w:type="dxa"/>
            <w:vAlign w:val="bottom"/>
            <w:tcBorders>
              <w:bottom w:val="single" w:sz="8" w:color="auto"/>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40"/>
        </w:trPr>
        <w:tc>
          <w:tcPr>
            <w:tcW w:w="26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7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3060" w:type="dxa"/>
            <w:vAlign w:val="bottom"/>
            <w:tcBorders>
              <w:bottom w:val="single" w:sz="8" w:color="auto"/>
            </w:tcBorders>
            <w:gridSpan w:val="8"/>
          </w:tcPr>
          <w:p>
            <w:pPr>
              <w:ind w:left="220"/>
              <w:spacing w:after="0"/>
              <w:rPr>
                <w:sz w:val="20"/>
                <w:szCs w:val="20"/>
                <w:color w:val="auto"/>
              </w:rPr>
            </w:pPr>
            <w:r>
              <w:rPr>
                <w:rFonts w:ascii="Times New Roman" w:cs="Times New Roman" w:eastAsia="Times New Roman" w:hAnsi="Times New Roman"/>
                <w:sz w:val="13"/>
                <w:szCs w:val="13"/>
                <w:b w:val="1"/>
                <w:bCs w:val="1"/>
                <w:color w:val="auto"/>
              </w:rPr>
              <w:t>Three Months Ended December 31, 2019</w:t>
            </w:r>
          </w:p>
        </w:tc>
        <w:tc>
          <w:tcPr>
            <w:tcW w:w="14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48"/>
        </w:trPr>
        <w:tc>
          <w:tcPr>
            <w:tcW w:w="26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760" w:type="dxa"/>
            <w:vAlign w:val="bottom"/>
            <w:gridSpan w:val="5"/>
          </w:tcPr>
          <w:p>
            <w:pPr>
              <w:ind w:left="380"/>
              <w:spacing w:after="0"/>
              <w:rPr>
                <w:sz w:val="20"/>
                <w:szCs w:val="20"/>
                <w:color w:val="auto"/>
              </w:rPr>
            </w:pPr>
            <w:r>
              <w:rPr>
                <w:rFonts w:ascii="Times New Roman" w:cs="Times New Roman" w:eastAsia="Times New Roman" w:hAnsi="Times New Roman"/>
                <w:sz w:val="13"/>
                <w:szCs w:val="13"/>
                <w:b w:val="1"/>
                <w:bCs w:val="1"/>
                <w:color w:val="auto"/>
              </w:rPr>
              <w:t>Common Stock</w:t>
            </w:r>
          </w:p>
        </w:tc>
        <w:tc>
          <w:tcPr>
            <w:tcW w:w="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60" w:type="dxa"/>
            <w:vAlign w:val="bottom"/>
            <w:gridSpan w:val="5"/>
          </w:tcPr>
          <w:p>
            <w:pPr>
              <w:ind w:left="420"/>
              <w:spacing w:after="0"/>
              <w:rPr>
                <w:sz w:val="20"/>
                <w:szCs w:val="20"/>
                <w:color w:val="auto"/>
              </w:rPr>
            </w:pPr>
            <w:r>
              <w:rPr>
                <w:rFonts w:ascii="Times New Roman" w:cs="Times New Roman" w:eastAsia="Times New Roman" w:hAnsi="Times New Roman"/>
                <w:sz w:val="13"/>
                <w:szCs w:val="13"/>
                <w:b w:val="1"/>
                <w:bCs w:val="1"/>
                <w:color w:val="auto"/>
              </w:rPr>
              <w:t>Treasury Stock</w:t>
            </w:r>
          </w:p>
        </w:tc>
        <w:tc>
          <w:tcPr>
            <w:tcW w:w="18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00" w:type="dxa"/>
            <w:vAlign w:val="bottom"/>
            <w:gridSpan w:val="2"/>
          </w:tcPr>
          <w:p>
            <w:pPr>
              <w:jc w:val="center"/>
              <w:ind w:right="240"/>
              <w:spacing w:after="0"/>
              <w:rPr>
                <w:sz w:val="20"/>
                <w:szCs w:val="20"/>
                <w:color w:val="auto"/>
              </w:rPr>
            </w:pPr>
            <w:r>
              <w:rPr>
                <w:rFonts w:ascii="Times New Roman" w:cs="Times New Roman" w:eastAsia="Times New Roman" w:hAnsi="Times New Roman"/>
                <w:sz w:val="13"/>
                <w:szCs w:val="13"/>
                <w:b w:val="1"/>
                <w:bCs w:val="1"/>
                <w:color w:val="auto"/>
              </w:rPr>
              <w:t>Accumulated</w:t>
            </w:r>
          </w:p>
        </w:tc>
        <w:tc>
          <w:tcPr>
            <w:tcW w:w="14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54"/>
        </w:trPr>
        <w:tc>
          <w:tcPr>
            <w:tcW w:w="2680" w:type="dxa"/>
            <w:vAlign w:val="bottom"/>
          </w:tcPr>
          <w:p>
            <w:pPr>
              <w:spacing w:after="0"/>
              <w:rPr>
                <w:sz w:val="4"/>
                <w:szCs w:val="4"/>
                <w:color w:val="auto"/>
              </w:rPr>
            </w:pPr>
          </w:p>
        </w:tc>
        <w:tc>
          <w:tcPr>
            <w:tcW w:w="100" w:type="dxa"/>
            <w:vAlign w:val="bottom"/>
          </w:tcPr>
          <w:p>
            <w:pPr>
              <w:spacing w:after="0"/>
              <w:rPr>
                <w:sz w:val="4"/>
                <w:szCs w:val="4"/>
                <w:color w:val="auto"/>
              </w:rPr>
            </w:pPr>
          </w:p>
        </w:tc>
        <w:tc>
          <w:tcPr>
            <w:tcW w:w="78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640" w:type="dxa"/>
            <w:vAlign w:val="bottom"/>
            <w:tcBorders>
              <w:bottom w:val="single" w:sz="8" w:color="auto"/>
            </w:tcBorders>
          </w:tcPr>
          <w:p>
            <w:pPr>
              <w:spacing w:after="0"/>
              <w:rPr>
                <w:sz w:val="4"/>
                <w:szCs w:val="4"/>
                <w:color w:val="auto"/>
              </w:rPr>
            </w:pPr>
          </w:p>
        </w:tc>
        <w:tc>
          <w:tcPr>
            <w:tcW w:w="120" w:type="dxa"/>
            <w:vAlign w:val="bottom"/>
          </w:tcPr>
          <w:p>
            <w:pPr>
              <w:spacing w:after="0"/>
              <w:rPr>
                <w:sz w:val="4"/>
                <w:szCs w:val="4"/>
                <w:color w:val="auto"/>
              </w:rPr>
            </w:pPr>
          </w:p>
        </w:tc>
        <w:tc>
          <w:tcPr>
            <w:tcW w:w="120" w:type="dxa"/>
            <w:vAlign w:val="bottom"/>
          </w:tcPr>
          <w:p>
            <w:pPr>
              <w:spacing w:after="0"/>
              <w:rPr>
                <w:sz w:val="4"/>
                <w:szCs w:val="4"/>
                <w:color w:val="auto"/>
              </w:rPr>
            </w:pPr>
          </w:p>
        </w:tc>
        <w:tc>
          <w:tcPr>
            <w:tcW w:w="900" w:type="dxa"/>
            <w:vAlign w:val="bottom"/>
            <w:gridSpan w:val="2"/>
            <w:vMerge w:val="restart"/>
          </w:tcPr>
          <w:p>
            <w:pPr>
              <w:jc w:val="center"/>
              <w:ind w:right="240"/>
              <w:spacing w:after="0" w:line="122" w:lineRule="exact"/>
              <w:rPr>
                <w:sz w:val="20"/>
                <w:szCs w:val="20"/>
                <w:color w:val="auto"/>
              </w:rPr>
            </w:pPr>
            <w:r>
              <w:rPr>
                <w:rFonts w:ascii="Times New Roman" w:cs="Times New Roman" w:eastAsia="Times New Roman" w:hAnsi="Times New Roman"/>
                <w:sz w:val="13"/>
                <w:szCs w:val="13"/>
                <w:b w:val="1"/>
                <w:bCs w:val="1"/>
                <w:color w:val="auto"/>
              </w:rPr>
              <w:t>Additional</w:t>
            </w:r>
          </w:p>
        </w:tc>
        <w:tc>
          <w:tcPr>
            <w:tcW w:w="76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120" w:type="dxa"/>
            <w:vAlign w:val="bottom"/>
          </w:tcPr>
          <w:p>
            <w:pPr>
              <w:spacing w:after="0"/>
              <w:rPr>
                <w:sz w:val="4"/>
                <w:szCs w:val="4"/>
                <w:color w:val="auto"/>
              </w:rPr>
            </w:pPr>
          </w:p>
        </w:tc>
        <w:tc>
          <w:tcPr>
            <w:tcW w:w="180" w:type="dxa"/>
            <w:vAlign w:val="bottom"/>
          </w:tcPr>
          <w:p>
            <w:pPr>
              <w:spacing w:after="0"/>
              <w:rPr>
                <w:sz w:val="4"/>
                <w:szCs w:val="4"/>
                <w:color w:val="auto"/>
              </w:rPr>
            </w:pPr>
          </w:p>
        </w:tc>
        <w:tc>
          <w:tcPr>
            <w:tcW w:w="1020" w:type="dxa"/>
            <w:vAlign w:val="bottom"/>
            <w:gridSpan w:val="2"/>
            <w:vMerge w:val="restart"/>
          </w:tcPr>
          <w:p>
            <w:pPr>
              <w:ind w:left="100"/>
              <w:spacing w:after="0"/>
              <w:rPr>
                <w:sz w:val="20"/>
                <w:szCs w:val="20"/>
                <w:color w:val="auto"/>
              </w:rPr>
            </w:pPr>
            <w:r>
              <w:rPr>
                <w:rFonts w:ascii="Times New Roman" w:cs="Times New Roman" w:eastAsia="Times New Roman" w:hAnsi="Times New Roman"/>
                <w:sz w:val="13"/>
                <w:szCs w:val="13"/>
                <w:b w:val="1"/>
                <w:bCs w:val="1"/>
                <w:color w:val="auto"/>
              </w:rPr>
              <w:t>Retained</w:t>
            </w:r>
          </w:p>
        </w:tc>
        <w:tc>
          <w:tcPr>
            <w:tcW w:w="140" w:type="dxa"/>
            <w:vAlign w:val="bottom"/>
          </w:tcPr>
          <w:p>
            <w:pPr>
              <w:spacing w:after="0"/>
              <w:rPr>
                <w:sz w:val="4"/>
                <w:szCs w:val="4"/>
                <w:color w:val="auto"/>
              </w:rPr>
            </w:pPr>
          </w:p>
        </w:tc>
        <w:tc>
          <w:tcPr>
            <w:tcW w:w="1200" w:type="dxa"/>
            <w:vAlign w:val="bottom"/>
            <w:gridSpan w:val="2"/>
            <w:vMerge w:val="restart"/>
          </w:tcPr>
          <w:p>
            <w:pPr>
              <w:jc w:val="center"/>
              <w:ind w:right="220"/>
              <w:spacing w:after="0" w:line="122" w:lineRule="exact"/>
              <w:rPr>
                <w:sz w:val="20"/>
                <w:szCs w:val="20"/>
                <w:color w:val="auto"/>
              </w:rPr>
            </w:pPr>
            <w:r>
              <w:rPr>
                <w:rFonts w:ascii="Times New Roman" w:cs="Times New Roman" w:eastAsia="Times New Roman" w:hAnsi="Times New Roman"/>
                <w:sz w:val="13"/>
                <w:szCs w:val="13"/>
                <w:b w:val="1"/>
                <w:bCs w:val="1"/>
                <w:color w:val="auto"/>
              </w:rPr>
              <w:t>Other</w:t>
            </w:r>
          </w:p>
        </w:tc>
        <w:tc>
          <w:tcPr>
            <w:tcW w:w="140" w:type="dxa"/>
            <w:vAlign w:val="bottom"/>
          </w:tcPr>
          <w:p>
            <w:pPr>
              <w:spacing w:after="0"/>
              <w:rPr>
                <w:sz w:val="4"/>
                <w:szCs w:val="4"/>
                <w:color w:val="auto"/>
              </w:rPr>
            </w:pPr>
          </w:p>
        </w:tc>
        <w:tc>
          <w:tcPr>
            <w:tcW w:w="1020" w:type="dxa"/>
            <w:vAlign w:val="bottom"/>
            <w:vMerge w:val="restart"/>
          </w:tcPr>
          <w:p>
            <w:pPr>
              <w:jc w:val="center"/>
              <w:ind w:right="53"/>
              <w:spacing w:after="0" w:line="122" w:lineRule="exact"/>
              <w:rPr>
                <w:sz w:val="20"/>
                <w:szCs w:val="20"/>
                <w:color w:val="auto"/>
              </w:rPr>
            </w:pPr>
            <w:r>
              <w:rPr>
                <w:rFonts w:ascii="Times New Roman" w:cs="Times New Roman" w:eastAsia="Times New Roman" w:hAnsi="Times New Roman"/>
                <w:sz w:val="13"/>
                <w:szCs w:val="13"/>
                <w:b w:val="1"/>
                <w:bCs w:val="1"/>
                <w:color w:val="auto"/>
              </w:rPr>
              <w:t>Total</w:t>
            </w:r>
          </w:p>
        </w:tc>
        <w:tc>
          <w:tcPr>
            <w:tcW w:w="0" w:type="dxa"/>
            <w:vAlign w:val="bottom"/>
          </w:tcPr>
          <w:p>
            <w:pPr>
              <w:spacing w:after="0"/>
              <w:rPr>
                <w:sz w:val="1"/>
                <w:szCs w:val="1"/>
                <w:color w:val="auto"/>
              </w:rPr>
            </w:pPr>
          </w:p>
        </w:tc>
      </w:tr>
      <w:tr>
        <w:trPr>
          <w:trHeight w:val="48"/>
        </w:trPr>
        <w:tc>
          <w:tcPr>
            <w:tcW w:w="2680" w:type="dxa"/>
            <w:vAlign w:val="bottom"/>
          </w:tcPr>
          <w:p>
            <w:pPr>
              <w:spacing w:after="0"/>
              <w:rPr>
                <w:sz w:val="4"/>
                <w:szCs w:val="4"/>
                <w:color w:val="auto"/>
              </w:rPr>
            </w:pPr>
          </w:p>
        </w:tc>
        <w:tc>
          <w:tcPr>
            <w:tcW w:w="100" w:type="dxa"/>
            <w:vAlign w:val="bottom"/>
          </w:tcPr>
          <w:p>
            <w:pPr>
              <w:spacing w:after="0"/>
              <w:rPr>
                <w:sz w:val="4"/>
                <w:szCs w:val="4"/>
                <w:color w:val="auto"/>
              </w:rPr>
            </w:pPr>
          </w:p>
        </w:tc>
        <w:tc>
          <w:tcPr>
            <w:tcW w:w="7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640" w:type="dxa"/>
            <w:vAlign w:val="bottom"/>
          </w:tcPr>
          <w:p>
            <w:pPr>
              <w:spacing w:after="0"/>
              <w:rPr>
                <w:sz w:val="4"/>
                <w:szCs w:val="4"/>
                <w:color w:val="auto"/>
              </w:rPr>
            </w:pPr>
          </w:p>
        </w:tc>
        <w:tc>
          <w:tcPr>
            <w:tcW w:w="120" w:type="dxa"/>
            <w:vAlign w:val="bottom"/>
          </w:tcPr>
          <w:p>
            <w:pPr>
              <w:spacing w:after="0"/>
              <w:rPr>
                <w:sz w:val="4"/>
                <w:szCs w:val="4"/>
                <w:color w:val="auto"/>
              </w:rPr>
            </w:pPr>
          </w:p>
        </w:tc>
        <w:tc>
          <w:tcPr>
            <w:tcW w:w="120" w:type="dxa"/>
            <w:vAlign w:val="bottom"/>
          </w:tcPr>
          <w:p>
            <w:pPr>
              <w:spacing w:after="0"/>
              <w:rPr>
                <w:sz w:val="4"/>
                <w:szCs w:val="4"/>
                <w:color w:val="auto"/>
              </w:rPr>
            </w:pPr>
          </w:p>
        </w:tc>
        <w:tc>
          <w:tcPr>
            <w:tcW w:w="900" w:type="dxa"/>
            <w:vAlign w:val="bottom"/>
            <w:gridSpan w:val="2"/>
            <w:vMerge w:val="continue"/>
          </w:tcPr>
          <w:p>
            <w:pPr>
              <w:spacing w:after="0"/>
              <w:rPr>
                <w:sz w:val="4"/>
                <w:szCs w:val="4"/>
                <w:color w:val="auto"/>
              </w:rPr>
            </w:pPr>
          </w:p>
        </w:tc>
        <w:tc>
          <w:tcPr>
            <w:tcW w:w="760" w:type="dxa"/>
            <w:vAlign w:val="bottom"/>
          </w:tcPr>
          <w:p>
            <w:pPr>
              <w:spacing w:after="0"/>
              <w:rPr>
                <w:sz w:val="4"/>
                <w:szCs w:val="4"/>
                <w:color w:val="auto"/>
              </w:rPr>
            </w:pPr>
          </w:p>
        </w:tc>
        <w:tc>
          <w:tcPr>
            <w:tcW w:w="100" w:type="dxa"/>
            <w:vAlign w:val="bottom"/>
          </w:tcPr>
          <w:p>
            <w:pPr>
              <w:spacing w:after="0"/>
              <w:rPr>
                <w:sz w:val="4"/>
                <w:szCs w:val="4"/>
                <w:color w:val="auto"/>
              </w:rPr>
            </w:pPr>
          </w:p>
        </w:tc>
        <w:tc>
          <w:tcPr>
            <w:tcW w:w="160" w:type="dxa"/>
            <w:vAlign w:val="bottom"/>
          </w:tcPr>
          <w:p>
            <w:pPr>
              <w:spacing w:after="0"/>
              <w:rPr>
                <w:sz w:val="4"/>
                <w:szCs w:val="4"/>
                <w:color w:val="auto"/>
              </w:rPr>
            </w:pPr>
          </w:p>
        </w:tc>
        <w:tc>
          <w:tcPr>
            <w:tcW w:w="720" w:type="dxa"/>
            <w:vAlign w:val="bottom"/>
          </w:tcPr>
          <w:p>
            <w:pPr>
              <w:spacing w:after="0"/>
              <w:rPr>
                <w:sz w:val="4"/>
                <w:szCs w:val="4"/>
                <w:color w:val="auto"/>
              </w:rPr>
            </w:pPr>
          </w:p>
        </w:tc>
        <w:tc>
          <w:tcPr>
            <w:tcW w:w="120" w:type="dxa"/>
            <w:vAlign w:val="bottom"/>
          </w:tcPr>
          <w:p>
            <w:pPr>
              <w:spacing w:after="0"/>
              <w:rPr>
                <w:sz w:val="4"/>
                <w:szCs w:val="4"/>
                <w:color w:val="auto"/>
              </w:rPr>
            </w:pPr>
          </w:p>
        </w:tc>
        <w:tc>
          <w:tcPr>
            <w:tcW w:w="180" w:type="dxa"/>
            <w:vAlign w:val="bottom"/>
          </w:tcPr>
          <w:p>
            <w:pPr>
              <w:spacing w:after="0"/>
              <w:rPr>
                <w:sz w:val="4"/>
                <w:szCs w:val="4"/>
                <w:color w:val="auto"/>
              </w:rPr>
            </w:pPr>
          </w:p>
        </w:tc>
        <w:tc>
          <w:tcPr>
            <w:tcW w:w="1020" w:type="dxa"/>
            <w:vAlign w:val="bottom"/>
            <w:gridSpan w:val="2"/>
            <w:vMerge w:val="continue"/>
          </w:tcPr>
          <w:p>
            <w:pPr>
              <w:spacing w:after="0"/>
              <w:rPr>
                <w:sz w:val="4"/>
                <w:szCs w:val="4"/>
                <w:color w:val="auto"/>
              </w:rPr>
            </w:pPr>
          </w:p>
        </w:tc>
        <w:tc>
          <w:tcPr>
            <w:tcW w:w="140" w:type="dxa"/>
            <w:vAlign w:val="bottom"/>
          </w:tcPr>
          <w:p>
            <w:pPr>
              <w:spacing w:after="0"/>
              <w:rPr>
                <w:sz w:val="4"/>
                <w:szCs w:val="4"/>
                <w:color w:val="auto"/>
              </w:rPr>
            </w:pPr>
          </w:p>
        </w:tc>
        <w:tc>
          <w:tcPr>
            <w:tcW w:w="1200" w:type="dxa"/>
            <w:vAlign w:val="bottom"/>
            <w:gridSpan w:val="2"/>
            <w:vMerge w:val="continue"/>
          </w:tcPr>
          <w:p>
            <w:pPr>
              <w:spacing w:after="0"/>
              <w:rPr>
                <w:sz w:val="4"/>
                <w:szCs w:val="4"/>
                <w:color w:val="auto"/>
              </w:rPr>
            </w:pPr>
          </w:p>
        </w:tc>
        <w:tc>
          <w:tcPr>
            <w:tcW w:w="140" w:type="dxa"/>
            <w:vAlign w:val="bottom"/>
          </w:tcPr>
          <w:p>
            <w:pPr>
              <w:spacing w:after="0"/>
              <w:rPr>
                <w:sz w:val="4"/>
                <w:szCs w:val="4"/>
                <w:color w:val="auto"/>
              </w:rPr>
            </w:pPr>
          </w:p>
        </w:tc>
        <w:tc>
          <w:tcPr>
            <w:tcW w:w="102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35"/>
        </w:trPr>
        <w:tc>
          <w:tcPr>
            <w:tcW w:w="26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80" w:type="dxa"/>
            <w:vAlign w:val="bottom"/>
            <w:gridSpan w:val="2"/>
            <w:vMerge w:val="restart"/>
          </w:tcPr>
          <w:p>
            <w:pPr>
              <w:ind w:left="200"/>
              <w:spacing w:after="0"/>
              <w:rPr>
                <w:sz w:val="20"/>
                <w:szCs w:val="20"/>
                <w:color w:val="auto"/>
              </w:rPr>
            </w:pPr>
            <w:r>
              <w:rPr>
                <w:rFonts w:ascii="Times New Roman" w:cs="Times New Roman" w:eastAsia="Times New Roman" w:hAnsi="Times New Roman"/>
                <w:sz w:val="13"/>
                <w:szCs w:val="13"/>
                <w:b w:val="1"/>
                <w:bCs w:val="1"/>
                <w:color w:val="auto"/>
              </w:rPr>
              <w:t>Shares</w:t>
            </w:r>
          </w:p>
        </w:tc>
        <w:tc>
          <w:tcPr>
            <w:tcW w:w="120" w:type="dxa"/>
            <w:vAlign w:val="bottom"/>
          </w:tcPr>
          <w:p>
            <w:pPr>
              <w:spacing w:after="0"/>
              <w:rPr>
                <w:sz w:val="11"/>
                <w:szCs w:val="11"/>
                <w:color w:val="auto"/>
              </w:rPr>
            </w:pPr>
          </w:p>
        </w:tc>
        <w:tc>
          <w:tcPr>
            <w:tcW w:w="760" w:type="dxa"/>
            <w:vAlign w:val="bottom"/>
            <w:gridSpan w:val="2"/>
            <w:vMerge w:val="restart"/>
          </w:tcPr>
          <w:p>
            <w:pPr>
              <w:ind w:left="20"/>
              <w:spacing w:after="0"/>
              <w:rPr>
                <w:sz w:val="20"/>
                <w:szCs w:val="20"/>
                <w:color w:val="auto"/>
              </w:rPr>
            </w:pPr>
            <w:r>
              <w:rPr>
                <w:rFonts w:ascii="Times New Roman" w:cs="Times New Roman" w:eastAsia="Times New Roman" w:hAnsi="Times New Roman"/>
                <w:sz w:val="13"/>
                <w:szCs w:val="13"/>
                <w:b w:val="1"/>
                <w:bCs w:val="1"/>
                <w:color w:val="auto"/>
              </w:rPr>
              <w:t>Amount</w:t>
            </w:r>
          </w:p>
        </w:tc>
        <w:tc>
          <w:tcPr>
            <w:tcW w:w="120" w:type="dxa"/>
            <w:vAlign w:val="bottom"/>
          </w:tcPr>
          <w:p>
            <w:pPr>
              <w:spacing w:after="0"/>
              <w:rPr>
                <w:sz w:val="11"/>
                <w:szCs w:val="11"/>
                <w:color w:val="auto"/>
              </w:rPr>
            </w:pPr>
          </w:p>
        </w:tc>
        <w:tc>
          <w:tcPr>
            <w:tcW w:w="900" w:type="dxa"/>
            <w:vAlign w:val="bottom"/>
            <w:gridSpan w:val="2"/>
          </w:tcPr>
          <w:p>
            <w:pPr>
              <w:jc w:val="center"/>
              <w:ind w:right="240"/>
              <w:spacing w:after="0" w:line="135" w:lineRule="exact"/>
              <w:rPr>
                <w:sz w:val="20"/>
                <w:szCs w:val="20"/>
                <w:color w:val="auto"/>
              </w:rPr>
            </w:pPr>
            <w:r>
              <w:rPr>
                <w:rFonts w:ascii="Times New Roman" w:cs="Times New Roman" w:eastAsia="Times New Roman" w:hAnsi="Times New Roman"/>
                <w:sz w:val="13"/>
                <w:szCs w:val="13"/>
                <w:b w:val="1"/>
                <w:bCs w:val="1"/>
                <w:color w:val="auto"/>
              </w:rPr>
              <w:t>Paid-in</w:t>
            </w:r>
          </w:p>
        </w:tc>
        <w:tc>
          <w:tcPr>
            <w:tcW w:w="860" w:type="dxa"/>
            <w:vAlign w:val="bottom"/>
            <w:gridSpan w:val="2"/>
            <w:vMerge w:val="restart"/>
          </w:tcPr>
          <w:p>
            <w:pPr>
              <w:ind w:left="180"/>
              <w:spacing w:after="0"/>
              <w:rPr>
                <w:sz w:val="20"/>
                <w:szCs w:val="20"/>
                <w:color w:val="auto"/>
              </w:rPr>
            </w:pPr>
            <w:r>
              <w:rPr>
                <w:rFonts w:ascii="Times New Roman" w:cs="Times New Roman" w:eastAsia="Times New Roman" w:hAnsi="Times New Roman"/>
                <w:sz w:val="13"/>
                <w:szCs w:val="13"/>
                <w:b w:val="1"/>
                <w:bCs w:val="1"/>
                <w:color w:val="auto"/>
              </w:rPr>
              <w:t>Shares</w:t>
            </w:r>
          </w:p>
        </w:tc>
        <w:tc>
          <w:tcPr>
            <w:tcW w:w="160" w:type="dxa"/>
            <w:vAlign w:val="bottom"/>
          </w:tcPr>
          <w:p>
            <w:pPr>
              <w:spacing w:after="0"/>
              <w:rPr>
                <w:sz w:val="11"/>
                <w:szCs w:val="11"/>
                <w:color w:val="auto"/>
              </w:rPr>
            </w:pPr>
          </w:p>
        </w:tc>
        <w:tc>
          <w:tcPr>
            <w:tcW w:w="840" w:type="dxa"/>
            <w:vAlign w:val="bottom"/>
            <w:gridSpan w:val="2"/>
            <w:vMerge w:val="restart"/>
          </w:tcPr>
          <w:p>
            <w:pPr>
              <w:ind w:left="60"/>
              <w:spacing w:after="0"/>
              <w:rPr>
                <w:sz w:val="20"/>
                <w:szCs w:val="20"/>
                <w:color w:val="auto"/>
              </w:rPr>
            </w:pPr>
            <w:r>
              <w:rPr>
                <w:rFonts w:ascii="Times New Roman" w:cs="Times New Roman" w:eastAsia="Times New Roman" w:hAnsi="Times New Roman"/>
                <w:sz w:val="13"/>
                <w:szCs w:val="13"/>
                <w:b w:val="1"/>
                <w:bCs w:val="1"/>
                <w:color w:val="auto"/>
              </w:rPr>
              <w:t>Amount</w:t>
            </w:r>
          </w:p>
        </w:tc>
        <w:tc>
          <w:tcPr>
            <w:tcW w:w="180" w:type="dxa"/>
            <w:vAlign w:val="bottom"/>
          </w:tcPr>
          <w:p>
            <w:pPr>
              <w:spacing w:after="0"/>
              <w:rPr>
                <w:sz w:val="11"/>
                <w:szCs w:val="11"/>
                <w:color w:val="auto"/>
              </w:rPr>
            </w:pPr>
          </w:p>
        </w:tc>
        <w:tc>
          <w:tcPr>
            <w:tcW w:w="1020" w:type="dxa"/>
            <w:vAlign w:val="bottom"/>
            <w:gridSpan w:val="2"/>
            <w:vMerge w:val="continue"/>
          </w:tcPr>
          <w:p>
            <w:pPr>
              <w:spacing w:after="0"/>
              <w:rPr>
                <w:sz w:val="11"/>
                <w:szCs w:val="11"/>
                <w:color w:val="auto"/>
              </w:rPr>
            </w:pPr>
          </w:p>
        </w:tc>
        <w:tc>
          <w:tcPr>
            <w:tcW w:w="140" w:type="dxa"/>
            <w:vAlign w:val="bottom"/>
          </w:tcPr>
          <w:p>
            <w:pPr>
              <w:spacing w:after="0"/>
              <w:rPr>
                <w:sz w:val="11"/>
                <w:szCs w:val="11"/>
                <w:color w:val="auto"/>
              </w:rPr>
            </w:pPr>
          </w:p>
        </w:tc>
        <w:tc>
          <w:tcPr>
            <w:tcW w:w="1200" w:type="dxa"/>
            <w:vAlign w:val="bottom"/>
            <w:gridSpan w:val="2"/>
          </w:tcPr>
          <w:p>
            <w:pPr>
              <w:jc w:val="center"/>
              <w:ind w:right="220"/>
              <w:spacing w:after="0" w:line="135" w:lineRule="exact"/>
              <w:rPr>
                <w:sz w:val="20"/>
                <w:szCs w:val="20"/>
                <w:color w:val="auto"/>
              </w:rPr>
            </w:pPr>
            <w:r>
              <w:rPr>
                <w:rFonts w:ascii="Times New Roman" w:cs="Times New Roman" w:eastAsia="Times New Roman" w:hAnsi="Times New Roman"/>
                <w:sz w:val="13"/>
                <w:szCs w:val="13"/>
                <w:b w:val="1"/>
                <w:bCs w:val="1"/>
                <w:color w:val="auto"/>
              </w:rPr>
              <w:t>Comprehensive</w:t>
            </w:r>
          </w:p>
        </w:tc>
        <w:tc>
          <w:tcPr>
            <w:tcW w:w="140" w:type="dxa"/>
            <w:vAlign w:val="bottom"/>
          </w:tcPr>
          <w:p>
            <w:pPr>
              <w:spacing w:after="0"/>
              <w:rPr>
                <w:sz w:val="11"/>
                <w:szCs w:val="11"/>
                <w:color w:val="auto"/>
              </w:rPr>
            </w:pPr>
          </w:p>
        </w:tc>
        <w:tc>
          <w:tcPr>
            <w:tcW w:w="1020" w:type="dxa"/>
            <w:vAlign w:val="bottom"/>
          </w:tcPr>
          <w:p>
            <w:pPr>
              <w:jc w:val="center"/>
              <w:ind w:right="53"/>
              <w:spacing w:after="0" w:line="135" w:lineRule="exact"/>
              <w:rPr>
                <w:sz w:val="20"/>
                <w:szCs w:val="20"/>
                <w:color w:val="auto"/>
              </w:rPr>
            </w:pPr>
            <w:r>
              <w:rPr>
                <w:rFonts w:ascii="Times New Roman" w:cs="Times New Roman" w:eastAsia="Times New Roman" w:hAnsi="Times New Roman"/>
                <w:sz w:val="13"/>
                <w:szCs w:val="13"/>
                <w:b w:val="1"/>
                <w:bCs w:val="1"/>
                <w:color w:val="auto"/>
              </w:rPr>
              <w:t>Stockholders'</w:t>
            </w:r>
          </w:p>
        </w:tc>
        <w:tc>
          <w:tcPr>
            <w:tcW w:w="0" w:type="dxa"/>
            <w:vAlign w:val="bottom"/>
          </w:tcPr>
          <w:p>
            <w:pPr>
              <w:spacing w:after="0"/>
              <w:rPr>
                <w:sz w:val="1"/>
                <w:szCs w:val="1"/>
                <w:color w:val="auto"/>
              </w:rPr>
            </w:pPr>
          </w:p>
        </w:tc>
      </w:tr>
      <w:tr>
        <w:trPr>
          <w:trHeight w:val="184"/>
        </w:trPr>
        <w:tc>
          <w:tcPr>
            <w:tcW w:w="26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8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76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900" w:type="dxa"/>
            <w:vAlign w:val="bottom"/>
            <w:gridSpan w:val="2"/>
          </w:tcPr>
          <w:p>
            <w:pPr>
              <w:jc w:val="center"/>
              <w:ind w:right="240"/>
              <w:spacing w:after="0"/>
              <w:rPr>
                <w:sz w:val="20"/>
                <w:szCs w:val="20"/>
                <w:color w:val="auto"/>
              </w:rPr>
            </w:pPr>
            <w:r>
              <w:rPr>
                <w:rFonts w:ascii="Times New Roman" w:cs="Times New Roman" w:eastAsia="Times New Roman" w:hAnsi="Times New Roman"/>
                <w:sz w:val="13"/>
                <w:szCs w:val="13"/>
                <w:b w:val="1"/>
                <w:bCs w:val="1"/>
                <w:color w:val="auto"/>
              </w:rPr>
              <w:t>Capital</w:t>
            </w:r>
          </w:p>
        </w:tc>
        <w:tc>
          <w:tcPr>
            <w:tcW w:w="860" w:type="dxa"/>
            <w:vAlign w:val="bottom"/>
            <w:gridSpan w:val="2"/>
            <w:vMerge w:val="continue"/>
          </w:tcPr>
          <w:p>
            <w:pPr>
              <w:spacing w:after="0"/>
              <w:rPr>
                <w:sz w:val="15"/>
                <w:szCs w:val="15"/>
                <w:color w:val="auto"/>
              </w:rPr>
            </w:pPr>
          </w:p>
        </w:tc>
        <w:tc>
          <w:tcPr>
            <w:tcW w:w="160" w:type="dxa"/>
            <w:vAlign w:val="bottom"/>
          </w:tcPr>
          <w:p>
            <w:pPr>
              <w:spacing w:after="0"/>
              <w:rPr>
                <w:sz w:val="15"/>
                <w:szCs w:val="15"/>
                <w:color w:val="auto"/>
              </w:rPr>
            </w:pPr>
          </w:p>
        </w:tc>
        <w:tc>
          <w:tcPr>
            <w:tcW w:w="840" w:type="dxa"/>
            <w:vAlign w:val="bottom"/>
            <w:gridSpan w:val="2"/>
            <w:vMerge w:val="continue"/>
          </w:tcPr>
          <w:p>
            <w:pPr>
              <w:spacing w:after="0"/>
              <w:rPr>
                <w:sz w:val="15"/>
                <w:szCs w:val="15"/>
                <w:color w:val="auto"/>
              </w:rPr>
            </w:pPr>
          </w:p>
        </w:tc>
        <w:tc>
          <w:tcPr>
            <w:tcW w:w="180" w:type="dxa"/>
            <w:vAlign w:val="bottom"/>
          </w:tcPr>
          <w:p>
            <w:pPr>
              <w:spacing w:after="0"/>
              <w:rPr>
                <w:sz w:val="15"/>
                <w:szCs w:val="15"/>
                <w:color w:val="auto"/>
              </w:rPr>
            </w:pPr>
          </w:p>
        </w:tc>
        <w:tc>
          <w:tcPr>
            <w:tcW w:w="1020" w:type="dxa"/>
            <w:vAlign w:val="bottom"/>
            <w:gridSpan w:val="2"/>
          </w:tcPr>
          <w:p>
            <w:pPr>
              <w:ind w:left="100"/>
              <w:spacing w:after="0"/>
              <w:rPr>
                <w:sz w:val="20"/>
                <w:szCs w:val="20"/>
                <w:color w:val="auto"/>
              </w:rPr>
            </w:pPr>
            <w:r>
              <w:rPr>
                <w:rFonts w:ascii="Times New Roman" w:cs="Times New Roman" w:eastAsia="Times New Roman" w:hAnsi="Times New Roman"/>
                <w:sz w:val="13"/>
                <w:szCs w:val="13"/>
                <w:b w:val="1"/>
                <w:bCs w:val="1"/>
                <w:color w:val="auto"/>
              </w:rPr>
              <w:t>Earnings</w:t>
            </w:r>
          </w:p>
        </w:tc>
        <w:tc>
          <w:tcPr>
            <w:tcW w:w="140" w:type="dxa"/>
            <w:vAlign w:val="bottom"/>
          </w:tcPr>
          <w:p>
            <w:pPr>
              <w:spacing w:after="0"/>
              <w:rPr>
                <w:sz w:val="15"/>
                <w:szCs w:val="15"/>
                <w:color w:val="auto"/>
              </w:rPr>
            </w:pPr>
          </w:p>
        </w:tc>
        <w:tc>
          <w:tcPr>
            <w:tcW w:w="1200" w:type="dxa"/>
            <w:vAlign w:val="bottom"/>
            <w:gridSpan w:val="2"/>
          </w:tcPr>
          <w:p>
            <w:pPr>
              <w:jc w:val="center"/>
              <w:ind w:right="240"/>
              <w:spacing w:after="0"/>
              <w:rPr>
                <w:sz w:val="20"/>
                <w:szCs w:val="20"/>
                <w:color w:val="auto"/>
              </w:rPr>
            </w:pPr>
            <w:r>
              <w:rPr>
                <w:rFonts w:ascii="Times New Roman" w:cs="Times New Roman" w:eastAsia="Times New Roman" w:hAnsi="Times New Roman"/>
                <w:sz w:val="13"/>
                <w:szCs w:val="13"/>
                <w:b w:val="1"/>
                <w:bCs w:val="1"/>
                <w:color w:val="auto"/>
              </w:rPr>
              <w:t>Income (Loss)</w:t>
            </w:r>
          </w:p>
        </w:tc>
        <w:tc>
          <w:tcPr>
            <w:tcW w:w="140" w:type="dxa"/>
            <w:vAlign w:val="bottom"/>
          </w:tcPr>
          <w:p>
            <w:pPr>
              <w:spacing w:after="0"/>
              <w:rPr>
                <w:sz w:val="15"/>
                <w:szCs w:val="15"/>
                <w:color w:val="auto"/>
              </w:rPr>
            </w:pPr>
          </w:p>
        </w:tc>
        <w:tc>
          <w:tcPr>
            <w:tcW w:w="1020" w:type="dxa"/>
            <w:vAlign w:val="bottom"/>
          </w:tcPr>
          <w:p>
            <w:pPr>
              <w:jc w:val="center"/>
              <w:ind w:right="53"/>
              <w:spacing w:after="0"/>
              <w:rPr>
                <w:sz w:val="20"/>
                <w:szCs w:val="20"/>
                <w:color w:val="auto"/>
              </w:rPr>
            </w:pPr>
            <w:r>
              <w:rPr>
                <w:rFonts w:ascii="Times New Roman" w:cs="Times New Roman" w:eastAsia="Times New Roman" w:hAnsi="Times New Roman"/>
                <w:sz w:val="13"/>
                <w:szCs w:val="13"/>
                <w:b w:val="1"/>
                <w:bCs w:val="1"/>
                <w:color w:val="auto"/>
              </w:rPr>
              <w:t>Equity</w:t>
            </w:r>
          </w:p>
        </w:tc>
        <w:tc>
          <w:tcPr>
            <w:tcW w:w="0" w:type="dxa"/>
            <w:vAlign w:val="bottom"/>
          </w:tcPr>
          <w:p>
            <w:pPr>
              <w:spacing w:after="0"/>
              <w:rPr>
                <w:sz w:val="1"/>
                <w:szCs w:val="1"/>
                <w:color w:val="auto"/>
              </w:rPr>
            </w:pPr>
          </w:p>
        </w:tc>
      </w:tr>
      <w:tr>
        <w:trPr>
          <w:trHeight w:val="181"/>
        </w:trPr>
        <w:tc>
          <w:tcPr>
            <w:tcW w:w="2780" w:type="dxa"/>
            <w:vAlign w:val="bottom"/>
            <w:gridSpan w:val="2"/>
          </w:tcPr>
          <w:p>
            <w:pPr>
              <w:ind w:left="20"/>
              <w:spacing w:after="0"/>
              <w:rPr>
                <w:sz w:val="20"/>
                <w:szCs w:val="20"/>
                <w:color w:val="auto"/>
              </w:rPr>
            </w:pPr>
            <w:r>
              <w:rPr>
                <w:rFonts w:ascii="Times New Roman" w:cs="Times New Roman" w:eastAsia="Times New Roman" w:hAnsi="Times New Roman"/>
                <w:sz w:val="13"/>
                <w:szCs w:val="13"/>
                <w:color w:val="auto"/>
              </w:rPr>
              <w:t>Balance, September 30, 2019</w:t>
            </w:r>
          </w:p>
        </w:tc>
        <w:tc>
          <w:tcPr>
            <w:tcW w:w="7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135,616</w:t>
            </w:r>
          </w:p>
        </w:tc>
        <w:tc>
          <w:tcPr>
            <w:tcW w:w="100" w:type="dxa"/>
            <w:vAlign w:val="bottom"/>
          </w:tcPr>
          <w:p>
            <w:pPr>
              <w:spacing w:after="0"/>
              <w:rPr>
                <w:sz w:val="15"/>
                <w:szCs w:val="15"/>
                <w:color w:val="auto"/>
              </w:rPr>
            </w:pPr>
          </w:p>
        </w:tc>
        <w:tc>
          <w:tcPr>
            <w:tcW w:w="1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6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1,356</w:t>
            </w:r>
          </w:p>
        </w:tc>
        <w:tc>
          <w:tcPr>
            <w:tcW w:w="120" w:type="dxa"/>
            <w:vAlign w:val="bottom"/>
          </w:tcPr>
          <w:p>
            <w:pPr>
              <w:spacing w:after="0"/>
              <w:rPr>
                <w:sz w:val="15"/>
                <w:szCs w:val="15"/>
                <w:color w:val="auto"/>
              </w:rPr>
            </w:pPr>
          </w:p>
        </w:tc>
        <w:tc>
          <w:tcPr>
            <w:tcW w:w="1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7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2,059,720</w:t>
            </w:r>
          </w:p>
        </w:tc>
        <w:tc>
          <w:tcPr>
            <w:tcW w:w="120" w:type="dxa"/>
            <w:vAlign w:val="bottom"/>
          </w:tcPr>
          <w:p>
            <w:pPr>
              <w:spacing w:after="0"/>
              <w:rPr>
                <w:sz w:val="15"/>
                <w:szCs w:val="15"/>
                <w:color w:val="auto"/>
              </w:rPr>
            </w:pPr>
          </w:p>
        </w:tc>
        <w:tc>
          <w:tcPr>
            <w:tcW w:w="760" w:type="dxa"/>
            <w:vAlign w:val="bottom"/>
            <w:tcBorders>
              <w:top w:val="single" w:sz="8" w:color="auto"/>
            </w:tcBorders>
          </w:tcPr>
          <w:p>
            <w:pPr>
              <w:ind w:left="280"/>
              <w:spacing w:after="0"/>
              <w:rPr>
                <w:sz w:val="20"/>
                <w:szCs w:val="20"/>
                <w:color w:val="auto"/>
              </w:rPr>
            </w:pPr>
            <w:r>
              <w:rPr>
                <w:rFonts w:ascii="Times New Roman" w:cs="Times New Roman" w:eastAsia="Times New Roman" w:hAnsi="Times New Roman"/>
                <w:sz w:val="13"/>
                <w:szCs w:val="13"/>
                <w:color w:val="auto"/>
              </w:rPr>
              <w:t>(22,421)</w:t>
            </w:r>
          </w:p>
        </w:tc>
        <w:tc>
          <w:tcPr>
            <w:tcW w:w="100" w:type="dxa"/>
            <w:vAlign w:val="bottom"/>
          </w:tcPr>
          <w:p>
            <w:pPr>
              <w:spacing w:after="0"/>
              <w:rPr>
                <w:sz w:val="15"/>
                <w:szCs w:val="15"/>
                <w:color w:val="auto"/>
              </w:rPr>
            </w:pPr>
          </w:p>
        </w:tc>
        <w:tc>
          <w:tcPr>
            <w:tcW w:w="1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720" w:type="dxa"/>
            <w:vAlign w:val="bottom"/>
            <w:tcBorders>
              <w:top w:val="single" w:sz="8" w:color="auto"/>
            </w:tcBorders>
          </w:tcPr>
          <w:p>
            <w:pPr>
              <w:ind w:left="160"/>
              <w:spacing w:after="0"/>
              <w:rPr>
                <w:sz w:val="20"/>
                <w:szCs w:val="20"/>
                <w:color w:val="auto"/>
              </w:rPr>
            </w:pPr>
            <w:r>
              <w:rPr>
                <w:rFonts w:ascii="Times New Roman" w:cs="Times New Roman" w:eastAsia="Times New Roman" w:hAnsi="Times New Roman"/>
                <w:sz w:val="13"/>
                <w:szCs w:val="13"/>
                <w:color w:val="auto"/>
              </w:rPr>
              <w:t>(820,572)</w:t>
            </w:r>
          </w:p>
        </w:tc>
        <w:tc>
          <w:tcPr>
            <w:tcW w:w="120" w:type="dxa"/>
            <w:vAlign w:val="bottom"/>
          </w:tcPr>
          <w:p>
            <w:pPr>
              <w:spacing w:after="0"/>
              <w:rPr>
                <w:sz w:val="15"/>
                <w:szCs w:val="15"/>
                <w:color w:val="auto"/>
              </w:rPr>
            </w:pPr>
          </w:p>
        </w:tc>
        <w:tc>
          <w:tcPr>
            <w:tcW w:w="180" w:type="dxa"/>
            <w:vAlign w:val="bottom"/>
            <w:tcBorders>
              <w:top w:val="single" w:sz="8" w:color="auto"/>
            </w:tcBorders>
          </w:tcPr>
          <w:p>
            <w:pPr>
              <w:jc w:val="right"/>
              <w:ind w:right="33"/>
              <w:spacing w:after="0"/>
              <w:rPr>
                <w:sz w:val="20"/>
                <w:szCs w:val="20"/>
                <w:color w:val="auto"/>
              </w:rPr>
            </w:pPr>
            <w:r>
              <w:rPr>
                <w:rFonts w:ascii="Times New Roman" w:cs="Times New Roman" w:eastAsia="Times New Roman" w:hAnsi="Times New Roman"/>
                <w:sz w:val="13"/>
                <w:szCs w:val="13"/>
                <w:color w:val="auto"/>
                <w:w w:val="91"/>
              </w:rPr>
              <w:t>$</w:t>
            </w:r>
          </w:p>
        </w:tc>
        <w:tc>
          <w:tcPr>
            <w:tcW w:w="9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995,721</w:t>
            </w:r>
          </w:p>
        </w:tc>
        <w:tc>
          <w:tcPr>
            <w:tcW w:w="100" w:type="dxa"/>
            <w:vAlign w:val="bottom"/>
          </w:tcPr>
          <w:p>
            <w:pPr>
              <w:spacing w:after="0"/>
              <w:rPr>
                <w:sz w:val="15"/>
                <w:szCs w:val="15"/>
                <w:color w:val="auto"/>
              </w:rPr>
            </w:pPr>
          </w:p>
        </w:tc>
        <w:tc>
          <w:tcPr>
            <w:tcW w:w="1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1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(54,462)</w:t>
            </w:r>
          </w:p>
        </w:tc>
        <w:tc>
          <w:tcPr>
            <w:tcW w:w="100" w:type="dxa"/>
            <w:vAlign w:val="bottom"/>
          </w:tcPr>
          <w:p>
            <w:pPr>
              <w:spacing w:after="0"/>
              <w:rPr>
                <w:sz w:val="15"/>
                <w:szCs w:val="15"/>
                <w:color w:val="auto"/>
              </w:rPr>
            </w:pPr>
          </w:p>
        </w:tc>
        <w:tc>
          <w:tcPr>
            <w:tcW w:w="1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2,181,763</w:t>
            </w:r>
          </w:p>
        </w:tc>
        <w:tc>
          <w:tcPr>
            <w:tcW w:w="0" w:type="dxa"/>
            <w:vAlign w:val="bottom"/>
          </w:tcPr>
          <w:p>
            <w:pPr>
              <w:spacing w:after="0"/>
              <w:rPr>
                <w:sz w:val="1"/>
                <w:szCs w:val="1"/>
                <w:color w:val="auto"/>
              </w:rPr>
            </w:pPr>
          </w:p>
        </w:tc>
      </w:tr>
      <w:tr>
        <w:trPr>
          <w:trHeight w:val="196"/>
        </w:trPr>
        <w:tc>
          <w:tcPr>
            <w:tcW w:w="278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3"/>
                <w:szCs w:val="13"/>
                <w:color w:val="auto"/>
              </w:rPr>
              <w:t>Net income</w:t>
            </w:r>
          </w:p>
        </w:tc>
        <w:tc>
          <w:tcPr>
            <w:tcW w:w="8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CEEFF"/>
          </w:tcPr>
          <w:p>
            <w:pPr>
              <w:spacing w:after="0"/>
              <w:rPr>
                <w:sz w:val="17"/>
                <w:szCs w:val="17"/>
                <w:color w:val="auto"/>
              </w:rPr>
            </w:pPr>
          </w:p>
        </w:tc>
        <w:tc>
          <w:tcPr>
            <w:tcW w:w="76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CEEFF"/>
          </w:tcPr>
          <w:p>
            <w:pPr>
              <w:spacing w:after="0"/>
              <w:rPr>
                <w:sz w:val="17"/>
                <w:szCs w:val="17"/>
                <w:color w:val="auto"/>
              </w:rPr>
            </w:pPr>
          </w:p>
        </w:tc>
        <w:tc>
          <w:tcPr>
            <w:tcW w:w="90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860" w:type="dxa"/>
            <w:vAlign w:val="bottom"/>
            <w:gridSpan w:val="2"/>
            <w:shd w:val="clear" w:color="auto" w:fill="CCEEFF"/>
          </w:tcPr>
          <w:p>
            <w:pPr>
              <w:ind w:left="560"/>
              <w:spacing w:after="0"/>
              <w:rPr>
                <w:sz w:val="20"/>
                <w:szCs w:val="20"/>
                <w:color w:val="auto"/>
              </w:rPr>
            </w:pPr>
            <w:r>
              <w:rPr>
                <w:rFonts w:ascii="Times New Roman" w:cs="Times New Roman" w:eastAsia="Times New Roman" w:hAnsi="Times New Roman"/>
                <w:sz w:val="13"/>
                <w:szCs w:val="13"/>
                <w:color w:val="auto"/>
              </w:rPr>
              <w:t>—</w:t>
            </w:r>
          </w:p>
        </w:tc>
        <w:tc>
          <w:tcPr>
            <w:tcW w:w="160" w:type="dxa"/>
            <w:vAlign w:val="bottom"/>
            <w:shd w:val="clear" w:color="auto" w:fill="CCEEFF"/>
          </w:tcPr>
          <w:p>
            <w:pPr>
              <w:spacing w:after="0"/>
              <w:rPr>
                <w:sz w:val="17"/>
                <w:szCs w:val="17"/>
                <w:color w:val="auto"/>
              </w:rPr>
            </w:pPr>
          </w:p>
        </w:tc>
        <w:tc>
          <w:tcPr>
            <w:tcW w:w="840" w:type="dxa"/>
            <w:vAlign w:val="bottom"/>
            <w:gridSpan w:val="2"/>
            <w:shd w:val="clear" w:color="auto" w:fill="CCEEFF"/>
          </w:tcPr>
          <w:p>
            <w:pPr>
              <w:ind w:left="520"/>
              <w:spacing w:after="0"/>
              <w:rPr>
                <w:sz w:val="20"/>
                <w:szCs w:val="20"/>
                <w:color w:val="auto"/>
              </w:rPr>
            </w:pPr>
            <w:r>
              <w:rPr>
                <w:rFonts w:ascii="Times New Roman" w:cs="Times New Roman" w:eastAsia="Times New Roman" w:hAnsi="Times New Roman"/>
                <w:sz w:val="13"/>
                <w:szCs w:val="13"/>
                <w:color w:val="auto"/>
              </w:rPr>
              <w:t>—</w:t>
            </w:r>
          </w:p>
        </w:tc>
        <w:tc>
          <w:tcPr>
            <w:tcW w:w="180" w:type="dxa"/>
            <w:vAlign w:val="bottom"/>
            <w:shd w:val="clear" w:color="auto" w:fill="CCEEFF"/>
          </w:tcPr>
          <w:p>
            <w:pPr>
              <w:spacing w:after="0"/>
              <w:rPr>
                <w:sz w:val="17"/>
                <w:szCs w:val="17"/>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163,642</w:t>
            </w: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2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CCEEFF"/>
          </w:tcPr>
          <w:p>
            <w:pPr>
              <w:spacing w:after="0"/>
              <w:rPr>
                <w:sz w:val="17"/>
                <w:szCs w:val="17"/>
                <w:color w:val="auto"/>
              </w:rPr>
            </w:pPr>
          </w:p>
        </w:tc>
        <w:tc>
          <w:tcPr>
            <w:tcW w:w="10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163,642</w:t>
            </w:r>
          </w:p>
        </w:tc>
        <w:tc>
          <w:tcPr>
            <w:tcW w:w="0" w:type="dxa"/>
            <w:vAlign w:val="bottom"/>
          </w:tcPr>
          <w:p>
            <w:pPr>
              <w:spacing w:after="0"/>
              <w:rPr>
                <w:sz w:val="1"/>
                <w:szCs w:val="1"/>
                <w:color w:val="auto"/>
              </w:rPr>
            </w:pPr>
          </w:p>
        </w:tc>
      </w:tr>
      <w:tr>
        <w:trPr>
          <w:trHeight w:val="122"/>
        </w:trPr>
        <w:tc>
          <w:tcPr>
            <w:tcW w:w="2780" w:type="dxa"/>
            <w:vAlign w:val="bottom"/>
            <w:gridSpan w:val="2"/>
          </w:tcPr>
          <w:p>
            <w:pPr>
              <w:ind w:left="20"/>
              <w:spacing w:after="0" w:line="122" w:lineRule="exact"/>
              <w:rPr>
                <w:sz w:val="20"/>
                <w:szCs w:val="20"/>
                <w:color w:val="auto"/>
              </w:rPr>
            </w:pPr>
            <w:r>
              <w:rPr>
                <w:rFonts w:ascii="Times New Roman" w:cs="Times New Roman" w:eastAsia="Times New Roman" w:hAnsi="Times New Roman"/>
                <w:sz w:val="13"/>
                <w:szCs w:val="13"/>
                <w:color w:val="auto"/>
              </w:rPr>
              <w:t>Change in cumulative foreign currency translation</w:t>
            </w:r>
          </w:p>
        </w:tc>
        <w:tc>
          <w:tcPr>
            <w:tcW w:w="88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0"/>
                <w:szCs w:val="10"/>
                <w:color w:val="auto"/>
              </w:rPr>
            </w:pPr>
          </w:p>
        </w:tc>
        <w:tc>
          <w:tcPr>
            <w:tcW w:w="76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0"/>
                <w:szCs w:val="10"/>
                <w:color w:val="auto"/>
              </w:rPr>
            </w:pPr>
          </w:p>
        </w:tc>
        <w:tc>
          <w:tcPr>
            <w:tcW w:w="90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860" w:type="dxa"/>
            <w:vAlign w:val="bottom"/>
            <w:gridSpan w:val="2"/>
            <w:vMerge w:val="restart"/>
          </w:tcPr>
          <w:p>
            <w:pPr>
              <w:ind w:left="560"/>
              <w:spacing w:after="0"/>
              <w:rPr>
                <w:sz w:val="20"/>
                <w:szCs w:val="20"/>
                <w:color w:val="auto"/>
              </w:rPr>
            </w:pPr>
            <w:r>
              <w:rPr>
                <w:rFonts w:ascii="Times New Roman" w:cs="Times New Roman" w:eastAsia="Times New Roman" w:hAnsi="Times New Roman"/>
                <w:sz w:val="13"/>
                <w:szCs w:val="13"/>
                <w:color w:val="auto"/>
              </w:rPr>
              <w:t>—</w:t>
            </w:r>
          </w:p>
        </w:tc>
        <w:tc>
          <w:tcPr>
            <w:tcW w:w="160" w:type="dxa"/>
            <w:vAlign w:val="bottom"/>
          </w:tcPr>
          <w:p>
            <w:pPr>
              <w:spacing w:after="0"/>
              <w:rPr>
                <w:sz w:val="10"/>
                <w:szCs w:val="10"/>
                <w:color w:val="auto"/>
              </w:rPr>
            </w:pPr>
          </w:p>
        </w:tc>
        <w:tc>
          <w:tcPr>
            <w:tcW w:w="840" w:type="dxa"/>
            <w:vAlign w:val="bottom"/>
            <w:gridSpan w:val="2"/>
            <w:vMerge w:val="restart"/>
          </w:tcPr>
          <w:p>
            <w:pPr>
              <w:ind w:left="520"/>
              <w:spacing w:after="0"/>
              <w:rPr>
                <w:sz w:val="20"/>
                <w:szCs w:val="20"/>
                <w:color w:val="auto"/>
              </w:rPr>
            </w:pPr>
            <w:r>
              <w:rPr>
                <w:rFonts w:ascii="Times New Roman" w:cs="Times New Roman" w:eastAsia="Times New Roman" w:hAnsi="Times New Roman"/>
                <w:sz w:val="13"/>
                <w:szCs w:val="13"/>
                <w:color w:val="auto"/>
              </w:rPr>
              <w:t>—</w:t>
            </w:r>
          </w:p>
        </w:tc>
        <w:tc>
          <w:tcPr>
            <w:tcW w:w="180" w:type="dxa"/>
            <w:vAlign w:val="bottom"/>
          </w:tcPr>
          <w:p>
            <w:pPr>
              <w:spacing w:after="0"/>
              <w:rPr>
                <w:sz w:val="10"/>
                <w:szCs w:val="10"/>
                <w:color w:val="auto"/>
              </w:rPr>
            </w:pPr>
          </w:p>
        </w:tc>
        <w:tc>
          <w:tcPr>
            <w:tcW w:w="102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0"/>
                <w:szCs w:val="10"/>
                <w:color w:val="auto"/>
              </w:rPr>
            </w:pPr>
          </w:p>
        </w:tc>
        <w:tc>
          <w:tcPr>
            <w:tcW w:w="110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18,172</w:t>
            </w:r>
          </w:p>
        </w:tc>
        <w:tc>
          <w:tcPr>
            <w:tcW w:w="1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2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18,172</w:t>
            </w:r>
          </w:p>
        </w:tc>
        <w:tc>
          <w:tcPr>
            <w:tcW w:w="0" w:type="dxa"/>
            <w:vAlign w:val="bottom"/>
          </w:tcPr>
          <w:p>
            <w:pPr>
              <w:spacing w:after="0"/>
              <w:rPr>
                <w:sz w:val="1"/>
                <w:szCs w:val="1"/>
                <w:color w:val="auto"/>
              </w:rPr>
            </w:pPr>
          </w:p>
        </w:tc>
      </w:tr>
      <w:tr>
        <w:trPr>
          <w:trHeight w:val="170"/>
        </w:trPr>
        <w:tc>
          <w:tcPr>
            <w:tcW w:w="2780" w:type="dxa"/>
            <w:vAlign w:val="bottom"/>
            <w:gridSpan w:val="2"/>
          </w:tcPr>
          <w:p>
            <w:pPr>
              <w:ind w:left="20"/>
              <w:spacing w:after="0"/>
              <w:rPr>
                <w:sz w:val="20"/>
                <w:szCs w:val="20"/>
                <w:color w:val="auto"/>
              </w:rPr>
            </w:pPr>
            <w:r>
              <w:rPr>
                <w:rFonts w:ascii="Times New Roman" w:cs="Times New Roman" w:eastAsia="Times New Roman" w:hAnsi="Times New Roman"/>
                <w:sz w:val="13"/>
                <w:szCs w:val="13"/>
                <w:color w:val="auto"/>
              </w:rPr>
              <w:t>adjustment</w:t>
            </w:r>
          </w:p>
        </w:tc>
        <w:tc>
          <w:tcPr>
            <w:tcW w:w="880" w:type="dxa"/>
            <w:vAlign w:val="bottom"/>
            <w:gridSpan w:val="2"/>
            <w:vMerge w:val="continue"/>
          </w:tcPr>
          <w:p>
            <w:pPr>
              <w:spacing w:after="0"/>
              <w:rPr>
                <w:sz w:val="14"/>
                <w:szCs w:val="14"/>
                <w:color w:val="auto"/>
              </w:rPr>
            </w:pPr>
          </w:p>
        </w:tc>
        <w:tc>
          <w:tcPr>
            <w:tcW w:w="120" w:type="dxa"/>
            <w:vAlign w:val="bottom"/>
          </w:tcPr>
          <w:p>
            <w:pPr>
              <w:spacing w:after="0"/>
              <w:rPr>
                <w:sz w:val="14"/>
                <w:szCs w:val="14"/>
                <w:color w:val="auto"/>
              </w:rPr>
            </w:pPr>
          </w:p>
        </w:tc>
        <w:tc>
          <w:tcPr>
            <w:tcW w:w="760" w:type="dxa"/>
            <w:vAlign w:val="bottom"/>
            <w:gridSpan w:val="2"/>
            <w:vMerge w:val="continue"/>
          </w:tcPr>
          <w:p>
            <w:pPr>
              <w:spacing w:after="0"/>
              <w:rPr>
                <w:sz w:val="14"/>
                <w:szCs w:val="14"/>
                <w:color w:val="auto"/>
              </w:rPr>
            </w:pPr>
          </w:p>
        </w:tc>
        <w:tc>
          <w:tcPr>
            <w:tcW w:w="120" w:type="dxa"/>
            <w:vAlign w:val="bottom"/>
          </w:tcPr>
          <w:p>
            <w:pPr>
              <w:spacing w:after="0"/>
              <w:rPr>
                <w:sz w:val="14"/>
                <w:szCs w:val="14"/>
                <w:color w:val="auto"/>
              </w:rPr>
            </w:pPr>
          </w:p>
        </w:tc>
        <w:tc>
          <w:tcPr>
            <w:tcW w:w="900" w:type="dxa"/>
            <w:vAlign w:val="bottom"/>
            <w:gridSpan w:val="2"/>
            <w:vMerge w:val="continue"/>
          </w:tcPr>
          <w:p>
            <w:pPr>
              <w:spacing w:after="0"/>
              <w:rPr>
                <w:sz w:val="14"/>
                <w:szCs w:val="14"/>
                <w:color w:val="auto"/>
              </w:rPr>
            </w:pPr>
          </w:p>
        </w:tc>
        <w:tc>
          <w:tcPr>
            <w:tcW w:w="860" w:type="dxa"/>
            <w:vAlign w:val="bottom"/>
            <w:gridSpan w:val="2"/>
            <w:vMerge w:val="continue"/>
          </w:tcPr>
          <w:p>
            <w:pPr>
              <w:spacing w:after="0"/>
              <w:rPr>
                <w:sz w:val="14"/>
                <w:szCs w:val="14"/>
                <w:color w:val="auto"/>
              </w:rPr>
            </w:pPr>
          </w:p>
        </w:tc>
        <w:tc>
          <w:tcPr>
            <w:tcW w:w="160" w:type="dxa"/>
            <w:vAlign w:val="bottom"/>
          </w:tcPr>
          <w:p>
            <w:pPr>
              <w:spacing w:after="0"/>
              <w:rPr>
                <w:sz w:val="14"/>
                <w:szCs w:val="14"/>
                <w:color w:val="auto"/>
              </w:rPr>
            </w:pPr>
          </w:p>
        </w:tc>
        <w:tc>
          <w:tcPr>
            <w:tcW w:w="840" w:type="dxa"/>
            <w:vAlign w:val="bottom"/>
            <w:gridSpan w:val="2"/>
            <w:vMerge w:val="continue"/>
          </w:tcPr>
          <w:p>
            <w:pPr>
              <w:spacing w:after="0"/>
              <w:rPr>
                <w:sz w:val="14"/>
                <w:szCs w:val="14"/>
                <w:color w:val="auto"/>
              </w:rPr>
            </w:pPr>
          </w:p>
        </w:tc>
        <w:tc>
          <w:tcPr>
            <w:tcW w:w="180" w:type="dxa"/>
            <w:vAlign w:val="bottom"/>
          </w:tcPr>
          <w:p>
            <w:pPr>
              <w:spacing w:after="0"/>
              <w:rPr>
                <w:sz w:val="14"/>
                <w:szCs w:val="14"/>
                <w:color w:val="auto"/>
              </w:rPr>
            </w:pPr>
          </w:p>
        </w:tc>
        <w:tc>
          <w:tcPr>
            <w:tcW w:w="1020" w:type="dxa"/>
            <w:vAlign w:val="bottom"/>
            <w:gridSpan w:val="2"/>
            <w:vMerge w:val="continue"/>
          </w:tcPr>
          <w:p>
            <w:pPr>
              <w:spacing w:after="0"/>
              <w:rPr>
                <w:sz w:val="14"/>
                <w:szCs w:val="14"/>
                <w:color w:val="auto"/>
              </w:rPr>
            </w:pPr>
          </w:p>
        </w:tc>
        <w:tc>
          <w:tcPr>
            <w:tcW w:w="140" w:type="dxa"/>
            <w:vAlign w:val="bottom"/>
          </w:tcPr>
          <w:p>
            <w:pPr>
              <w:spacing w:after="0"/>
              <w:rPr>
                <w:sz w:val="14"/>
                <w:szCs w:val="14"/>
                <w:color w:val="auto"/>
              </w:rPr>
            </w:pPr>
          </w:p>
        </w:tc>
        <w:tc>
          <w:tcPr>
            <w:tcW w:w="1100" w:type="dxa"/>
            <w:vAlign w:val="bottom"/>
            <w:vMerge w:val="continue"/>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2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95"/>
        </w:trPr>
        <w:tc>
          <w:tcPr>
            <w:tcW w:w="278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3"/>
                <w:szCs w:val="13"/>
                <w:color w:val="auto"/>
              </w:rPr>
              <w:t>Change in gains on cash flow hedge, net</w:t>
            </w:r>
          </w:p>
        </w:tc>
        <w:tc>
          <w:tcPr>
            <w:tcW w:w="8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CEEFF"/>
          </w:tcPr>
          <w:p>
            <w:pPr>
              <w:spacing w:after="0"/>
              <w:rPr>
                <w:sz w:val="16"/>
                <w:szCs w:val="16"/>
                <w:color w:val="auto"/>
              </w:rPr>
            </w:pPr>
          </w:p>
        </w:tc>
        <w:tc>
          <w:tcPr>
            <w:tcW w:w="76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CEEFF"/>
          </w:tcPr>
          <w:p>
            <w:pPr>
              <w:spacing w:after="0"/>
              <w:rPr>
                <w:sz w:val="16"/>
                <w:szCs w:val="16"/>
                <w:color w:val="auto"/>
              </w:rPr>
            </w:pPr>
          </w:p>
        </w:tc>
        <w:tc>
          <w:tcPr>
            <w:tcW w:w="90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860" w:type="dxa"/>
            <w:vAlign w:val="bottom"/>
            <w:gridSpan w:val="2"/>
            <w:shd w:val="clear" w:color="auto" w:fill="CCEEFF"/>
          </w:tcPr>
          <w:p>
            <w:pPr>
              <w:ind w:left="560"/>
              <w:spacing w:after="0"/>
              <w:rPr>
                <w:sz w:val="20"/>
                <w:szCs w:val="20"/>
                <w:color w:val="auto"/>
              </w:rPr>
            </w:pPr>
            <w:r>
              <w:rPr>
                <w:rFonts w:ascii="Times New Roman" w:cs="Times New Roman" w:eastAsia="Times New Roman" w:hAnsi="Times New Roman"/>
                <w:sz w:val="13"/>
                <w:szCs w:val="13"/>
                <w:color w:val="auto"/>
              </w:rPr>
              <w:t>—</w:t>
            </w:r>
          </w:p>
        </w:tc>
        <w:tc>
          <w:tcPr>
            <w:tcW w:w="160" w:type="dxa"/>
            <w:vAlign w:val="bottom"/>
            <w:shd w:val="clear" w:color="auto" w:fill="CCEEFF"/>
          </w:tcPr>
          <w:p>
            <w:pPr>
              <w:spacing w:after="0"/>
              <w:rPr>
                <w:sz w:val="16"/>
                <w:szCs w:val="16"/>
                <w:color w:val="auto"/>
              </w:rPr>
            </w:pPr>
          </w:p>
        </w:tc>
        <w:tc>
          <w:tcPr>
            <w:tcW w:w="840" w:type="dxa"/>
            <w:vAlign w:val="bottom"/>
            <w:gridSpan w:val="2"/>
            <w:shd w:val="clear" w:color="auto" w:fill="CCEEFF"/>
          </w:tcPr>
          <w:p>
            <w:pPr>
              <w:ind w:left="520"/>
              <w:spacing w:after="0"/>
              <w:rPr>
                <w:sz w:val="20"/>
                <w:szCs w:val="20"/>
                <w:color w:val="auto"/>
              </w:rPr>
            </w:pPr>
            <w:r>
              <w:rPr>
                <w:rFonts w:ascii="Times New Roman" w:cs="Times New Roman" w:eastAsia="Times New Roman" w:hAnsi="Times New Roman"/>
                <w:sz w:val="13"/>
                <w:szCs w:val="13"/>
                <w:color w:val="auto"/>
              </w:rPr>
              <w:t>—</w:t>
            </w:r>
          </w:p>
        </w:tc>
        <w:tc>
          <w:tcPr>
            <w:tcW w:w="180" w:type="dxa"/>
            <w:vAlign w:val="bottom"/>
            <w:shd w:val="clear" w:color="auto" w:fill="CCEEFF"/>
          </w:tcPr>
          <w:p>
            <w:pPr>
              <w:spacing w:after="0"/>
              <w:rPr>
                <w:sz w:val="16"/>
                <w:szCs w:val="16"/>
                <w:color w:val="auto"/>
              </w:rPr>
            </w:pPr>
          </w:p>
        </w:tc>
        <w:tc>
          <w:tcPr>
            <w:tcW w:w="10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CCEEFF"/>
          </w:tcPr>
          <w:p>
            <w:pPr>
              <w:spacing w:after="0"/>
              <w:rPr>
                <w:sz w:val="16"/>
                <w:szCs w:val="16"/>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(1,930)</w:t>
            </w: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(1,930)</w:t>
            </w:r>
          </w:p>
        </w:tc>
        <w:tc>
          <w:tcPr>
            <w:tcW w:w="0" w:type="dxa"/>
            <w:vAlign w:val="bottom"/>
          </w:tcPr>
          <w:p>
            <w:pPr>
              <w:spacing w:after="0"/>
              <w:rPr>
                <w:sz w:val="1"/>
                <w:szCs w:val="1"/>
                <w:color w:val="auto"/>
              </w:rPr>
            </w:pPr>
          </w:p>
        </w:tc>
      </w:tr>
      <w:tr>
        <w:trPr>
          <w:trHeight w:val="121"/>
        </w:trPr>
        <w:tc>
          <w:tcPr>
            <w:tcW w:w="2780" w:type="dxa"/>
            <w:vAlign w:val="bottom"/>
            <w:gridSpan w:val="2"/>
          </w:tcPr>
          <w:p>
            <w:pPr>
              <w:ind w:left="20"/>
              <w:spacing w:after="0" w:line="122" w:lineRule="exact"/>
              <w:rPr>
                <w:sz w:val="20"/>
                <w:szCs w:val="20"/>
                <w:color w:val="auto"/>
              </w:rPr>
            </w:pPr>
            <w:r>
              <w:rPr>
                <w:rFonts w:ascii="Times New Roman" w:cs="Times New Roman" w:eastAsia="Times New Roman" w:hAnsi="Times New Roman"/>
                <w:sz w:val="13"/>
                <w:szCs w:val="13"/>
                <w:color w:val="auto"/>
              </w:rPr>
              <w:t>Net unrealized gain on available-for-sale securities,</w:t>
            </w:r>
          </w:p>
        </w:tc>
        <w:tc>
          <w:tcPr>
            <w:tcW w:w="88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0"/>
                <w:szCs w:val="10"/>
                <w:color w:val="auto"/>
              </w:rPr>
            </w:pPr>
          </w:p>
        </w:tc>
        <w:tc>
          <w:tcPr>
            <w:tcW w:w="76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0"/>
                <w:szCs w:val="10"/>
                <w:color w:val="auto"/>
              </w:rPr>
            </w:pPr>
          </w:p>
        </w:tc>
        <w:tc>
          <w:tcPr>
            <w:tcW w:w="90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860" w:type="dxa"/>
            <w:vAlign w:val="bottom"/>
            <w:gridSpan w:val="2"/>
            <w:vMerge w:val="restart"/>
          </w:tcPr>
          <w:p>
            <w:pPr>
              <w:ind w:left="560"/>
              <w:spacing w:after="0"/>
              <w:rPr>
                <w:sz w:val="20"/>
                <w:szCs w:val="20"/>
                <w:color w:val="auto"/>
              </w:rPr>
            </w:pPr>
            <w:r>
              <w:rPr>
                <w:rFonts w:ascii="Times New Roman" w:cs="Times New Roman" w:eastAsia="Times New Roman" w:hAnsi="Times New Roman"/>
                <w:sz w:val="13"/>
                <w:szCs w:val="13"/>
                <w:color w:val="auto"/>
              </w:rPr>
              <w:t>—</w:t>
            </w:r>
          </w:p>
        </w:tc>
        <w:tc>
          <w:tcPr>
            <w:tcW w:w="160" w:type="dxa"/>
            <w:vAlign w:val="bottom"/>
          </w:tcPr>
          <w:p>
            <w:pPr>
              <w:spacing w:after="0"/>
              <w:rPr>
                <w:sz w:val="10"/>
                <w:szCs w:val="10"/>
                <w:color w:val="auto"/>
              </w:rPr>
            </w:pPr>
          </w:p>
        </w:tc>
        <w:tc>
          <w:tcPr>
            <w:tcW w:w="840" w:type="dxa"/>
            <w:vAlign w:val="bottom"/>
            <w:gridSpan w:val="2"/>
            <w:vMerge w:val="restart"/>
          </w:tcPr>
          <w:p>
            <w:pPr>
              <w:ind w:left="520"/>
              <w:spacing w:after="0"/>
              <w:rPr>
                <w:sz w:val="20"/>
                <w:szCs w:val="20"/>
                <w:color w:val="auto"/>
              </w:rPr>
            </w:pPr>
            <w:r>
              <w:rPr>
                <w:rFonts w:ascii="Times New Roman" w:cs="Times New Roman" w:eastAsia="Times New Roman" w:hAnsi="Times New Roman"/>
                <w:sz w:val="13"/>
                <w:szCs w:val="13"/>
                <w:color w:val="auto"/>
              </w:rPr>
              <w:t>—</w:t>
            </w:r>
          </w:p>
        </w:tc>
        <w:tc>
          <w:tcPr>
            <w:tcW w:w="180" w:type="dxa"/>
            <w:vAlign w:val="bottom"/>
          </w:tcPr>
          <w:p>
            <w:pPr>
              <w:spacing w:after="0"/>
              <w:rPr>
                <w:sz w:val="10"/>
                <w:szCs w:val="10"/>
                <w:color w:val="auto"/>
              </w:rPr>
            </w:pPr>
          </w:p>
        </w:tc>
        <w:tc>
          <w:tcPr>
            <w:tcW w:w="102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0"/>
                <w:szCs w:val="10"/>
                <w:color w:val="auto"/>
              </w:rPr>
            </w:pPr>
          </w:p>
        </w:tc>
        <w:tc>
          <w:tcPr>
            <w:tcW w:w="110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(267)</w:t>
            </w:r>
          </w:p>
        </w:tc>
        <w:tc>
          <w:tcPr>
            <w:tcW w:w="1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2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(267)</w:t>
            </w:r>
          </w:p>
        </w:tc>
        <w:tc>
          <w:tcPr>
            <w:tcW w:w="0" w:type="dxa"/>
            <w:vAlign w:val="bottom"/>
          </w:tcPr>
          <w:p>
            <w:pPr>
              <w:spacing w:after="0"/>
              <w:rPr>
                <w:sz w:val="1"/>
                <w:szCs w:val="1"/>
                <w:color w:val="auto"/>
              </w:rPr>
            </w:pPr>
          </w:p>
        </w:tc>
      </w:tr>
      <w:tr>
        <w:trPr>
          <w:trHeight w:val="170"/>
        </w:trPr>
        <w:tc>
          <w:tcPr>
            <w:tcW w:w="2780" w:type="dxa"/>
            <w:vAlign w:val="bottom"/>
            <w:gridSpan w:val="2"/>
          </w:tcPr>
          <w:p>
            <w:pPr>
              <w:ind w:left="20"/>
              <w:spacing w:after="0"/>
              <w:rPr>
                <w:sz w:val="20"/>
                <w:szCs w:val="20"/>
                <w:color w:val="auto"/>
              </w:rPr>
            </w:pPr>
            <w:r>
              <w:rPr>
                <w:rFonts w:ascii="Times New Roman" w:cs="Times New Roman" w:eastAsia="Times New Roman" w:hAnsi="Times New Roman"/>
                <w:sz w:val="13"/>
                <w:szCs w:val="13"/>
                <w:color w:val="auto"/>
              </w:rPr>
              <w:t>net of taxes</w:t>
            </w:r>
          </w:p>
        </w:tc>
        <w:tc>
          <w:tcPr>
            <w:tcW w:w="880" w:type="dxa"/>
            <w:vAlign w:val="bottom"/>
            <w:gridSpan w:val="2"/>
            <w:vMerge w:val="continue"/>
          </w:tcPr>
          <w:p>
            <w:pPr>
              <w:spacing w:after="0"/>
              <w:rPr>
                <w:sz w:val="14"/>
                <w:szCs w:val="14"/>
                <w:color w:val="auto"/>
              </w:rPr>
            </w:pPr>
          </w:p>
        </w:tc>
        <w:tc>
          <w:tcPr>
            <w:tcW w:w="120" w:type="dxa"/>
            <w:vAlign w:val="bottom"/>
          </w:tcPr>
          <w:p>
            <w:pPr>
              <w:spacing w:after="0"/>
              <w:rPr>
                <w:sz w:val="14"/>
                <w:szCs w:val="14"/>
                <w:color w:val="auto"/>
              </w:rPr>
            </w:pPr>
          </w:p>
        </w:tc>
        <w:tc>
          <w:tcPr>
            <w:tcW w:w="760" w:type="dxa"/>
            <w:vAlign w:val="bottom"/>
            <w:gridSpan w:val="2"/>
            <w:vMerge w:val="continue"/>
          </w:tcPr>
          <w:p>
            <w:pPr>
              <w:spacing w:after="0"/>
              <w:rPr>
                <w:sz w:val="14"/>
                <w:szCs w:val="14"/>
                <w:color w:val="auto"/>
              </w:rPr>
            </w:pPr>
          </w:p>
        </w:tc>
        <w:tc>
          <w:tcPr>
            <w:tcW w:w="120" w:type="dxa"/>
            <w:vAlign w:val="bottom"/>
          </w:tcPr>
          <w:p>
            <w:pPr>
              <w:spacing w:after="0"/>
              <w:rPr>
                <w:sz w:val="14"/>
                <w:szCs w:val="14"/>
                <w:color w:val="auto"/>
              </w:rPr>
            </w:pPr>
          </w:p>
        </w:tc>
        <w:tc>
          <w:tcPr>
            <w:tcW w:w="900" w:type="dxa"/>
            <w:vAlign w:val="bottom"/>
            <w:gridSpan w:val="2"/>
            <w:vMerge w:val="continue"/>
          </w:tcPr>
          <w:p>
            <w:pPr>
              <w:spacing w:after="0"/>
              <w:rPr>
                <w:sz w:val="14"/>
                <w:szCs w:val="14"/>
                <w:color w:val="auto"/>
              </w:rPr>
            </w:pPr>
          </w:p>
        </w:tc>
        <w:tc>
          <w:tcPr>
            <w:tcW w:w="860" w:type="dxa"/>
            <w:vAlign w:val="bottom"/>
            <w:gridSpan w:val="2"/>
            <w:vMerge w:val="continue"/>
          </w:tcPr>
          <w:p>
            <w:pPr>
              <w:spacing w:after="0"/>
              <w:rPr>
                <w:sz w:val="14"/>
                <w:szCs w:val="14"/>
                <w:color w:val="auto"/>
              </w:rPr>
            </w:pPr>
          </w:p>
        </w:tc>
        <w:tc>
          <w:tcPr>
            <w:tcW w:w="160" w:type="dxa"/>
            <w:vAlign w:val="bottom"/>
          </w:tcPr>
          <w:p>
            <w:pPr>
              <w:spacing w:after="0"/>
              <w:rPr>
                <w:sz w:val="14"/>
                <w:szCs w:val="14"/>
                <w:color w:val="auto"/>
              </w:rPr>
            </w:pPr>
          </w:p>
        </w:tc>
        <w:tc>
          <w:tcPr>
            <w:tcW w:w="840" w:type="dxa"/>
            <w:vAlign w:val="bottom"/>
            <w:gridSpan w:val="2"/>
            <w:vMerge w:val="continue"/>
          </w:tcPr>
          <w:p>
            <w:pPr>
              <w:spacing w:after="0"/>
              <w:rPr>
                <w:sz w:val="14"/>
                <w:szCs w:val="14"/>
                <w:color w:val="auto"/>
              </w:rPr>
            </w:pPr>
          </w:p>
        </w:tc>
        <w:tc>
          <w:tcPr>
            <w:tcW w:w="180" w:type="dxa"/>
            <w:vAlign w:val="bottom"/>
          </w:tcPr>
          <w:p>
            <w:pPr>
              <w:spacing w:after="0"/>
              <w:rPr>
                <w:sz w:val="14"/>
                <w:szCs w:val="14"/>
                <w:color w:val="auto"/>
              </w:rPr>
            </w:pPr>
          </w:p>
        </w:tc>
        <w:tc>
          <w:tcPr>
            <w:tcW w:w="1020" w:type="dxa"/>
            <w:vAlign w:val="bottom"/>
            <w:gridSpan w:val="2"/>
            <w:vMerge w:val="continue"/>
          </w:tcPr>
          <w:p>
            <w:pPr>
              <w:spacing w:after="0"/>
              <w:rPr>
                <w:sz w:val="14"/>
                <w:szCs w:val="14"/>
                <w:color w:val="auto"/>
              </w:rPr>
            </w:pPr>
          </w:p>
        </w:tc>
        <w:tc>
          <w:tcPr>
            <w:tcW w:w="140" w:type="dxa"/>
            <w:vAlign w:val="bottom"/>
          </w:tcPr>
          <w:p>
            <w:pPr>
              <w:spacing w:after="0"/>
              <w:rPr>
                <w:sz w:val="14"/>
                <w:szCs w:val="14"/>
                <w:color w:val="auto"/>
              </w:rPr>
            </w:pPr>
          </w:p>
        </w:tc>
        <w:tc>
          <w:tcPr>
            <w:tcW w:w="1100" w:type="dxa"/>
            <w:vAlign w:val="bottom"/>
            <w:vMerge w:val="continue"/>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2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95"/>
        </w:trPr>
        <w:tc>
          <w:tcPr>
            <w:tcW w:w="278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3"/>
                <w:szCs w:val="13"/>
                <w:color w:val="auto"/>
              </w:rPr>
              <w:t>Stock-based compensation</w:t>
            </w:r>
          </w:p>
        </w:tc>
        <w:tc>
          <w:tcPr>
            <w:tcW w:w="8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CEEFF"/>
          </w:tcPr>
          <w:p>
            <w:pPr>
              <w:spacing w:after="0"/>
              <w:rPr>
                <w:sz w:val="16"/>
                <w:szCs w:val="16"/>
                <w:color w:val="auto"/>
              </w:rPr>
            </w:pPr>
          </w:p>
        </w:tc>
        <w:tc>
          <w:tcPr>
            <w:tcW w:w="76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CEEFF"/>
          </w:tcPr>
          <w:p>
            <w:pPr>
              <w:spacing w:after="0"/>
              <w:rPr>
                <w:sz w:val="16"/>
                <w:szCs w:val="16"/>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45,055</w:t>
            </w:r>
          </w:p>
        </w:tc>
        <w:tc>
          <w:tcPr>
            <w:tcW w:w="120" w:type="dxa"/>
            <w:vAlign w:val="bottom"/>
            <w:shd w:val="clear" w:color="auto" w:fill="CCEEFF"/>
          </w:tcPr>
          <w:p>
            <w:pPr>
              <w:spacing w:after="0"/>
              <w:rPr>
                <w:sz w:val="16"/>
                <w:szCs w:val="16"/>
                <w:color w:val="auto"/>
              </w:rPr>
            </w:pPr>
          </w:p>
        </w:tc>
        <w:tc>
          <w:tcPr>
            <w:tcW w:w="860" w:type="dxa"/>
            <w:vAlign w:val="bottom"/>
            <w:gridSpan w:val="2"/>
            <w:shd w:val="clear" w:color="auto" w:fill="CCEEFF"/>
          </w:tcPr>
          <w:p>
            <w:pPr>
              <w:ind w:left="560"/>
              <w:spacing w:after="0"/>
              <w:rPr>
                <w:sz w:val="20"/>
                <w:szCs w:val="20"/>
                <w:color w:val="auto"/>
              </w:rPr>
            </w:pPr>
            <w:r>
              <w:rPr>
                <w:rFonts w:ascii="Times New Roman" w:cs="Times New Roman" w:eastAsia="Times New Roman" w:hAnsi="Times New Roman"/>
                <w:sz w:val="13"/>
                <w:szCs w:val="13"/>
                <w:color w:val="auto"/>
              </w:rPr>
              <w:t>—</w:t>
            </w:r>
          </w:p>
        </w:tc>
        <w:tc>
          <w:tcPr>
            <w:tcW w:w="160" w:type="dxa"/>
            <w:vAlign w:val="bottom"/>
            <w:shd w:val="clear" w:color="auto" w:fill="CCEEFF"/>
          </w:tcPr>
          <w:p>
            <w:pPr>
              <w:spacing w:after="0"/>
              <w:rPr>
                <w:sz w:val="16"/>
                <w:szCs w:val="16"/>
                <w:color w:val="auto"/>
              </w:rPr>
            </w:pPr>
          </w:p>
        </w:tc>
        <w:tc>
          <w:tcPr>
            <w:tcW w:w="840" w:type="dxa"/>
            <w:vAlign w:val="bottom"/>
            <w:gridSpan w:val="2"/>
            <w:shd w:val="clear" w:color="auto" w:fill="CCEEFF"/>
          </w:tcPr>
          <w:p>
            <w:pPr>
              <w:ind w:left="520"/>
              <w:spacing w:after="0"/>
              <w:rPr>
                <w:sz w:val="20"/>
                <w:szCs w:val="20"/>
                <w:color w:val="auto"/>
              </w:rPr>
            </w:pPr>
            <w:r>
              <w:rPr>
                <w:rFonts w:ascii="Times New Roman" w:cs="Times New Roman" w:eastAsia="Times New Roman" w:hAnsi="Times New Roman"/>
                <w:sz w:val="13"/>
                <w:szCs w:val="13"/>
                <w:color w:val="auto"/>
              </w:rPr>
              <w:t>—</w:t>
            </w:r>
          </w:p>
        </w:tc>
        <w:tc>
          <w:tcPr>
            <w:tcW w:w="180" w:type="dxa"/>
            <w:vAlign w:val="bottom"/>
            <w:shd w:val="clear" w:color="auto" w:fill="CCEEFF"/>
          </w:tcPr>
          <w:p>
            <w:pPr>
              <w:spacing w:after="0"/>
              <w:rPr>
                <w:sz w:val="16"/>
                <w:szCs w:val="16"/>
                <w:color w:val="auto"/>
              </w:rPr>
            </w:pPr>
          </w:p>
        </w:tc>
        <w:tc>
          <w:tcPr>
            <w:tcW w:w="10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CCEEFF"/>
          </w:tcPr>
          <w:p>
            <w:pPr>
              <w:spacing w:after="0"/>
              <w:rPr>
                <w:sz w:val="16"/>
                <w:szCs w:val="16"/>
                <w:color w:val="auto"/>
              </w:rPr>
            </w:pPr>
          </w:p>
        </w:tc>
        <w:tc>
          <w:tcPr>
            <w:tcW w:w="12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CCEEFF"/>
          </w:tcPr>
          <w:p>
            <w:pPr>
              <w:spacing w:after="0"/>
              <w:rPr>
                <w:sz w:val="16"/>
                <w:szCs w:val="16"/>
                <w:color w:val="auto"/>
              </w:rPr>
            </w:pPr>
          </w:p>
        </w:tc>
        <w:tc>
          <w:tcPr>
            <w:tcW w:w="10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45,055</w:t>
            </w:r>
          </w:p>
        </w:tc>
        <w:tc>
          <w:tcPr>
            <w:tcW w:w="0" w:type="dxa"/>
            <w:vAlign w:val="bottom"/>
          </w:tcPr>
          <w:p>
            <w:pPr>
              <w:spacing w:after="0"/>
              <w:rPr>
                <w:sz w:val="1"/>
                <w:szCs w:val="1"/>
                <w:color w:val="auto"/>
              </w:rPr>
            </w:pPr>
          </w:p>
        </w:tc>
      </w:tr>
      <w:tr>
        <w:trPr>
          <w:trHeight w:val="122"/>
        </w:trPr>
        <w:tc>
          <w:tcPr>
            <w:tcW w:w="2780" w:type="dxa"/>
            <w:vAlign w:val="bottom"/>
            <w:gridSpan w:val="2"/>
          </w:tcPr>
          <w:p>
            <w:pPr>
              <w:ind w:left="20"/>
              <w:spacing w:after="0" w:line="122" w:lineRule="exact"/>
              <w:rPr>
                <w:sz w:val="20"/>
                <w:szCs w:val="20"/>
                <w:color w:val="auto"/>
              </w:rPr>
            </w:pPr>
            <w:r>
              <w:rPr>
                <w:rFonts w:ascii="Times New Roman" w:cs="Times New Roman" w:eastAsia="Times New Roman" w:hAnsi="Times New Roman"/>
                <w:sz w:val="13"/>
                <w:szCs w:val="13"/>
                <w:color w:val="auto"/>
              </w:rPr>
              <w:t>Issuance of restricted stock, net of forfeitures and</w:t>
            </w:r>
          </w:p>
        </w:tc>
        <w:tc>
          <w:tcPr>
            <w:tcW w:w="78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171</w:t>
            </w:r>
          </w:p>
        </w:tc>
        <w:tc>
          <w:tcPr>
            <w:tcW w:w="1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4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2</w:t>
            </w:r>
          </w:p>
        </w:tc>
        <w:tc>
          <w:tcPr>
            <w:tcW w:w="1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78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(2)</w:t>
            </w:r>
          </w:p>
        </w:tc>
        <w:tc>
          <w:tcPr>
            <w:tcW w:w="120" w:type="dxa"/>
            <w:vAlign w:val="bottom"/>
          </w:tcPr>
          <w:p>
            <w:pPr>
              <w:spacing w:after="0"/>
              <w:rPr>
                <w:sz w:val="10"/>
                <w:szCs w:val="10"/>
                <w:color w:val="auto"/>
              </w:rPr>
            </w:pPr>
          </w:p>
        </w:tc>
        <w:tc>
          <w:tcPr>
            <w:tcW w:w="860" w:type="dxa"/>
            <w:vAlign w:val="bottom"/>
            <w:gridSpan w:val="2"/>
            <w:vMerge w:val="restart"/>
          </w:tcPr>
          <w:p>
            <w:pPr>
              <w:ind w:left="560"/>
              <w:spacing w:after="0"/>
              <w:rPr>
                <w:sz w:val="20"/>
                <w:szCs w:val="20"/>
                <w:color w:val="auto"/>
              </w:rPr>
            </w:pPr>
            <w:r>
              <w:rPr>
                <w:rFonts w:ascii="Times New Roman" w:cs="Times New Roman" w:eastAsia="Times New Roman" w:hAnsi="Times New Roman"/>
                <w:sz w:val="13"/>
                <w:szCs w:val="13"/>
                <w:color w:val="auto"/>
              </w:rPr>
              <w:t>—</w:t>
            </w:r>
          </w:p>
        </w:tc>
        <w:tc>
          <w:tcPr>
            <w:tcW w:w="160" w:type="dxa"/>
            <w:vAlign w:val="bottom"/>
          </w:tcPr>
          <w:p>
            <w:pPr>
              <w:spacing w:after="0"/>
              <w:rPr>
                <w:sz w:val="10"/>
                <w:szCs w:val="10"/>
                <w:color w:val="auto"/>
              </w:rPr>
            </w:pPr>
          </w:p>
        </w:tc>
        <w:tc>
          <w:tcPr>
            <w:tcW w:w="840" w:type="dxa"/>
            <w:vAlign w:val="bottom"/>
            <w:gridSpan w:val="2"/>
            <w:vMerge w:val="restart"/>
          </w:tcPr>
          <w:p>
            <w:pPr>
              <w:ind w:left="520"/>
              <w:spacing w:after="0"/>
              <w:rPr>
                <w:sz w:val="20"/>
                <w:szCs w:val="20"/>
                <w:color w:val="auto"/>
              </w:rPr>
            </w:pPr>
            <w:r>
              <w:rPr>
                <w:rFonts w:ascii="Times New Roman" w:cs="Times New Roman" w:eastAsia="Times New Roman" w:hAnsi="Times New Roman"/>
                <w:sz w:val="13"/>
                <w:szCs w:val="13"/>
                <w:color w:val="auto"/>
              </w:rPr>
              <w:t>—</w:t>
            </w:r>
          </w:p>
        </w:tc>
        <w:tc>
          <w:tcPr>
            <w:tcW w:w="180" w:type="dxa"/>
            <w:vAlign w:val="bottom"/>
          </w:tcPr>
          <w:p>
            <w:pPr>
              <w:spacing w:after="0"/>
              <w:rPr>
                <w:sz w:val="10"/>
                <w:szCs w:val="10"/>
                <w:color w:val="auto"/>
              </w:rPr>
            </w:pPr>
          </w:p>
        </w:tc>
        <w:tc>
          <w:tcPr>
            <w:tcW w:w="102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0"/>
                <w:szCs w:val="10"/>
                <w:color w:val="auto"/>
              </w:rPr>
            </w:pPr>
          </w:p>
        </w:tc>
        <w:tc>
          <w:tcPr>
            <w:tcW w:w="120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0"/>
                <w:szCs w:val="10"/>
                <w:color w:val="auto"/>
              </w:rPr>
            </w:pPr>
          </w:p>
        </w:tc>
        <w:tc>
          <w:tcPr>
            <w:tcW w:w="102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0" w:type="dxa"/>
            <w:vAlign w:val="bottom"/>
          </w:tcPr>
          <w:p>
            <w:pPr>
              <w:spacing w:after="0"/>
              <w:rPr>
                <w:sz w:val="1"/>
                <w:szCs w:val="1"/>
                <w:color w:val="auto"/>
              </w:rPr>
            </w:pPr>
          </w:p>
        </w:tc>
      </w:tr>
      <w:tr>
        <w:trPr>
          <w:trHeight w:val="170"/>
        </w:trPr>
        <w:tc>
          <w:tcPr>
            <w:tcW w:w="2780" w:type="dxa"/>
            <w:vAlign w:val="bottom"/>
            <w:gridSpan w:val="2"/>
          </w:tcPr>
          <w:p>
            <w:pPr>
              <w:ind w:left="20"/>
              <w:spacing w:after="0"/>
              <w:rPr>
                <w:sz w:val="20"/>
                <w:szCs w:val="20"/>
                <w:color w:val="auto"/>
              </w:rPr>
            </w:pPr>
            <w:r>
              <w:rPr>
                <w:rFonts w:ascii="Times New Roman" w:cs="Times New Roman" w:eastAsia="Times New Roman" w:hAnsi="Times New Roman"/>
                <w:sz w:val="13"/>
                <w:szCs w:val="13"/>
                <w:color w:val="auto"/>
              </w:rPr>
              <w:t>cancellations</w:t>
            </w:r>
          </w:p>
        </w:tc>
        <w:tc>
          <w:tcPr>
            <w:tcW w:w="780" w:type="dxa"/>
            <w:vAlign w:val="bottom"/>
            <w:vMerge w:val="continue"/>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vMerge w:val="continue"/>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120" w:type="dxa"/>
            <w:vAlign w:val="bottom"/>
          </w:tcPr>
          <w:p>
            <w:pPr>
              <w:spacing w:after="0"/>
              <w:rPr>
                <w:sz w:val="14"/>
                <w:szCs w:val="14"/>
                <w:color w:val="auto"/>
              </w:rPr>
            </w:pPr>
          </w:p>
        </w:tc>
        <w:tc>
          <w:tcPr>
            <w:tcW w:w="860" w:type="dxa"/>
            <w:vAlign w:val="bottom"/>
            <w:gridSpan w:val="2"/>
            <w:vMerge w:val="continue"/>
          </w:tcPr>
          <w:p>
            <w:pPr>
              <w:spacing w:after="0"/>
              <w:rPr>
                <w:sz w:val="14"/>
                <w:szCs w:val="14"/>
                <w:color w:val="auto"/>
              </w:rPr>
            </w:pPr>
          </w:p>
        </w:tc>
        <w:tc>
          <w:tcPr>
            <w:tcW w:w="160" w:type="dxa"/>
            <w:vAlign w:val="bottom"/>
          </w:tcPr>
          <w:p>
            <w:pPr>
              <w:spacing w:after="0"/>
              <w:rPr>
                <w:sz w:val="14"/>
                <w:szCs w:val="14"/>
                <w:color w:val="auto"/>
              </w:rPr>
            </w:pPr>
          </w:p>
        </w:tc>
        <w:tc>
          <w:tcPr>
            <w:tcW w:w="840" w:type="dxa"/>
            <w:vAlign w:val="bottom"/>
            <w:gridSpan w:val="2"/>
            <w:vMerge w:val="continue"/>
          </w:tcPr>
          <w:p>
            <w:pPr>
              <w:spacing w:after="0"/>
              <w:rPr>
                <w:sz w:val="14"/>
                <w:szCs w:val="14"/>
                <w:color w:val="auto"/>
              </w:rPr>
            </w:pPr>
          </w:p>
        </w:tc>
        <w:tc>
          <w:tcPr>
            <w:tcW w:w="180" w:type="dxa"/>
            <w:vAlign w:val="bottom"/>
          </w:tcPr>
          <w:p>
            <w:pPr>
              <w:spacing w:after="0"/>
              <w:rPr>
                <w:sz w:val="14"/>
                <w:szCs w:val="14"/>
                <w:color w:val="auto"/>
              </w:rPr>
            </w:pPr>
          </w:p>
        </w:tc>
        <w:tc>
          <w:tcPr>
            <w:tcW w:w="1020" w:type="dxa"/>
            <w:vAlign w:val="bottom"/>
            <w:gridSpan w:val="2"/>
            <w:vMerge w:val="continue"/>
          </w:tcPr>
          <w:p>
            <w:pPr>
              <w:spacing w:after="0"/>
              <w:rPr>
                <w:sz w:val="14"/>
                <w:szCs w:val="14"/>
                <w:color w:val="auto"/>
              </w:rPr>
            </w:pPr>
          </w:p>
        </w:tc>
        <w:tc>
          <w:tcPr>
            <w:tcW w:w="140" w:type="dxa"/>
            <w:vAlign w:val="bottom"/>
          </w:tcPr>
          <w:p>
            <w:pPr>
              <w:spacing w:after="0"/>
              <w:rPr>
                <w:sz w:val="14"/>
                <w:szCs w:val="14"/>
                <w:color w:val="auto"/>
              </w:rPr>
            </w:pPr>
          </w:p>
        </w:tc>
        <w:tc>
          <w:tcPr>
            <w:tcW w:w="1200" w:type="dxa"/>
            <w:vAlign w:val="bottom"/>
            <w:gridSpan w:val="2"/>
            <w:vMerge w:val="continue"/>
          </w:tcPr>
          <w:p>
            <w:pPr>
              <w:spacing w:after="0"/>
              <w:rPr>
                <w:sz w:val="14"/>
                <w:szCs w:val="14"/>
                <w:color w:val="auto"/>
              </w:rPr>
            </w:pPr>
          </w:p>
        </w:tc>
        <w:tc>
          <w:tcPr>
            <w:tcW w:w="140" w:type="dxa"/>
            <w:vAlign w:val="bottom"/>
          </w:tcPr>
          <w:p>
            <w:pPr>
              <w:spacing w:after="0"/>
              <w:rPr>
                <w:sz w:val="14"/>
                <w:szCs w:val="14"/>
                <w:color w:val="auto"/>
              </w:rPr>
            </w:pPr>
          </w:p>
        </w:tc>
        <w:tc>
          <w:tcPr>
            <w:tcW w:w="102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95"/>
        </w:trPr>
        <w:tc>
          <w:tcPr>
            <w:tcW w:w="278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3"/>
                <w:szCs w:val="13"/>
                <w:color w:val="auto"/>
              </w:rPr>
              <w:t>Net share settlement of restricted stock awards</w:t>
            </w: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(80)</w:t>
            </w: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6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(1)</w:t>
            </w:r>
          </w:p>
        </w:tc>
        <w:tc>
          <w:tcPr>
            <w:tcW w:w="1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(9,781)</w:t>
            </w:r>
          </w:p>
        </w:tc>
        <w:tc>
          <w:tcPr>
            <w:tcW w:w="120" w:type="dxa"/>
            <w:vAlign w:val="bottom"/>
            <w:shd w:val="clear" w:color="auto" w:fill="CCEEFF"/>
          </w:tcPr>
          <w:p>
            <w:pPr>
              <w:spacing w:after="0"/>
              <w:rPr>
                <w:sz w:val="16"/>
                <w:szCs w:val="16"/>
                <w:color w:val="auto"/>
              </w:rPr>
            </w:pPr>
          </w:p>
        </w:tc>
        <w:tc>
          <w:tcPr>
            <w:tcW w:w="860" w:type="dxa"/>
            <w:vAlign w:val="bottom"/>
            <w:gridSpan w:val="2"/>
            <w:shd w:val="clear" w:color="auto" w:fill="CCEEFF"/>
          </w:tcPr>
          <w:p>
            <w:pPr>
              <w:ind w:left="560"/>
              <w:spacing w:after="0"/>
              <w:rPr>
                <w:sz w:val="20"/>
                <w:szCs w:val="20"/>
                <w:color w:val="auto"/>
              </w:rPr>
            </w:pPr>
            <w:r>
              <w:rPr>
                <w:rFonts w:ascii="Times New Roman" w:cs="Times New Roman" w:eastAsia="Times New Roman" w:hAnsi="Times New Roman"/>
                <w:sz w:val="13"/>
                <w:szCs w:val="13"/>
                <w:color w:val="auto"/>
              </w:rPr>
              <w:t>—</w:t>
            </w:r>
          </w:p>
        </w:tc>
        <w:tc>
          <w:tcPr>
            <w:tcW w:w="160" w:type="dxa"/>
            <w:vAlign w:val="bottom"/>
            <w:shd w:val="clear" w:color="auto" w:fill="CCEEFF"/>
          </w:tcPr>
          <w:p>
            <w:pPr>
              <w:spacing w:after="0"/>
              <w:rPr>
                <w:sz w:val="16"/>
                <w:szCs w:val="16"/>
                <w:color w:val="auto"/>
              </w:rPr>
            </w:pPr>
          </w:p>
        </w:tc>
        <w:tc>
          <w:tcPr>
            <w:tcW w:w="840" w:type="dxa"/>
            <w:vAlign w:val="bottom"/>
            <w:gridSpan w:val="2"/>
            <w:shd w:val="clear" w:color="auto" w:fill="CCEEFF"/>
          </w:tcPr>
          <w:p>
            <w:pPr>
              <w:ind w:left="520"/>
              <w:spacing w:after="0"/>
              <w:rPr>
                <w:sz w:val="20"/>
                <w:szCs w:val="20"/>
                <w:color w:val="auto"/>
              </w:rPr>
            </w:pPr>
            <w:r>
              <w:rPr>
                <w:rFonts w:ascii="Times New Roman" w:cs="Times New Roman" w:eastAsia="Times New Roman" w:hAnsi="Times New Roman"/>
                <w:sz w:val="13"/>
                <w:szCs w:val="13"/>
                <w:color w:val="auto"/>
              </w:rPr>
              <w:t>—</w:t>
            </w:r>
          </w:p>
        </w:tc>
        <w:tc>
          <w:tcPr>
            <w:tcW w:w="180" w:type="dxa"/>
            <w:vAlign w:val="bottom"/>
            <w:shd w:val="clear" w:color="auto" w:fill="CCEEFF"/>
          </w:tcPr>
          <w:p>
            <w:pPr>
              <w:spacing w:after="0"/>
              <w:rPr>
                <w:sz w:val="16"/>
                <w:szCs w:val="16"/>
                <w:color w:val="auto"/>
              </w:rPr>
            </w:pPr>
          </w:p>
        </w:tc>
        <w:tc>
          <w:tcPr>
            <w:tcW w:w="102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CCEEFF"/>
          </w:tcPr>
          <w:p>
            <w:pPr>
              <w:spacing w:after="0"/>
              <w:rPr>
                <w:sz w:val="16"/>
                <w:szCs w:val="16"/>
                <w:color w:val="auto"/>
              </w:rPr>
            </w:pPr>
          </w:p>
        </w:tc>
        <w:tc>
          <w:tcPr>
            <w:tcW w:w="12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CCEEFF"/>
          </w:tcPr>
          <w:p>
            <w:pPr>
              <w:spacing w:after="0"/>
              <w:rPr>
                <w:sz w:val="16"/>
                <w:szCs w:val="16"/>
                <w:color w:val="auto"/>
              </w:rPr>
            </w:pPr>
          </w:p>
        </w:tc>
        <w:tc>
          <w:tcPr>
            <w:tcW w:w="10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(9,782)</w:t>
            </w:r>
          </w:p>
        </w:tc>
        <w:tc>
          <w:tcPr>
            <w:tcW w:w="0" w:type="dxa"/>
            <w:vAlign w:val="bottom"/>
          </w:tcPr>
          <w:p>
            <w:pPr>
              <w:spacing w:after="0"/>
              <w:rPr>
                <w:sz w:val="1"/>
                <w:szCs w:val="1"/>
                <w:color w:val="auto"/>
              </w:rPr>
            </w:pPr>
          </w:p>
        </w:tc>
      </w:tr>
      <w:tr>
        <w:trPr>
          <w:trHeight w:val="183"/>
        </w:trPr>
        <w:tc>
          <w:tcPr>
            <w:tcW w:w="268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3"/>
                <w:szCs w:val="13"/>
                <w:color w:val="auto"/>
              </w:rPr>
              <w:t>Employee share purchase plan settlement</w:t>
            </w:r>
          </w:p>
        </w:tc>
        <w:tc>
          <w:tcPr>
            <w:tcW w:w="100" w:type="dxa"/>
            <w:vAlign w:val="bottom"/>
          </w:tcPr>
          <w:p>
            <w:pPr>
              <w:spacing w:after="0"/>
              <w:rPr>
                <w:sz w:val="15"/>
                <w:szCs w:val="15"/>
                <w:color w:val="auto"/>
              </w:rPr>
            </w:pP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64</w:t>
            </w:r>
          </w:p>
        </w:tc>
        <w:tc>
          <w:tcPr>
            <w:tcW w:w="100" w:type="dxa"/>
            <w:vAlign w:val="bottom"/>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6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1</w:t>
            </w:r>
          </w:p>
        </w:tc>
        <w:tc>
          <w:tcPr>
            <w:tcW w:w="120" w:type="dxa"/>
            <w:vAlign w:val="bottom"/>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5,381</w:t>
            </w:r>
          </w:p>
        </w:tc>
        <w:tc>
          <w:tcPr>
            <w:tcW w:w="120" w:type="dxa"/>
            <w:vAlign w:val="bottom"/>
          </w:tcPr>
          <w:p>
            <w:pPr>
              <w:spacing w:after="0"/>
              <w:rPr>
                <w:sz w:val="15"/>
                <w:szCs w:val="15"/>
                <w:color w:val="auto"/>
              </w:rPr>
            </w:pPr>
          </w:p>
        </w:tc>
        <w:tc>
          <w:tcPr>
            <w:tcW w:w="760" w:type="dxa"/>
            <w:vAlign w:val="bottom"/>
            <w:tcBorders>
              <w:bottom w:val="single" w:sz="8" w:color="auto"/>
            </w:tcBorders>
          </w:tcPr>
          <w:p>
            <w:pPr>
              <w:ind w:left="56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720" w:type="dxa"/>
            <w:vAlign w:val="bottom"/>
            <w:tcBorders>
              <w:bottom w:val="single" w:sz="8" w:color="auto"/>
            </w:tcBorders>
          </w:tcPr>
          <w:p>
            <w:pPr>
              <w:ind w:left="52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5,382</w:t>
            </w:r>
          </w:p>
        </w:tc>
        <w:tc>
          <w:tcPr>
            <w:tcW w:w="0" w:type="dxa"/>
            <w:vAlign w:val="bottom"/>
          </w:tcPr>
          <w:p>
            <w:pPr>
              <w:spacing w:after="0"/>
              <w:rPr>
                <w:sz w:val="1"/>
                <w:szCs w:val="1"/>
                <w:color w:val="auto"/>
              </w:rPr>
            </w:pPr>
          </w:p>
        </w:tc>
      </w:tr>
      <w:tr>
        <w:trPr>
          <w:trHeight w:val="183"/>
        </w:trPr>
        <w:tc>
          <w:tcPr>
            <w:tcW w:w="2780" w:type="dxa"/>
            <w:vAlign w:val="bottom"/>
            <w:gridSpan w:val="2"/>
          </w:tcPr>
          <w:p>
            <w:pPr>
              <w:ind w:left="20"/>
              <w:spacing w:after="0"/>
              <w:rPr>
                <w:sz w:val="20"/>
                <w:szCs w:val="20"/>
                <w:color w:val="auto"/>
              </w:rPr>
            </w:pPr>
            <w:r>
              <w:rPr>
                <w:rFonts w:ascii="Times New Roman" w:cs="Times New Roman" w:eastAsia="Times New Roman" w:hAnsi="Times New Roman"/>
                <w:sz w:val="13"/>
                <w:szCs w:val="13"/>
                <w:color w:val="auto"/>
              </w:rPr>
              <w:t>Balance, December 31, 2019</w:t>
            </w:r>
          </w:p>
        </w:tc>
        <w:tc>
          <w:tcPr>
            <w:tcW w:w="7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135,771</w:t>
            </w:r>
          </w:p>
        </w:tc>
        <w:tc>
          <w:tcPr>
            <w:tcW w:w="100" w:type="dxa"/>
            <w:vAlign w:val="bottom"/>
          </w:tcPr>
          <w:p>
            <w:pPr>
              <w:spacing w:after="0"/>
              <w:rPr>
                <w:sz w:val="15"/>
                <w:szCs w:val="15"/>
                <w:color w:val="auto"/>
              </w:rPr>
            </w:pPr>
          </w:p>
        </w:tc>
        <w:tc>
          <w:tcPr>
            <w:tcW w:w="120" w:type="dxa"/>
            <w:vAlign w:val="bottom"/>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64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1,358</w:t>
            </w:r>
          </w:p>
        </w:tc>
        <w:tc>
          <w:tcPr>
            <w:tcW w:w="120" w:type="dxa"/>
            <w:vAlign w:val="bottom"/>
          </w:tcPr>
          <w:p>
            <w:pPr>
              <w:spacing w:after="0"/>
              <w:rPr>
                <w:sz w:val="15"/>
                <w:szCs w:val="15"/>
                <w:color w:val="auto"/>
              </w:rPr>
            </w:pPr>
          </w:p>
        </w:tc>
        <w:tc>
          <w:tcPr>
            <w:tcW w:w="120" w:type="dxa"/>
            <w:vAlign w:val="bottom"/>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7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2,100,373</w:t>
            </w:r>
          </w:p>
        </w:tc>
        <w:tc>
          <w:tcPr>
            <w:tcW w:w="120" w:type="dxa"/>
            <w:vAlign w:val="bottom"/>
          </w:tcPr>
          <w:p>
            <w:pPr>
              <w:spacing w:after="0"/>
              <w:rPr>
                <w:sz w:val="15"/>
                <w:szCs w:val="15"/>
                <w:color w:val="auto"/>
              </w:rPr>
            </w:pPr>
          </w:p>
        </w:tc>
        <w:tc>
          <w:tcPr>
            <w:tcW w:w="760" w:type="dxa"/>
            <w:vAlign w:val="bottom"/>
          </w:tcPr>
          <w:p>
            <w:pPr>
              <w:ind w:left="280"/>
              <w:spacing w:after="0"/>
              <w:rPr>
                <w:sz w:val="20"/>
                <w:szCs w:val="20"/>
                <w:color w:val="auto"/>
              </w:rPr>
            </w:pPr>
            <w:r>
              <w:rPr>
                <w:rFonts w:ascii="Times New Roman" w:cs="Times New Roman" w:eastAsia="Times New Roman" w:hAnsi="Times New Roman"/>
                <w:sz w:val="13"/>
                <w:szCs w:val="13"/>
                <w:color w:val="auto"/>
              </w:rPr>
              <w:t>(22,421)</w:t>
            </w:r>
          </w:p>
        </w:tc>
        <w:tc>
          <w:tcPr>
            <w:tcW w:w="100" w:type="dxa"/>
            <w:vAlign w:val="bottom"/>
          </w:tcPr>
          <w:p>
            <w:pPr>
              <w:spacing w:after="0"/>
              <w:rPr>
                <w:sz w:val="15"/>
                <w:szCs w:val="15"/>
                <w:color w:val="auto"/>
              </w:rPr>
            </w:pPr>
          </w:p>
        </w:tc>
        <w:tc>
          <w:tcPr>
            <w:tcW w:w="1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720" w:type="dxa"/>
            <w:vAlign w:val="bottom"/>
          </w:tcPr>
          <w:p>
            <w:pPr>
              <w:ind w:left="160"/>
              <w:spacing w:after="0"/>
              <w:rPr>
                <w:sz w:val="20"/>
                <w:szCs w:val="20"/>
                <w:color w:val="auto"/>
              </w:rPr>
            </w:pPr>
            <w:r>
              <w:rPr>
                <w:rFonts w:ascii="Times New Roman" w:cs="Times New Roman" w:eastAsia="Times New Roman" w:hAnsi="Times New Roman"/>
                <w:sz w:val="13"/>
                <w:szCs w:val="13"/>
                <w:color w:val="auto"/>
              </w:rPr>
              <w:t>(820,572)</w:t>
            </w:r>
          </w:p>
        </w:tc>
        <w:tc>
          <w:tcPr>
            <w:tcW w:w="120" w:type="dxa"/>
            <w:vAlign w:val="bottom"/>
          </w:tcPr>
          <w:p>
            <w:pPr>
              <w:spacing w:after="0"/>
              <w:rPr>
                <w:sz w:val="15"/>
                <w:szCs w:val="15"/>
                <w:color w:val="auto"/>
              </w:rPr>
            </w:pPr>
          </w:p>
        </w:tc>
        <w:tc>
          <w:tcPr>
            <w:tcW w:w="180" w:type="dxa"/>
            <w:vAlign w:val="bottom"/>
          </w:tcPr>
          <w:p>
            <w:pPr>
              <w:jc w:val="right"/>
              <w:ind w:right="33"/>
              <w:spacing w:after="0"/>
              <w:rPr>
                <w:sz w:val="20"/>
                <w:szCs w:val="20"/>
                <w:color w:val="auto"/>
              </w:rPr>
            </w:pPr>
            <w:r>
              <w:rPr>
                <w:rFonts w:ascii="Times New Roman" w:cs="Times New Roman" w:eastAsia="Times New Roman" w:hAnsi="Times New Roman"/>
                <w:sz w:val="13"/>
                <w:szCs w:val="13"/>
                <w:color w:val="auto"/>
                <w:w w:val="91"/>
              </w:rPr>
              <w:t>$</w:t>
            </w:r>
          </w:p>
        </w:tc>
        <w:tc>
          <w:tcPr>
            <w:tcW w:w="92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1,159,363</w:t>
            </w:r>
          </w:p>
        </w:tc>
        <w:tc>
          <w:tcPr>
            <w:tcW w:w="100" w:type="dxa"/>
            <w:vAlign w:val="bottom"/>
          </w:tcPr>
          <w:p>
            <w:pPr>
              <w:spacing w:after="0"/>
              <w:rPr>
                <w:sz w:val="15"/>
                <w:szCs w:val="15"/>
                <w:color w:val="auto"/>
              </w:rPr>
            </w:pPr>
          </w:p>
        </w:tc>
        <w:tc>
          <w:tcPr>
            <w:tcW w:w="14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10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(38,487)</w:t>
            </w:r>
          </w:p>
        </w:tc>
        <w:tc>
          <w:tcPr>
            <w:tcW w:w="100" w:type="dxa"/>
            <w:vAlign w:val="bottom"/>
          </w:tcPr>
          <w:p>
            <w:pPr>
              <w:spacing w:after="0"/>
              <w:rPr>
                <w:sz w:val="15"/>
                <w:szCs w:val="15"/>
                <w:color w:val="auto"/>
              </w:rPr>
            </w:pPr>
          </w:p>
        </w:tc>
        <w:tc>
          <w:tcPr>
            <w:tcW w:w="14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2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2,402,035</w:t>
            </w:r>
          </w:p>
        </w:tc>
        <w:tc>
          <w:tcPr>
            <w:tcW w:w="0" w:type="dxa"/>
            <w:vAlign w:val="bottom"/>
          </w:tcPr>
          <w:p>
            <w:pPr>
              <w:spacing w:after="0"/>
              <w:rPr>
                <w:sz w:val="1"/>
                <w:szCs w:val="1"/>
                <w:color w:val="auto"/>
              </w:rPr>
            </w:pPr>
          </w:p>
        </w:tc>
      </w:tr>
      <w:tr>
        <w:trPr>
          <w:trHeight w:val="27"/>
        </w:trPr>
        <w:tc>
          <w:tcPr>
            <w:tcW w:w="2680" w:type="dxa"/>
            <w:vAlign w:val="bottom"/>
            <w:tcBorders>
              <w:top w:val="single" w:sz="8" w:color="auto"/>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780" w:type="dxa"/>
            <w:vAlign w:val="bottom"/>
            <w:tcBorders>
              <w:top w:val="single" w:sz="8" w:color="auto"/>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Borders>
              <w:top w:val="single" w:sz="8" w:color="auto"/>
              <w:bottom w:val="single" w:sz="8" w:color="auto"/>
            </w:tcBorders>
          </w:tcPr>
          <w:p>
            <w:pPr>
              <w:spacing w:after="0"/>
              <w:rPr>
                <w:sz w:val="2"/>
                <w:szCs w:val="2"/>
                <w:color w:val="auto"/>
              </w:rPr>
            </w:pPr>
          </w:p>
        </w:tc>
        <w:tc>
          <w:tcPr>
            <w:tcW w:w="640" w:type="dxa"/>
            <w:vAlign w:val="bottom"/>
            <w:tcBorders>
              <w:top w:val="single" w:sz="8" w:color="auto"/>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Borders>
              <w:top w:val="single" w:sz="8" w:color="auto"/>
              <w:bottom w:val="single" w:sz="8" w:color="auto"/>
            </w:tcBorders>
          </w:tcPr>
          <w:p>
            <w:pPr>
              <w:spacing w:after="0"/>
              <w:rPr>
                <w:sz w:val="2"/>
                <w:szCs w:val="2"/>
                <w:color w:val="auto"/>
              </w:rPr>
            </w:pPr>
          </w:p>
        </w:tc>
        <w:tc>
          <w:tcPr>
            <w:tcW w:w="780" w:type="dxa"/>
            <w:vAlign w:val="bottom"/>
            <w:tcBorders>
              <w:top w:val="single" w:sz="8" w:color="auto"/>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760" w:type="dxa"/>
            <w:vAlign w:val="bottom"/>
            <w:tcBorders>
              <w:top w:val="single" w:sz="8" w:color="auto"/>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Borders>
              <w:top w:val="single" w:sz="8" w:color="auto"/>
              <w:bottom w:val="single" w:sz="8" w:color="auto"/>
            </w:tcBorders>
          </w:tcPr>
          <w:p>
            <w:pPr>
              <w:spacing w:after="0"/>
              <w:rPr>
                <w:sz w:val="2"/>
                <w:szCs w:val="2"/>
                <w:color w:val="auto"/>
              </w:rPr>
            </w:pPr>
          </w:p>
        </w:tc>
        <w:tc>
          <w:tcPr>
            <w:tcW w:w="720" w:type="dxa"/>
            <w:vAlign w:val="bottom"/>
            <w:tcBorders>
              <w:top w:val="single" w:sz="8" w:color="auto"/>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Borders>
              <w:top w:val="single" w:sz="8" w:color="auto"/>
              <w:bottom w:val="single" w:sz="8" w:color="auto"/>
            </w:tcBorders>
          </w:tcPr>
          <w:p>
            <w:pPr>
              <w:spacing w:after="0"/>
              <w:rPr>
                <w:sz w:val="2"/>
                <w:szCs w:val="2"/>
                <w:color w:val="auto"/>
              </w:rPr>
            </w:pPr>
          </w:p>
        </w:tc>
        <w:tc>
          <w:tcPr>
            <w:tcW w:w="920" w:type="dxa"/>
            <w:vAlign w:val="bottom"/>
            <w:tcBorders>
              <w:top w:val="single" w:sz="8" w:color="auto"/>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top w:val="single" w:sz="8" w:color="auto"/>
              <w:bottom w:val="single" w:sz="8" w:color="auto"/>
            </w:tcBorders>
          </w:tcPr>
          <w:p>
            <w:pPr>
              <w:spacing w:after="0"/>
              <w:rPr>
                <w:sz w:val="2"/>
                <w:szCs w:val="2"/>
                <w:color w:val="auto"/>
              </w:rPr>
            </w:pPr>
          </w:p>
        </w:tc>
        <w:tc>
          <w:tcPr>
            <w:tcW w:w="1100" w:type="dxa"/>
            <w:vAlign w:val="bottom"/>
            <w:tcBorders>
              <w:top w:val="single" w:sz="8" w:color="auto"/>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top w:val="single" w:sz="8" w:color="auto"/>
              <w:bottom w:val="single" w:sz="8" w:color="auto"/>
            </w:tcBorders>
          </w:tcPr>
          <w:p>
            <w:pPr>
              <w:spacing w:after="0"/>
              <w:rPr>
                <w:sz w:val="2"/>
                <w:szCs w:val="2"/>
                <w:color w:val="auto"/>
              </w:rPr>
            </w:pPr>
          </w:p>
        </w:tc>
        <w:tc>
          <w:tcPr>
            <w:tcW w:w="1020" w:type="dxa"/>
            <w:vAlign w:val="bottom"/>
            <w:tcBorders>
              <w:top w:val="single" w:sz="8" w:color="auto"/>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-32385</wp:posOffset>
            </wp:positionH>
            <wp:positionV relativeFrom="paragraph">
              <wp:posOffset>85725</wp:posOffset>
            </wp:positionV>
            <wp:extent cx="7132320" cy="171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20"/>
          </w:cols>
          <w:pgMar w:left="380" w:top="1170" w:right="399" w:bottom="1440" w:gutter="0" w:footer="0" w:header="0"/>
        </w:sectPr>
      </w:pPr>
    </w:p>
    <w:bookmarkStart w:id="7" w:name="page8"/>
    <w:bookmarkEnd w:id="7"/>
    <w:tbl>
      <w:tblPr>
        <w:tblLayout w:type="fixed"/>
        <w:tblInd w:w="0" w:type="dxa"/>
        <w:tblCellMar>
          <w:top w:w="0" w:type="dxa"/>
          <w:left w:w="0" w:type="dxa"/>
          <w:bottom w:w="0" w:type="dxa"/>
          <w:right w:w="0" w:type="dxa"/>
        </w:tblCellMar>
      </w:tblPr>
      <w:tr>
        <w:trPr>
          <w:trHeight w:val="186"/>
        </w:trPr>
        <w:tc>
          <w:tcPr>
            <w:tcW w:w="26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64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3060" w:type="dxa"/>
            <w:vAlign w:val="bottom"/>
            <w:tcBorders>
              <w:bottom w:val="single" w:sz="8" w:color="auto"/>
            </w:tcBorders>
            <w:gridSpan w:val="8"/>
          </w:tcPr>
          <w:p>
            <w:pPr>
              <w:ind w:left="260"/>
              <w:spacing w:after="0"/>
              <w:rPr>
                <w:sz w:val="20"/>
                <w:szCs w:val="20"/>
                <w:color w:val="auto"/>
              </w:rPr>
            </w:pPr>
            <w:r>
              <w:rPr>
                <w:rFonts w:ascii="Times New Roman" w:cs="Times New Roman" w:eastAsia="Times New Roman" w:hAnsi="Times New Roman"/>
                <w:sz w:val="13"/>
                <w:szCs w:val="13"/>
                <w:b w:val="1"/>
                <w:bCs w:val="1"/>
                <w:color w:val="auto"/>
              </w:rPr>
              <w:t>Nine Months Ended December 31, 2020</w:t>
            </w:r>
          </w:p>
        </w:tc>
        <w:tc>
          <w:tcPr>
            <w:tcW w:w="1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49"/>
        </w:trPr>
        <w:tc>
          <w:tcPr>
            <w:tcW w:w="26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760" w:type="dxa"/>
            <w:vAlign w:val="bottom"/>
            <w:gridSpan w:val="5"/>
          </w:tcPr>
          <w:p>
            <w:pPr>
              <w:ind w:left="380"/>
              <w:spacing w:after="0"/>
              <w:rPr>
                <w:sz w:val="20"/>
                <w:szCs w:val="20"/>
                <w:color w:val="auto"/>
              </w:rPr>
            </w:pPr>
            <w:r>
              <w:rPr>
                <w:rFonts w:ascii="Times New Roman" w:cs="Times New Roman" w:eastAsia="Times New Roman" w:hAnsi="Times New Roman"/>
                <w:sz w:val="13"/>
                <w:szCs w:val="13"/>
                <w:b w:val="1"/>
                <w:bCs w:val="1"/>
                <w:color w:val="auto"/>
              </w:rPr>
              <w:t>Common Stock</w:t>
            </w:r>
          </w:p>
        </w:tc>
        <w:tc>
          <w:tcPr>
            <w:tcW w:w="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60" w:type="dxa"/>
            <w:vAlign w:val="bottom"/>
            <w:gridSpan w:val="5"/>
          </w:tcPr>
          <w:p>
            <w:pPr>
              <w:ind w:left="420"/>
              <w:spacing w:after="0"/>
              <w:rPr>
                <w:sz w:val="20"/>
                <w:szCs w:val="20"/>
                <w:color w:val="auto"/>
              </w:rPr>
            </w:pPr>
            <w:r>
              <w:rPr>
                <w:rFonts w:ascii="Times New Roman" w:cs="Times New Roman" w:eastAsia="Times New Roman" w:hAnsi="Times New Roman"/>
                <w:sz w:val="13"/>
                <w:szCs w:val="13"/>
                <w:b w:val="1"/>
                <w:bCs w:val="1"/>
                <w:color w:val="auto"/>
              </w:rPr>
              <w:t>Treasury Stock</w:t>
            </w:r>
          </w:p>
        </w:tc>
        <w:tc>
          <w:tcPr>
            <w:tcW w:w="18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00" w:type="dxa"/>
            <w:vAlign w:val="bottom"/>
            <w:gridSpan w:val="2"/>
          </w:tcPr>
          <w:p>
            <w:pPr>
              <w:jc w:val="center"/>
              <w:ind w:right="240"/>
              <w:spacing w:after="0"/>
              <w:rPr>
                <w:sz w:val="20"/>
                <w:szCs w:val="20"/>
                <w:color w:val="auto"/>
              </w:rPr>
            </w:pPr>
            <w:r>
              <w:rPr>
                <w:rFonts w:ascii="Times New Roman" w:cs="Times New Roman" w:eastAsia="Times New Roman" w:hAnsi="Times New Roman"/>
                <w:sz w:val="13"/>
                <w:szCs w:val="13"/>
                <w:b w:val="1"/>
                <w:bCs w:val="1"/>
                <w:color w:val="auto"/>
              </w:rPr>
              <w:t>Accumulated</w:t>
            </w:r>
          </w:p>
        </w:tc>
        <w:tc>
          <w:tcPr>
            <w:tcW w:w="14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54"/>
        </w:trPr>
        <w:tc>
          <w:tcPr>
            <w:tcW w:w="2680" w:type="dxa"/>
            <w:vAlign w:val="bottom"/>
          </w:tcPr>
          <w:p>
            <w:pPr>
              <w:spacing w:after="0"/>
              <w:rPr>
                <w:sz w:val="4"/>
                <w:szCs w:val="4"/>
                <w:color w:val="auto"/>
              </w:rPr>
            </w:pPr>
          </w:p>
        </w:tc>
        <w:tc>
          <w:tcPr>
            <w:tcW w:w="100" w:type="dxa"/>
            <w:vAlign w:val="bottom"/>
          </w:tcPr>
          <w:p>
            <w:pPr>
              <w:spacing w:after="0"/>
              <w:rPr>
                <w:sz w:val="4"/>
                <w:szCs w:val="4"/>
                <w:color w:val="auto"/>
              </w:rPr>
            </w:pPr>
          </w:p>
        </w:tc>
        <w:tc>
          <w:tcPr>
            <w:tcW w:w="78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640" w:type="dxa"/>
            <w:vAlign w:val="bottom"/>
            <w:tcBorders>
              <w:bottom w:val="single" w:sz="8" w:color="auto"/>
            </w:tcBorders>
          </w:tcPr>
          <w:p>
            <w:pPr>
              <w:spacing w:after="0"/>
              <w:rPr>
                <w:sz w:val="4"/>
                <w:szCs w:val="4"/>
                <w:color w:val="auto"/>
              </w:rPr>
            </w:pPr>
          </w:p>
        </w:tc>
        <w:tc>
          <w:tcPr>
            <w:tcW w:w="120" w:type="dxa"/>
            <w:vAlign w:val="bottom"/>
          </w:tcPr>
          <w:p>
            <w:pPr>
              <w:spacing w:after="0"/>
              <w:rPr>
                <w:sz w:val="4"/>
                <w:szCs w:val="4"/>
                <w:color w:val="auto"/>
              </w:rPr>
            </w:pPr>
          </w:p>
        </w:tc>
        <w:tc>
          <w:tcPr>
            <w:tcW w:w="120" w:type="dxa"/>
            <w:vAlign w:val="bottom"/>
          </w:tcPr>
          <w:p>
            <w:pPr>
              <w:spacing w:after="0"/>
              <w:rPr>
                <w:sz w:val="4"/>
                <w:szCs w:val="4"/>
                <w:color w:val="auto"/>
              </w:rPr>
            </w:pPr>
          </w:p>
        </w:tc>
        <w:tc>
          <w:tcPr>
            <w:tcW w:w="900" w:type="dxa"/>
            <w:vAlign w:val="bottom"/>
            <w:gridSpan w:val="2"/>
            <w:vMerge w:val="restart"/>
          </w:tcPr>
          <w:p>
            <w:pPr>
              <w:jc w:val="center"/>
              <w:ind w:right="240"/>
              <w:spacing w:after="0" w:line="122" w:lineRule="exact"/>
              <w:rPr>
                <w:sz w:val="20"/>
                <w:szCs w:val="20"/>
                <w:color w:val="auto"/>
              </w:rPr>
            </w:pPr>
            <w:r>
              <w:rPr>
                <w:rFonts w:ascii="Times New Roman" w:cs="Times New Roman" w:eastAsia="Times New Roman" w:hAnsi="Times New Roman"/>
                <w:sz w:val="13"/>
                <w:szCs w:val="13"/>
                <w:b w:val="1"/>
                <w:bCs w:val="1"/>
                <w:color w:val="auto"/>
              </w:rPr>
              <w:t>Additional</w:t>
            </w:r>
          </w:p>
        </w:tc>
        <w:tc>
          <w:tcPr>
            <w:tcW w:w="76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120" w:type="dxa"/>
            <w:vAlign w:val="bottom"/>
          </w:tcPr>
          <w:p>
            <w:pPr>
              <w:spacing w:after="0"/>
              <w:rPr>
                <w:sz w:val="4"/>
                <w:szCs w:val="4"/>
                <w:color w:val="auto"/>
              </w:rPr>
            </w:pPr>
          </w:p>
        </w:tc>
        <w:tc>
          <w:tcPr>
            <w:tcW w:w="180" w:type="dxa"/>
            <w:vAlign w:val="bottom"/>
          </w:tcPr>
          <w:p>
            <w:pPr>
              <w:spacing w:after="0"/>
              <w:rPr>
                <w:sz w:val="4"/>
                <w:szCs w:val="4"/>
                <w:color w:val="auto"/>
              </w:rPr>
            </w:pPr>
          </w:p>
        </w:tc>
        <w:tc>
          <w:tcPr>
            <w:tcW w:w="1020" w:type="dxa"/>
            <w:vAlign w:val="bottom"/>
            <w:gridSpan w:val="2"/>
            <w:vMerge w:val="restart"/>
          </w:tcPr>
          <w:p>
            <w:pPr>
              <w:ind w:left="100"/>
              <w:spacing w:after="0"/>
              <w:rPr>
                <w:sz w:val="20"/>
                <w:szCs w:val="20"/>
                <w:color w:val="auto"/>
              </w:rPr>
            </w:pPr>
            <w:r>
              <w:rPr>
                <w:rFonts w:ascii="Times New Roman" w:cs="Times New Roman" w:eastAsia="Times New Roman" w:hAnsi="Times New Roman"/>
                <w:sz w:val="13"/>
                <w:szCs w:val="13"/>
                <w:b w:val="1"/>
                <w:bCs w:val="1"/>
                <w:color w:val="auto"/>
              </w:rPr>
              <w:t>Retained</w:t>
            </w:r>
          </w:p>
        </w:tc>
        <w:tc>
          <w:tcPr>
            <w:tcW w:w="140" w:type="dxa"/>
            <w:vAlign w:val="bottom"/>
          </w:tcPr>
          <w:p>
            <w:pPr>
              <w:spacing w:after="0"/>
              <w:rPr>
                <w:sz w:val="4"/>
                <w:szCs w:val="4"/>
                <w:color w:val="auto"/>
              </w:rPr>
            </w:pPr>
          </w:p>
        </w:tc>
        <w:tc>
          <w:tcPr>
            <w:tcW w:w="1200" w:type="dxa"/>
            <w:vAlign w:val="bottom"/>
            <w:gridSpan w:val="2"/>
            <w:vMerge w:val="restart"/>
          </w:tcPr>
          <w:p>
            <w:pPr>
              <w:jc w:val="center"/>
              <w:ind w:right="220"/>
              <w:spacing w:after="0" w:line="122" w:lineRule="exact"/>
              <w:rPr>
                <w:sz w:val="20"/>
                <w:szCs w:val="20"/>
                <w:color w:val="auto"/>
              </w:rPr>
            </w:pPr>
            <w:r>
              <w:rPr>
                <w:rFonts w:ascii="Times New Roman" w:cs="Times New Roman" w:eastAsia="Times New Roman" w:hAnsi="Times New Roman"/>
                <w:sz w:val="13"/>
                <w:szCs w:val="13"/>
                <w:b w:val="1"/>
                <w:bCs w:val="1"/>
                <w:color w:val="auto"/>
              </w:rPr>
              <w:t>Other</w:t>
            </w:r>
          </w:p>
        </w:tc>
        <w:tc>
          <w:tcPr>
            <w:tcW w:w="140" w:type="dxa"/>
            <w:vAlign w:val="bottom"/>
          </w:tcPr>
          <w:p>
            <w:pPr>
              <w:spacing w:after="0"/>
              <w:rPr>
                <w:sz w:val="4"/>
                <w:szCs w:val="4"/>
                <w:color w:val="auto"/>
              </w:rPr>
            </w:pPr>
          </w:p>
        </w:tc>
        <w:tc>
          <w:tcPr>
            <w:tcW w:w="1020" w:type="dxa"/>
            <w:vAlign w:val="bottom"/>
            <w:vMerge w:val="restart"/>
          </w:tcPr>
          <w:p>
            <w:pPr>
              <w:jc w:val="center"/>
              <w:ind w:right="53"/>
              <w:spacing w:after="0" w:line="122" w:lineRule="exact"/>
              <w:rPr>
                <w:sz w:val="20"/>
                <w:szCs w:val="20"/>
                <w:color w:val="auto"/>
              </w:rPr>
            </w:pPr>
            <w:r>
              <w:rPr>
                <w:rFonts w:ascii="Times New Roman" w:cs="Times New Roman" w:eastAsia="Times New Roman" w:hAnsi="Times New Roman"/>
                <w:sz w:val="13"/>
                <w:szCs w:val="13"/>
                <w:b w:val="1"/>
                <w:bCs w:val="1"/>
                <w:color w:val="auto"/>
              </w:rPr>
              <w:t>Total</w:t>
            </w:r>
          </w:p>
        </w:tc>
        <w:tc>
          <w:tcPr>
            <w:tcW w:w="0" w:type="dxa"/>
            <w:vAlign w:val="bottom"/>
          </w:tcPr>
          <w:p>
            <w:pPr>
              <w:spacing w:after="0"/>
              <w:rPr>
                <w:sz w:val="1"/>
                <w:szCs w:val="1"/>
                <w:color w:val="auto"/>
              </w:rPr>
            </w:pPr>
          </w:p>
        </w:tc>
      </w:tr>
      <w:tr>
        <w:trPr>
          <w:trHeight w:val="48"/>
        </w:trPr>
        <w:tc>
          <w:tcPr>
            <w:tcW w:w="2680" w:type="dxa"/>
            <w:vAlign w:val="bottom"/>
          </w:tcPr>
          <w:p>
            <w:pPr>
              <w:spacing w:after="0"/>
              <w:rPr>
                <w:sz w:val="4"/>
                <w:szCs w:val="4"/>
                <w:color w:val="auto"/>
              </w:rPr>
            </w:pPr>
          </w:p>
        </w:tc>
        <w:tc>
          <w:tcPr>
            <w:tcW w:w="100" w:type="dxa"/>
            <w:vAlign w:val="bottom"/>
          </w:tcPr>
          <w:p>
            <w:pPr>
              <w:spacing w:after="0"/>
              <w:rPr>
                <w:sz w:val="4"/>
                <w:szCs w:val="4"/>
                <w:color w:val="auto"/>
              </w:rPr>
            </w:pPr>
          </w:p>
        </w:tc>
        <w:tc>
          <w:tcPr>
            <w:tcW w:w="7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640" w:type="dxa"/>
            <w:vAlign w:val="bottom"/>
          </w:tcPr>
          <w:p>
            <w:pPr>
              <w:spacing w:after="0"/>
              <w:rPr>
                <w:sz w:val="4"/>
                <w:szCs w:val="4"/>
                <w:color w:val="auto"/>
              </w:rPr>
            </w:pPr>
          </w:p>
        </w:tc>
        <w:tc>
          <w:tcPr>
            <w:tcW w:w="120" w:type="dxa"/>
            <w:vAlign w:val="bottom"/>
          </w:tcPr>
          <w:p>
            <w:pPr>
              <w:spacing w:after="0"/>
              <w:rPr>
                <w:sz w:val="4"/>
                <w:szCs w:val="4"/>
                <w:color w:val="auto"/>
              </w:rPr>
            </w:pPr>
          </w:p>
        </w:tc>
        <w:tc>
          <w:tcPr>
            <w:tcW w:w="120" w:type="dxa"/>
            <w:vAlign w:val="bottom"/>
          </w:tcPr>
          <w:p>
            <w:pPr>
              <w:spacing w:after="0"/>
              <w:rPr>
                <w:sz w:val="4"/>
                <w:szCs w:val="4"/>
                <w:color w:val="auto"/>
              </w:rPr>
            </w:pPr>
          </w:p>
        </w:tc>
        <w:tc>
          <w:tcPr>
            <w:tcW w:w="900" w:type="dxa"/>
            <w:vAlign w:val="bottom"/>
            <w:gridSpan w:val="2"/>
            <w:vMerge w:val="continue"/>
          </w:tcPr>
          <w:p>
            <w:pPr>
              <w:spacing w:after="0"/>
              <w:rPr>
                <w:sz w:val="4"/>
                <w:szCs w:val="4"/>
                <w:color w:val="auto"/>
              </w:rPr>
            </w:pPr>
          </w:p>
        </w:tc>
        <w:tc>
          <w:tcPr>
            <w:tcW w:w="760" w:type="dxa"/>
            <w:vAlign w:val="bottom"/>
          </w:tcPr>
          <w:p>
            <w:pPr>
              <w:spacing w:after="0"/>
              <w:rPr>
                <w:sz w:val="4"/>
                <w:szCs w:val="4"/>
                <w:color w:val="auto"/>
              </w:rPr>
            </w:pPr>
          </w:p>
        </w:tc>
        <w:tc>
          <w:tcPr>
            <w:tcW w:w="100" w:type="dxa"/>
            <w:vAlign w:val="bottom"/>
          </w:tcPr>
          <w:p>
            <w:pPr>
              <w:spacing w:after="0"/>
              <w:rPr>
                <w:sz w:val="4"/>
                <w:szCs w:val="4"/>
                <w:color w:val="auto"/>
              </w:rPr>
            </w:pPr>
          </w:p>
        </w:tc>
        <w:tc>
          <w:tcPr>
            <w:tcW w:w="160" w:type="dxa"/>
            <w:vAlign w:val="bottom"/>
          </w:tcPr>
          <w:p>
            <w:pPr>
              <w:spacing w:after="0"/>
              <w:rPr>
                <w:sz w:val="4"/>
                <w:szCs w:val="4"/>
                <w:color w:val="auto"/>
              </w:rPr>
            </w:pPr>
          </w:p>
        </w:tc>
        <w:tc>
          <w:tcPr>
            <w:tcW w:w="720" w:type="dxa"/>
            <w:vAlign w:val="bottom"/>
          </w:tcPr>
          <w:p>
            <w:pPr>
              <w:spacing w:after="0"/>
              <w:rPr>
                <w:sz w:val="4"/>
                <w:szCs w:val="4"/>
                <w:color w:val="auto"/>
              </w:rPr>
            </w:pPr>
          </w:p>
        </w:tc>
        <w:tc>
          <w:tcPr>
            <w:tcW w:w="120" w:type="dxa"/>
            <w:vAlign w:val="bottom"/>
          </w:tcPr>
          <w:p>
            <w:pPr>
              <w:spacing w:after="0"/>
              <w:rPr>
                <w:sz w:val="4"/>
                <w:szCs w:val="4"/>
                <w:color w:val="auto"/>
              </w:rPr>
            </w:pPr>
          </w:p>
        </w:tc>
        <w:tc>
          <w:tcPr>
            <w:tcW w:w="180" w:type="dxa"/>
            <w:vAlign w:val="bottom"/>
          </w:tcPr>
          <w:p>
            <w:pPr>
              <w:spacing w:after="0"/>
              <w:rPr>
                <w:sz w:val="4"/>
                <w:szCs w:val="4"/>
                <w:color w:val="auto"/>
              </w:rPr>
            </w:pPr>
          </w:p>
        </w:tc>
        <w:tc>
          <w:tcPr>
            <w:tcW w:w="1020" w:type="dxa"/>
            <w:vAlign w:val="bottom"/>
            <w:gridSpan w:val="2"/>
            <w:vMerge w:val="continue"/>
          </w:tcPr>
          <w:p>
            <w:pPr>
              <w:spacing w:after="0"/>
              <w:rPr>
                <w:sz w:val="4"/>
                <w:szCs w:val="4"/>
                <w:color w:val="auto"/>
              </w:rPr>
            </w:pPr>
          </w:p>
        </w:tc>
        <w:tc>
          <w:tcPr>
            <w:tcW w:w="140" w:type="dxa"/>
            <w:vAlign w:val="bottom"/>
          </w:tcPr>
          <w:p>
            <w:pPr>
              <w:spacing w:after="0"/>
              <w:rPr>
                <w:sz w:val="4"/>
                <w:szCs w:val="4"/>
                <w:color w:val="auto"/>
              </w:rPr>
            </w:pPr>
          </w:p>
        </w:tc>
        <w:tc>
          <w:tcPr>
            <w:tcW w:w="1200" w:type="dxa"/>
            <w:vAlign w:val="bottom"/>
            <w:gridSpan w:val="2"/>
            <w:vMerge w:val="continue"/>
          </w:tcPr>
          <w:p>
            <w:pPr>
              <w:spacing w:after="0"/>
              <w:rPr>
                <w:sz w:val="4"/>
                <w:szCs w:val="4"/>
                <w:color w:val="auto"/>
              </w:rPr>
            </w:pPr>
          </w:p>
        </w:tc>
        <w:tc>
          <w:tcPr>
            <w:tcW w:w="140" w:type="dxa"/>
            <w:vAlign w:val="bottom"/>
          </w:tcPr>
          <w:p>
            <w:pPr>
              <w:spacing w:after="0"/>
              <w:rPr>
                <w:sz w:val="4"/>
                <w:szCs w:val="4"/>
                <w:color w:val="auto"/>
              </w:rPr>
            </w:pPr>
          </w:p>
        </w:tc>
        <w:tc>
          <w:tcPr>
            <w:tcW w:w="102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35"/>
        </w:trPr>
        <w:tc>
          <w:tcPr>
            <w:tcW w:w="26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80" w:type="dxa"/>
            <w:vAlign w:val="bottom"/>
            <w:gridSpan w:val="2"/>
            <w:vMerge w:val="restart"/>
          </w:tcPr>
          <w:p>
            <w:pPr>
              <w:ind w:left="200"/>
              <w:spacing w:after="0"/>
              <w:rPr>
                <w:sz w:val="20"/>
                <w:szCs w:val="20"/>
                <w:color w:val="auto"/>
              </w:rPr>
            </w:pPr>
            <w:r>
              <w:rPr>
                <w:rFonts w:ascii="Times New Roman" w:cs="Times New Roman" w:eastAsia="Times New Roman" w:hAnsi="Times New Roman"/>
                <w:sz w:val="13"/>
                <w:szCs w:val="13"/>
                <w:b w:val="1"/>
                <w:bCs w:val="1"/>
                <w:color w:val="auto"/>
              </w:rPr>
              <w:t>Shares</w:t>
            </w:r>
          </w:p>
        </w:tc>
        <w:tc>
          <w:tcPr>
            <w:tcW w:w="120" w:type="dxa"/>
            <w:vAlign w:val="bottom"/>
          </w:tcPr>
          <w:p>
            <w:pPr>
              <w:spacing w:after="0"/>
              <w:rPr>
                <w:sz w:val="11"/>
                <w:szCs w:val="11"/>
                <w:color w:val="auto"/>
              </w:rPr>
            </w:pPr>
          </w:p>
        </w:tc>
        <w:tc>
          <w:tcPr>
            <w:tcW w:w="760" w:type="dxa"/>
            <w:vAlign w:val="bottom"/>
            <w:gridSpan w:val="2"/>
            <w:vMerge w:val="restart"/>
          </w:tcPr>
          <w:p>
            <w:pPr>
              <w:ind w:left="20"/>
              <w:spacing w:after="0"/>
              <w:rPr>
                <w:sz w:val="20"/>
                <w:szCs w:val="20"/>
                <w:color w:val="auto"/>
              </w:rPr>
            </w:pPr>
            <w:r>
              <w:rPr>
                <w:rFonts w:ascii="Times New Roman" w:cs="Times New Roman" w:eastAsia="Times New Roman" w:hAnsi="Times New Roman"/>
                <w:sz w:val="13"/>
                <w:szCs w:val="13"/>
                <w:b w:val="1"/>
                <w:bCs w:val="1"/>
                <w:color w:val="auto"/>
              </w:rPr>
              <w:t>Amount</w:t>
            </w:r>
          </w:p>
        </w:tc>
        <w:tc>
          <w:tcPr>
            <w:tcW w:w="120" w:type="dxa"/>
            <w:vAlign w:val="bottom"/>
          </w:tcPr>
          <w:p>
            <w:pPr>
              <w:spacing w:after="0"/>
              <w:rPr>
                <w:sz w:val="11"/>
                <w:szCs w:val="11"/>
                <w:color w:val="auto"/>
              </w:rPr>
            </w:pPr>
          </w:p>
        </w:tc>
        <w:tc>
          <w:tcPr>
            <w:tcW w:w="900" w:type="dxa"/>
            <w:vAlign w:val="bottom"/>
            <w:gridSpan w:val="2"/>
          </w:tcPr>
          <w:p>
            <w:pPr>
              <w:jc w:val="center"/>
              <w:ind w:right="240"/>
              <w:spacing w:after="0" w:line="135" w:lineRule="exact"/>
              <w:rPr>
                <w:sz w:val="20"/>
                <w:szCs w:val="20"/>
                <w:color w:val="auto"/>
              </w:rPr>
            </w:pPr>
            <w:r>
              <w:rPr>
                <w:rFonts w:ascii="Times New Roman" w:cs="Times New Roman" w:eastAsia="Times New Roman" w:hAnsi="Times New Roman"/>
                <w:sz w:val="13"/>
                <w:szCs w:val="13"/>
                <w:b w:val="1"/>
                <w:bCs w:val="1"/>
                <w:color w:val="auto"/>
              </w:rPr>
              <w:t>Paid-in</w:t>
            </w:r>
          </w:p>
        </w:tc>
        <w:tc>
          <w:tcPr>
            <w:tcW w:w="860" w:type="dxa"/>
            <w:vAlign w:val="bottom"/>
            <w:gridSpan w:val="2"/>
            <w:vMerge w:val="restart"/>
          </w:tcPr>
          <w:p>
            <w:pPr>
              <w:ind w:left="180"/>
              <w:spacing w:after="0"/>
              <w:rPr>
                <w:sz w:val="20"/>
                <w:szCs w:val="20"/>
                <w:color w:val="auto"/>
              </w:rPr>
            </w:pPr>
            <w:r>
              <w:rPr>
                <w:rFonts w:ascii="Times New Roman" w:cs="Times New Roman" w:eastAsia="Times New Roman" w:hAnsi="Times New Roman"/>
                <w:sz w:val="13"/>
                <w:szCs w:val="13"/>
                <w:b w:val="1"/>
                <w:bCs w:val="1"/>
                <w:color w:val="auto"/>
              </w:rPr>
              <w:t>Shares</w:t>
            </w:r>
          </w:p>
        </w:tc>
        <w:tc>
          <w:tcPr>
            <w:tcW w:w="160" w:type="dxa"/>
            <w:vAlign w:val="bottom"/>
          </w:tcPr>
          <w:p>
            <w:pPr>
              <w:spacing w:after="0"/>
              <w:rPr>
                <w:sz w:val="11"/>
                <w:szCs w:val="11"/>
                <w:color w:val="auto"/>
              </w:rPr>
            </w:pPr>
          </w:p>
        </w:tc>
        <w:tc>
          <w:tcPr>
            <w:tcW w:w="840" w:type="dxa"/>
            <w:vAlign w:val="bottom"/>
            <w:gridSpan w:val="2"/>
            <w:vMerge w:val="restart"/>
          </w:tcPr>
          <w:p>
            <w:pPr>
              <w:ind w:left="60"/>
              <w:spacing w:after="0"/>
              <w:rPr>
                <w:sz w:val="20"/>
                <w:szCs w:val="20"/>
                <w:color w:val="auto"/>
              </w:rPr>
            </w:pPr>
            <w:r>
              <w:rPr>
                <w:rFonts w:ascii="Times New Roman" w:cs="Times New Roman" w:eastAsia="Times New Roman" w:hAnsi="Times New Roman"/>
                <w:sz w:val="13"/>
                <w:szCs w:val="13"/>
                <w:b w:val="1"/>
                <w:bCs w:val="1"/>
                <w:color w:val="auto"/>
              </w:rPr>
              <w:t>Amount</w:t>
            </w:r>
          </w:p>
        </w:tc>
        <w:tc>
          <w:tcPr>
            <w:tcW w:w="180" w:type="dxa"/>
            <w:vAlign w:val="bottom"/>
          </w:tcPr>
          <w:p>
            <w:pPr>
              <w:spacing w:after="0"/>
              <w:rPr>
                <w:sz w:val="11"/>
                <w:szCs w:val="11"/>
                <w:color w:val="auto"/>
              </w:rPr>
            </w:pPr>
          </w:p>
        </w:tc>
        <w:tc>
          <w:tcPr>
            <w:tcW w:w="1020" w:type="dxa"/>
            <w:vAlign w:val="bottom"/>
            <w:gridSpan w:val="2"/>
            <w:vMerge w:val="continue"/>
          </w:tcPr>
          <w:p>
            <w:pPr>
              <w:spacing w:after="0"/>
              <w:rPr>
                <w:sz w:val="11"/>
                <w:szCs w:val="11"/>
                <w:color w:val="auto"/>
              </w:rPr>
            </w:pPr>
          </w:p>
        </w:tc>
        <w:tc>
          <w:tcPr>
            <w:tcW w:w="140" w:type="dxa"/>
            <w:vAlign w:val="bottom"/>
          </w:tcPr>
          <w:p>
            <w:pPr>
              <w:spacing w:after="0"/>
              <w:rPr>
                <w:sz w:val="11"/>
                <w:szCs w:val="11"/>
                <w:color w:val="auto"/>
              </w:rPr>
            </w:pPr>
          </w:p>
        </w:tc>
        <w:tc>
          <w:tcPr>
            <w:tcW w:w="1200" w:type="dxa"/>
            <w:vAlign w:val="bottom"/>
            <w:gridSpan w:val="2"/>
          </w:tcPr>
          <w:p>
            <w:pPr>
              <w:jc w:val="center"/>
              <w:ind w:right="220"/>
              <w:spacing w:after="0" w:line="135" w:lineRule="exact"/>
              <w:rPr>
                <w:sz w:val="20"/>
                <w:szCs w:val="20"/>
                <w:color w:val="auto"/>
              </w:rPr>
            </w:pPr>
            <w:r>
              <w:rPr>
                <w:rFonts w:ascii="Times New Roman" w:cs="Times New Roman" w:eastAsia="Times New Roman" w:hAnsi="Times New Roman"/>
                <w:sz w:val="13"/>
                <w:szCs w:val="13"/>
                <w:b w:val="1"/>
                <w:bCs w:val="1"/>
                <w:color w:val="auto"/>
              </w:rPr>
              <w:t>Comprehensive</w:t>
            </w:r>
          </w:p>
        </w:tc>
        <w:tc>
          <w:tcPr>
            <w:tcW w:w="140" w:type="dxa"/>
            <w:vAlign w:val="bottom"/>
          </w:tcPr>
          <w:p>
            <w:pPr>
              <w:spacing w:after="0"/>
              <w:rPr>
                <w:sz w:val="11"/>
                <w:szCs w:val="11"/>
                <w:color w:val="auto"/>
              </w:rPr>
            </w:pPr>
          </w:p>
        </w:tc>
        <w:tc>
          <w:tcPr>
            <w:tcW w:w="1020" w:type="dxa"/>
            <w:vAlign w:val="bottom"/>
          </w:tcPr>
          <w:p>
            <w:pPr>
              <w:jc w:val="center"/>
              <w:ind w:right="53"/>
              <w:spacing w:after="0" w:line="135" w:lineRule="exact"/>
              <w:rPr>
                <w:sz w:val="20"/>
                <w:szCs w:val="20"/>
                <w:color w:val="auto"/>
              </w:rPr>
            </w:pPr>
            <w:r>
              <w:rPr>
                <w:rFonts w:ascii="Times New Roman" w:cs="Times New Roman" w:eastAsia="Times New Roman" w:hAnsi="Times New Roman"/>
                <w:sz w:val="13"/>
                <w:szCs w:val="13"/>
                <w:b w:val="1"/>
                <w:bCs w:val="1"/>
                <w:color w:val="auto"/>
              </w:rPr>
              <w:t>Stockholders'</w:t>
            </w:r>
          </w:p>
        </w:tc>
        <w:tc>
          <w:tcPr>
            <w:tcW w:w="0" w:type="dxa"/>
            <w:vAlign w:val="bottom"/>
          </w:tcPr>
          <w:p>
            <w:pPr>
              <w:spacing w:after="0"/>
              <w:rPr>
                <w:sz w:val="1"/>
                <w:szCs w:val="1"/>
                <w:color w:val="auto"/>
              </w:rPr>
            </w:pPr>
          </w:p>
        </w:tc>
      </w:tr>
      <w:tr>
        <w:trPr>
          <w:trHeight w:val="184"/>
        </w:trPr>
        <w:tc>
          <w:tcPr>
            <w:tcW w:w="26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8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76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900" w:type="dxa"/>
            <w:vAlign w:val="bottom"/>
            <w:gridSpan w:val="2"/>
          </w:tcPr>
          <w:p>
            <w:pPr>
              <w:jc w:val="center"/>
              <w:ind w:right="240"/>
              <w:spacing w:after="0"/>
              <w:rPr>
                <w:sz w:val="20"/>
                <w:szCs w:val="20"/>
                <w:color w:val="auto"/>
              </w:rPr>
            </w:pPr>
            <w:r>
              <w:rPr>
                <w:rFonts w:ascii="Times New Roman" w:cs="Times New Roman" w:eastAsia="Times New Roman" w:hAnsi="Times New Roman"/>
                <w:sz w:val="13"/>
                <w:szCs w:val="13"/>
                <w:b w:val="1"/>
                <w:bCs w:val="1"/>
                <w:color w:val="auto"/>
              </w:rPr>
              <w:t>Capital</w:t>
            </w:r>
          </w:p>
        </w:tc>
        <w:tc>
          <w:tcPr>
            <w:tcW w:w="860" w:type="dxa"/>
            <w:vAlign w:val="bottom"/>
            <w:gridSpan w:val="2"/>
            <w:vMerge w:val="continue"/>
          </w:tcPr>
          <w:p>
            <w:pPr>
              <w:spacing w:after="0"/>
              <w:rPr>
                <w:sz w:val="15"/>
                <w:szCs w:val="15"/>
                <w:color w:val="auto"/>
              </w:rPr>
            </w:pPr>
          </w:p>
        </w:tc>
        <w:tc>
          <w:tcPr>
            <w:tcW w:w="160" w:type="dxa"/>
            <w:vAlign w:val="bottom"/>
          </w:tcPr>
          <w:p>
            <w:pPr>
              <w:spacing w:after="0"/>
              <w:rPr>
                <w:sz w:val="15"/>
                <w:szCs w:val="15"/>
                <w:color w:val="auto"/>
              </w:rPr>
            </w:pPr>
          </w:p>
        </w:tc>
        <w:tc>
          <w:tcPr>
            <w:tcW w:w="840" w:type="dxa"/>
            <w:vAlign w:val="bottom"/>
            <w:gridSpan w:val="2"/>
            <w:vMerge w:val="continue"/>
          </w:tcPr>
          <w:p>
            <w:pPr>
              <w:spacing w:after="0"/>
              <w:rPr>
                <w:sz w:val="15"/>
                <w:szCs w:val="15"/>
                <w:color w:val="auto"/>
              </w:rPr>
            </w:pPr>
          </w:p>
        </w:tc>
        <w:tc>
          <w:tcPr>
            <w:tcW w:w="180" w:type="dxa"/>
            <w:vAlign w:val="bottom"/>
          </w:tcPr>
          <w:p>
            <w:pPr>
              <w:spacing w:after="0"/>
              <w:rPr>
                <w:sz w:val="15"/>
                <w:szCs w:val="15"/>
                <w:color w:val="auto"/>
              </w:rPr>
            </w:pPr>
          </w:p>
        </w:tc>
        <w:tc>
          <w:tcPr>
            <w:tcW w:w="1020" w:type="dxa"/>
            <w:vAlign w:val="bottom"/>
            <w:gridSpan w:val="2"/>
          </w:tcPr>
          <w:p>
            <w:pPr>
              <w:ind w:left="100"/>
              <w:spacing w:after="0"/>
              <w:rPr>
                <w:sz w:val="20"/>
                <w:szCs w:val="20"/>
                <w:color w:val="auto"/>
              </w:rPr>
            </w:pPr>
            <w:r>
              <w:rPr>
                <w:rFonts w:ascii="Times New Roman" w:cs="Times New Roman" w:eastAsia="Times New Roman" w:hAnsi="Times New Roman"/>
                <w:sz w:val="13"/>
                <w:szCs w:val="13"/>
                <w:b w:val="1"/>
                <w:bCs w:val="1"/>
                <w:color w:val="auto"/>
              </w:rPr>
              <w:t>Earnings</w:t>
            </w:r>
          </w:p>
        </w:tc>
        <w:tc>
          <w:tcPr>
            <w:tcW w:w="140" w:type="dxa"/>
            <w:vAlign w:val="bottom"/>
          </w:tcPr>
          <w:p>
            <w:pPr>
              <w:spacing w:after="0"/>
              <w:rPr>
                <w:sz w:val="15"/>
                <w:szCs w:val="15"/>
                <w:color w:val="auto"/>
              </w:rPr>
            </w:pPr>
          </w:p>
        </w:tc>
        <w:tc>
          <w:tcPr>
            <w:tcW w:w="1200" w:type="dxa"/>
            <w:vAlign w:val="bottom"/>
            <w:gridSpan w:val="2"/>
          </w:tcPr>
          <w:p>
            <w:pPr>
              <w:jc w:val="center"/>
              <w:ind w:right="240"/>
              <w:spacing w:after="0"/>
              <w:rPr>
                <w:sz w:val="20"/>
                <w:szCs w:val="20"/>
                <w:color w:val="auto"/>
              </w:rPr>
            </w:pPr>
            <w:r>
              <w:rPr>
                <w:rFonts w:ascii="Times New Roman" w:cs="Times New Roman" w:eastAsia="Times New Roman" w:hAnsi="Times New Roman"/>
                <w:sz w:val="13"/>
                <w:szCs w:val="13"/>
                <w:b w:val="1"/>
                <w:bCs w:val="1"/>
                <w:color w:val="auto"/>
              </w:rPr>
              <w:t>Income (Loss)</w:t>
            </w:r>
          </w:p>
        </w:tc>
        <w:tc>
          <w:tcPr>
            <w:tcW w:w="140" w:type="dxa"/>
            <w:vAlign w:val="bottom"/>
          </w:tcPr>
          <w:p>
            <w:pPr>
              <w:spacing w:after="0"/>
              <w:rPr>
                <w:sz w:val="15"/>
                <w:szCs w:val="15"/>
                <w:color w:val="auto"/>
              </w:rPr>
            </w:pPr>
          </w:p>
        </w:tc>
        <w:tc>
          <w:tcPr>
            <w:tcW w:w="1020" w:type="dxa"/>
            <w:vAlign w:val="bottom"/>
          </w:tcPr>
          <w:p>
            <w:pPr>
              <w:jc w:val="center"/>
              <w:ind w:right="53"/>
              <w:spacing w:after="0"/>
              <w:rPr>
                <w:sz w:val="20"/>
                <w:szCs w:val="20"/>
                <w:color w:val="auto"/>
              </w:rPr>
            </w:pPr>
            <w:r>
              <w:rPr>
                <w:rFonts w:ascii="Times New Roman" w:cs="Times New Roman" w:eastAsia="Times New Roman" w:hAnsi="Times New Roman"/>
                <w:sz w:val="13"/>
                <w:szCs w:val="13"/>
                <w:b w:val="1"/>
                <w:bCs w:val="1"/>
                <w:color w:val="auto"/>
              </w:rPr>
              <w:t>Equity</w:t>
            </w:r>
          </w:p>
        </w:tc>
        <w:tc>
          <w:tcPr>
            <w:tcW w:w="0" w:type="dxa"/>
            <w:vAlign w:val="bottom"/>
          </w:tcPr>
          <w:p>
            <w:pPr>
              <w:spacing w:after="0"/>
              <w:rPr>
                <w:sz w:val="1"/>
                <w:szCs w:val="1"/>
                <w:color w:val="auto"/>
              </w:rPr>
            </w:pPr>
          </w:p>
        </w:tc>
      </w:tr>
      <w:tr>
        <w:trPr>
          <w:trHeight w:val="181"/>
        </w:trPr>
        <w:tc>
          <w:tcPr>
            <w:tcW w:w="2780" w:type="dxa"/>
            <w:vAlign w:val="bottom"/>
            <w:gridSpan w:val="2"/>
          </w:tcPr>
          <w:p>
            <w:pPr>
              <w:ind w:left="20"/>
              <w:spacing w:after="0"/>
              <w:rPr>
                <w:sz w:val="20"/>
                <w:szCs w:val="20"/>
                <w:color w:val="auto"/>
              </w:rPr>
            </w:pPr>
            <w:r>
              <w:rPr>
                <w:rFonts w:ascii="Times New Roman" w:cs="Times New Roman" w:eastAsia="Times New Roman" w:hAnsi="Times New Roman"/>
                <w:sz w:val="13"/>
                <w:szCs w:val="13"/>
                <w:color w:val="auto"/>
              </w:rPr>
              <w:t>Balance, March 31, 2020</w:t>
            </w:r>
          </w:p>
        </w:tc>
        <w:tc>
          <w:tcPr>
            <w:tcW w:w="7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135,927</w:t>
            </w:r>
          </w:p>
        </w:tc>
        <w:tc>
          <w:tcPr>
            <w:tcW w:w="100" w:type="dxa"/>
            <w:vAlign w:val="bottom"/>
          </w:tcPr>
          <w:p>
            <w:pPr>
              <w:spacing w:after="0"/>
              <w:rPr>
                <w:sz w:val="15"/>
                <w:szCs w:val="15"/>
                <w:color w:val="auto"/>
              </w:rPr>
            </w:pPr>
          </w:p>
        </w:tc>
        <w:tc>
          <w:tcPr>
            <w:tcW w:w="1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6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1,359</w:t>
            </w:r>
          </w:p>
        </w:tc>
        <w:tc>
          <w:tcPr>
            <w:tcW w:w="120" w:type="dxa"/>
            <w:vAlign w:val="bottom"/>
          </w:tcPr>
          <w:p>
            <w:pPr>
              <w:spacing w:after="0"/>
              <w:rPr>
                <w:sz w:val="15"/>
                <w:szCs w:val="15"/>
                <w:color w:val="auto"/>
              </w:rPr>
            </w:pPr>
          </w:p>
        </w:tc>
        <w:tc>
          <w:tcPr>
            <w:tcW w:w="1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7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2,134,748</w:t>
            </w:r>
          </w:p>
        </w:tc>
        <w:tc>
          <w:tcPr>
            <w:tcW w:w="120" w:type="dxa"/>
            <w:vAlign w:val="bottom"/>
          </w:tcPr>
          <w:p>
            <w:pPr>
              <w:spacing w:after="0"/>
              <w:rPr>
                <w:sz w:val="15"/>
                <w:szCs w:val="15"/>
                <w:color w:val="auto"/>
              </w:rPr>
            </w:pPr>
          </w:p>
        </w:tc>
        <w:tc>
          <w:tcPr>
            <w:tcW w:w="760" w:type="dxa"/>
            <w:vAlign w:val="bottom"/>
            <w:tcBorders>
              <w:top w:val="single" w:sz="8" w:color="auto"/>
            </w:tcBorders>
          </w:tcPr>
          <w:p>
            <w:pPr>
              <w:ind w:left="280"/>
              <w:spacing w:after="0"/>
              <w:rPr>
                <w:sz w:val="20"/>
                <w:szCs w:val="20"/>
                <w:color w:val="auto"/>
              </w:rPr>
            </w:pPr>
            <w:r>
              <w:rPr>
                <w:rFonts w:ascii="Times New Roman" w:cs="Times New Roman" w:eastAsia="Times New Roman" w:hAnsi="Times New Roman"/>
                <w:sz w:val="13"/>
                <w:szCs w:val="13"/>
                <w:color w:val="auto"/>
              </w:rPr>
              <w:t>(22,421)</w:t>
            </w:r>
          </w:p>
        </w:tc>
        <w:tc>
          <w:tcPr>
            <w:tcW w:w="100" w:type="dxa"/>
            <w:vAlign w:val="bottom"/>
          </w:tcPr>
          <w:p>
            <w:pPr>
              <w:spacing w:after="0"/>
              <w:rPr>
                <w:sz w:val="15"/>
                <w:szCs w:val="15"/>
                <w:color w:val="auto"/>
              </w:rPr>
            </w:pPr>
          </w:p>
        </w:tc>
        <w:tc>
          <w:tcPr>
            <w:tcW w:w="1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720" w:type="dxa"/>
            <w:vAlign w:val="bottom"/>
            <w:tcBorders>
              <w:top w:val="single" w:sz="8" w:color="auto"/>
            </w:tcBorders>
          </w:tcPr>
          <w:p>
            <w:pPr>
              <w:ind w:left="160"/>
              <w:spacing w:after="0"/>
              <w:rPr>
                <w:sz w:val="20"/>
                <w:szCs w:val="20"/>
                <w:color w:val="auto"/>
              </w:rPr>
            </w:pPr>
            <w:r>
              <w:rPr>
                <w:rFonts w:ascii="Times New Roman" w:cs="Times New Roman" w:eastAsia="Times New Roman" w:hAnsi="Times New Roman"/>
                <w:sz w:val="13"/>
                <w:szCs w:val="13"/>
                <w:color w:val="auto"/>
              </w:rPr>
              <w:t>(820,572)</w:t>
            </w:r>
          </w:p>
        </w:tc>
        <w:tc>
          <w:tcPr>
            <w:tcW w:w="120" w:type="dxa"/>
            <w:vAlign w:val="bottom"/>
          </w:tcPr>
          <w:p>
            <w:pPr>
              <w:spacing w:after="0"/>
              <w:rPr>
                <w:sz w:val="15"/>
                <w:szCs w:val="15"/>
                <w:color w:val="auto"/>
              </w:rPr>
            </w:pPr>
          </w:p>
        </w:tc>
        <w:tc>
          <w:tcPr>
            <w:tcW w:w="180" w:type="dxa"/>
            <w:vAlign w:val="bottom"/>
            <w:tcBorders>
              <w:top w:val="single" w:sz="8" w:color="auto"/>
            </w:tcBorders>
          </w:tcPr>
          <w:p>
            <w:pPr>
              <w:jc w:val="right"/>
              <w:ind w:right="33"/>
              <w:spacing w:after="0"/>
              <w:rPr>
                <w:sz w:val="20"/>
                <w:szCs w:val="20"/>
                <w:color w:val="auto"/>
              </w:rPr>
            </w:pPr>
            <w:r>
              <w:rPr>
                <w:rFonts w:ascii="Times New Roman" w:cs="Times New Roman" w:eastAsia="Times New Roman" w:hAnsi="Times New Roman"/>
                <w:sz w:val="13"/>
                <w:szCs w:val="13"/>
                <w:color w:val="auto"/>
                <w:w w:val="91"/>
              </w:rPr>
              <w:t>$</w:t>
            </w:r>
          </w:p>
        </w:tc>
        <w:tc>
          <w:tcPr>
            <w:tcW w:w="9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1,282,085</w:t>
            </w:r>
          </w:p>
        </w:tc>
        <w:tc>
          <w:tcPr>
            <w:tcW w:w="100" w:type="dxa"/>
            <w:vAlign w:val="bottom"/>
          </w:tcPr>
          <w:p>
            <w:pPr>
              <w:spacing w:after="0"/>
              <w:rPr>
                <w:sz w:val="15"/>
                <w:szCs w:val="15"/>
                <w:color w:val="auto"/>
              </w:rPr>
            </w:pPr>
          </w:p>
        </w:tc>
        <w:tc>
          <w:tcPr>
            <w:tcW w:w="1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1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(58,376)</w:t>
            </w:r>
          </w:p>
        </w:tc>
        <w:tc>
          <w:tcPr>
            <w:tcW w:w="100" w:type="dxa"/>
            <w:vAlign w:val="bottom"/>
          </w:tcPr>
          <w:p>
            <w:pPr>
              <w:spacing w:after="0"/>
              <w:rPr>
                <w:sz w:val="15"/>
                <w:szCs w:val="15"/>
                <w:color w:val="auto"/>
              </w:rPr>
            </w:pPr>
          </w:p>
        </w:tc>
        <w:tc>
          <w:tcPr>
            <w:tcW w:w="1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2,539,244</w:t>
            </w:r>
          </w:p>
        </w:tc>
        <w:tc>
          <w:tcPr>
            <w:tcW w:w="0" w:type="dxa"/>
            <w:vAlign w:val="bottom"/>
          </w:tcPr>
          <w:p>
            <w:pPr>
              <w:spacing w:after="0"/>
              <w:rPr>
                <w:sz w:val="1"/>
                <w:szCs w:val="1"/>
                <w:color w:val="auto"/>
              </w:rPr>
            </w:pPr>
          </w:p>
        </w:tc>
      </w:tr>
      <w:tr>
        <w:trPr>
          <w:trHeight w:val="196"/>
        </w:trPr>
        <w:tc>
          <w:tcPr>
            <w:tcW w:w="278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3"/>
                <w:szCs w:val="13"/>
                <w:color w:val="auto"/>
              </w:rPr>
              <w:t>Net income</w:t>
            </w:r>
          </w:p>
        </w:tc>
        <w:tc>
          <w:tcPr>
            <w:tcW w:w="8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CEEFF"/>
          </w:tcPr>
          <w:p>
            <w:pPr>
              <w:spacing w:after="0"/>
              <w:rPr>
                <w:sz w:val="17"/>
                <w:szCs w:val="17"/>
                <w:color w:val="auto"/>
              </w:rPr>
            </w:pPr>
          </w:p>
        </w:tc>
        <w:tc>
          <w:tcPr>
            <w:tcW w:w="76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CEEFF"/>
          </w:tcPr>
          <w:p>
            <w:pPr>
              <w:spacing w:after="0"/>
              <w:rPr>
                <w:sz w:val="17"/>
                <w:szCs w:val="17"/>
                <w:color w:val="auto"/>
              </w:rPr>
            </w:pPr>
          </w:p>
        </w:tc>
        <w:tc>
          <w:tcPr>
            <w:tcW w:w="90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860" w:type="dxa"/>
            <w:vAlign w:val="bottom"/>
            <w:gridSpan w:val="2"/>
            <w:shd w:val="clear" w:color="auto" w:fill="CCEEFF"/>
          </w:tcPr>
          <w:p>
            <w:pPr>
              <w:ind w:left="560"/>
              <w:spacing w:after="0"/>
              <w:rPr>
                <w:sz w:val="20"/>
                <w:szCs w:val="20"/>
                <w:color w:val="auto"/>
              </w:rPr>
            </w:pPr>
            <w:r>
              <w:rPr>
                <w:rFonts w:ascii="Times New Roman" w:cs="Times New Roman" w:eastAsia="Times New Roman" w:hAnsi="Times New Roman"/>
                <w:sz w:val="13"/>
                <w:szCs w:val="13"/>
                <w:color w:val="auto"/>
              </w:rPr>
              <w:t>—</w:t>
            </w:r>
          </w:p>
        </w:tc>
        <w:tc>
          <w:tcPr>
            <w:tcW w:w="160" w:type="dxa"/>
            <w:vAlign w:val="bottom"/>
            <w:shd w:val="clear" w:color="auto" w:fill="CCEEFF"/>
          </w:tcPr>
          <w:p>
            <w:pPr>
              <w:spacing w:after="0"/>
              <w:rPr>
                <w:sz w:val="17"/>
                <w:szCs w:val="17"/>
                <w:color w:val="auto"/>
              </w:rPr>
            </w:pPr>
          </w:p>
        </w:tc>
        <w:tc>
          <w:tcPr>
            <w:tcW w:w="840" w:type="dxa"/>
            <w:vAlign w:val="bottom"/>
            <w:gridSpan w:val="2"/>
            <w:shd w:val="clear" w:color="auto" w:fill="CCEEFF"/>
          </w:tcPr>
          <w:p>
            <w:pPr>
              <w:ind w:left="520"/>
              <w:spacing w:after="0"/>
              <w:rPr>
                <w:sz w:val="20"/>
                <w:szCs w:val="20"/>
                <w:color w:val="auto"/>
              </w:rPr>
            </w:pPr>
            <w:r>
              <w:rPr>
                <w:rFonts w:ascii="Times New Roman" w:cs="Times New Roman" w:eastAsia="Times New Roman" w:hAnsi="Times New Roman"/>
                <w:sz w:val="13"/>
                <w:szCs w:val="13"/>
                <w:color w:val="auto"/>
              </w:rPr>
              <w:t>—</w:t>
            </w:r>
          </w:p>
        </w:tc>
        <w:tc>
          <w:tcPr>
            <w:tcW w:w="180" w:type="dxa"/>
            <w:vAlign w:val="bottom"/>
            <w:shd w:val="clear" w:color="auto" w:fill="CCEEFF"/>
          </w:tcPr>
          <w:p>
            <w:pPr>
              <w:spacing w:after="0"/>
              <w:rPr>
                <w:sz w:val="17"/>
                <w:szCs w:val="17"/>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370,074</w:t>
            </w: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2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CCEEFF"/>
          </w:tcPr>
          <w:p>
            <w:pPr>
              <w:spacing w:after="0"/>
              <w:rPr>
                <w:sz w:val="17"/>
                <w:szCs w:val="17"/>
                <w:color w:val="auto"/>
              </w:rPr>
            </w:pPr>
          </w:p>
        </w:tc>
        <w:tc>
          <w:tcPr>
            <w:tcW w:w="10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370,074</w:t>
            </w:r>
          </w:p>
        </w:tc>
        <w:tc>
          <w:tcPr>
            <w:tcW w:w="0" w:type="dxa"/>
            <w:vAlign w:val="bottom"/>
          </w:tcPr>
          <w:p>
            <w:pPr>
              <w:spacing w:after="0"/>
              <w:rPr>
                <w:sz w:val="1"/>
                <w:szCs w:val="1"/>
                <w:color w:val="auto"/>
              </w:rPr>
            </w:pPr>
          </w:p>
        </w:tc>
      </w:tr>
      <w:tr>
        <w:trPr>
          <w:trHeight w:val="122"/>
        </w:trPr>
        <w:tc>
          <w:tcPr>
            <w:tcW w:w="2780" w:type="dxa"/>
            <w:vAlign w:val="bottom"/>
            <w:gridSpan w:val="2"/>
          </w:tcPr>
          <w:p>
            <w:pPr>
              <w:ind w:left="20"/>
              <w:spacing w:after="0" w:line="122" w:lineRule="exact"/>
              <w:rPr>
                <w:sz w:val="20"/>
                <w:szCs w:val="20"/>
                <w:color w:val="auto"/>
              </w:rPr>
            </w:pPr>
            <w:r>
              <w:rPr>
                <w:rFonts w:ascii="Times New Roman" w:cs="Times New Roman" w:eastAsia="Times New Roman" w:hAnsi="Times New Roman"/>
                <w:sz w:val="13"/>
                <w:szCs w:val="13"/>
                <w:color w:val="auto"/>
              </w:rPr>
              <w:t>Change in cumulative foreign currency translation</w:t>
            </w:r>
          </w:p>
        </w:tc>
        <w:tc>
          <w:tcPr>
            <w:tcW w:w="88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0"/>
                <w:szCs w:val="10"/>
                <w:color w:val="auto"/>
              </w:rPr>
            </w:pPr>
          </w:p>
        </w:tc>
        <w:tc>
          <w:tcPr>
            <w:tcW w:w="76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0"/>
                <w:szCs w:val="10"/>
                <w:color w:val="auto"/>
              </w:rPr>
            </w:pPr>
          </w:p>
        </w:tc>
        <w:tc>
          <w:tcPr>
            <w:tcW w:w="90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860" w:type="dxa"/>
            <w:vAlign w:val="bottom"/>
            <w:gridSpan w:val="2"/>
            <w:vMerge w:val="restart"/>
          </w:tcPr>
          <w:p>
            <w:pPr>
              <w:ind w:left="560"/>
              <w:spacing w:after="0"/>
              <w:rPr>
                <w:sz w:val="20"/>
                <w:szCs w:val="20"/>
                <w:color w:val="auto"/>
              </w:rPr>
            </w:pPr>
            <w:r>
              <w:rPr>
                <w:rFonts w:ascii="Times New Roman" w:cs="Times New Roman" w:eastAsia="Times New Roman" w:hAnsi="Times New Roman"/>
                <w:sz w:val="13"/>
                <w:szCs w:val="13"/>
                <w:color w:val="auto"/>
              </w:rPr>
              <w:t>—</w:t>
            </w:r>
          </w:p>
        </w:tc>
        <w:tc>
          <w:tcPr>
            <w:tcW w:w="160" w:type="dxa"/>
            <w:vAlign w:val="bottom"/>
          </w:tcPr>
          <w:p>
            <w:pPr>
              <w:spacing w:after="0"/>
              <w:rPr>
                <w:sz w:val="10"/>
                <w:szCs w:val="10"/>
                <w:color w:val="auto"/>
              </w:rPr>
            </w:pPr>
          </w:p>
        </w:tc>
        <w:tc>
          <w:tcPr>
            <w:tcW w:w="840" w:type="dxa"/>
            <w:vAlign w:val="bottom"/>
            <w:gridSpan w:val="2"/>
            <w:vMerge w:val="restart"/>
          </w:tcPr>
          <w:p>
            <w:pPr>
              <w:ind w:left="520"/>
              <w:spacing w:after="0"/>
              <w:rPr>
                <w:sz w:val="20"/>
                <w:szCs w:val="20"/>
                <w:color w:val="auto"/>
              </w:rPr>
            </w:pPr>
            <w:r>
              <w:rPr>
                <w:rFonts w:ascii="Times New Roman" w:cs="Times New Roman" w:eastAsia="Times New Roman" w:hAnsi="Times New Roman"/>
                <w:sz w:val="13"/>
                <w:szCs w:val="13"/>
                <w:color w:val="auto"/>
              </w:rPr>
              <w:t>—</w:t>
            </w:r>
          </w:p>
        </w:tc>
        <w:tc>
          <w:tcPr>
            <w:tcW w:w="180" w:type="dxa"/>
            <w:vAlign w:val="bottom"/>
          </w:tcPr>
          <w:p>
            <w:pPr>
              <w:spacing w:after="0"/>
              <w:rPr>
                <w:sz w:val="10"/>
                <w:szCs w:val="10"/>
                <w:color w:val="auto"/>
              </w:rPr>
            </w:pPr>
          </w:p>
        </w:tc>
        <w:tc>
          <w:tcPr>
            <w:tcW w:w="1020" w:type="dxa"/>
            <w:vAlign w:val="bottom"/>
            <w:gridSpan w:val="2"/>
            <w:vMerge w:val="restart"/>
          </w:tcPr>
          <w:p>
            <w:pPr>
              <w:ind w:left="66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10"/>
                <w:szCs w:val="10"/>
                <w:color w:val="auto"/>
              </w:rPr>
            </w:pPr>
          </w:p>
        </w:tc>
        <w:tc>
          <w:tcPr>
            <w:tcW w:w="110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53,697</w:t>
            </w:r>
          </w:p>
        </w:tc>
        <w:tc>
          <w:tcPr>
            <w:tcW w:w="1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2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53,697</w:t>
            </w:r>
          </w:p>
        </w:tc>
        <w:tc>
          <w:tcPr>
            <w:tcW w:w="0" w:type="dxa"/>
            <w:vAlign w:val="bottom"/>
          </w:tcPr>
          <w:p>
            <w:pPr>
              <w:spacing w:after="0"/>
              <w:rPr>
                <w:sz w:val="1"/>
                <w:szCs w:val="1"/>
                <w:color w:val="auto"/>
              </w:rPr>
            </w:pPr>
          </w:p>
        </w:tc>
      </w:tr>
      <w:tr>
        <w:trPr>
          <w:trHeight w:val="175"/>
        </w:trPr>
        <w:tc>
          <w:tcPr>
            <w:tcW w:w="2780" w:type="dxa"/>
            <w:vAlign w:val="bottom"/>
            <w:gridSpan w:val="2"/>
          </w:tcPr>
          <w:p>
            <w:pPr>
              <w:ind w:left="20"/>
              <w:spacing w:after="0"/>
              <w:rPr>
                <w:sz w:val="20"/>
                <w:szCs w:val="20"/>
                <w:color w:val="auto"/>
              </w:rPr>
            </w:pPr>
            <w:r>
              <w:rPr>
                <w:rFonts w:ascii="Times New Roman" w:cs="Times New Roman" w:eastAsia="Times New Roman" w:hAnsi="Times New Roman"/>
                <w:sz w:val="13"/>
                <w:szCs w:val="13"/>
                <w:color w:val="auto"/>
              </w:rPr>
              <w:t>adjustment</w:t>
            </w:r>
          </w:p>
        </w:tc>
        <w:tc>
          <w:tcPr>
            <w:tcW w:w="88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76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900" w:type="dxa"/>
            <w:vAlign w:val="bottom"/>
            <w:gridSpan w:val="2"/>
            <w:vMerge w:val="continue"/>
          </w:tcPr>
          <w:p>
            <w:pPr>
              <w:spacing w:after="0"/>
              <w:rPr>
                <w:sz w:val="15"/>
                <w:szCs w:val="15"/>
                <w:color w:val="auto"/>
              </w:rPr>
            </w:pPr>
          </w:p>
        </w:tc>
        <w:tc>
          <w:tcPr>
            <w:tcW w:w="860" w:type="dxa"/>
            <w:vAlign w:val="bottom"/>
            <w:gridSpan w:val="2"/>
            <w:vMerge w:val="continue"/>
          </w:tcPr>
          <w:p>
            <w:pPr>
              <w:spacing w:after="0"/>
              <w:rPr>
                <w:sz w:val="15"/>
                <w:szCs w:val="15"/>
                <w:color w:val="auto"/>
              </w:rPr>
            </w:pPr>
          </w:p>
        </w:tc>
        <w:tc>
          <w:tcPr>
            <w:tcW w:w="160" w:type="dxa"/>
            <w:vAlign w:val="bottom"/>
          </w:tcPr>
          <w:p>
            <w:pPr>
              <w:spacing w:after="0"/>
              <w:rPr>
                <w:sz w:val="15"/>
                <w:szCs w:val="15"/>
                <w:color w:val="auto"/>
              </w:rPr>
            </w:pPr>
          </w:p>
        </w:tc>
        <w:tc>
          <w:tcPr>
            <w:tcW w:w="840" w:type="dxa"/>
            <w:vAlign w:val="bottom"/>
            <w:gridSpan w:val="2"/>
            <w:vMerge w:val="continue"/>
          </w:tcPr>
          <w:p>
            <w:pPr>
              <w:spacing w:after="0"/>
              <w:rPr>
                <w:sz w:val="15"/>
                <w:szCs w:val="15"/>
                <w:color w:val="auto"/>
              </w:rPr>
            </w:pPr>
          </w:p>
        </w:tc>
        <w:tc>
          <w:tcPr>
            <w:tcW w:w="180" w:type="dxa"/>
            <w:vAlign w:val="bottom"/>
          </w:tcPr>
          <w:p>
            <w:pPr>
              <w:spacing w:after="0"/>
              <w:rPr>
                <w:sz w:val="15"/>
                <w:szCs w:val="15"/>
                <w:color w:val="auto"/>
              </w:rPr>
            </w:pPr>
          </w:p>
        </w:tc>
        <w:tc>
          <w:tcPr>
            <w:tcW w:w="1020" w:type="dxa"/>
            <w:vAlign w:val="bottom"/>
            <w:gridSpan w:val="2"/>
            <w:vMerge w:val="continue"/>
          </w:tcPr>
          <w:p>
            <w:pPr>
              <w:spacing w:after="0"/>
              <w:rPr>
                <w:sz w:val="15"/>
                <w:szCs w:val="15"/>
                <w:color w:val="auto"/>
              </w:rPr>
            </w:pPr>
          </w:p>
        </w:tc>
        <w:tc>
          <w:tcPr>
            <w:tcW w:w="140" w:type="dxa"/>
            <w:vAlign w:val="bottom"/>
          </w:tcPr>
          <w:p>
            <w:pPr>
              <w:spacing w:after="0"/>
              <w:rPr>
                <w:sz w:val="15"/>
                <w:szCs w:val="15"/>
                <w:color w:val="auto"/>
              </w:rPr>
            </w:pPr>
          </w:p>
        </w:tc>
        <w:tc>
          <w:tcPr>
            <w:tcW w:w="110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30"/>
        </w:trPr>
        <w:tc>
          <w:tcPr>
            <w:tcW w:w="278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3"/>
                <w:szCs w:val="13"/>
                <w:color w:val="auto"/>
              </w:rPr>
              <w:t>Change in gains on cash flow hedge, net</w:t>
            </w:r>
          </w:p>
        </w:tc>
        <w:tc>
          <w:tcPr>
            <w:tcW w:w="8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CEEFF"/>
          </w:tcPr>
          <w:p>
            <w:pPr>
              <w:spacing w:after="0"/>
              <w:rPr>
                <w:sz w:val="19"/>
                <w:szCs w:val="19"/>
                <w:color w:val="auto"/>
              </w:rPr>
            </w:pPr>
          </w:p>
        </w:tc>
        <w:tc>
          <w:tcPr>
            <w:tcW w:w="76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CEEFF"/>
          </w:tcPr>
          <w:p>
            <w:pPr>
              <w:spacing w:after="0"/>
              <w:rPr>
                <w:sz w:val="19"/>
                <w:szCs w:val="19"/>
                <w:color w:val="auto"/>
              </w:rPr>
            </w:pPr>
          </w:p>
        </w:tc>
        <w:tc>
          <w:tcPr>
            <w:tcW w:w="90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860" w:type="dxa"/>
            <w:vAlign w:val="bottom"/>
            <w:gridSpan w:val="2"/>
            <w:shd w:val="clear" w:color="auto" w:fill="CCEEFF"/>
          </w:tcPr>
          <w:p>
            <w:pPr>
              <w:ind w:left="560"/>
              <w:spacing w:after="0"/>
              <w:rPr>
                <w:sz w:val="20"/>
                <w:szCs w:val="20"/>
                <w:color w:val="auto"/>
              </w:rPr>
            </w:pPr>
            <w:r>
              <w:rPr>
                <w:rFonts w:ascii="Times New Roman" w:cs="Times New Roman" w:eastAsia="Times New Roman" w:hAnsi="Times New Roman"/>
                <w:sz w:val="13"/>
                <w:szCs w:val="13"/>
                <w:color w:val="auto"/>
              </w:rPr>
              <w:t>—</w:t>
            </w:r>
          </w:p>
        </w:tc>
        <w:tc>
          <w:tcPr>
            <w:tcW w:w="160" w:type="dxa"/>
            <w:vAlign w:val="bottom"/>
            <w:shd w:val="clear" w:color="auto" w:fill="CCEEFF"/>
          </w:tcPr>
          <w:p>
            <w:pPr>
              <w:spacing w:after="0"/>
              <w:rPr>
                <w:sz w:val="19"/>
                <w:szCs w:val="19"/>
                <w:color w:val="auto"/>
              </w:rPr>
            </w:pPr>
          </w:p>
        </w:tc>
        <w:tc>
          <w:tcPr>
            <w:tcW w:w="840" w:type="dxa"/>
            <w:vAlign w:val="bottom"/>
            <w:gridSpan w:val="2"/>
            <w:shd w:val="clear" w:color="auto" w:fill="CCEEFF"/>
          </w:tcPr>
          <w:p>
            <w:pPr>
              <w:ind w:left="520"/>
              <w:spacing w:after="0"/>
              <w:rPr>
                <w:sz w:val="20"/>
                <w:szCs w:val="20"/>
                <w:color w:val="auto"/>
              </w:rPr>
            </w:pPr>
            <w:r>
              <w:rPr>
                <w:rFonts w:ascii="Times New Roman" w:cs="Times New Roman" w:eastAsia="Times New Roman" w:hAnsi="Times New Roman"/>
                <w:sz w:val="13"/>
                <w:szCs w:val="13"/>
                <w:color w:val="auto"/>
              </w:rPr>
              <w:t>—</w:t>
            </w:r>
          </w:p>
        </w:tc>
        <w:tc>
          <w:tcPr>
            <w:tcW w:w="180" w:type="dxa"/>
            <w:vAlign w:val="bottom"/>
            <w:shd w:val="clear" w:color="auto" w:fill="CCEEFF"/>
          </w:tcPr>
          <w:p>
            <w:pPr>
              <w:spacing w:after="0"/>
              <w:rPr>
                <w:sz w:val="19"/>
                <w:szCs w:val="19"/>
                <w:color w:val="auto"/>
              </w:rPr>
            </w:pPr>
          </w:p>
        </w:tc>
        <w:tc>
          <w:tcPr>
            <w:tcW w:w="1020" w:type="dxa"/>
            <w:vAlign w:val="bottom"/>
            <w:gridSpan w:val="2"/>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(4,905)</w:t>
            </w: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0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(4,905)</w:t>
            </w:r>
          </w:p>
        </w:tc>
        <w:tc>
          <w:tcPr>
            <w:tcW w:w="0" w:type="dxa"/>
            <w:vAlign w:val="bottom"/>
          </w:tcPr>
          <w:p>
            <w:pPr>
              <w:spacing w:after="0"/>
              <w:rPr>
                <w:sz w:val="1"/>
                <w:szCs w:val="1"/>
                <w:color w:val="auto"/>
              </w:rPr>
            </w:pPr>
          </w:p>
        </w:tc>
      </w:tr>
      <w:tr>
        <w:trPr>
          <w:trHeight w:val="121"/>
        </w:trPr>
        <w:tc>
          <w:tcPr>
            <w:tcW w:w="2780" w:type="dxa"/>
            <w:vAlign w:val="bottom"/>
            <w:gridSpan w:val="2"/>
          </w:tcPr>
          <w:p>
            <w:pPr>
              <w:ind w:left="20"/>
              <w:spacing w:after="0" w:line="122" w:lineRule="exact"/>
              <w:rPr>
                <w:sz w:val="20"/>
                <w:szCs w:val="20"/>
                <w:color w:val="auto"/>
              </w:rPr>
            </w:pPr>
            <w:r>
              <w:rPr>
                <w:rFonts w:ascii="Times New Roman" w:cs="Times New Roman" w:eastAsia="Times New Roman" w:hAnsi="Times New Roman"/>
                <w:sz w:val="13"/>
                <w:szCs w:val="13"/>
                <w:color w:val="auto"/>
              </w:rPr>
              <w:t>Net unrealized gain on available-for-sale securities,</w:t>
            </w:r>
          </w:p>
        </w:tc>
        <w:tc>
          <w:tcPr>
            <w:tcW w:w="88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0"/>
                <w:szCs w:val="10"/>
                <w:color w:val="auto"/>
              </w:rPr>
            </w:pPr>
          </w:p>
        </w:tc>
        <w:tc>
          <w:tcPr>
            <w:tcW w:w="76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0"/>
                <w:szCs w:val="10"/>
                <w:color w:val="auto"/>
              </w:rPr>
            </w:pPr>
          </w:p>
        </w:tc>
        <w:tc>
          <w:tcPr>
            <w:tcW w:w="90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860" w:type="dxa"/>
            <w:vAlign w:val="bottom"/>
            <w:gridSpan w:val="2"/>
            <w:vMerge w:val="restart"/>
          </w:tcPr>
          <w:p>
            <w:pPr>
              <w:ind w:left="560"/>
              <w:spacing w:after="0"/>
              <w:rPr>
                <w:sz w:val="20"/>
                <w:szCs w:val="20"/>
                <w:color w:val="auto"/>
              </w:rPr>
            </w:pPr>
            <w:r>
              <w:rPr>
                <w:rFonts w:ascii="Times New Roman" w:cs="Times New Roman" w:eastAsia="Times New Roman" w:hAnsi="Times New Roman"/>
                <w:sz w:val="13"/>
                <w:szCs w:val="13"/>
                <w:color w:val="auto"/>
              </w:rPr>
              <w:t>—</w:t>
            </w:r>
          </w:p>
        </w:tc>
        <w:tc>
          <w:tcPr>
            <w:tcW w:w="160" w:type="dxa"/>
            <w:vAlign w:val="bottom"/>
          </w:tcPr>
          <w:p>
            <w:pPr>
              <w:spacing w:after="0"/>
              <w:rPr>
                <w:sz w:val="10"/>
                <w:szCs w:val="10"/>
                <w:color w:val="auto"/>
              </w:rPr>
            </w:pPr>
          </w:p>
        </w:tc>
        <w:tc>
          <w:tcPr>
            <w:tcW w:w="840" w:type="dxa"/>
            <w:vAlign w:val="bottom"/>
            <w:gridSpan w:val="2"/>
            <w:vMerge w:val="restart"/>
          </w:tcPr>
          <w:p>
            <w:pPr>
              <w:ind w:left="520"/>
              <w:spacing w:after="0"/>
              <w:rPr>
                <w:sz w:val="20"/>
                <w:szCs w:val="20"/>
                <w:color w:val="auto"/>
              </w:rPr>
            </w:pPr>
            <w:r>
              <w:rPr>
                <w:rFonts w:ascii="Times New Roman" w:cs="Times New Roman" w:eastAsia="Times New Roman" w:hAnsi="Times New Roman"/>
                <w:sz w:val="13"/>
                <w:szCs w:val="13"/>
                <w:color w:val="auto"/>
              </w:rPr>
              <w:t>—</w:t>
            </w:r>
          </w:p>
        </w:tc>
        <w:tc>
          <w:tcPr>
            <w:tcW w:w="180" w:type="dxa"/>
            <w:vAlign w:val="bottom"/>
          </w:tcPr>
          <w:p>
            <w:pPr>
              <w:spacing w:after="0"/>
              <w:rPr>
                <w:sz w:val="10"/>
                <w:szCs w:val="10"/>
                <w:color w:val="auto"/>
              </w:rPr>
            </w:pPr>
          </w:p>
        </w:tc>
        <w:tc>
          <w:tcPr>
            <w:tcW w:w="1020" w:type="dxa"/>
            <w:vAlign w:val="bottom"/>
            <w:gridSpan w:val="2"/>
            <w:vMerge w:val="restart"/>
          </w:tcPr>
          <w:p>
            <w:pPr>
              <w:ind w:left="66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10"/>
                <w:szCs w:val="10"/>
                <w:color w:val="auto"/>
              </w:rPr>
            </w:pPr>
          </w:p>
        </w:tc>
        <w:tc>
          <w:tcPr>
            <w:tcW w:w="110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4,000</w:t>
            </w:r>
          </w:p>
        </w:tc>
        <w:tc>
          <w:tcPr>
            <w:tcW w:w="1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2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4,000</w:t>
            </w:r>
          </w:p>
        </w:tc>
        <w:tc>
          <w:tcPr>
            <w:tcW w:w="0" w:type="dxa"/>
            <w:vAlign w:val="bottom"/>
          </w:tcPr>
          <w:p>
            <w:pPr>
              <w:spacing w:after="0"/>
              <w:rPr>
                <w:sz w:val="1"/>
                <w:szCs w:val="1"/>
                <w:color w:val="auto"/>
              </w:rPr>
            </w:pPr>
          </w:p>
        </w:tc>
      </w:tr>
      <w:tr>
        <w:trPr>
          <w:trHeight w:val="176"/>
        </w:trPr>
        <w:tc>
          <w:tcPr>
            <w:tcW w:w="2780" w:type="dxa"/>
            <w:vAlign w:val="bottom"/>
            <w:gridSpan w:val="2"/>
          </w:tcPr>
          <w:p>
            <w:pPr>
              <w:ind w:left="20"/>
              <w:spacing w:after="0"/>
              <w:rPr>
                <w:sz w:val="20"/>
                <w:szCs w:val="20"/>
                <w:color w:val="auto"/>
              </w:rPr>
            </w:pPr>
            <w:r>
              <w:rPr>
                <w:rFonts w:ascii="Times New Roman" w:cs="Times New Roman" w:eastAsia="Times New Roman" w:hAnsi="Times New Roman"/>
                <w:sz w:val="13"/>
                <w:szCs w:val="13"/>
                <w:color w:val="auto"/>
              </w:rPr>
              <w:t>net of taxes</w:t>
            </w:r>
          </w:p>
        </w:tc>
        <w:tc>
          <w:tcPr>
            <w:tcW w:w="88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76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900" w:type="dxa"/>
            <w:vAlign w:val="bottom"/>
            <w:gridSpan w:val="2"/>
            <w:vMerge w:val="continue"/>
          </w:tcPr>
          <w:p>
            <w:pPr>
              <w:spacing w:after="0"/>
              <w:rPr>
                <w:sz w:val="15"/>
                <w:szCs w:val="15"/>
                <w:color w:val="auto"/>
              </w:rPr>
            </w:pPr>
          </w:p>
        </w:tc>
        <w:tc>
          <w:tcPr>
            <w:tcW w:w="860" w:type="dxa"/>
            <w:vAlign w:val="bottom"/>
            <w:gridSpan w:val="2"/>
            <w:vMerge w:val="continue"/>
          </w:tcPr>
          <w:p>
            <w:pPr>
              <w:spacing w:after="0"/>
              <w:rPr>
                <w:sz w:val="15"/>
                <w:szCs w:val="15"/>
                <w:color w:val="auto"/>
              </w:rPr>
            </w:pPr>
          </w:p>
        </w:tc>
        <w:tc>
          <w:tcPr>
            <w:tcW w:w="160" w:type="dxa"/>
            <w:vAlign w:val="bottom"/>
          </w:tcPr>
          <w:p>
            <w:pPr>
              <w:spacing w:after="0"/>
              <w:rPr>
                <w:sz w:val="15"/>
                <w:szCs w:val="15"/>
                <w:color w:val="auto"/>
              </w:rPr>
            </w:pPr>
          </w:p>
        </w:tc>
        <w:tc>
          <w:tcPr>
            <w:tcW w:w="840" w:type="dxa"/>
            <w:vAlign w:val="bottom"/>
            <w:gridSpan w:val="2"/>
            <w:vMerge w:val="continue"/>
          </w:tcPr>
          <w:p>
            <w:pPr>
              <w:spacing w:after="0"/>
              <w:rPr>
                <w:sz w:val="15"/>
                <w:szCs w:val="15"/>
                <w:color w:val="auto"/>
              </w:rPr>
            </w:pPr>
          </w:p>
        </w:tc>
        <w:tc>
          <w:tcPr>
            <w:tcW w:w="180" w:type="dxa"/>
            <w:vAlign w:val="bottom"/>
          </w:tcPr>
          <w:p>
            <w:pPr>
              <w:spacing w:after="0"/>
              <w:rPr>
                <w:sz w:val="15"/>
                <w:szCs w:val="15"/>
                <w:color w:val="auto"/>
              </w:rPr>
            </w:pPr>
          </w:p>
        </w:tc>
        <w:tc>
          <w:tcPr>
            <w:tcW w:w="1020" w:type="dxa"/>
            <w:vAlign w:val="bottom"/>
            <w:gridSpan w:val="2"/>
            <w:vMerge w:val="continue"/>
          </w:tcPr>
          <w:p>
            <w:pPr>
              <w:spacing w:after="0"/>
              <w:rPr>
                <w:sz w:val="15"/>
                <w:szCs w:val="15"/>
                <w:color w:val="auto"/>
              </w:rPr>
            </w:pPr>
          </w:p>
        </w:tc>
        <w:tc>
          <w:tcPr>
            <w:tcW w:w="140" w:type="dxa"/>
            <w:vAlign w:val="bottom"/>
          </w:tcPr>
          <w:p>
            <w:pPr>
              <w:spacing w:after="0"/>
              <w:rPr>
                <w:sz w:val="15"/>
                <w:szCs w:val="15"/>
                <w:color w:val="auto"/>
              </w:rPr>
            </w:pPr>
          </w:p>
        </w:tc>
        <w:tc>
          <w:tcPr>
            <w:tcW w:w="110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29"/>
        </w:trPr>
        <w:tc>
          <w:tcPr>
            <w:tcW w:w="278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3"/>
                <w:szCs w:val="13"/>
                <w:color w:val="auto"/>
              </w:rPr>
              <w:t>Stock-based compensation</w:t>
            </w:r>
          </w:p>
        </w:tc>
        <w:tc>
          <w:tcPr>
            <w:tcW w:w="8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CEEFF"/>
          </w:tcPr>
          <w:p>
            <w:pPr>
              <w:spacing w:after="0"/>
              <w:rPr>
                <w:sz w:val="19"/>
                <w:szCs w:val="19"/>
                <w:color w:val="auto"/>
              </w:rPr>
            </w:pPr>
          </w:p>
        </w:tc>
        <w:tc>
          <w:tcPr>
            <w:tcW w:w="76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CEEFF"/>
          </w:tcPr>
          <w:p>
            <w:pPr>
              <w:spacing w:after="0"/>
              <w:rPr>
                <w:sz w:val="19"/>
                <w:szCs w:val="19"/>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141,904</w:t>
            </w:r>
          </w:p>
        </w:tc>
        <w:tc>
          <w:tcPr>
            <w:tcW w:w="120" w:type="dxa"/>
            <w:vAlign w:val="bottom"/>
            <w:shd w:val="clear" w:color="auto" w:fill="CCEEFF"/>
          </w:tcPr>
          <w:p>
            <w:pPr>
              <w:spacing w:after="0"/>
              <w:rPr>
                <w:sz w:val="19"/>
                <w:szCs w:val="19"/>
                <w:color w:val="auto"/>
              </w:rPr>
            </w:pPr>
          </w:p>
        </w:tc>
        <w:tc>
          <w:tcPr>
            <w:tcW w:w="860" w:type="dxa"/>
            <w:vAlign w:val="bottom"/>
            <w:gridSpan w:val="2"/>
            <w:shd w:val="clear" w:color="auto" w:fill="CCEEFF"/>
          </w:tcPr>
          <w:p>
            <w:pPr>
              <w:ind w:left="560"/>
              <w:spacing w:after="0"/>
              <w:rPr>
                <w:sz w:val="20"/>
                <w:szCs w:val="20"/>
                <w:color w:val="auto"/>
              </w:rPr>
            </w:pPr>
            <w:r>
              <w:rPr>
                <w:rFonts w:ascii="Times New Roman" w:cs="Times New Roman" w:eastAsia="Times New Roman" w:hAnsi="Times New Roman"/>
                <w:sz w:val="13"/>
                <w:szCs w:val="13"/>
                <w:color w:val="auto"/>
              </w:rPr>
              <w:t>—</w:t>
            </w:r>
          </w:p>
        </w:tc>
        <w:tc>
          <w:tcPr>
            <w:tcW w:w="160" w:type="dxa"/>
            <w:vAlign w:val="bottom"/>
            <w:shd w:val="clear" w:color="auto" w:fill="CCEEFF"/>
          </w:tcPr>
          <w:p>
            <w:pPr>
              <w:spacing w:after="0"/>
              <w:rPr>
                <w:sz w:val="19"/>
                <w:szCs w:val="19"/>
                <w:color w:val="auto"/>
              </w:rPr>
            </w:pPr>
          </w:p>
        </w:tc>
        <w:tc>
          <w:tcPr>
            <w:tcW w:w="840" w:type="dxa"/>
            <w:vAlign w:val="bottom"/>
            <w:gridSpan w:val="2"/>
            <w:shd w:val="clear" w:color="auto" w:fill="CCEEFF"/>
          </w:tcPr>
          <w:p>
            <w:pPr>
              <w:ind w:left="520"/>
              <w:spacing w:after="0"/>
              <w:rPr>
                <w:sz w:val="20"/>
                <w:szCs w:val="20"/>
                <w:color w:val="auto"/>
              </w:rPr>
            </w:pPr>
            <w:r>
              <w:rPr>
                <w:rFonts w:ascii="Times New Roman" w:cs="Times New Roman" w:eastAsia="Times New Roman" w:hAnsi="Times New Roman"/>
                <w:sz w:val="13"/>
                <w:szCs w:val="13"/>
                <w:color w:val="auto"/>
              </w:rPr>
              <w:t>—</w:t>
            </w:r>
          </w:p>
        </w:tc>
        <w:tc>
          <w:tcPr>
            <w:tcW w:w="180" w:type="dxa"/>
            <w:vAlign w:val="bottom"/>
            <w:shd w:val="clear" w:color="auto" w:fill="CCEEFF"/>
          </w:tcPr>
          <w:p>
            <w:pPr>
              <w:spacing w:after="0"/>
              <w:rPr>
                <w:sz w:val="19"/>
                <w:szCs w:val="19"/>
                <w:color w:val="auto"/>
              </w:rPr>
            </w:pPr>
          </w:p>
        </w:tc>
        <w:tc>
          <w:tcPr>
            <w:tcW w:w="1020" w:type="dxa"/>
            <w:vAlign w:val="bottom"/>
            <w:gridSpan w:val="2"/>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shd w:val="clear" w:color="auto" w:fill="CCEEFF"/>
          </w:tcPr>
          <w:p>
            <w:pPr>
              <w:spacing w:after="0"/>
              <w:rPr>
                <w:sz w:val="19"/>
                <w:szCs w:val="19"/>
                <w:color w:val="auto"/>
              </w:rPr>
            </w:pPr>
          </w:p>
        </w:tc>
        <w:tc>
          <w:tcPr>
            <w:tcW w:w="12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CCEEFF"/>
          </w:tcPr>
          <w:p>
            <w:pPr>
              <w:spacing w:after="0"/>
              <w:rPr>
                <w:sz w:val="19"/>
                <w:szCs w:val="19"/>
                <w:color w:val="auto"/>
              </w:rPr>
            </w:pPr>
          </w:p>
        </w:tc>
        <w:tc>
          <w:tcPr>
            <w:tcW w:w="10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141,904</w:t>
            </w:r>
          </w:p>
        </w:tc>
        <w:tc>
          <w:tcPr>
            <w:tcW w:w="0" w:type="dxa"/>
            <w:vAlign w:val="bottom"/>
          </w:tcPr>
          <w:p>
            <w:pPr>
              <w:spacing w:after="0"/>
              <w:rPr>
                <w:sz w:val="1"/>
                <w:szCs w:val="1"/>
                <w:color w:val="auto"/>
              </w:rPr>
            </w:pPr>
          </w:p>
        </w:tc>
      </w:tr>
      <w:tr>
        <w:trPr>
          <w:trHeight w:val="122"/>
        </w:trPr>
        <w:tc>
          <w:tcPr>
            <w:tcW w:w="2780" w:type="dxa"/>
            <w:vAlign w:val="bottom"/>
            <w:gridSpan w:val="2"/>
          </w:tcPr>
          <w:p>
            <w:pPr>
              <w:ind w:left="20"/>
              <w:spacing w:after="0" w:line="122" w:lineRule="exact"/>
              <w:rPr>
                <w:sz w:val="20"/>
                <w:szCs w:val="20"/>
                <w:color w:val="auto"/>
              </w:rPr>
            </w:pPr>
            <w:r>
              <w:rPr>
                <w:rFonts w:ascii="Times New Roman" w:cs="Times New Roman" w:eastAsia="Times New Roman" w:hAnsi="Times New Roman"/>
                <w:sz w:val="13"/>
                <w:szCs w:val="13"/>
                <w:color w:val="auto"/>
              </w:rPr>
              <w:t>Issuance of restricted stock, net of forfeitures and</w:t>
            </w:r>
          </w:p>
        </w:tc>
        <w:tc>
          <w:tcPr>
            <w:tcW w:w="78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1,235</w:t>
            </w:r>
          </w:p>
        </w:tc>
        <w:tc>
          <w:tcPr>
            <w:tcW w:w="1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4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13</w:t>
            </w:r>
          </w:p>
        </w:tc>
        <w:tc>
          <w:tcPr>
            <w:tcW w:w="1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78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(12)</w:t>
            </w:r>
          </w:p>
        </w:tc>
        <w:tc>
          <w:tcPr>
            <w:tcW w:w="120" w:type="dxa"/>
            <w:vAlign w:val="bottom"/>
          </w:tcPr>
          <w:p>
            <w:pPr>
              <w:spacing w:after="0"/>
              <w:rPr>
                <w:sz w:val="10"/>
                <w:szCs w:val="10"/>
                <w:color w:val="auto"/>
              </w:rPr>
            </w:pPr>
          </w:p>
        </w:tc>
        <w:tc>
          <w:tcPr>
            <w:tcW w:w="860" w:type="dxa"/>
            <w:vAlign w:val="bottom"/>
            <w:gridSpan w:val="2"/>
            <w:vMerge w:val="restart"/>
          </w:tcPr>
          <w:p>
            <w:pPr>
              <w:ind w:left="560"/>
              <w:spacing w:after="0"/>
              <w:rPr>
                <w:sz w:val="20"/>
                <w:szCs w:val="20"/>
                <w:color w:val="auto"/>
              </w:rPr>
            </w:pPr>
            <w:r>
              <w:rPr>
                <w:rFonts w:ascii="Times New Roman" w:cs="Times New Roman" w:eastAsia="Times New Roman" w:hAnsi="Times New Roman"/>
                <w:sz w:val="13"/>
                <w:szCs w:val="13"/>
                <w:color w:val="auto"/>
              </w:rPr>
              <w:t>—</w:t>
            </w:r>
          </w:p>
        </w:tc>
        <w:tc>
          <w:tcPr>
            <w:tcW w:w="160" w:type="dxa"/>
            <w:vAlign w:val="bottom"/>
          </w:tcPr>
          <w:p>
            <w:pPr>
              <w:spacing w:after="0"/>
              <w:rPr>
                <w:sz w:val="10"/>
                <w:szCs w:val="10"/>
                <w:color w:val="auto"/>
              </w:rPr>
            </w:pPr>
          </w:p>
        </w:tc>
        <w:tc>
          <w:tcPr>
            <w:tcW w:w="840" w:type="dxa"/>
            <w:vAlign w:val="bottom"/>
            <w:gridSpan w:val="2"/>
            <w:vMerge w:val="restart"/>
          </w:tcPr>
          <w:p>
            <w:pPr>
              <w:ind w:left="520"/>
              <w:spacing w:after="0"/>
              <w:rPr>
                <w:sz w:val="20"/>
                <w:szCs w:val="20"/>
                <w:color w:val="auto"/>
              </w:rPr>
            </w:pPr>
            <w:r>
              <w:rPr>
                <w:rFonts w:ascii="Times New Roman" w:cs="Times New Roman" w:eastAsia="Times New Roman" w:hAnsi="Times New Roman"/>
                <w:sz w:val="13"/>
                <w:szCs w:val="13"/>
                <w:color w:val="auto"/>
              </w:rPr>
              <w:t>—</w:t>
            </w:r>
          </w:p>
        </w:tc>
        <w:tc>
          <w:tcPr>
            <w:tcW w:w="180" w:type="dxa"/>
            <w:vAlign w:val="bottom"/>
          </w:tcPr>
          <w:p>
            <w:pPr>
              <w:spacing w:after="0"/>
              <w:rPr>
                <w:sz w:val="10"/>
                <w:szCs w:val="10"/>
                <w:color w:val="auto"/>
              </w:rPr>
            </w:pPr>
          </w:p>
        </w:tc>
        <w:tc>
          <w:tcPr>
            <w:tcW w:w="1020" w:type="dxa"/>
            <w:vAlign w:val="bottom"/>
            <w:gridSpan w:val="2"/>
            <w:vMerge w:val="restart"/>
          </w:tcPr>
          <w:p>
            <w:pPr>
              <w:ind w:left="66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10"/>
                <w:szCs w:val="10"/>
                <w:color w:val="auto"/>
              </w:rPr>
            </w:pPr>
          </w:p>
        </w:tc>
        <w:tc>
          <w:tcPr>
            <w:tcW w:w="120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0"/>
                <w:szCs w:val="10"/>
                <w:color w:val="auto"/>
              </w:rPr>
            </w:pPr>
          </w:p>
        </w:tc>
        <w:tc>
          <w:tcPr>
            <w:tcW w:w="102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1</w:t>
            </w:r>
          </w:p>
        </w:tc>
        <w:tc>
          <w:tcPr>
            <w:tcW w:w="0" w:type="dxa"/>
            <w:vAlign w:val="bottom"/>
          </w:tcPr>
          <w:p>
            <w:pPr>
              <w:spacing w:after="0"/>
              <w:rPr>
                <w:sz w:val="1"/>
                <w:szCs w:val="1"/>
                <w:color w:val="auto"/>
              </w:rPr>
            </w:pPr>
          </w:p>
        </w:tc>
      </w:tr>
      <w:tr>
        <w:trPr>
          <w:trHeight w:val="176"/>
        </w:trPr>
        <w:tc>
          <w:tcPr>
            <w:tcW w:w="2780" w:type="dxa"/>
            <w:vAlign w:val="bottom"/>
            <w:gridSpan w:val="2"/>
          </w:tcPr>
          <w:p>
            <w:pPr>
              <w:ind w:left="20"/>
              <w:spacing w:after="0"/>
              <w:rPr>
                <w:sz w:val="20"/>
                <w:szCs w:val="20"/>
                <w:color w:val="auto"/>
              </w:rPr>
            </w:pPr>
            <w:r>
              <w:rPr>
                <w:rFonts w:ascii="Times New Roman" w:cs="Times New Roman" w:eastAsia="Times New Roman" w:hAnsi="Times New Roman"/>
                <w:sz w:val="13"/>
                <w:szCs w:val="13"/>
                <w:color w:val="auto"/>
              </w:rPr>
              <w:t>cancellations</w:t>
            </w:r>
          </w:p>
        </w:tc>
        <w:tc>
          <w:tcPr>
            <w:tcW w:w="78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40" w:type="dxa"/>
            <w:vAlign w:val="bottom"/>
            <w:vMerge w:val="continue"/>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80" w:type="dxa"/>
            <w:vAlign w:val="bottom"/>
            <w:vMerge w:val="continue"/>
          </w:tcPr>
          <w:p>
            <w:pPr>
              <w:spacing w:after="0"/>
              <w:rPr>
                <w:sz w:val="15"/>
                <w:szCs w:val="15"/>
                <w:color w:val="auto"/>
              </w:rPr>
            </w:pPr>
          </w:p>
        </w:tc>
        <w:tc>
          <w:tcPr>
            <w:tcW w:w="120" w:type="dxa"/>
            <w:vAlign w:val="bottom"/>
          </w:tcPr>
          <w:p>
            <w:pPr>
              <w:spacing w:after="0"/>
              <w:rPr>
                <w:sz w:val="15"/>
                <w:szCs w:val="15"/>
                <w:color w:val="auto"/>
              </w:rPr>
            </w:pPr>
          </w:p>
        </w:tc>
        <w:tc>
          <w:tcPr>
            <w:tcW w:w="860" w:type="dxa"/>
            <w:vAlign w:val="bottom"/>
            <w:gridSpan w:val="2"/>
            <w:vMerge w:val="continue"/>
          </w:tcPr>
          <w:p>
            <w:pPr>
              <w:spacing w:after="0"/>
              <w:rPr>
                <w:sz w:val="15"/>
                <w:szCs w:val="15"/>
                <w:color w:val="auto"/>
              </w:rPr>
            </w:pPr>
          </w:p>
        </w:tc>
        <w:tc>
          <w:tcPr>
            <w:tcW w:w="160" w:type="dxa"/>
            <w:vAlign w:val="bottom"/>
          </w:tcPr>
          <w:p>
            <w:pPr>
              <w:spacing w:after="0"/>
              <w:rPr>
                <w:sz w:val="15"/>
                <w:szCs w:val="15"/>
                <w:color w:val="auto"/>
              </w:rPr>
            </w:pPr>
          </w:p>
        </w:tc>
        <w:tc>
          <w:tcPr>
            <w:tcW w:w="840" w:type="dxa"/>
            <w:vAlign w:val="bottom"/>
            <w:gridSpan w:val="2"/>
            <w:vMerge w:val="continue"/>
          </w:tcPr>
          <w:p>
            <w:pPr>
              <w:spacing w:after="0"/>
              <w:rPr>
                <w:sz w:val="15"/>
                <w:szCs w:val="15"/>
                <w:color w:val="auto"/>
              </w:rPr>
            </w:pPr>
          </w:p>
        </w:tc>
        <w:tc>
          <w:tcPr>
            <w:tcW w:w="180" w:type="dxa"/>
            <w:vAlign w:val="bottom"/>
          </w:tcPr>
          <w:p>
            <w:pPr>
              <w:spacing w:after="0"/>
              <w:rPr>
                <w:sz w:val="15"/>
                <w:szCs w:val="15"/>
                <w:color w:val="auto"/>
              </w:rPr>
            </w:pPr>
          </w:p>
        </w:tc>
        <w:tc>
          <w:tcPr>
            <w:tcW w:w="1020" w:type="dxa"/>
            <w:vAlign w:val="bottom"/>
            <w:gridSpan w:val="2"/>
            <w:vMerge w:val="continue"/>
          </w:tcPr>
          <w:p>
            <w:pPr>
              <w:spacing w:after="0"/>
              <w:rPr>
                <w:sz w:val="15"/>
                <w:szCs w:val="15"/>
                <w:color w:val="auto"/>
              </w:rPr>
            </w:pPr>
          </w:p>
        </w:tc>
        <w:tc>
          <w:tcPr>
            <w:tcW w:w="140" w:type="dxa"/>
            <w:vAlign w:val="bottom"/>
          </w:tcPr>
          <w:p>
            <w:pPr>
              <w:spacing w:after="0"/>
              <w:rPr>
                <w:sz w:val="15"/>
                <w:szCs w:val="15"/>
                <w:color w:val="auto"/>
              </w:rPr>
            </w:pPr>
          </w:p>
        </w:tc>
        <w:tc>
          <w:tcPr>
            <w:tcW w:w="1200" w:type="dxa"/>
            <w:vAlign w:val="bottom"/>
            <w:gridSpan w:val="2"/>
            <w:vMerge w:val="continue"/>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29"/>
        </w:trPr>
        <w:tc>
          <w:tcPr>
            <w:tcW w:w="278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3"/>
                <w:szCs w:val="13"/>
                <w:color w:val="auto"/>
              </w:rPr>
              <w:t>Net share settlement of restricted stock awards</w:t>
            </w: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(401)</w:t>
            </w:r>
          </w:p>
        </w:tc>
        <w:tc>
          <w:tcPr>
            <w:tcW w:w="1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6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(5)</w:t>
            </w: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(60,581)</w:t>
            </w:r>
          </w:p>
        </w:tc>
        <w:tc>
          <w:tcPr>
            <w:tcW w:w="120" w:type="dxa"/>
            <w:vAlign w:val="bottom"/>
            <w:shd w:val="clear" w:color="auto" w:fill="CCEEFF"/>
          </w:tcPr>
          <w:p>
            <w:pPr>
              <w:spacing w:after="0"/>
              <w:rPr>
                <w:sz w:val="19"/>
                <w:szCs w:val="19"/>
                <w:color w:val="auto"/>
              </w:rPr>
            </w:pPr>
          </w:p>
        </w:tc>
        <w:tc>
          <w:tcPr>
            <w:tcW w:w="860" w:type="dxa"/>
            <w:vAlign w:val="bottom"/>
            <w:gridSpan w:val="2"/>
            <w:shd w:val="clear" w:color="auto" w:fill="CCEEFF"/>
          </w:tcPr>
          <w:p>
            <w:pPr>
              <w:ind w:left="560"/>
              <w:spacing w:after="0"/>
              <w:rPr>
                <w:sz w:val="20"/>
                <w:szCs w:val="20"/>
                <w:color w:val="auto"/>
              </w:rPr>
            </w:pPr>
            <w:r>
              <w:rPr>
                <w:rFonts w:ascii="Times New Roman" w:cs="Times New Roman" w:eastAsia="Times New Roman" w:hAnsi="Times New Roman"/>
                <w:sz w:val="13"/>
                <w:szCs w:val="13"/>
                <w:color w:val="auto"/>
              </w:rPr>
              <w:t>—</w:t>
            </w:r>
          </w:p>
        </w:tc>
        <w:tc>
          <w:tcPr>
            <w:tcW w:w="160" w:type="dxa"/>
            <w:vAlign w:val="bottom"/>
            <w:shd w:val="clear" w:color="auto" w:fill="CCEEFF"/>
          </w:tcPr>
          <w:p>
            <w:pPr>
              <w:spacing w:after="0"/>
              <w:rPr>
                <w:sz w:val="19"/>
                <w:szCs w:val="19"/>
                <w:color w:val="auto"/>
              </w:rPr>
            </w:pPr>
          </w:p>
        </w:tc>
        <w:tc>
          <w:tcPr>
            <w:tcW w:w="840" w:type="dxa"/>
            <w:vAlign w:val="bottom"/>
            <w:gridSpan w:val="2"/>
            <w:shd w:val="clear" w:color="auto" w:fill="CCEEFF"/>
          </w:tcPr>
          <w:p>
            <w:pPr>
              <w:ind w:left="520"/>
              <w:spacing w:after="0"/>
              <w:rPr>
                <w:sz w:val="20"/>
                <w:szCs w:val="20"/>
                <w:color w:val="auto"/>
              </w:rPr>
            </w:pPr>
            <w:r>
              <w:rPr>
                <w:rFonts w:ascii="Times New Roman" w:cs="Times New Roman" w:eastAsia="Times New Roman" w:hAnsi="Times New Roman"/>
                <w:sz w:val="13"/>
                <w:szCs w:val="13"/>
                <w:color w:val="auto"/>
              </w:rPr>
              <w:t>—</w:t>
            </w:r>
          </w:p>
        </w:tc>
        <w:tc>
          <w:tcPr>
            <w:tcW w:w="180" w:type="dxa"/>
            <w:vAlign w:val="bottom"/>
            <w:shd w:val="clear" w:color="auto" w:fill="CCEEFF"/>
          </w:tcPr>
          <w:p>
            <w:pPr>
              <w:spacing w:after="0"/>
              <w:rPr>
                <w:sz w:val="19"/>
                <w:szCs w:val="19"/>
                <w:color w:val="auto"/>
              </w:rPr>
            </w:pPr>
          </w:p>
        </w:tc>
        <w:tc>
          <w:tcPr>
            <w:tcW w:w="1020" w:type="dxa"/>
            <w:vAlign w:val="bottom"/>
            <w:gridSpan w:val="2"/>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shd w:val="clear" w:color="auto" w:fill="CCEEFF"/>
          </w:tcPr>
          <w:p>
            <w:pPr>
              <w:spacing w:after="0"/>
              <w:rPr>
                <w:sz w:val="19"/>
                <w:szCs w:val="19"/>
                <w:color w:val="auto"/>
              </w:rPr>
            </w:pPr>
          </w:p>
        </w:tc>
        <w:tc>
          <w:tcPr>
            <w:tcW w:w="12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CCEEFF"/>
          </w:tcPr>
          <w:p>
            <w:pPr>
              <w:spacing w:after="0"/>
              <w:rPr>
                <w:sz w:val="19"/>
                <w:szCs w:val="19"/>
                <w:color w:val="auto"/>
              </w:rPr>
            </w:pPr>
          </w:p>
        </w:tc>
        <w:tc>
          <w:tcPr>
            <w:tcW w:w="10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(60,586)</w:t>
            </w:r>
          </w:p>
        </w:tc>
        <w:tc>
          <w:tcPr>
            <w:tcW w:w="0" w:type="dxa"/>
            <w:vAlign w:val="bottom"/>
          </w:tcPr>
          <w:p>
            <w:pPr>
              <w:spacing w:after="0"/>
              <w:rPr>
                <w:sz w:val="1"/>
                <w:szCs w:val="1"/>
                <w:color w:val="auto"/>
              </w:rPr>
            </w:pPr>
          </w:p>
        </w:tc>
      </w:tr>
      <w:tr>
        <w:trPr>
          <w:trHeight w:val="230"/>
        </w:trPr>
        <w:tc>
          <w:tcPr>
            <w:tcW w:w="2780" w:type="dxa"/>
            <w:vAlign w:val="bottom"/>
            <w:gridSpan w:val="2"/>
          </w:tcPr>
          <w:p>
            <w:pPr>
              <w:ind w:left="20"/>
              <w:spacing w:after="0"/>
              <w:rPr>
                <w:sz w:val="20"/>
                <w:szCs w:val="20"/>
                <w:color w:val="auto"/>
              </w:rPr>
            </w:pPr>
            <w:r>
              <w:rPr>
                <w:rFonts w:ascii="Times New Roman" w:cs="Times New Roman" w:eastAsia="Times New Roman" w:hAnsi="Times New Roman"/>
                <w:sz w:val="13"/>
                <w:szCs w:val="13"/>
                <w:color w:val="auto"/>
              </w:rPr>
              <w:t>Employee share purchase plan settlement</w:t>
            </w:r>
          </w:p>
        </w:tc>
        <w:tc>
          <w:tcPr>
            <w:tcW w:w="7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139</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2</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14,213</w:t>
            </w:r>
          </w:p>
        </w:tc>
        <w:tc>
          <w:tcPr>
            <w:tcW w:w="120" w:type="dxa"/>
            <w:vAlign w:val="bottom"/>
          </w:tcPr>
          <w:p>
            <w:pPr>
              <w:spacing w:after="0"/>
              <w:rPr>
                <w:sz w:val="19"/>
                <w:szCs w:val="19"/>
                <w:color w:val="auto"/>
              </w:rPr>
            </w:pPr>
          </w:p>
        </w:tc>
        <w:tc>
          <w:tcPr>
            <w:tcW w:w="860" w:type="dxa"/>
            <w:vAlign w:val="bottom"/>
            <w:gridSpan w:val="2"/>
          </w:tcPr>
          <w:p>
            <w:pPr>
              <w:ind w:left="560"/>
              <w:spacing w:after="0"/>
              <w:rPr>
                <w:sz w:val="20"/>
                <w:szCs w:val="20"/>
                <w:color w:val="auto"/>
              </w:rPr>
            </w:pPr>
            <w:r>
              <w:rPr>
                <w:rFonts w:ascii="Times New Roman" w:cs="Times New Roman" w:eastAsia="Times New Roman" w:hAnsi="Times New Roman"/>
                <w:sz w:val="13"/>
                <w:szCs w:val="13"/>
                <w:color w:val="auto"/>
              </w:rPr>
              <w:t>—</w:t>
            </w:r>
          </w:p>
        </w:tc>
        <w:tc>
          <w:tcPr>
            <w:tcW w:w="160" w:type="dxa"/>
            <w:vAlign w:val="bottom"/>
          </w:tcPr>
          <w:p>
            <w:pPr>
              <w:spacing w:after="0"/>
              <w:rPr>
                <w:sz w:val="19"/>
                <w:szCs w:val="19"/>
                <w:color w:val="auto"/>
              </w:rPr>
            </w:pPr>
          </w:p>
        </w:tc>
        <w:tc>
          <w:tcPr>
            <w:tcW w:w="840" w:type="dxa"/>
            <w:vAlign w:val="bottom"/>
            <w:gridSpan w:val="2"/>
          </w:tcPr>
          <w:p>
            <w:pPr>
              <w:ind w:left="520"/>
              <w:spacing w:after="0"/>
              <w:rPr>
                <w:sz w:val="20"/>
                <w:szCs w:val="20"/>
                <w:color w:val="auto"/>
              </w:rPr>
            </w:pPr>
            <w:r>
              <w:rPr>
                <w:rFonts w:ascii="Times New Roman" w:cs="Times New Roman" w:eastAsia="Times New Roman" w:hAnsi="Times New Roman"/>
                <w:sz w:val="13"/>
                <w:szCs w:val="13"/>
                <w:color w:val="auto"/>
              </w:rPr>
              <w:t>—</w:t>
            </w:r>
          </w:p>
        </w:tc>
        <w:tc>
          <w:tcPr>
            <w:tcW w:w="180" w:type="dxa"/>
            <w:vAlign w:val="bottom"/>
          </w:tcPr>
          <w:p>
            <w:pPr>
              <w:spacing w:after="0"/>
              <w:rPr>
                <w:sz w:val="19"/>
                <w:szCs w:val="19"/>
                <w:color w:val="auto"/>
              </w:rPr>
            </w:pPr>
          </w:p>
        </w:tc>
        <w:tc>
          <w:tcPr>
            <w:tcW w:w="1020" w:type="dxa"/>
            <w:vAlign w:val="bottom"/>
            <w:gridSpan w:val="2"/>
          </w:tcPr>
          <w:p>
            <w:pPr>
              <w:ind w:left="66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19"/>
                <w:szCs w:val="19"/>
                <w:color w:val="auto"/>
              </w:rPr>
            </w:pPr>
          </w:p>
        </w:tc>
        <w:tc>
          <w:tcPr>
            <w:tcW w:w="1200" w:type="dxa"/>
            <w:vAlign w:val="bottom"/>
            <w:gridSpan w:val="2"/>
          </w:tcPr>
          <w:p>
            <w:pPr>
              <w:jc w:val="right"/>
              <w:ind w:right="16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14,215</w:t>
            </w:r>
          </w:p>
        </w:tc>
        <w:tc>
          <w:tcPr>
            <w:tcW w:w="0" w:type="dxa"/>
            <w:vAlign w:val="bottom"/>
          </w:tcPr>
          <w:p>
            <w:pPr>
              <w:spacing w:after="0"/>
              <w:rPr>
                <w:sz w:val="1"/>
                <w:szCs w:val="1"/>
                <w:color w:val="auto"/>
              </w:rPr>
            </w:pPr>
          </w:p>
        </w:tc>
      </w:tr>
      <w:tr>
        <w:trPr>
          <w:trHeight w:val="121"/>
        </w:trPr>
        <w:tc>
          <w:tcPr>
            <w:tcW w:w="2780" w:type="dxa"/>
            <w:vAlign w:val="bottom"/>
            <w:gridSpan w:val="2"/>
            <w:shd w:val="clear" w:color="auto" w:fill="CCEEFF"/>
          </w:tcPr>
          <w:p>
            <w:pPr>
              <w:ind w:left="20"/>
              <w:spacing w:after="0" w:line="122" w:lineRule="exact"/>
              <w:rPr>
                <w:sz w:val="20"/>
                <w:szCs w:val="20"/>
                <w:color w:val="auto"/>
              </w:rPr>
            </w:pPr>
            <w:r>
              <w:rPr>
                <w:rFonts w:ascii="Times New Roman" w:cs="Times New Roman" w:eastAsia="Times New Roman" w:hAnsi="Times New Roman"/>
                <w:sz w:val="13"/>
                <w:szCs w:val="13"/>
                <w:color w:val="auto"/>
              </w:rPr>
              <w:t>Issuance of shares related to Playdots, Inc.</w:t>
            </w:r>
          </w:p>
        </w:tc>
        <w:tc>
          <w:tcPr>
            <w:tcW w:w="78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604</w:t>
            </w:r>
          </w:p>
        </w:tc>
        <w:tc>
          <w:tcPr>
            <w:tcW w:w="10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64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6</w:t>
            </w:r>
          </w:p>
        </w:tc>
        <w:tc>
          <w:tcPr>
            <w:tcW w:w="12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78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97,641</w:t>
            </w:r>
          </w:p>
        </w:tc>
        <w:tc>
          <w:tcPr>
            <w:tcW w:w="120" w:type="dxa"/>
            <w:vAlign w:val="bottom"/>
            <w:shd w:val="clear" w:color="auto" w:fill="CCEEFF"/>
          </w:tcPr>
          <w:p>
            <w:pPr>
              <w:spacing w:after="0"/>
              <w:rPr>
                <w:sz w:val="10"/>
                <w:szCs w:val="10"/>
                <w:color w:val="auto"/>
              </w:rPr>
            </w:pPr>
          </w:p>
        </w:tc>
        <w:tc>
          <w:tcPr>
            <w:tcW w:w="760" w:type="dxa"/>
            <w:vAlign w:val="bottom"/>
            <w:vMerge w:val="restart"/>
            <w:shd w:val="clear" w:color="auto" w:fill="CCEEFF"/>
          </w:tcPr>
          <w:p>
            <w:pPr>
              <w:ind w:left="56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vMerge w:val="restart"/>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720" w:type="dxa"/>
            <w:vAlign w:val="bottom"/>
            <w:vMerge w:val="restart"/>
            <w:shd w:val="clear" w:color="auto" w:fill="CCEEFF"/>
          </w:tcPr>
          <w:p>
            <w:pPr>
              <w:ind w:left="52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vMerge w:val="restart"/>
            <w:shd w:val="clear" w:color="auto" w:fill="CCEEFF"/>
          </w:tcPr>
          <w:p>
            <w:pPr>
              <w:spacing w:after="0"/>
              <w:rPr>
                <w:sz w:val="10"/>
                <w:szCs w:val="10"/>
                <w:color w:val="auto"/>
              </w:rPr>
            </w:pPr>
          </w:p>
        </w:tc>
        <w:tc>
          <w:tcPr>
            <w:tcW w:w="180" w:type="dxa"/>
            <w:vAlign w:val="bottom"/>
            <w:shd w:val="clear" w:color="auto" w:fill="CCEEFF"/>
          </w:tcPr>
          <w:p>
            <w:pPr>
              <w:spacing w:after="0"/>
              <w:rPr>
                <w:sz w:val="10"/>
                <w:szCs w:val="10"/>
                <w:color w:val="auto"/>
              </w:rPr>
            </w:pPr>
          </w:p>
        </w:tc>
        <w:tc>
          <w:tcPr>
            <w:tcW w:w="920" w:type="dxa"/>
            <w:vAlign w:val="bottom"/>
            <w:vMerge w:val="restart"/>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vMerge w:val="restart"/>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11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vMerge w:val="restart"/>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102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97,647</w:t>
            </w:r>
          </w:p>
        </w:tc>
        <w:tc>
          <w:tcPr>
            <w:tcW w:w="0" w:type="dxa"/>
            <w:vAlign w:val="bottom"/>
          </w:tcPr>
          <w:p>
            <w:pPr>
              <w:spacing w:after="0"/>
              <w:rPr>
                <w:sz w:val="1"/>
                <w:szCs w:val="1"/>
                <w:color w:val="auto"/>
              </w:rPr>
            </w:pPr>
          </w:p>
        </w:tc>
      </w:tr>
      <w:tr>
        <w:trPr>
          <w:trHeight w:val="176"/>
        </w:trPr>
        <w:tc>
          <w:tcPr>
            <w:tcW w:w="2680" w:type="dxa"/>
            <w:vAlign w:val="bottom"/>
            <w:tcBorders>
              <w:bottom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3"/>
                <w:szCs w:val="13"/>
                <w:color w:val="auto"/>
              </w:rPr>
              <w:t>acquisition</w:t>
            </w:r>
          </w:p>
        </w:tc>
        <w:tc>
          <w:tcPr>
            <w:tcW w:w="100" w:type="dxa"/>
            <w:vAlign w:val="bottom"/>
            <w:shd w:val="clear" w:color="auto" w:fill="CCEEFF"/>
          </w:tcPr>
          <w:p>
            <w:pPr>
              <w:spacing w:after="0"/>
              <w:rPr>
                <w:sz w:val="15"/>
                <w:szCs w:val="15"/>
                <w:color w:val="auto"/>
              </w:rPr>
            </w:pPr>
          </w:p>
        </w:tc>
        <w:tc>
          <w:tcPr>
            <w:tcW w:w="780" w:type="dxa"/>
            <w:vAlign w:val="bottom"/>
            <w:tcBorders>
              <w:bottom w:val="single" w:sz="8" w:color="auto"/>
            </w:tcBorders>
            <w:vMerge w:val="continue"/>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20" w:type="dxa"/>
            <w:vAlign w:val="bottom"/>
            <w:tcBorders>
              <w:bottom w:val="single" w:sz="8" w:color="auto"/>
            </w:tcBorders>
            <w:shd w:val="clear" w:color="auto" w:fill="CCEEFF"/>
          </w:tcPr>
          <w:p>
            <w:pPr>
              <w:spacing w:after="0"/>
              <w:rPr>
                <w:sz w:val="15"/>
                <w:szCs w:val="15"/>
                <w:color w:val="auto"/>
              </w:rPr>
            </w:pPr>
          </w:p>
        </w:tc>
        <w:tc>
          <w:tcPr>
            <w:tcW w:w="640" w:type="dxa"/>
            <w:vAlign w:val="bottom"/>
            <w:tcBorders>
              <w:bottom w:val="single" w:sz="8" w:color="auto"/>
            </w:tcBorders>
            <w:vMerge w:val="continue"/>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20" w:type="dxa"/>
            <w:vAlign w:val="bottom"/>
            <w:tcBorders>
              <w:bottom w:val="single" w:sz="8" w:color="auto"/>
            </w:tcBorders>
            <w:shd w:val="clear" w:color="auto" w:fill="CCEEFF"/>
          </w:tcPr>
          <w:p>
            <w:pPr>
              <w:spacing w:after="0"/>
              <w:rPr>
                <w:sz w:val="15"/>
                <w:szCs w:val="15"/>
                <w:color w:val="auto"/>
              </w:rPr>
            </w:pPr>
          </w:p>
        </w:tc>
        <w:tc>
          <w:tcPr>
            <w:tcW w:w="780" w:type="dxa"/>
            <w:vAlign w:val="bottom"/>
            <w:tcBorders>
              <w:bottom w:val="single" w:sz="8" w:color="auto"/>
            </w:tcBorders>
            <w:vMerge w:val="continue"/>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760" w:type="dxa"/>
            <w:vAlign w:val="bottom"/>
            <w:tcBorders>
              <w:bottom w:val="single" w:sz="8" w:color="auto"/>
            </w:tcBorders>
            <w:vMerge w:val="continue"/>
            <w:shd w:val="clear" w:color="auto" w:fill="CCEEFF"/>
          </w:tcPr>
          <w:p>
            <w:pPr>
              <w:spacing w:after="0"/>
              <w:rPr>
                <w:sz w:val="15"/>
                <w:szCs w:val="15"/>
                <w:color w:val="auto"/>
              </w:rPr>
            </w:pPr>
          </w:p>
        </w:tc>
        <w:tc>
          <w:tcPr>
            <w:tcW w:w="100" w:type="dxa"/>
            <w:vAlign w:val="bottom"/>
            <w:vMerge w:val="continue"/>
            <w:shd w:val="clear" w:color="auto" w:fill="CCEEFF"/>
          </w:tcPr>
          <w:p>
            <w:pPr>
              <w:spacing w:after="0"/>
              <w:rPr>
                <w:sz w:val="15"/>
                <w:szCs w:val="15"/>
                <w:color w:val="auto"/>
              </w:rPr>
            </w:pPr>
          </w:p>
        </w:tc>
        <w:tc>
          <w:tcPr>
            <w:tcW w:w="160" w:type="dxa"/>
            <w:vAlign w:val="bottom"/>
            <w:tcBorders>
              <w:bottom w:val="single" w:sz="8" w:color="auto"/>
            </w:tcBorders>
            <w:shd w:val="clear" w:color="auto" w:fill="CCEEFF"/>
          </w:tcPr>
          <w:p>
            <w:pPr>
              <w:spacing w:after="0"/>
              <w:rPr>
                <w:sz w:val="15"/>
                <w:szCs w:val="15"/>
                <w:color w:val="auto"/>
              </w:rPr>
            </w:pPr>
          </w:p>
        </w:tc>
        <w:tc>
          <w:tcPr>
            <w:tcW w:w="720" w:type="dxa"/>
            <w:vAlign w:val="bottom"/>
            <w:tcBorders>
              <w:bottom w:val="single" w:sz="8" w:color="auto"/>
            </w:tcBorders>
            <w:vMerge w:val="continue"/>
            <w:shd w:val="clear" w:color="auto" w:fill="CCEEFF"/>
          </w:tcPr>
          <w:p>
            <w:pPr>
              <w:spacing w:after="0"/>
              <w:rPr>
                <w:sz w:val="15"/>
                <w:szCs w:val="15"/>
                <w:color w:val="auto"/>
              </w:rPr>
            </w:pPr>
          </w:p>
        </w:tc>
        <w:tc>
          <w:tcPr>
            <w:tcW w:w="120" w:type="dxa"/>
            <w:vAlign w:val="bottom"/>
            <w:vMerge w:val="continue"/>
            <w:shd w:val="clear" w:color="auto" w:fill="CCEEFF"/>
          </w:tcPr>
          <w:p>
            <w:pPr>
              <w:spacing w:after="0"/>
              <w:rPr>
                <w:sz w:val="15"/>
                <w:szCs w:val="15"/>
                <w:color w:val="auto"/>
              </w:rPr>
            </w:pPr>
          </w:p>
        </w:tc>
        <w:tc>
          <w:tcPr>
            <w:tcW w:w="180" w:type="dxa"/>
            <w:vAlign w:val="bottom"/>
            <w:tcBorders>
              <w:bottom w:val="single" w:sz="8" w:color="auto"/>
            </w:tcBorders>
            <w:shd w:val="clear" w:color="auto" w:fill="CCEEFF"/>
          </w:tcPr>
          <w:p>
            <w:pPr>
              <w:spacing w:after="0"/>
              <w:rPr>
                <w:sz w:val="15"/>
                <w:szCs w:val="15"/>
                <w:color w:val="auto"/>
              </w:rPr>
            </w:pPr>
          </w:p>
        </w:tc>
        <w:tc>
          <w:tcPr>
            <w:tcW w:w="920" w:type="dxa"/>
            <w:vAlign w:val="bottom"/>
            <w:tcBorders>
              <w:bottom w:val="single" w:sz="8" w:color="auto"/>
            </w:tcBorders>
            <w:vMerge w:val="continue"/>
            <w:shd w:val="clear" w:color="auto" w:fill="CCEEFF"/>
          </w:tcPr>
          <w:p>
            <w:pPr>
              <w:spacing w:after="0"/>
              <w:rPr>
                <w:sz w:val="15"/>
                <w:szCs w:val="15"/>
                <w:color w:val="auto"/>
              </w:rPr>
            </w:pPr>
          </w:p>
        </w:tc>
        <w:tc>
          <w:tcPr>
            <w:tcW w:w="100" w:type="dxa"/>
            <w:vAlign w:val="bottom"/>
            <w:vMerge w:val="continue"/>
            <w:shd w:val="clear" w:color="auto" w:fill="CCEEFF"/>
          </w:tcPr>
          <w:p>
            <w:pPr>
              <w:spacing w:after="0"/>
              <w:rPr>
                <w:sz w:val="15"/>
                <w:szCs w:val="15"/>
                <w:color w:val="auto"/>
              </w:rPr>
            </w:pPr>
          </w:p>
        </w:tc>
        <w:tc>
          <w:tcPr>
            <w:tcW w:w="140" w:type="dxa"/>
            <w:vAlign w:val="bottom"/>
            <w:tcBorders>
              <w:bottom w:val="single" w:sz="8" w:color="auto"/>
            </w:tcBorders>
            <w:shd w:val="clear" w:color="auto" w:fill="CCEEFF"/>
          </w:tcPr>
          <w:p>
            <w:pPr>
              <w:spacing w:after="0"/>
              <w:rPr>
                <w:sz w:val="15"/>
                <w:szCs w:val="15"/>
                <w:color w:val="auto"/>
              </w:rPr>
            </w:pPr>
          </w:p>
        </w:tc>
        <w:tc>
          <w:tcPr>
            <w:tcW w:w="1100" w:type="dxa"/>
            <w:vAlign w:val="bottom"/>
            <w:tcBorders>
              <w:bottom w:val="single" w:sz="8" w:color="auto"/>
            </w:tcBorders>
            <w:vMerge w:val="continue"/>
            <w:shd w:val="clear" w:color="auto" w:fill="CCEEFF"/>
          </w:tcPr>
          <w:p>
            <w:pPr>
              <w:spacing w:after="0"/>
              <w:rPr>
                <w:sz w:val="15"/>
                <w:szCs w:val="15"/>
                <w:color w:val="auto"/>
              </w:rPr>
            </w:pPr>
          </w:p>
        </w:tc>
        <w:tc>
          <w:tcPr>
            <w:tcW w:w="100" w:type="dxa"/>
            <w:vAlign w:val="bottom"/>
            <w:vMerge w:val="continue"/>
            <w:shd w:val="clear" w:color="auto" w:fill="CCEEFF"/>
          </w:tcPr>
          <w:p>
            <w:pPr>
              <w:spacing w:after="0"/>
              <w:rPr>
                <w:sz w:val="15"/>
                <w:szCs w:val="15"/>
                <w:color w:val="auto"/>
              </w:rPr>
            </w:pPr>
          </w:p>
        </w:tc>
        <w:tc>
          <w:tcPr>
            <w:tcW w:w="140" w:type="dxa"/>
            <w:vAlign w:val="bottom"/>
            <w:tcBorders>
              <w:bottom w:val="single" w:sz="8" w:color="auto"/>
            </w:tcBorders>
            <w:shd w:val="clear" w:color="auto" w:fill="CCEEFF"/>
          </w:tcPr>
          <w:p>
            <w:pPr>
              <w:spacing w:after="0"/>
              <w:rPr>
                <w:sz w:val="15"/>
                <w:szCs w:val="15"/>
                <w:color w:val="auto"/>
              </w:rPr>
            </w:pPr>
          </w:p>
        </w:tc>
        <w:tc>
          <w:tcPr>
            <w:tcW w:w="1020" w:type="dxa"/>
            <w:vAlign w:val="bottom"/>
            <w:tcBorders>
              <w:bottom w:val="single" w:sz="8" w:color="auto"/>
            </w:tcBorders>
            <w:vMerge w:val="continue"/>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77"/>
        </w:trPr>
        <w:tc>
          <w:tcPr>
            <w:tcW w:w="268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3"/>
                <w:szCs w:val="13"/>
                <w:b w:val="1"/>
                <w:bCs w:val="1"/>
                <w:color w:val="auto"/>
              </w:rPr>
              <w:t>Balance, December 31, 2020</w:t>
            </w:r>
          </w:p>
        </w:tc>
        <w:tc>
          <w:tcPr>
            <w:tcW w:w="100" w:type="dxa"/>
            <w:vAlign w:val="bottom"/>
          </w:tcPr>
          <w:p>
            <w:pPr>
              <w:spacing w:after="0"/>
              <w:rPr>
                <w:sz w:val="15"/>
                <w:szCs w:val="15"/>
                <w:color w:val="auto"/>
              </w:rPr>
            </w:pP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3"/>
                <w:szCs w:val="13"/>
                <w:b w:val="1"/>
                <w:bCs w:val="1"/>
                <w:color w:val="auto"/>
              </w:rPr>
              <w:t>137,504</w:t>
            </w:r>
          </w:p>
        </w:tc>
        <w:tc>
          <w:tcPr>
            <w:tcW w:w="100" w:type="dxa"/>
            <w:vAlign w:val="bottom"/>
          </w:tcPr>
          <w:p>
            <w:pPr>
              <w:spacing w:after="0"/>
              <w:rPr>
                <w:sz w:val="15"/>
                <w:szCs w:val="15"/>
                <w:color w:val="auto"/>
              </w:rPr>
            </w:pPr>
          </w:p>
        </w:tc>
        <w:tc>
          <w:tcPr>
            <w:tcW w:w="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3"/>
                <w:szCs w:val="13"/>
                <w:b w:val="1"/>
                <w:bCs w:val="1"/>
                <w:color w:val="auto"/>
                <w:w w:val="91"/>
              </w:rPr>
              <w:t>$</w:t>
            </w:r>
          </w:p>
        </w:tc>
        <w:tc>
          <w:tcPr>
            <w:tcW w:w="6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3"/>
                <w:szCs w:val="13"/>
                <w:b w:val="1"/>
                <w:bCs w:val="1"/>
                <w:color w:val="auto"/>
              </w:rPr>
              <w:t>1,375</w:t>
            </w:r>
          </w:p>
        </w:tc>
        <w:tc>
          <w:tcPr>
            <w:tcW w:w="120" w:type="dxa"/>
            <w:vAlign w:val="bottom"/>
          </w:tcPr>
          <w:p>
            <w:pPr>
              <w:spacing w:after="0"/>
              <w:rPr>
                <w:sz w:val="15"/>
                <w:szCs w:val="15"/>
                <w:color w:val="auto"/>
              </w:rPr>
            </w:pPr>
          </w:p>
        </w:tc>
        <w:tc>
          <w:tcPr>
            <w:tcW w:w="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3"/>
                <w:szCs w:val="13"/>
                <w:b w:val="1"/>
                <w:bCs w:val="1"/>
                <w:color w:val="auto"/>
                <w:w w:val="91"/>
              </w:rPr>
              <w:t>$</w:t>
            </w: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3"/>
                <w:szCs w:val="13"/>
                <w:b w:val="1"/>
                <w:bCs w:val="1"/>
                <w:color w:val="auto"/>
              </w:rPr>
              <w:t>2,327,913</w:t>
            </w:r>
          </w:p>
        </w:tc>
        <w:tc>
          <w:tcPr>
            <w:tcW w:w="120" w:type="dxa"/>
            <w:vAlign w:val="bottom"/>
          </w:tcPr>
          <w:p>
            <w:pPr>
              <w:spacing w:after="0"/>
              <w:rPr>
                <w:sz w:val="15"/>
                <w:szCs w:val="15"/>
                <w:color w:val="auto"/>
              </w:rPr>
            </w:pPr>
          </w:p>
        </w:tc>
        <w:tc>
          <w:tcPr>
            <w:tcW w:w="760" w:type="dxa"/>
            <w:vAlign w:val="bottom"/>
            <w:tcBorders>
              <w:bottom w:val="single" w:sz="8" w:color="auto"/>
            </w:tcBorders>
          </w:tcPr>
          <w:p>
            <w:pPr>
              <w:ind w:left="280"/>
              <w:spacing w:after="0"/>
              <w:rPr>
                <w:sz w:val="20"/>
                <w:szCs w:val="20"/>
                <w:color w:val="auto"/>
              </w:rPr>
            </w:pPr>
            <w:r>
              <w:rPr>
                <w:rFonts w:ascii="Times New Roman" w:cs="Times New Roman" w:eastAsia="Times New Roman" w:hAnsi="Times New Roman"/>
                <w:sz w:val="13"/>
                <w:szCs w:val="13"/>
                <w:b w:val="1"/>
                <w:bCs w:val="1"/>
                <w:color w:val="auto"/>
              </w:rPr>
              <w:t>(22,421)</w:t>
            </w:r>
          </w:p>
        </w:tc>
        <w:tc>
          <w:tcPr>
            <w:tcW w:w="100" w:type="dxa"/>
            <w:vAlign w:val="bottom"/>
          </w:tcPr>
          <w:p>
            <w:pPr>
              <w:spacing w:after="0"/>
              <w:rPr>
                <w:sz w:val="15"/>
                <w:szCs w:val="15"/>
                <w:color w:val="auto"/>
              </w:rPr>
            </w:pP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3"/>
                <w:szCs w:val="13"/>
                <w:b w:val="1"/>
                <w:bCs w:val="1"/>
                <w:color w:val="auto"/>
              </w:rPr>
              <w:t>$</w:t>
            </w:r>
          </w:p>
        </w:tc>
        <w:tc>
          <w:tcPr>
            <w:tcW w:w="720" w:type="dxa"/>
            <w:vAlign w:val="bottom"/>
            <w:tcBorders>
              <w:bottom w:val="single" w:sz="8" w:color="auto"/>
            </w:tcBorders>
          </w:tcPr>
          <w:p>
            <w:pPr>
              <w:ind w:left="160"/>
              <w:spacing w:after="0"/>
              <w:rPr>
                <w:sz w:val="20"/>
                <w:szCs w:val="20"/>
                <w:color w:val="auto"/>
              </w:rPr>
            </w:pPr>
            <w:r>
              <w:rPr>
                <w:rFonts w:ascii="Times New Roman" w:cs="Times New Roman" w:eastAsia="Times New Roman" w:hAnsi="Times New Roman"/>
                <w:sz w:val="13"/>
                <w:szCs w:val="13"/>
                <w:b w:val="1"/>
                <w:bCs w:val="1"/>
                <w:color w:val="auto"/>
              </w:rPr>
              <w:t>(820,572)</w:t>
            </w:r>
          </w:p>
        </w:tc>
        <w:tc>
          <w:tcPr>
            <w:tcW w:w="120" w:type="dxa"/>
            <w:vAlign w:val="bottom"/>
          </w:tcPr>
          <w:p>
            <w:pPr>
              <w:spacing w:after="0"/>
              <w:rPr>
                <w:sz w:val="15"/>
                <w:szCs w:val="15"/>
                <w:color w:val="auto"/>
              </w:rPr>
            </w:pPr>
          </w:p>
        </w:tc>
        <w:tc>
          <w:tcPr>
            <w:tcW w:w="180" w:type="dxa"/>
            <w:vAlign w:val="bottom"/>
            <w:tcBorders>
              <w:bottom w:val="single" w:sz="8" w:color="auto"/>
            </w:tcBorders>
          </w:tcPr>
          <w:p>
            <w:pPr>
              <w:jc w:val="right"/>
              <w:ind w:right="33"/>
              <w:spacing w:after="0"/>
              <w:rPr>
                <w:sz w:val="20"/>
                <w:szCs w:val="20"/>
                <w:color w:val="auto"/>
              </w:rPr>
            </w:pPr>
            <w:r>
              <w:rPr>
                <w:rFonts w:ascii="Times New Roman" w:cs="Times New Roman" w:eastAsia="Times New Roman" w:hAnsi="Times New Roman"/>
                <w:sz w:val="13"/>
                <w:szCs w:val="13"/>
                <w:b w:val="1"/>
                <w:bCs w:val="1"/>
                <w:color w:val="auto"/>
                <w:w w:val="91"/>
              </w:rPr>
              <w:t>$</w:t>
            </w: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3"/>
                <w:szCs w:val="13"/>
                <w:b w:val="1"/>
                <w:bCs w:val="1"/>
                <w:color w:val="auto"/>
              </w:rPr>
              <w:t>1,652,159</w:t>
            </w:r>
          </w:p>
        </w:tc>
        <w:tc>
          <w:tcPr>
            <w:tcW w:w="100" w:type="dxa"/>
            <w:vAlign w:val="bottom"/>
          </w:tcPr>
          <w:p>
            <w:pPr>
              <w:spacing w:after="0"/>
              <w:rPr>
                <w:sz w:val="15"/>
                <w:szCs w:val="15"/>
                <w:color w:val="auto"/>
              </w:rPr>
            </w:pPr>
          </w:p>
        </w:tc>
        <w:tc>
          <w:tcPr>
            <w:tcW w:w="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3"/>
                <w:szCs w:val="13"/>
                <w:b w:val="1"/>
                <w:bCs w:val="1"/>
                <w:color w:val="auto"/>
              </w:rPr>
              <w:t>$</w:t>
            </w: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3"/>
                <w:szCs w:val="13"/>
                <w:b w:val="1"/>
                <w:bCs w:val="1"/>
                <w:color w:val="auto"/>
              </w:rPr>
              <w:t>(5,584)</w:t>
            </w:r>
          </w:p>
        </w:tc>
        <w:tc>
          <w:tcPr>
            <w:tcW w:w="100" w:type="dxa"/>
            <w:vAlign w:val="bottom"/>
          </w:tcPr>
          <w:p>
            <w:pPr>
              <w:spacing w:after="0"/>
              <w:rPr>
                <w:sz w:val="15"/>
                <w:szCs w:val="15"/>
                <w:color w:val="auto"/>
              </w:rPr>
            </w:pPr>
          </w:p>
        </w:tc>
        <w:tc>
          <w:tcPr>
            <w:tcW w:w="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3"/>
                <w:szCs w:val="13"/>
                <w:b w:val="1"/>
                <w:bCs w:val="1"/>
                <w:color w:val="auto"/>
              </w:rPr>
              <w:t>$</w:t>
            </w:r>
          </w:p>
        </w:tc>
        <w:tc>
          <w:tcPr>
            <w:tcW w:w="1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3"/>
                <w:szCs w:val="13"/>
                <w:b w:val="1"/>
                <w:bCs w:val="1"/>
                <w:color w:val="auto"/>
              </w:rPr>
              <w:t>3,155,291</w:t>
            </w:r>
          </w:p>
        </w:tc>
        <w:tc>
          <w:tcPr>
            <w:tcW w:w="0" w:type="dxa"/>
            <w:vAlign w:val="bottom"/>
          </w:tcPr>
          <w:p>
            <w:pPr>
              <w:spacing w:after="0"/>
              <w:rPr>
                <w:sz w:val="1"/>
                <w:szCs w:val="1"/>
                <w:color w:val="auto"/>
              </w:rPr>
            </w:pPr>
          </w:p>
        </w:tc>
      </w:tr>
      <w:tr>
        <w:trPr>
          <w:trHeight w:val="26"/>
        </w:trPr>
        <w:tc>
          <w:tcPr>
            <w:tcW w:w="26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880" w:type="dxa"/>
            <w:vAlign w:val="bottom"/>
            <w:tcBorders>
              <w:bottom w:val="single" w:sz="8" w:color="auto"/>
            </w:tcBorders>
            <w:gridSpan w:val="2"/>
          </w:tcPr>
          <w:p>
            <w:pPr>
              <w:spacing w:after="0"/>
              <w:rPr>
                <w:sz w:val="2"/>
                <w:szCs w:val="2"/>
                <w:color w:val="auto"/>
              </w:rPr>
            </w:pPr>
          </w:p>
        </w:tc>
        <w:tc>
          <w:tcPr>
            <w:tcW w:w="120" w:type="dxa"/>
            <w:vAlign w:val="bottom"/>
          </w:tcPr>
          <w:p>
            <w:pPr>
              <w:spacing w:after="0"/>
              <w:rPr>
                <w:sz w:val="2"/>
                <w:szCs w:val="2"/>
                <w:color w:val="auto"/>
              </w:rPr>
            </w:pPr>
          </w:p>
        </w:tc>
        <w:tc>
          <w:tcPr>
            <w:tcW w:w="1100" w:type="dxa"/>
            <w:vAlign w:val="bottom"/>
            <w:tcBorders>
              <w:bottom w:val="single" w:sz="8" w:color="auto"/>
            </w:tcBorders>
            <w:gridSpan w:val="2"/>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743"/>
        </w:trPr>
        <w:tc>
          <w:tcPr>
            <w:tcW w:w="26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7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3060" w:type="dxa"/>
            <w:vAlign w:val="bottom"/>
            <w:tcBorders>
              <w:bottom w:val="single" w:sz="8" w:color="auto"/>
            </w:tcBorders>
            <w:gridSpan w:val="8"/>
          </w:tcPr>
          <w:p>
            <w:pPr>
              <w:ind w:left="260"/>
              <w:spacing w:after="0"/>
              <w:rPr>
                <w:sz w:val="20"/>
                <w:szCs w:val="20"/>
                <w:color w:val="auto"/>
              </w:rPr>
            </w:pPr>
            <w:r>
              <w:rPr>
                <w:rFonts w:ascii="Times New Roman" w:cs="Times New Roman" w:eastAsia="Times New Roman" w:hAnsi="Times New Roman"/>
                <w:sz w:val="13"/>
                <w:szCs w:val="13"/>
                <w:b w:val="1"/>
                <w:bCs w:val="1"/>
                <w:color w:val="auto"/>
              </w:rPr>
              <w:t>Nine Months Ended December 31, 2019</w:t>
            </w:r>
          </w:p>
        </w:tc>
        <w:tc>
          <w:tcPr>
            <w:tcW w:w="14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48"/>
        </w:trPr>
        <w:tc>
          <w:tcPr>
            <w:tcW w:w="26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760" w:type="dxa"/>
            <w:vAlign w:val="bottom"/>
            <w:gridSpan w:val="5"/>
          </w:tcPr>
          <w:p>
            <w:pPr>
              <w:ind w:left="380"/>
              <w:spacing w:after="0"/>
              <w:rPr>
                <w:sz w:val="20"/>
                <w:szCs w:val="20"/>
                <w:color w:val="auto"/>
              </w:rPr>
            </w:pPr>
            <w:r>
              <w:rPr>
                <w:rFonts w:ascii="Times New Roman" w:cs="Times New Roman" w:eastAsia="Times New Roman" w:hAnsi="Times New Roman"/>
                <w:sz w:val="13"/>
                <w:szCs w:val="13"/>
                <w:b w:val="1"/>
                <w:bCs w:val="1"/>
                <w:color w:val="auto"/>
              </w:rPr>
              <w:t>Common Stock</w:t>
            </w:r>
          </w:p>
        </w:tc>
        <w:tc>
          <w:tcPr>
            <w:tcW w:w="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60" w:type="dxa"/>
            <w:vAlign w:val="bottom"/>
            <w:gridSpan w:val="5"/>
          </w:tcPr>
          <w:p>
            <w:pPr>
              <w:ind w:left="420"/>
              <w:spacing w:after="0"/>
              <w:rPr>
                <w:sz w:val="20"/>
                <w:szCs w:val="20"/>
                <w:color w:val="auto"/>
              </w:rPr>
            </w:pPr>
            <w:r>
              <w:rPr>
                <w:rFonts w:ascii="Times New Roman" w:cs="Times New Roman" w:eastAsia="Times New Roman" w:hAnsi="Times New Roman"/>
                <w:sz w:val="13"/>
                <w:szCs w:val="13"/>
                <w:b w:val="1"/>
                <w:bCs w:val="1"/>
                <w:color w:val="auto"/>
              </w:rPr>
              <w:t>Treasury Stock</w:t>
            </w:r>
          </w:p>
        </w:tc>
        <w:tc>
          <w:tcPr>
            <w:tcW w:w="18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00" w:type="dxa"/>
            <w:vAlign w:val="bottom"/>
            <w:gridSpan w:val="2"/>
          </w:tcPr>
          <w:p>
            <w:pPr>
              <w:jc w:val="center"/>
              <w:ind w:right="240"/>
              <w:spacing w:after="0"/>
              <w:rPr>
                <w:sz w:val="20"/>
                <w:szCs w:val="20"/>
                <w:color w:val="auto"/>
              </w:rPr>
            </w:pPr>
            <w:r>
              <w:rPr>
                <w:rFonts w:ascii="Times New Roman" w:cs="Times New Roman" w:eastAsia="Times New Roman" w:hAnsi="Times New Roman"/>
                <w:sz w:val="13"/>
                <w:szCs w:val="13"/>
                <w:b w:val="1"/>
                <w:bCs w:val="1"/>
                <w:color w:val="auto"/>
              </w:rPr>
              <w:t>Accumulated</w:t>
            </w:r>
          </w:p>
        </w:tc>
        <w:tc>
          <w:tcPr>
            <w:tcW w:w="14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54"/>
        </w:trPr>
        <w:tc>
          <w:tcPr>
            <w:tcW w:w="2680" w:type="dxa"/>
            <w:vAlign w:val="bottom"/>
          </w:tcPr>
          <w:p>
            <w:pPr>
              <w:spacing w:after="0"/>
              <w:rPr>
                <w:sz w:val="4"/>
                <w:szCs w:val="4"/>
                <w:color w:val="auto"/>
              </w:rPr>
            </w:pPr>
          </w:p>
        </w:tc>
        <w:tc>
          <w:tcPr>
            <w:tcW w:w="100" w:type="dxa"/>
            <w:vAlign w:val="bottom"/>
          </w:tcPr>
          <w:p>
            <w:pPr>
              <w:spacing w:after="0"/>
              <w:rPr>
                <w:sz w:val="4"/>
                <w:szCs w:val="4"/>
                <w:color w:val="auto"/>
              </w:rPr>
            </w:pPr>
          </w:p>
        </w:tc>
        <w:tc>
          <w:tcPr>
            <w:tcW w:w="78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640" w:type="dxa"/>
            <w:vAlign w:val="bottom"/>
            <w:tcBorders>
              <w:bottom w:val="single" w:sz="8" w:color="auto"/>
            </w:tcBorders>
          </w:tcPr>
          <w:p>
            <w:pPr>
              <w:spacing w:after="0"/>
              <w:rPr>
                <w:sz w:val="4"/>
                <w:szCs w:val="4"/>
                <w:color w:val="auto"/>
              </w:rPr>
            </w:pPr>
          </w:p>
        </w:tc>
        <w:tc>
          <w:tcPr>
            <w:tcW w:w="120" w:type="dxa"/>
            <w:vAlign w:val="bottom"/>
          </w:tcPr>
          <w:p>
            <w:pPr>
              <w:spacing w:after="0"/>
              <w:rPr>
                <w:sz w:val="4"/>
                <w:szCs w:val="4"/>
                <w:color w:val="auto"/>
              </w:rPr>
            </w:pPr>
          </w:p>
        </w:tc>
        <w:tc>
          <w:tcPr>
            <w:tcW w:w="120" w:type="dxa"/>
            <w:vAlign w:val="bottom"/>
          </w:tcPr>
          <w:p>
            <w:pPr>
              <w:spacing w:after="0"/>
              <w:rPr>
                <w:sz w:val="4"/>
                <w:szCs w:val="4"/>
                <w:color w:val="auto"/>
              </w:rPr>
            </w:pPr>
          </w:p>
        </w:tc>
        <w:tc>
          <w:tcPr>
            <w:tcW w:w="900" w:type="dxa"/>
            <w:vAlign w:val="bottom"/>
            <w:gridSpan w:val="2"/>
            <w:vMerge w:val="restart"/>
          </w:tcPr>
          <w:p>
            <w:pPr>
              <w:jc w:val="center"/>
              <w:ind w:right="240"/>
              <w:spacing w:after="0" w:line="122" w:lineRule="exact"/>
              <w:rPr>
                <w:sz w:val="20"/>
                <w:szCs w:val="20"/>
                <w:color w:val="auto"/>
              </w:rPr>
            </w:pPr>
            <w:r>
              <w:rPr>
                <w:rFonts w:ascii="Times New Roman" w:cs="Times New Roman" w:eastAsia="Times New Roman" w:hAnsi="Times New Roman"/>
                <w:sz w:val="13"/>
                <w:szCs w:val="13"/>
                <w:b w:val="1"/>
                <w:bCs w:val="1"/>
                <w:color w:val="auto"/>
              </w:rPr>
              <w:t>Additional</w:t>
            </w:r>
          </w:p>
        </w:tc>
        <w:tc>
          <w:tcPr>
            <w:tcW w:w="76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120" w:type="dxa"/>
            <w:vAlign w:val="bottom"/>
          </w:tcPr>
          <w:p>
            <w:pPr>
              <w:spacing w:after="0"/>
              <w:rPr>
                <w:sz w:val="4"/>
                <w:szCs w:val="4"/>
                <w:color w:val="auto"/>
              </w:rPr>
            </w:pPr>
          </w:p>
        </w:tc>
        <w:tc>
          <w:tcPr>
            <w:tcW w:w="180" w:type="dxa"/>
            <w:vAlign w:val="bottom"/>
          </w:tcPr>
          <w:p>
            <w:pPr>
              <w:spacing w:after="0"/>
              <w:rPr>
                <w:sz w:val="4"/>
                <w:szCs w:val="4"/>
                <w:color w:val="auto"/>
              </w:rPr>
            </w:pPr>
          </w:p>
        </w:tc>
        <w:tc>
          <w:tcPr>
            <w:tcW w:w="1020" w:type="dxa"/>
            <w:vAlign w:val="bottom"/>
            <w:gridSpan w:val="2"/>
            <w:vMerge w:val="restart"/>
          </w:tcPr>
          <w:p>
            <w:pPr>
              <w:ind w:left="100"/>
              <w:spacing w:after="0"/>
              <w:rPr>
                <w:sz w:val="20"/>
                <w:szCs w:val="20"/>
                <w:color w:val="auto"/>
              </w:rPr>
            </w:pPr>
            <w:r>
              <w:rPr>
                <w:rFonts w:ascii="Times New Roman" w:cs="Times New Roman" w:eastAsia="Times New Roman" w:hAnsi="Times New Roman"/>
                <w:sz w:val="13"/>
                <w:szCs w:val="13"/>
                <w:b w:val="1"/>
                <w:bCs w:val="1"/>
                <w:color w:val="auto"/>
              </w:rPr>
              <w:t>Retained</w:t>
            </w:r>
          </w:p>
        </w:tc>
        <w:tc>
          <w:tcPr>
            <w:tcW w:w="140" w:type="dxa"/>
            <w:vAlign w:val="bottom"/>
          </w:tcPr>
          <w:p>
            <w:pPr>
              <w:spacing w:after="0"/>
              <w:rPr>
                <w:sz w:val="4"/>
                <w:szCs w:val="4"/>
                <w:color w:val="auto"/>
              </w:rPr>
            </w:pPr>
          </w:p>
        </w:tc>
        <w:tc>
          <w:tcPr>
            <w:tcW w:w="1200" w:type="dxa"/>
            <w:vAlign w:val="bottom"/>
            <w:gridSpan w:val="2"/>
            <w:vMerge w:val="restart"/>
          </w:tcPr>
          <w:p>
            <w:pPr>
              <w:jc w:val="center"/>
              <w:ind w:right="220"/>
              <w:spacing w:after="0" w:line="122" w:lineRule="exact"/>
              <w:rPr>
                <w:sz w:val="20"/>
                <w:szCs w:val="20"/>
                <w:color w:val="auto"/>
              </w:rPr>
            </w:pPr>
            <w:r>
              <w:rPr>
                <w:rFonts w:ascii="Times New Roman" w:cs="Times New Roman" w:eastAsia="Times New Roman" w:hAnsi="Times New Roman"/>
                <w:sz w:val="13"/>
                <w:szCs w:val="13"/>
                <w:b w:val="1"/>
                <w:bCs w:val="1"/>
                <w:color w:val="auto"/>
              </w:rPr>
              <w:t>Other</w:t>
            </w:r>
          </w:p>
        </w:tc>
        <w:tc>
          <w:tcPr>
            <w:tcW w:w="140" w:type="dxa"/>
            <w:vAlign w:val="bottom"/>
          </w:tcPr>
          <w:p>
            <w:pPr>
              <w:spacing w:after="0"/>
              <w:rPr>
                <w:sz w:val="4"/>
                <w:szCs w:val="4"/>
                <w:color w:val="auto"/>
              </w:rPr>
            </w:pPr>
          </w:p>
        </w:tc>
        <w:tc>
          <w:tcPr>
            <w:tcW w:w="1020" w:type="dxa"/>
            <w:vAlign w:val="bottom"/>
            <w:vMerge w:val="restart"/>
          </w:tcPr>
          <w:p>
            <w:pPr>
              <w:jc w:val="center"/>
              <w:ind w:right="53"/>
              <w:spacing w:after="0" w:line="122" w:lineRule="exact"/>
              <w:rPr>
                <w:sz w:val="20"/>
                <w:szCs w:val="20"/>
                <w:color w:val="auto"/>
              </w:rPr>
            </w:pPr>
            <w:r>
              <w:rPr>
                <w:rFonts w:ascii="Times New Roman" w:cs="Times New Roman" w:eastAsia="Times New Roman" w:hAnsi="Times New Roman"/>
                <w:sz w:val="13"/>
                <w:szCs w:val="13"/>
                <w:b w:val="1"/>
                <w:bCs w:val="1"/>
                <w:color w:val="auto"/>
              </w:rPr>
              <w:t>Total</w:t>
            </w:r>
          </w:p>
        </w:tc>
        <w:tc>
          <w:tcPr>
            <w:tcW w:w="0" w:type="dxa"/>
            <w:vAlign w:val="bottom"/>
          </w:tcPr>
          <w:p>
            <w:pPr>
              <w:spacing w:after="0"/>
              <w:rPr>
                <w:sz w:val="1"/>
                <w:szCs w:val="1"/>
                <w:color w:val="auto"/>
              </w:rPr>
            </w:pPr>
          </w:p>
        </w:tc>
      </w:tr>
      <w:tr>
        <w:trPr>
          <w:trHeight w:val="48"/>
        </w:trPr>
        <w:tc>
          <w:tcPr>
            <w:tcW w:w="2680" w:type="dxa"/>
            <w:vAlign w:val="bottom"/>
          </w:tcPr>
          <w:p>
            <w:pPr>
              <w:spacing w:after="0"/>
              <w:rPr>
                <w:sz w:val="4"/>
                <w:szCs w:val="4"/>
                <w:color w:val="auto"/>
              </w:rPr>
            </w:pPr>
          </w:p>
        </w:tc>
        <w:tc>
          <w:tcPr>
            <w:tcW w:w="100" w:type="dxa"/>
            <w:vAlign w:val="bottom"/>
          </w:tcPr>
          <w:p>
            <w:pPr>
              <w:spacing w:after="0"/>
              <w:rPr>
                <w:sz w:val="4"/>
                <w:szCs w:val="4"/>
                <w:color w:val="auto"/>
              </w:rPr>
            </w:pPr>
          </w:p>
        </w:tc>
        <w:tc>
          <w:tcPr>
            <w:tcW w:w="7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640" w:type="dxa"/>
            <w:vAlign w:val="bottom"/>
          </w:tcPr>
          <w:p>
            <w:pPr>
              <w:spacing w:after="0"/>
              <w:rPr>
                <w:sz w:val="4"/>
                <w:szCs w:val="4"/>
                <w:color w:val="auto"/>
              </w:rPr>
            </w:pPr>
          </w:p>
        </w:tc>
        <w:tc>
          <w:tcPr>
            <w:tcW w:w="120" w:type="dxa"/>
            <w:vAlign w:val="bottom"/>
          </w:tcPr>
          <w:p>
            <w:pPr>
              <w:spacing w:after="0"/>
              <w:rPr>
                <w:sz w:val="4"/>
                <w:szCs w:val="4"/>
                <w:color w:val="auto"/>
              </w:rPr>
            </w:pPr>
          </w:p>
        </w:tc>
        <w:tc>
          <w:tcPr>
            <w:tcW w:w="120" w:type="dxa"/>
            <w:vAlign w:val="bottom"/>
          </w:tcPr>
          <w:p>
            <w:pPr>
              <w:spacing w:after="0"/>
              <w:rPr>
                <w:sz w:val="4"/>
                <w:szCs w:val="4"/>
                <w:color w:val="auto"/>
              </w:rPr>
            </w:pPr>
          </w:p>
        </w:tc>
        <w:tc>
          <w:tcPr>
            <w:tcW w:w="900" w:type="dxa"/>
            <w:vAlign w:val="bottom"/>
            <w:gridSpan w:val="2"/>
            <w:vMerge w:val="continue"/>
          </w:tcPr>
          <w:p>
            <w:pPr>
              <w:spacing w:after="0"/>
              <w:rPr>
                <w:sz w:val="4"/>
                <w:szCs w:val="4"/>
                <w:color w:val="auto"/>
              </w:rPr>
            </w:pPr>
          </w:p>
        </w:tc>
        <w:tc>
          <w:tcPr>
            <w:tcW w:w="760" w:type="dxa"/>
            <w:vAlign w:val="bottom"/>
          </w:tcPr>
          <w:p>
            <w:pPr>
              <w:spacing w:after="0"/>
              <w:rPr>
                <w:sz w:val="4"/>
                <w:szCs w:val="4"/>
                <w:color w:val="auto"/>
              </w:rPr>
            </w:pPr>
          </w:p>
        </w:tc>
        <w:tc>
          <w:tcPr>
            <w:tcW w:w="100" w:type="dxa"/>
            <w:vAlign w:val="bottom"/>
          </w:tcPr>
          <w:p>
            <w:pPr>
              <w:spacing w:after="0"/>
              <w:rPr>
                <w:sz w:val="4"/>
                <w:szCs w:val="4"/>
                <w:color w:val="auto"/>
              </w:rPr>
            </w:pPr>
          </w:p>
        </w:tc>
        <w:tc>
          <w:tcPr>
            <w:tcW w:w="160" w:type="dxa"/>
            <w:vAlign w:val="bottom"/>
          </w:tcPr>
          <w:p>
            <w:pPr>
              <w:spacing w:after="0"/>
              <w:rPr>
                <w:sz w:val="4"/>
                <w:szCs w:val="4"/>
                <w:color w:val="auto"/>
              </w:rPr>
            </w:pPr>
          </w:p>
        </w:tc>
        <w:tc>
          <w:tcPr>
            <w:tcW w:w="720" w:type="dxa"/>
            <w:vAlign w:val="bottom"/>
          </w:tcPr>
          <w:p>
            <w:pPr>
              <w:spacing w:after="0"/>
              <w:rPr>
                <w:sz w:val="4"/>
                <w:szCs w:val="4"/>
                <w:color w:val="auto"/>
              </w:rPr>
            </w:pPr>
          </w:p>
        </w:tc>
        <w:tc>
          <w:tcPr>
            <w:tcW w:w="120" w:type="dxa"/>
            <w:vAlign w:val="bottom"/>
          </w:tcPr>
          <w:p>
            <w:pPr>
              <w:spacing w:after="0"/>
              <w:rPr>
                <w:sz w:val="4"/>
                <w:szCs w:val="4"/>
                <w:color w:val="auto"/>
              </w:rPr>
            </w:pPr>
          </w:p>
        </w:tc>
        <w:tc>
          <w:tcPr>
            <w:tcW w:w="180" w:type="dxa"/>
            <w:vAlign w:val="bottom"/>
          </w:tcPr>
          <w:p>
            <w:pPr>
              <w:spacing w:after="0"/>
              <w:rPr>
                <w:sz w:val="4"/>
                <w:szCs w:val="4"/>
                <w:color w:val="auto"/>
              </w:rPr>
            </w:pPr>
          </w:p>
        </w:tc>
        <w:tc>
          <w:tcPr>
            <w:tcW w:w="1020" w:type="dxa"/>
            <w:vAlign w:val="bottom"/>
            <w:gridSpan w:val="2"/>
            <w:vMerge w:val="continue"/>
          </w:tcPr>
          <w:p>
            <w:pPr>
              <w:spacing w:after="0"/>
              <w:rPr>
                <w:sz w:val="4"/>
                <w:szCs w:val="4"/>
                <w:color w:val="auto"/>
              </w:rPr>
            </w:pPr>
          </w:p>
        </w:tc>
        <w:tc>
          <w:tcPr>
            <w:tcW w:w="140" w:type="dxa"/>
            <w:vAlign w:val="bottom"/>
          </w:tcPr>
          <w:p>
            <w:pPr>
              <w:spacing w:after="0"/>
              <w:rPr>
                <w:sz w:val="4"/>
                <w:szCs w:val="4"/>
                <w:color w:val="auto"/>
              </w:rPr>
            </w:pPr>
          </w:p>
        </w:tc>
        <w:tc>
          <w:tcPr>
            <w:tcW w:w="1200" w:type="dxa"/>
            <w:vAlign w:val="bottom"/>
            <w:gridSpan w:val="2"/>
            <w:vMerge w:val="continue"/>
          </w:tcPr>
          <w:p>
            <w:pPr>
              <w:spacing w:after="0"/>
              <w:rPr>
                <w:sz w:val="4"/>
                <w:szCs w:val="4"/>
                <w:color w:val="auto"/>
              </w:rPr>
            </w:pPr>
          </w:p>
        </w:tc>
        <w:tc>
          <w:tcPr>
            <w:tcW w:w="140" w:type="dxa"/>
            <w:vAlign w:val="bottom"/>
          </w:tcPr>
          <w:p>
            <w:pPr>
              <w:spacing w:after="0"/>
              <w:rPr>
                <w:sz w:val="4"/>
                <w:szCs w:val="4"/>
                <w:color w:val="auto"/>
              </w:rPr>
            </w:pPr>
          </w:p>
        </w:tc>
        <w:tc>
          <w:tcPr>
            <w:tcW w:w="102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35"/>
        </w:trPr>
        <w:tc>
          <w:tcPr>
            <w:tcW w:w="26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80" w:type="dxa"/>
            <w:vAlign w:val="bottom"/>
            <w:gridSpan w:val="2"/>
            <w:vMerge w:val="restart"/>
          </w:tcPr>
          <w:p>
            <w:pPr>
              <w:ind w:left="200"/>
              <w:spacing w:after="0"/>
              <w:rPr>
                <w:sz w:val="20"/>
                <w:szCs w:val="20"/>
                <w:color w:val="auto"/>
              </w:rPr>
            </w:pPr>
            <w:r>
              <w:rPr>
                <w:rFonts w:ascii="Times New Roman" w:cs="Times New Roman" w:eastAsia="Times New Roman" w:hAnsi="Times New Roman"/>
                <w:sz w:val="13"/>
                <w:szCs w:val="13"/>
                <w:b w:val="1"/>
                <w:bCs w:val="1"/>
                <w:color w:val="auto"/>
              </w:rPr>
              <w:t>Shares</w:t>
            </w:r>
          </w:p>
        </w:tc>
        <w:tc>
          <w:tcPr>
            <w:tcW w:w="120" w:type="dxa"/>
            <w:vAlign w:val="bottom"/>
          </w:tcPr>
          <w:p>
            <w:pPr>
              <w:spacing w:after="0"/>
              <w:rPr>
                <w:sz w:val="11"/>
                <w:szCs w:val="11"/>
                <w:color w:val="auto"/>
              </w:rPr>
            </w:pPr>
          </w:p>
        </w:tc>
        <w:tc>
          <w:tcPr>
            <w:tcW w:w="760" w:type="dxa"/>
            <w:vAlign w:val="bottom"/>
            <w:gridSpan w:val="2"/>
            <w:vMerge w:val="restart"/>
          </w:tcPr>
          <w:p>
            <w:pPr>
              <w:ind w:left="20"/>
              <w:spacing w:after="0"/>
              <w:rPr>
                <w:sz w:val="20"/>
                <w:szCs w:val="20"/>
                <w:color w:val="auto"/>
              </w:rPr>
            </w:pPr>
            <w:r>
              <w:rPr>
                <w:rFonts w:ascii="Times New Roman" w:cs="Times New Roman" w:eastAsia="Times New Roman" w:hAnsi="Times New Roman"/>
                <w:sz w:val="13"/>
                <w:szCs w:val="13"/>
                <w:b w:val="1"/>
                <w:bCs w:val="1"/>
                <w:color w:val="auto"/>
              </w:rPr>
              <w:t>Amount</w:t>
            </w:r>
          </w:p>
        </w:tc>
        <w:tc>
          <w:tcPr>
            <w:tcW w:w="120" w:type="dxa"/>
            <w:vAlign w:val="bottom"/>
          </w:tcPr>
          <w:p>
            <w:pPr>
              <w:spacing w:after="0"/>
              <w:rPr>
                <w:sz w:val="11"/>
                <w:szCs w:val="11"/>
                <w:color w:val="auto"/>
              </w:rPr>
            </w:pPr>
          </w:p>
        </w:tc>
        <w:tc>
          <w:tcPr>
            <w:tcW w:w="900" w:type="dxa"/>
            <w:vAlign w:val="bottom"/>
            <w:gridSpan w:val="2"/>
          </w:tcPr>
          <w:p>
            <w:pPr>
              <w:jc w:val="center"/>
              <w:ind w:right="240"/>
              <w:spacing w:after="0" w:line="135" w:lineRule="exact"/>
              <w:rPr>
                <w:sz w:val="20"/>
                <w:szCs w:val="20"/>
                <w:color w:val="auto"/>
              </w:rPr>
            </w:pPr>
            <w:r>
              <w:rPr>
                <w:rFonts w:ascii="Times New Roman" w:cs="Times New Roman" w:eastAsia="Times New Roman" w:hAnsi="Times New Roman"/>
                <w:sz w:val="13"/>
                <w:szCs w:val="13"/>
                <w:b w:val="1"/>
                <w:bCs w:val="1"/>
                <w:color w:val="auto"/>
              </w:rPr>
              <w:t>Paid-in</w:t>
            </w:r>
          </w:p>
        </w:tc>
        <w:tc>
          <w:tcPr>
            <w:tcW w:w="860" w:type="dxa"/>
            <w:vAlign w:val="bottom"/>
            <w:gridSpan w:val="2"/>
            <w:vMerge w:val="restart"/>
          </w:tcPr>
          <w:p>
            <w:pPr>
              <w:ind w:left="180"/>
              <w:spacing w:after="0"/>
              <w:rPr>
                <w:sz w:val="20"/>
                <w:szCs w:val="20"/>
                <w:color w:val="auto"/>
              </w:rPr>
            </w:pPr>
            <w:r>
              <w:rPr>
                <w:rFonts w:ascii="Times New Roman" w:cs="Times New Roman" w:eastAsia="Times New Roman" w:hAnsi="Times New Roman"/>
                <w:sz w:val="13"/>
                <w:szCs w:val="13"/>
                <w:b w:val="1"/>
                <w:bCs w:val="1"/>
                <w:color w:val="auto"/>
              </w:rPr>
              <w:t>Shares</w:t>
            </w:r>
          </w:p>
        </w:tc>
        <w:tc>
          <w:tcPr>
            <w:tcW w:w="160" w:type="dxa"/>
            <w:vAlign w:val="bottom"/>
          </w:tcPr>
          <w:p>
            <w:pPr>
              <w:spacing w:after="0"/>
              <w:rPr>
                <w:sz w:val="11"/>
                <w:szCs w:val="11"/>
                <w:color w:val="auto"/>
              </w:rPr>
            </w:pPr>
          </w:p>
        </w:tc>
        <w:tc>
          <w:tcPr>
            <w:tcW w:w="840" w:type="dxa"/>
            <w:vAlign w:val="bottom"/>
            <w:gridSpan w:val="2"/>
            <w:vMerge w:val="restart"/>
          </w:tcPr>
          <w:p>
            <w:pPr>
              <w:ind w:left="60"/>
              <w:spacing w:after="0"/>
              <w:rPr>
                <w:sz w:val="20"/>
                <w:szCs w:val="20"/>
                <w:color w:val="auto"/>
              </w:rPr>
            </w:pPr>
            <w:r>
              <w:rPr>
                <w:rFonts w:ascii="Times New Roman" w:cs="Times New Roman" w:eastAsia="Times New Roman" w:hAnsi="Times New Roman"/>
                <w:sz w:val="13"/>
                <w:szCs w:val="13"/>
                <w:b w:val="1"/>
                <w:bCs w:val="1"/>
                <w:color w:val="auto"/>
              </w:rPr>
              <w:t>Amount</w:t>
            </w:r>
          </w:p>
        </w:tc>
        <w:tc>
          <w:tcPr>
            <w:tcW w:w="180" w:type="dxa"/>
            <w:vAlign w:val="bottom"/>
          </w:tcPr>
          <w:p>
            <w:pPr>
              <w:spacing w:after="0"/>
              <w:rPr>
                <w:sz w:val="11"/>
                <w:szCs w:val="11"/>
                <w:color w:val="auto"/>
              </w:rPr>
            </w:pPr>
          </w:p>
        </w:tc>
        <w:tc>
          <w:tcPr>
            <w:tcW w:w="1020" w:type="dxa"/>
            <w:vAlign w:val="bottom"/>
            <w:gridSpan w:val="2"/>
            <w:vMerge w:val="continue"/>
          </w:tcPr>
          <w:p>
            <w:pPr>
              <w:spacing w:after="0"/>
              <w:rPr>
                <w:sz w:val="11"/>
                <w:szCs w:val="11"/>
                <w:color w:val="auto"/>
              </w:rPr>
            </w:pPr>
          </w:p>
        </w:tc>
        <w:tc>
          <w:tcPr>
            <w:tcW w:w="140" w:type="dxa"/>
            <w:vAlign w:val="bottom"/>
          </w:tcPr>
          <w:p>
            <w:pPr>
              <w:spacing w:after="0"/>
              <w:rPr>
                <w:sz w:val="11"/>
                <w:szCs w:val="11"/>
                <w:color w:val="auto"/>
              </w:rPr>
            </w:pPr>
          </w:p>
        </w:tc>
        <w:tc>
          <w:tcPr>
            <w:tcW w:w="1200" w:type="dxa"/>
            <w:vAlign w:val="bottom"/>
            <w:gridSpan w:val="2"/>
          </w:tcPr>
          <w:p>
            <w:pPr>
              <w:jc w:val="center"/>
              <w:ind w:right="220"/>
              <w:spacing w:after="0" w:line="135" w:lineRule="exact"/>
              <w:rPr>
                <w:sz w:val="20"/>
                <w:szCs w:val="20"/>
                <w:color w:val="auto"/>
              </w:rPr>
            </w:pPr>
            <w:r>
              <w:rPr>
                <w:rFonts w:ascii="Times New Roman" w:cs="Times New Roman" w:eastAsia="Times New Roman" w:hAnsi="Times New Roman"/>
                <w:sz w:val="13"/>
                <w:szCs w:val="13"/>
                <w:b w:val="1"/>
                <w:bCs w:val="1"/>
                <w:color w:val="auto"/>
              </w:rPr>
              <w:t>Comprehensive</w:t>
            </w:r>
          </w:p>
        </w:tc>
        <w:tc>
          <w:tcPr>
            <w:tcW w:w="140" w:type="dxa"/>
            <w:vAlign w:val="bottom"/>
          </w:tcPr>
          <w:p>
            <w:pPr>
              <w:spacing w:after="0"/>
              <w:rPr>
                <w:sz w:val="11"/>
                <w:szCs w:val="11"/>
                <w:color w:val="auto"/>
              </w:rPr>
            </w:pPr>
          </w:p>
        </w:tc>
        <w:tc>
          <w:tcPr>
            <w:tcW w:w="1020" w:type="dxa"/>
            <w:vAlign w:val="bottom"/>
          </w:tcPr>
          <w:p>
            <w:pPr>
              <w:jc w:val="center"/>
              <w:ind w:right="53"/>
              <w:spacing w:after="0" w:line="135" w:lineRule="exact"/>
              <w:rPr>
                <w:sz w:val="20"/>
                <w:szCs w:val="20"/>
                <w:color w:val="auto"/>
              </w:rPr>
            </w:pPr>
            <w:r>
              <w:rPr>
                <w:rFonts w:ascii="Times New Roman" w:cs="Times New Roman" w:eastAsia="Times New Roman" w:hAnsi="Times New Roman"/>
                <w:sz w:val="13"/>
                <w:szCs w:val="13"/>
                <w:b w:val="1"/>
                <w:bCs w:val="1"/>
                <w:color w:val="auto"/>
              </w:rPr>
              <w:t>Stockholders'</w:t>
            </w:r>
          </w:p>
        </w:tc>
        <w:tc>
          <w:tcPr>
            <w:tcW w:w="0" w:type="dxa"/>
            <w:vAlign w:val="bottom"/>
          </w:tcPr>
          <w:p>
            <w:pPr>
              <w:spacing w:after="0"/>
              <w:rPr>
                <w:sz w:val="1"/>
                <w:szCs w:val="1"/>
                <w:color w:val="auto"/>
              </w:rPr>
            </w:pPr>
          </w:p>
        </w:tc>
      </w:tr>
      <w:tr>
        <w:trPr>
          <w:trHeight w:val="184"/>
        </w:trPr>
        <w:tc>
          <w:tcPr>
            <w:tcW w:w="26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8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76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900" w:type="dxa"/>
            <w:vAlign w:val="bottom"/>
            <w:gridSpan w:val="2"/>
          </w:tcPr>
          <w:p>
            <w:pPr>
              <w:jc w:val="center"/>
              <w:ind w:right="240"/>
              <w:spacing w:after="0"/>
              <w:rPr>
                <w:sz w:val="20"/>
                <w:szCs w:val="20"/>
                <w:color w:val="auto"/>
              </w:rPr>
            </w:pPr>
            <w:r>
              <w:rPr>
                <w:rFonts w:ascii="Times New Roman" w:cs="Times New Roman" w:eastAsia="Times New Roman" w:hAnsi="Times New Roman"/>
                <w:sz w:val="13"/>
                <w:szCs w:val="13"/>
                <w:b w:val="1"/>
                <w:bCs w:val="1"/>
                <w:color w:val="auto"/>
              </w:rPr>
              <w:t>Capital</w:t>
            </w:r>
          </w:p>
        </w:tc>
        <w:tc>
          <w:tcPr>
            <w:tcW w:w="860" w:type="dxa"/>
            <w:vAlign w:val="bottom"/>
            <w:gridSpan w:val="2"/>
            <w:vMerge w:val="continue"/>
          </w:tcPr>
          <w:p>
            <w:pPr>
              <w:spacing w:after="0"/>
              <w:rPr>
                <w:sz w:val="15"/>
                <w:szCs w:val="15"/>
                <w:color w:val="auto"/>
              </w:rPr>
            </w:pPr>
          </w:p>
        </w:tc>
        <w:tc>
          <w:tcPr>
            <w:tcW w:w="160" w:type="dxa"/>
            <w:vAlign w:val="bottom"/>
          </w:tcPr>
          <w:p>
            <w:pPr>
              <w:spacing w:after="0"/>
              <w:rPr>
                <w:sz w:val="15"/>
                <w:szCs w:val="15"/>
                <w:color w:val="auto"/>
              </w:rPr>
            </w:pPr>
          </w:p>
        </w:tc>
        <w:tc>
          <w:tcPr>
            <w:tcW w:w="840" w:type="dxa"/>
            <w:vAlign w:val="bottom"/>
            <w:gridSpan w:val="2"/>
            <w:vMerge w:val="continue"/>
          </w:tcPr>
          <w:p>
            <w:pPr>
              <w:spacing w:after="0"/>
              <w:rPr>
                <w:sz w:val="15"/>
                <w:szCs w:val="15"/>
                <w:color w:val="auto"/>
              </w:rPr>
            </w:pPr>
          </w:p>
        </w:tc>
        <w:tc>
          <w:tcPr>
            <w:tcW w:w="180" w:type="dxa"/>
            <w:vAlign w:val="bottom"/>
          </w:tcPr>
          <w:p>
            <w:pPr>
              <w:spacing w:after="0"/>
              <w:rPr>
                <w:sz w:val="15"/>
                <w:szCs w:val="15"/>
                <w:color w:val="auto"/>
              </w:rPr>
            </w:pPr>
          </w:p>
        </w:tc>
        <w:tc>
          <w:tcPr>
            <w:tcW w:w="1020" w:type="dxa"/>
            <w:vAlign w:val="bottom"/>
            <w:gridSpan w:val="2"/>
          </w:tcPr>
          <w:p>
            <w:pPr>
              <w:ind w:left="100"/>
              <w:spacing w:after="0"/>
              <w:rPr>
                <w:sz w:val="20"/>
                <w:szCs w:val="20"/>
                <w:color w:val="auto"/>
              </w:rPr>
            </w:pPr>
            <w:r>
              <w:rPr>
                <w:rFonts w:ascii="Times New Roman" w:cs="Times New Roman" w:eastAsia="Times New Roman" w:hAnsi="Times New Roman"/>
                <w:sz w:val="13"/>
                <w:szCs w:val="13"/>
                <w:b w:val="1"/>
                <w:bCs w:val="1"/>
                <w:color w:val="auto"/>
              </w:rPr>
              <w:t>Earnings</w:t>
            </w:r>
          </w:p>
        </w:tc>
        <w:tc>
          <w:tcPr>
            <w:tcW w:w="140" w:type="dxa"/>
            <w:vAlign w:val="bottom"/>
          </w:tcPr>
          <w:p>
            <w:pPr>
              <w:spacing w:after="0"/>
              <w:rPr>
                <w:sz w:val="15"/>
                <w:szCs w:val="15"/>
                <w:color w:val="auto"/>
              </w:rPr>
            </w:pPr>
          </w:p>
        </w:tc>
        <w:tc>
          <w:tcPr>
            <w:tcW w:w="1200" w:type="dxa"/>
            <w:vAlign w:val="bottom"/>
            <w:gridSpan w:val="2"/>
          </w:tcPr>
          <w:p>
            <w:pPr>
              <w:jc w:val="center"/>
              <w:ind w:right="240"/>
              <w:spacing w:after="0"/>
              <w:rPr>
                <w:sz w:val="20"/>
                <w:szCs w:val="20"/>
                <w:color w:val="auto"/>
              </w:rPr>
            </w:pPr>
            <w:r>
              <w:rPr>
                <w:rFonts w:ascii="Times New Roman" w:cs="Times New Roman" w:eastAsia="Times New Roman" w:hAnsi="Times New Roman"/>
                <w:sz w:val="13"/>
                <w:szCs w:val="13"/>
                <w:b w:val="1"/>
                <w:bCs w:val="1"/>
                <w:color w:val="auto"/>
              </w:rPr>
              <w:t>Income (Loss)</w:t>
            </w:r>
          </w:p>
        </w:tc>
        <w:tc>
          <w:tcPr>
            <w:tcW w:w="140" w:type="dxa"/>
            <w:vAlign w:val="bottom"/>
          </w:tcPr>
          <w:p>
            <w:pPr>
              <w:spacing w:after="0"/>
              <w:rPr>
                <w:sz w:val="15"/>
                <w:szCs w:val="15"/>
                <w:color w:val="auto"/>
              </w:rPr>
            </w:pPr>
          </w:p>
        </w:tc>
        <w:tc>
          <w:tcPr>
            <w:tcW w:w="1020" w:type="dxa"/>
            <w:vAlign w:val="bottom"/>
          </w:tcPr>
          <w:p>
            <w:pPr>
              <w:jc w:val="center"/>
              <w:ind w:right="53"/>
              <w:spacing w:after="0"/>
              <w:rPr>
                <w:sz w:val="20"/>
                <w:szCs w:val="20"/>
                <w:color w:val="auto"/>
              </w:rPr>
            </w:pPr>
            <w:r>
              <w:rPr>
                <w:rFonts w:ascii="Times New Roman" w:cs="Times New Roman" w:eastAsia="Times New Roman" w:hAnsi="Times New Roman"/>
                <w:sz w:val="13"/>
                <w:szCs w:val="13"/>
                <w:b w:val="1"/>
                <w:bCs w:val="1"/>
                <w:color w:val="auto"/>
              </w:rPr>
              <w:t>Equity</w:t>
            </w:r>
          </w:p>
        </w:tc>
        <w:tc>
          <w:tcPr>
            <w:tcW w:w="0" w:type="dxa"/>
            <w:vAlign w:val="bottom"/>
          </w:tcPr>
          <w:p>
            <w:pPr>
              <w:spacing w:after="0"/>
              <w:rPr>
                <w:sz w:val="1"/>
                <w:szCs w:val="1"/>
                <w:color w:val="auto"/>
              </w:rPr>
            </w:pPr>
          </w:p>
        </w:tc>
      </w:tr>
      <w:tr>
        <w:trPr>
          <w:trHeight w:val="181"/>
        </w:trPr>
        <w:tc>
          <w:tcPr>
            <w:tcW w:w="2780" w:type="dxa"/>
            <w:vAlign w:val="bottom"/>
            <w:gridSpan w:val="2"/>
          </w:tcPr>
          <w:p>
            <w:pPr>
              <w:ind w:left="20"/>
              <w:spacing w:after="0"/>
              <w:rPr>
                <w:sz w:val="20"/>
                <w:szCs w:val="20"/>
                <w:color w:val="auto"/>
              </w:rPr>
            </w:pPr>
            <w:r>
              <w:rPr>
                <w:rFonts w:ascii="Times New Roman" w:cs="Times New Roman" w:eastAsia="Times New Roman" w:hAnsi="Times New Roman"/>
                <w:sz w:val="13"/>
                <w:szCs w:val="13"/>
                <w:color w:val="auto"/>
              </w:rPr>
              <w:t>Balance, March 31, 2019</w:t>
            </w:r>
          </w:p>
        </w:tc>
        <w:tc>
          <w:tcPr>
            <w:tcW w:w="7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134,602</w:t>
            </w:r>
          </w:p>
        </w:tc>
        <w:tc>
          <w:tcPr>
            <w:tcW w:w="100" w:type="dxa"/>
            <w:vAlign w:val="bottom"/>
          </w:tcPr>
          <w:p>
            <w:pPr>
              <w:spacing w:after="0"/>
              <w:rPr>
                <w:sz w:val="15"/>
                <w:szCs w:val="15"/>
                <w:color w:val="auto"/>
              </w:rPr>
            </w:pPr>
          </w:p>
        </w:tc>
        <w:tc>
          <w:tcPr>
            <w:tcW w:w="1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6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1,346</w:t>
            </w:r>
          </w:p>
        </w:tc>
        <w:tc>
          <w:tcPr>
            <w:tcW w:w="120" w:type="dxa"/>
            <w:vAlign w:val="bottom"/>
          </w:tcPr>
          <w:p>
            <w:pPr>
              <w:spacing w:after="0"/>
              <w:rPr>
                <w:sz w:val="15"/>
                <w:szCs w:val="15"/>
                <w:color w:val="auto"/>
              </w:rPr>
            </w:pPr>
          </w:p>
        </w:tc>
        <w:tc>
          <w:tcPr>
            <w:tcW w:w="1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7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2,019,369</w:t>
            </w:r>
          </w:p>
        </w:tc>
        <w:tc>
          <w:tcPr>
            <w:tcW w:w="120" w:type="dxa"/>
            <w:vAlign w:val="bottom"/>
          </w:tcPr>
          <w:p>
            <w:pPr>
              <w:spacing w:after="0"/>
              <w:rPr>
                <w:sz w:val="15"/>
                <w:szCs w:val="15"/>
                <w:color w:val="auto"/>
              </w:rPr>
            </w:pPr>
          </w:p>
        </w:tc>
        <w:tc>
          <w:tcPr>
            <w:tcW w:w="760" w:type="dxa"/>
            <w:vAlign w:val="bottom"/>
            <w:tcBorders>
              <w:top w:val="single" w:sz="8" w:color="auto"/>
            </w:tcBorders>
          </w:tcPr>
          <w:p>
            <w:pPr>
              <w:ind w:left="280"/>
              <w:spacing w:after="0"/>
              <w:rPr>
                <w:sz w:val="20"/>
                <w:szCs w:val="20"/>
                <w:color w:val="auto"/>
              </w:rPr>
            </w:pPr>
            <w:r>
              <w:rPr>
                <w:rFonts w:ascii="Times New Roman" w:cs="Times New Roman" w:eastAsia="Times New Roman" w:hAnsi="Times New Roman"/>
                <w:sz w:val="13"/>
                <w:szCs w:val="13"/>
                <w:color w:val="auto"/>
              </w:rPr>
              <w:t>(22,421)</w:t>
            </w:r>
          </w:p>
        </w:tc>
        <w:tc>
          <w:tcPr>
            <w:tcW w:w="100" w:type="dxa"/>
            <w:vAlign w:val="bottom"/>
          </w:tcPr>
          <w:p>
            <w:pPr>
              <w:spacing w:after="0"/>
              <w:rPr>
                <w:sz w:val="15"/>
                <w:szCs w:val="15"/>
                <w:color w:val="auto"/>
              </w:rPr>
            </w:pPr>
          </w:p>
        </w:tc>
        <w:tc>
          <w:tcPr>
            <w:tcW w:w="1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720" w:type="dxa"/>
            <w:vAlign w:val="bottom"/>
            <w:tcBorders>
              <w:top w:val="single" w:sz="8" w:color="auto"/>
            </w:tcBorders>
          </w:tcPr>
          <w:p>
            <w:pPr>
              <w:ind w:left="160"/>
              <w:spacing w:after="0"/>
              <w:rPr>
                <w:sz w:val="20"/>
                <w:szCs w:val="20"/>
                <w:color w:val="auto"/>
              </w:rPr>
            </w:pPr>
            <w:r>
              <w:rPr>
                <w:rFonts w:ascii="Times New Roman" w:cs="Times New Roman" w:eastAsia="Times New Roman" w:hAnsi="Times New Roman"/>
                <w:sz w:val="13"/>
                <w:szCs w:val="13"/>
                <w:color w:val="auto"/>
              </w:rPr>
              <w:t>(820,572)</w:t>
            </w:r>
          </w:p>
        </w:tc>
        <w:tc>
          <w:tcPr>
            <w:tcW w:w="120" w:type="dxa"/>
            <w:vAlign w:val="bottom"/>
          </w:tcPr>
          <w:p>
            <w:pPr>
              <w:spacing w:after="0"/>
              <w:rPr>
                <w:sz w:val="15"/>
                <w:szCs w:val="15"/>
                <w:color w:val="auto"/>
              </w:rPr>
            </w:pPr>
          </w:p>
        </w:tc>
        <w:tc>
          <w:tcPr>
            <w:tcW w:w="180" w:type="dxa"/>
            <w:vAlign w:val="bottom"/>
            <w:tcBorders>
              <w:top w:val="single" w:sz="8" w:color="auto"/>
            </w:tcBorders>
          </w:tcPr>
          <w:p>
            <w:pPr>
              <w:jc w:val="right"/>
              <w:ind w:right="33"/>
              <w:spacing w:after="0"/>
              <w:rPr>
                <w:sz w:val="20"/>
                <w:szCs w:val="20"/>
                <w:color w:val="auto"/>
              </w:rPr>
            </w:pPr>
            <w:r>
              <w:rPr>
                <w:rFonts w:ascii="Times New Roman" w:cs="Times New Roman" w:eastAsia="Times New Roman" w:hAnsi="Times New Roman"/>
                <w:sz w:val="13"/>
                <w:szCs w:val="13"/>
                <w:color w:val="auto"/>
                <w:w w:val="91"/>
              </w:rPr>
              <w:t>$</w:t>
            </w:r>
          </w:p>
        </w:tc>
        <w:tc>
          <w:tcPr>
            <w:tcW w:w="9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877,626</w:t>
            </w:r>
          </w:p>
        </w:tc>
        <w:tc>
          <w:tcPr>
            <w:tcW w:w="100" w:type="dxa"/>
            <w:vAlign w:val="bottom"/>
          </w:tcPr>
          <w:p>
            <w:pPr>
              <w:spacing w:after="0"/>
              <w:rPr>
                <w:sz w:val="15"/>
                <w:szCs w:val="15"/>
                <w:color w:val="auto"/>
              </w:rPr>
            </w:pPr>
          </w:p>
        </w:tc>
        <w:tc>
          <w:tcPr>
            <w:tcW w:w="1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1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(37,189)</w:t>
            </w:r>
          </w:p>
        </w:tc>
        <w:tc>
          <w:tcPr>
            <w:tcW w:w="100" w:type="dxa"/>
            <w:vAlign w:val="bottom"/>
          </w:tcPr>
          <w:p>
            <w:pPr>
              <w:spacing w:after="0"/>
              <w:rPr>
                <w:sz w:val="15"/>
                <w:szCs w:val="15"/>
                <w:color w:val="auto"/>
              </w:rPr>
            </w:pPr>
          </w:p>
        </w:tc>
        <w:tc>
          <w:tcPr>
            <w:tcW w:w="1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2,040,580</w:t>
            </w:r>
          </w:p>
        </w:tc>
        <w:tc>
          <w:tcPr>
            <w:tcW w:w="0" w:type="dxa"/>
            <w:vAlign w:val="bottom"/>
          </w:tcPr>
          <w:p>
            <w:pPr>
              <w:spacing w:after="0"/>
              <w:rPr>
                <w:sz w:val="1"/>
                <w:szCs w:val="1"/>
                <w:color w:val="auto"/>
              </w:rPr>
            </w:pPr>
          </w:p>
        </w:tc>
      </w:tr>
      <w:tr>
        <w:trPr>
          <w:trHeight w:val="196"/>
        </w:trPr>
        <w:tc>
          <w:tcPr>
            <w:tcW w:w="278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3"/>
                <w:szCs w:val="13"/>
                <w:color w:val="auto"/>
              </w:rPr>
              <w:t>Net income</w:t>
            </w:r>
          </w:p>
        </w:tc>
        <w:tc>
          <w:tcPr>
            <w:tcW w:w="8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CEEFF"/>
          </w:tcPr>
          <w:p>
            <w:pPr>
              <w:spacing w:after="0"/>
              <w:rPr>
                <w:sz w:val="17"/>
                <w:szCs w:val="17"/>
                <w:color w:val="auto"/>
              </w:rPr>
            </w:pPr>
          </w:p>
        </w:tc>
        <w:tc>
          <w:tcPr>
            <w:tcW w:w="76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CEEFF"/>
          </w:tcPr>
          <w:p>
            <w:pPr>
              <w:spacing w:after="0"/>
              <w:rPr>
                <w:sz w:val="17"/>
                <w:szCs w:val="17"/>
                <w:color w:val="auto"/>
              </w:rPr>
            </w:pPr>
          </w:p>
        </w:tc>
        <w:tc>
          <w:tcPr>
            <w:tcW w:w="90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860" w:type="dxa"/>
            <w:vAlign w:val="bottom"/>
            <w:gridSpan w:val="2"/>
            <w:shd w:val="clear" w:color="auto" w:fill="CCEEFF"/>
          </w:tcPr>
          <w:p>
            <w:pPr>
              <w:ind w:left="560"/>
              <w:spacing w:after="0"/>
              <w:rPr>
                <w:sz w:val="20"/>
                <w:szCs w:val="20"/>
                <w:color w:val="auto"/>
              </w:rPr>
            </w:pPr>
            <w:r>
              <w:rPr>
                <w:rFonts w:ascii="Times New Roman" w:cs="Times New Roman" w:eastAsia="Times New Roman" w:hAnsi="Times New Roman"/>
                <w:sz w:val="13"/>
                <w:szCs w:val="13"/>
                <w:color w:val="auto"/>
              </w:rPr>
              <w:t>—</w:t>
            </w:r>
          </w:p>
        </w:tc>
        <w:tc>
          <w:tcPr>
            <w:tcW w:w="160" w:type="dxa"/>
            <w:vAlign w:val="bottom"/>
            <w:shd w:val="clear" w:color="auto" w:fill="CCEEFF"/>
          </w:tcPr>
          <w:p>
            <w:pPr>
              <w:spacing w:after="0"/>
              <w:rPr>
                <w:sz w:val="17"/>
                <w:szCs w:val="17"/>
                <w:color w:val="auto"/>
              </w:rPr>
            </w:pPr>
          </w:p>
        </w:tc>
        <w:tc>
          <w:tcPr>
            <w:tcW w:w="840" w:type="dxa"/>
            <w:vAlign w:val="bottom"/>
            <w:gridSpan w:val="2"/>
            <w:shd w:val="clear" w:color="auto" w:fill="CCEEFF"/>
          </w:tcPr>
          <w:p>
            <w:pPr>
              <w:ind w:left="520"/>
              <w:spacing w:after="0"/>
              <w:rPr>
                <w:sz w:val="20"/>
                <w:szCs w:val="20"/>
                <w:color w:val="auto"/>
              </w:rPr>
            </w:pPr>
            <w:r>
              <w:rPr>
                <w:rFonts w:ascii="Times New Roman" w:cs="Times New Roman" w:eastAsia="Times New Roman" w:hAnsi="Times New Roman"/>
                <w:sz w:val="13"/>
                <w:szCs w:val="13"/>
                <w:color w:val="auto"/>
              </w:rPr>
              <w:t>—</w:t>
            </w:r>
          </w:p>
        </w:tc>
        <w:tc>
          <w:tcPr>
            <w:tcW w:w="180" w:type="dxa"/>
            <w:vAlign w:val="bottom"/>
            <w:shd w:val="clear" w:color="auto" w:fill="CCEEFF"/>
          </w:tcPr>
          <w:p>
            <w:pPr>
              <w:spacing w:after="0"/>
              <w:rPr>
                <w:sz w:val="17"/>
                <w:szCs w:val="17"/>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281,737</w:t>
            </w: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2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CCEEFF"/>
          </w:tcPr>
          <w:p>
            <w:pPr>
              <w:spacing w:after="0"/>
              <w:rPr>
                <w:sz w:val="17"/>
                <w:szCs w:val="17"/>
                <w:color w:val="auto"/>
              </w:rPr>
            </w:pPr>
          </w:p>
        </w:tc>
        <w:tc>
          <w:tcPr>
            <w:tcW w:w="10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281,737</w:t>
            </w:r>
          </w:p>
        </w:tc>
        <w:tc>
          <w:tcPr>
            <w:tcW w:w="0" w:type="dxa"/>
            <w:vAlign w:val="bottom"/>
          </w:tcPr>
          <w:p>
            <w:pPr>
              <w:spacing w:after="0"/>
              <w:rPr>
                <w:sz w:val="1"/>
                <w:szCs w:val="1"/>
                <w:color w:val="auto"/>
              </w:rPr>
            </w:pPr>
          </w:p>
        </w:tc>
      </w:tr>
      <w:tr>
        <w:trPr>
          <w:trHeight w:val="121"/>
        </w:trPr>
        <w:tc>
          <w:tcPr>
            <w:tcW w:w="2780" w:type="dxa"/>
            <w:vAlign w:val="bottom"/>
            <w:gridSpan w:val="2"/>
          </w:tcPr>
          <w:p>
            <w:pPr>
              <w:ind w:left="20"/>
              <w:spacing w:after="0" w:line="122" w:lineRule="exact"/>
              <w:rPr>
                <w:sz w:val="20"/>
                <w:szCs w:val="20"/>
                <w:color w:val="auto"/>
              </w:rPr>
            </w:pPr>
            <w:r>
              <w:rPr>
                <w:rFonts w:ascii="Times New Roman" w:cs="Times New Roman" w:eastAsia="Times New Roman" w:hAnsi="Times New Roman"/>
                <w:sz w:val="13"/>
                <w:szCs w:val="13"/>
                <w:color w:val="auto"/>
              </w:rPr>
              <w:t>Change in cumulative foreign currency translation</w:t>
            </w:r>
          </w:p>
        </w:tc>
        <w:tc>
          <w:tcPr>
            <w:tcW w:w="88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0"/>
                <w:szCs w:val="10"/>
                <w:color w:val="auto"/>
              </w:rPr>
            </w:pPr>
          </w:p>
        </w:tc>
        <w:tc>
          <w:tcPr>
            <w:tcW w:w="76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0"/>
                <w:szCs w:val="10"/>
                <w:color w:val="auto"/>
              </w:rPr>
            </w:pPr>
          </w:p>
        </w:tc>
        <w:tc>
          <w:tcPr>
            <w:tcW w:w="90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860" w:type="dxa"/>
            <w:vAlign w:val="bottom"/>
            <w:gridSpan w:val="2"/>
            <w:vMerge w:val="restart"/>
          </w:tcPr>
          <w:p>
            <w:pPr>
              <w:ind w:left="560"/>
              <w:spacing w:after="0"/>
              <w:rPr>
                <w:sz w:val="20"/>
                <w:szCs w:val="20"/>
                <w:color w:val="auto"/>
              </w:rPr>
            </w:pPr>
            <w:r>
              <w:rPr>
                <w:rFonts w:ascii="Times New Roman" w:cs="Times New Roman" w:eastAsia="Times New Roman" w:hAnsi="Times New Roman"/>
                <w:sz w:val="13"/>
                <w:szCs w:val="13"/>
                <w:color w:val="auto"/>
              </w:rPr>
              <w:t>—</w:t>
            </w:r>
          </w:p>
        </w:tc>
        <w:tc>
          <w:tcPr>
            <w:tcW w:w="160" w:type="dxa"/>
            <w:vAlign w:val="bottom"/>
          </w:tcPr>
          <w:p>
            <w:pPr>
              <w:spacing w:after="0"/>
              <w:rPr>
                <w:sz w:val="10"/>
                <w:szCs w:val="10"/>
                <w:color w:val="auto"/>
              </w:rPr>
            </w:pPr>
          </w:p>
        </w:tc>
        <w:tc>
          <w:tcPr>
            <w:tcW w:w="840" w:type="dxa"/>
            <w:vAlign w:val="bottom"/>
            <w:gridSpan w:val="2"/>
            <w:vMerge w:val="restart"/>
          </w:tcPr>
          <w:p>
            <w:pPr>
              <w:ind w:left="520"/>
              <w:spacing w:after="0"/>
              <w:rPr>
                <w:sz w:val="20"/>
                <w:szCs w:val="20"/>
                <w:color w:val="auto"/>
              </w:rPr>
            </w:pPr>
            <w:r>
              <w:rPr>
                <w:rFonts w:ascii="Times New Roman" w:cs="Times New Roman" w:eastAsia="Times New Roman" w:hAnsi="Times New Roman"/>
                <w:sz w:val="13"/>
                <w:szCs w:val="13"/>
                <w:color w:val="auto"/>
              </w:rPr>
              <w:t>—</w:t>
            </w:r>
          </w:p>
        </w:tc>
        <w:tc>
          <w:tcPr>
            <w:tcW w:w="180" w:type="dxa"/>
            <w:vAlign w:val="bottom"/>
          </w:tcPr>
          <w:p>
            <w:pPr>
              <w:spacing w:after="0"/>
              <w:rPr>
                <w:sz w:val="10"/>
                <w:szCs w:val="10"/>
                <w:color w:val="auto"/>
              </w:rPr>
            </w:pPr>
          </w:p>
        </w:tc>
        <w:tc>
          <w:tcPr>
            <w:tcW w:w="1020" w:type="dxa"/>
            <w:vAlign w:val="bottom"/>
            <w:gridSpan w:val="2"/>
            <w:vMerge w:val="restart"/>
          </w:tcPr>
          <w:p>
            <w:pPr>
              <w:ind w:left="66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10"/>
                <w:szCs w:val="10"/>
                <w:color w:val="auto"/>
              </w:rPr>
            </w:pPr>
          </w:p>
        </w:tc>
        <w:tc>
          <w:tcPr>
            <w:tcW w:w="110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(3,192)</w:t>
            </w:r>
          </w:p>
        </w:tc>
        <w:tc>
          <w:tcPr>
            <w:tcW w:w="1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2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(3,192)</w:t>
            </w:r>
          </w:p>
        </w:tc>
        <w:tc>
          <w:tcPr>
            <w:tcW w:w="0" w:type="dxa"/>
            <w:vAlign w:val="bottom"/>
          </w:tcPr>
          <w:p>
            <w:pPr>
              <w:spacing w:after="0"/>
              <w:rPr>
                <w:sz w:val="1"/>
                <w:szCs w:val="1"/>
                <w:color w:val="auto"/>
              </w:rPr>
            </w:pPr>
          </w:p>
        </w:tc>
      </w:tr>
      <w:tr>
        <w:trPr>
          <w:trHeight w:val="175"/>
        </w:trPr>
        <w:tc>
          <w:tcPr>
            <w:tcW w:w="2780" w:type="dxa"/>
            <w:vAlign w:val="bottom"/>
            <w:gridSpan w:val="2"/>
          </w:tcPr>
          <w:p>
            <w:pPr>
              <w:ind w:left="20"/>
              <w:spacing w:after="0"/>
              <w:rPr>
                <w:sz w:val="20"/>
                <w:szCs w:val="20"/>
                <w:color w:val="auto"/>
              </w:rPr>
            </w:pPr>
            <w:r>
              <w:rPr>
                <w:rFonts w:ascii="Times New Roman" w:cs="Times New Roman" w:eastAsia="Times New Roman" w:hAnsi="Times New Roman"/>
                <w:sz w:val="13"/>
                <w:szCs w:val="13"/>
                <w:color w:val="auto"/>
              </w:rPr>
              <w:t>adjustment</w:t>
            </w:r>
          </w:p>
        </w:tc>
        <w:tc>
          <w:tcPr>
            <w:tcW w:w="88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76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900" w:type="dxa"/>
            <w:vAlign w:val="bottom"/>
            <w:gridSpan w:val="2"/>
            <w:vMerge w:val="continue"/>
          </w:tcPr>
          <w:p>
            <w:pPr>
              <w:spacing w:after="0"/>
              <w:rPr>
                <w:sz w:val="15"/>
                <w:szCs w:val="15"/>
                <w:color w:val="auto"/>
              </w:rPr>
            </w:pPr>
          </w:p>
        </w:tc>
        <w:tc>
          <w:tcPr>
            <w:tcW w:w="860" w:type="dxa"/>
            <w:vAlign w:val="bottom"/>
            <w:gridSpan w:val="2"/>
            <w:vMerge w:val="continue"/>
          </w:tcPr>
          <w:p>
            <w:pPr>
              <w:spacing w:after="0"/>
              <w:rPr>
                <w:sz w:val="15"/>
                <w:szCs w:val="15"/>
                <w:color w:val="auto"/>
              </w:rPr>
            </w:pPr>
          </w:p>
        </w:tc>
        <w:tc>
          <w:tcPr>
            <w:tcW w:w="160" w:type="dxa"/>
            <w:vAlign w:val="bottom"/>
          </w:tcPr>
          <w:p>
            <w:pPr>
              <w:spacing w:after="0"/>
              <w:rPr>
                <w:sz w:val="15"/>
                <w:szCs w:val="15"/>
                <w:color w:val="auto"/>
              </w:rPr>
            </w:pPr>
          </w:p>
        </w:tc>
        <w:tc>
          <w:tcPr>
            <w:tcW w:w="840" w:type="dxa"/>
            <w:vAlign w:val="bottom"/>
            <w:gridSpan w:val="2"/>
            <w:vMerge w:val="continue"/>
          </w:tcPr>
          <w:p>
            <w:pPr>
              <w:spacing w:after="0"/>
              <w:rPr>
                <w:sz w:val="15"/>
                <w:szCs w:val="15"/>
                <w:color w:val="auto"/>
              </w:rPr>
            </w:pPr>
          </w:p>
        </w:tc>
        <w:tc>
          <w:tcPr>
            <w:tcW w:w="180" w:type="dxa"/>
            <w:vAlign w:val="bottom"/>
          </w:tcPr>
          <w:p>
            <w:pPr>
              <w:spacing w:after="0"/>
              <w:rPr>
                <w:sz w:val="15"/>
                <w:szCs w:val="15"/>
                <w:color w:val="auto"/>
              </w:rPr>
            </w:pPr>
          </w:p>
        </w:tc>
        <w:tc>
          <w:tcPr>
            <w:tcW w:w="1020" w:type="dxa"/>
            <w:vAlign w:val="bottom"/>
            <w:gridSpan w:val="2"/>
            <w:vMerge w:val="continue"/>
          </w:tcPr>
          <w:p>
            <w:pPr>
              <w:spacing w:after="0"/>
              <w:rPr>
                <w:sz w:val="15"/>
                <w:szCs w:val="15"/>
                <w:color w:val="auto"/>
              </w:rPr>
            </w:pPr>
          </w:p>
        </w:tc>
        <w:tc>
          <w:tcPr>
            <w:tcW w:w="140" w:type="dxa"/>
            <w:vAlign w:val="bottom"/>
          </w:tcPr>
          <w:p>
            <w:pPr>
              <w:spacing w:after="0"/>
              <w:rPr>
                <w:sz w:val="15"/>
                <w:szCs w:val="15"/>
                <w:color w:val="auto"/>
              </w:rPr>
            </w:pPr>
          </w:p>
        </w:tc>
        <w:tc>
          <w:tcPr>
            <w:tcW w:w="110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30"/>
        </w:trPr>
        <w:tc>
          <w:tcPr>
            <w:tcW w:w="278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3"/>
                <w:szCs w:val="13"/>
                <w:color w:val="auto"/>
              </w:rPr>
              <w:t>Change in gains on cash flow hedge, net</w:t>
            </w:r>
          </w:p>
        </w:tc>
        <w:tc>
          <w:tcPr>
            <w:tcW w:w="8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CEEFF"/>
          </w:tcPr>
          <w:p>
            <w:pPr>
              <w:spacing w:after="0"/>
              <w:rPr>
                <w:sz w:val="19"/>
                <w:szCs w:val="19"/>
                <w:color w:val="auto"/>
              </w:rPr>
            </w:pPr>
          </w:p>
        </w:tc>
        <w:tc>
          <w:tcPr>
            <w:tcW w:w="76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CEEFF"/>
          </w:tcPr>
          <w:p>
            <w:pPr>
              <w:spacing w:after="0"/>
              <w:rPr>
                <w:sz w:val="19"/>
                <w:szCs w:val="19"/>
                <w:color w:val="auto"/>
              </w:rPr>
            </w:pPr>
          </w:p>
        </w:tc>
        <w:tc>
          <w:tcPr>
            <w:tcW w:w="90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860" w:type="dxa"/>
            <w:vAlign w:val="bottom"/>
            <w:gridSpan w:val="2"/>
            <w:shd w:val="clear" w:color="auto" w:fill="CCEEFF"/>
          </w:tcPr>
          <w:p>
            <w:pPr>
              <w:ind w:left="560"/>
              <w:spacing w:after="0"/>
              <w:rPr>
                <w:sz w:val="20"/>
                <w:szCs w:val="20"/>
                <w:color w:val="auto"/>
              </w:rPr>
            </w:pPr>
            <w:r>
              <w:rPr>
                <w:rFonts w:ascii="Times New Roman" w:cs="Times New Roman" w:eastAsia="Times New Roman" w:hAnsi="Times New Roman"/>
                <w:sz w:val="13"/>
                <w:szCs w:val="13"/>
                <w:color w:val="auto"/>
              </w:rPr>
              <w:t>—</w:t>
            </w:r>
          </w:p>
        </w:tc>
        <w:tc>
          <w:tcPr>
            <w:tcW w:w="160" w:type="dxa"/>
            <w:vAlign w:val="bottom"/>
            <w:shd w:val="clear" w:color="auto" w:fill="CCEEFF"/>
          </w:tcPr>
          <w:p>
            <w:pPr>
              <w:spacing w:after="0"/>
              <w:rPr>
                <w:sz w:val="19"/>
                <w:szCs w:val="19"/>
                <w:color w:val="auto"/>
              </w:rPr>
            </w:pPr>
          </w:p>
        </w:tc>
        <w:tc>
          <w:tcPr>
            <w:tcW w:w="840" w:type="dxa"/>
            <w:vAlign w:val="bottom"/>
            <w:gridSpan w:val="2"/>
            <w:shd w:val="clear" w:color="auto" w:fill="CCEEFF"/>
          </w:tcPr>
          <w:p>
            <w:pPr>
              <w:ind w:left="520"/>
              <w:spacing w:after="0"/>
              <w:rPr>
                <w:sz w:val="20"/>
                <w:szCs w:val="20"/>
                <w:color w:val="auto"/>
              </w:rPr>
            </w:pPr>
            <w:r>
              <w:rPr>
                <w:rFonts w:ascii="Times New Roman" w:cs="Times New Roman" w:eastAsia="Times New Roman" w:hAnsi="Times New Roman"/>
                <w:sz w:val="13"/>
                <w:szCs w:val="13"/>
                <w:color w:val="auto"/>
              </w:rPr>
              <w:t>—</w:t>
            </w:r>
          </w:p>
        </w:tc>
        <w:tc>
          <w:tcPr>
            <w:tcW w:w="180" w:type="dxa"/>
            <w:vAlign w:val="bottom"/>
            <w:shd w:val="clear" w:color="auto" w:fill="CCEEFF"/>
          </w:tcPr>
          <w:p>
            <w:pPr>
              <w:spacing w:after="0"/>
              <w:rPr>
                <w:sz w:val="19"/>
                <w:szCs w:val="19"/>
                <w:color w:val="auto"/>
              </w:rPr>
            </w:pPr>
          </w:p>
        </w:tc>
        <w:tc>
          <w:tcPr>
            <w:tcW w:w="1020" w:type="dxa"/>
            <w:vAlign w:val="bottom"/>
            <w:gridSpan w:val="2"/>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1,441</w:t>
            </w: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0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1,441</w:t>
            </w:r>
          </w:p>
        </w:tc>
        <w:tc>
          <w:tcPr>
            <w:tcW w:w="0" w:type="dxa"/>
            <w:vAlign w:val="bottom"/>
          </w:tcPr>
          <w:p>
            <w:pPr>
              <w:spacing w:after="0"/>
              <w:rPr>
                <w:sz w:val="1"/>
                <w:szCs w:val="1"/>
                <w:color w:val="auto"/>
              </w:rPr>
            </w:pPr>
          </w:p>
        </w:tc>
      </w:tr>
      <w:tr>
        <w:trPr>
          <w:trHeight w:val="121"/>
        </w:trPr>
        <w:tc>
          <w:tcPr>
            <w:tcW w:w="2780" w:type="dxa"/>
            <w:vAlign w:val="bottom"/>
            <w:gridSpan w:val="2"/>
          </w:tcPr>
          <w:p>
            <w:pPr>
              <w:ind w:left="20"/>
              <w:spacing w:after="0" w:line="122" w:lineRule="exact"/>
              <w:rPr>
                <w:sz w:val="20"/>
                <w:szCs w:val="20"/>
                <w:color w:val="auto"/>
              </w:rPr>
            </w:pPr>
            <w:r>
              <w:rPr>
                <w:rFonts w:ascii="Times New Roman" w:cs="Times New Roman" w:eastAsia="Times New Roman" w:hAnsi="Times New Roman"/>
                <w:sz w:val="13"/>
                <w:szCs w:val="13"/>
                <w:color w:val="auto"/>
              </w:rPr>
              <w:t>Net unrealized gain on available-for-sale securities,</w:t>
            </w:r>
          </w:p>
        </w:tc>
        <w:tc>
          <w:tcPr>
            <w:tcW w:w="88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0"/>
                <w:szCs w:val="10"/>
                <w:color w:val="auto"/>
              </w:rPr>
            </w:pPr>
          </w:p>
        </w:tc>
        <w:tc>
          <w:tcPr>
            <w:tcW w:w="76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0"/>
                <w:szCs w:val="10"/>
                <w:color w:val="auto"/>
              </w:rPr>
            </w:pPr>
          </w:p>
        </w:tc>
        <w:tc>
          <w:tcPr>
            <w:tcW w:w="90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860" w:type="dxa"/>
            <w:vAlign w:val="bottom"/>
            <w:gridSpan w:val="2"/>
            <w:vMerge w:val="restart"/>
          </w:tcPr>
          <w:p>
            <w:pPr>
              <w:ind w:left="560"/>
              <w:spacing w:after="0"/>
              <w:rPr>
                <w:sz w:val="20"/>
                <w:szCs w:val="20"/>
                <w:color w:val="auto"/>
              </w:rPr>
            </w:pPr>
            <w:r>
              <w:rPr>
                <w:rFonts w:ascii="Times New Roman" w:cs="Times New Roman" w:eastAsia="Times New Roman" w:hAnsi="Times New Roman"/>
                <w:sz w:val="13"/>
                <w:szCs w:val="13"/>
                <w:color w:val="auto"/>
              </w:rPr>
              <w:t>—</w:t>
            </w:r>
          </w:p>
        </w:tc>
        <w:tc>
          <w:tcPr>
            <w:tcW w:w="160" w:type="dxa"/>
            <w:vAlign w:val="bottom"/>
          </w:tcPr>
          <w:p>
            <w:pPr>
              <w:spacing w:after="0"/>
              <w:rPr>
                <w:sz w:val="10"/>
                <w:szCs w:val="10"/>
                <w:color w:val="auto"/>
              </w:rPr>
            </w:pPr>
          </w:p>
        </w:tc>
        <w:tc>
          <w:tcPr>
            <w:tcW w:w="840" w:type="dxa"/>
            <w:vAlign w:val="bottom"/>
            <w:gridSpan w:val="2"/>
            <w:vMerge w:val="restart"/>
          </w:tcPr>
          <w:p>
            <w:pPr>
              <w:ind w:left="520"/>
              <w:spacing w:after="0"/>
              <w:rPr>
                <w:sz w:val="20"/>
                <w:szCs w:val="20"/>
                <w:color w:val="auto"/>
              </w:rPr>
            </w:pPr>
            <w:r>
              <w:rPr>
                <w:rFonts w:ascii="Times New Roman" w:cs="Times New Roman" w:eastAsia="Times New Roman" w:hAnsi="Times New Roman"/>
                <w:sz w:val="13"/>
                <w:szCs w:val="13"/>
                <w:color w:val="auto"/>
              </w:rPr>
              <w:t>—</w:t>
            </w:r>
          </w:p>
        </w:tc>
        <w:tc>
          <w:tcPr>
            <w:tcW w:w="180" w:type="dxa"/>
            <w:vAlign w:val="bottom"/>
          </w:tcPr>
          <w:p>
            <w:pPr>
              <w:spacing w:after="0"/>
              <w:rPr>
                <w:sz w:val="10"/>
                <w:szCs w:val="10"/>
                <w:color w:val="auto"/>
              </w:rPr>
            </w:pPr>
          </w:p>
        </w:tc>
        <w:tc>
          <w:tcPr>
            <w:tcW w:w="1020" w:type="dxa"/>
            <w:vAlign w:val="bottom"/>
            <w:gridSpan w:val="2"/>
            <w:vMerge w:val="restart"/>
          </w:tcPr>
          <w:p>
            <w:pPr>
              <w:ind w:left="66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10"/>
                <w:szCs w:val="10"/>
                <w:color w:val="auto"/>
              </w:rPr>
            </w:pPr>
          </w:p>
        </w:tc>
        <w:tc>
          <w:tcPr>
            <w:tcW w:w="110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453</w:t>
            </w:r>
          </w:p>
        </w:tc>
        <w:tc>
          <w:tcPr>
            <w:tcW w:w="1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2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453</w:t>
            </w:r>
          </w:p>
        </w:tc>
        <w:tc>
          <w:tcPr>
            <w:tcW w:w="0" w:type="dxa"/>
            <w:vAlign w:val="bottom"/>
          </w:tcPr>
          <w:p>
            <w:pPr>
              <w:spacing w:after="0"/>
              <w:rPr>
                <w:sz w:val="1"/>
                <w:szCs w:val="1"/>
                <w:color w:val="auto"/>
              </w:rPr>
            </w:pPr>
          </w:p>
        </w:tc>
      </w:tr>
      <w:tr>
        <w:trPr>
          <w:trHeight w:val="175"/>
        </w:trPr>
        <w:tc>
          <w:tcPr>
            <w:tcW w:w="2780" w:type="dxa"/>
            <w:vAlign w:val="bottom"/>
            <w:gridSpan w:val="2"/>
          </w:tcPr>
          <w:p>
            <w:pPr>
              <w:ind w:left="20"/>
              <w:spacing w:after="0"/>
              <w:rPr>
                <w:sz w:val="20"/>
                <w:szCs w:val="20"/>
                <w:color w:val="auto"/>
              </w:rPr>
            </w:pPr>
            <w:r>
              <w:rPr>
                <w:rFonts w:ascii="Times New Roman" w:cs="Times New Roman" w:eastAsia="Times New Roman" w:hAnsi="Times New Roman"/>
                <w:sz w:val="13"/>
                <w:szCs w:val="13"/>
                <w:color w:val="auto"/>
              </w:rPr>
              <w:t>net of taxes</w:t>
            </w:r>
          </w:p>
        </w:tc>
        <w:tc>
          <w:tcPr>
            <w:tcW w:w="88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76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900" w:type="dxa"/>
            <w:vAlign w:val="bottom"/>
            <w:gridSpan w:val="2"/>
            <w:vMerge w:val="continue"/>
          </w:tcPr>
          <w:p>
            <w:pPr>
              <w:spacing w:after="0"/>
              <w:rPr>
                <w:sz w:val="15"/>
                <w:szCs w:val="15"/>
                <w:color w:val="auto"/>
              </w:rPr>
            </w:pPr>
          </w:p>
        </w:tc>
        <w:tc>
          <w:tcPr>
            <w:tcW w:w="860" w:type="dxa"/>
            <w:vAlign w:val="bottom"/>
            <w:gridSpan w:val="2"/>
            <w:vMerge w:val="continue"/>
          </w:tcPr>
          <w:p>
            <w:pPr>
              <w:spacing w:after="0"/>
              <w:rPr>
                <w:sz w:val="15"/>
                <w:szCs w:val="15"/>
                <w:color w:val="auto"/>
              </w:rPr>
            </w:pPr>
          </w:p>
        </w:tc>
        <w:tc>
          <w:tcPr>
            <w:tcW w:w="160" w:type="dxa"/>
            <w:vAlign w:val="bottom"/>
          </w:tcPr>
          <w:p>
            <w:pPr>
              <w:spacing w:after="0"/>
              <w:rPr>
                <w:sz w:val="15"/>
                <w:szCs w:val="15"/>
                <w:color w:val="auto"/>
              </w:rPr>
            </w:pPr>
          </w:p>
        </w:tc>
        <w:tc>
          <w:tcPr>
            <w:tcW w:w="840" w:type="dxa"/>
            <w:vAlign w:val="bottom"/>
            <w:gridSpan w:val="2"/>
            <w:vMerge w:val="continue"/>
          </w:tcPr>
          <w:p>
            <w:pPr>
              <w:spacing w:after="0"/>
              <w:rPr>
                <w:sz w:val="15"/>
                <w:szCs w:val="15"/>
                <w:color w:val="auto"/>
              </w:rPr>
            </w:pPr>
          </w:p>
        </w:tc>
        <w:tc>
          <w:tcPr>
            <w:tcW w:w="180" w:type="dxa"/>
            <w:vAlign w:val="bottom"/>
          </w:tcPr>
          <w:p>
            <w:pPr>
              <w:spacing w:after="0"/>
              <w:rPr>
                <w:sz w:val="15"/>
                <w:szCs w:val="15"/>
                <w:color w:val="auto"/>
              </w:rPr>
            </w:pPr>
          </w:p>
        </w:tc>
        <w:tc>
          <w:tcPr>
            <w:tcW w:w="1020" w:type="dxa"/>
            <w:vAlign w:val="bottom"/>
            <w:gridSpan w:val="2"/>
            <w:vMerge w:val="continue"/>
          </w:tcPr>
          <w:p>
            <w:pPr>
              <w:spacing w:after="0"/>
              <w:rPr>
                <w:sz w:val="15"/>
                <w:szCs w:val="15"/>
                <w:color w:val="auto"/>
              </w:rPr>
            </w:pPr>
          </w:p>
        </w:tc>
        <w:tc>
          <w:tcPr>
            <w:tcW w:w="140" w:type="dxa"/>
            <w:vAlign w:val="bottom"/>
          </w:tcPr>
          <w:p>
            <w:pPr>
              <w:spacing w:after="0"/>
              <w:rPr>
                <w:sz w:val="15"/>
                <w:szCs w:val="15"/>
                <w:color w:val="auto"/>
              </w:rPr>
            </w:pPr>
          </w:p>
        </w:tc>
        <w:tc>
          <w:tcPr>
            <w:tcW w:w="110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30"/>
        </w:trPr>
        <w:tc>
          <w:tcPr>
            <w:tcW w:w="278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3"/>
                <w:szCs w:val="13"/>
                <w:color w:val="auto"/>
              </w:rPr>
              <w:t>Stock-based compensation</w:t>
            </w:r>
          </w:p>
        </w:tc>
        <w:tc>
          <w:tcPr>
            <w:tcW w:w="8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CEEFF"/>
          </w:tcPr>
          <w:p>
            <w:pPr>
              <w:spacing w:after="0"/>
              <w:rPr>
                <w:sz w:val="19"/>
                <w:szCs w:val="19"/>
                <w:color w:val="auto"/>
              </w:rPr>
            </w:pPr>
          </w:p>
        </w:tc>
        <w:tc>
          <w:tcPr>
            <w:tcW w:w="76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shd w:val="clear" w:color="auto" w:fill="CCEEFF"/>
          </w:tcPr>
          <w:p>
            <w:pPr>
              <w:spacing w:after="0"/>
              <w:rPr>
                <w:sz w:val="19"/>
                <w:szCs w:val="19"/>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141,761</w:t>
            </w:r>
          </w:p>
        </w:tc>
        <w:tc>
          <w:tcPr>
            <w:tcW w:w="120" w:type="dxa"/>
            <w:vAlign w:val="bottom"/>
            <w:shd w:val="clear" w:color="auto" w:fill="CCEEFF"/>
          </w:tcPr>
          <w:p>
            <w:pPr>
              <w:spacing w:after="0"/>
              <w:rPr>
                <w:sz w:val="19"/>
                <w:szCs w:val="19"/>
                <w:color w:val="auto"/>
              </w:rPr>
            </w:pPr>
          </w:p>
        </w:tc>
        <w:tc>
          <w:tcPr>
            <w:tcW w:w="860" w:type="dxa"/>
            <w:vAlign w:val="bottom"/>
            <w:gridSpan w:val="2"/>
            <w:shd w:val="clear" w:color="auto" w:fill="CCEEFF"/>
          </w:tcPr>
          <w:p>
            <w:pPr>
              <w:ind w:left="560"/>
              <w:spacing w:after="0"/>
              <w:rPr>
                <w:sz w:val="20"/>
                <w:szCs w:val="20"/>
                <w:color w:val="auto"/>
              </w:rPr>
            </w:pPr>
            <w:r>
              <w:rPr>
                <w:rFonts w:ascii="Times New Roman" w:cs="Times New Roman" w:eastAsia="Times New Roman" w:hAnsi="Times New Roman"/>
                <w:sz w:val="13"/>
                <w:szCs w:val="13"/>
                <w:color w:val="auto"/>
              </w:rPr>
              <w:t>—</w:t>
            </w:r>
          </w:p>
        </w:tc>
        <w:tc>
          <w:tcPr>
            <w:tcW w:w="160" w:type="dxa"/>
            <w:vAlign w:val="bottom"/>
            <w:shd w:val="clear" w:color="auto" w:fill="CCEEFF"/>
          </w:tcPr>
          <w:p>
            <w:pPr>
              <w:spacing w:after="0"/>
              <w:rPr>
                <w:sz w:val="19"/>
                <w:szCs w:val="19"/>
                <w:color w:val="auto"/>
              </w:rPr>
            </w:pPr>
          </w:p>
        </w:tc>
        <w:tc>
          <w:tcPr>
            <w:tcW w:w="840" w:type="dxa"/>
            <w:vAlign w:val="bottom"/>
            <w:gridSpan w:val="2"/>
            <w:shd w:val="clear" w:color="auto" w:fill="CCEEFF"/>
          </w:tcPr>
          <w:p>
            <w:pPr>
              <w:ind w:left="520"/>
              <w:spacing w:after="0"/>
              <w:rPr>
                <w:sz w:val="20"/>
                <w:szCs w:val="20"/>
                <w:color w:val="auto"/>
              </w:rPr>
            </w:pPr>
            <w:r>
              <w:rPr>
                <w:rFonts w:ascii="Times New Roman" w:cs="Times New Roman" w:eastAsia="Times New Roman" w:hAnsi="Times New Roman"/>
                <w:sz w:val="13"/>
                <w:szCs w:val="13"/>
                <w:color w:val="auto"/>
              </w:rPr>
              <w:t>—</w:t>
            </w:r>
          </w:p>
        </w:tc>
        <w:tc>
          <w:tcPr>
            <w:tcW w:w="180" w:type="dxa"/>
            <w:vAlign w:val="bottom"/>
            <w:shd w:val="clear" w:color="auto" w:fill="CCEEFF"/>
          </w:tcPr>
          <w:p>
            <w:pPr>
              <w:spacing w:after="0"/>
              <w:rPr>
                <w:sz w:val="19"/>
                <w:szCs w:val="19"/>
                <w:color w:val="auto"/>
              </w:rPr>
            </w:pPr>
          </w:p>
        </w:tc>
        <w:tc>
          <w:tcPr>
            <w:tcW w:w="1020" w:type="dxa"/>
            <w:vAlign w:val="bottom"/>
            <w:gridSpan w:val="2"/>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shd w:val="clear" w:color="auto" w:fill="CCEEFF"/>
          </w:tcPr>
          <w:p>
            <w:pPr>
              <w:spacing w:after="0"/>
              <w:rPr>
                <w:sz w:val="19"/>
                <w:szCs w:val="19"/>
                <w:color w:val="auto"/>
              </w:rPr>
            </w:pPr>
          </w:p>
        </w:tc>
        <w:tc>
          <w:tcPr>
            <w:tcW w:w="12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CCEEFF"/>
          </w:tcPr>
          <w:p>
            <w:pPr>
              <w:spacing w:after="0"/>
              <w:rPr>
                <w:sz w:val="19"/>
                <w:szCs w:val="19"/>
                <w:color w:val="auto"/>
              </w:rPr>
            </w:pPr>
          </w:p>
        </w:tc>
        <w:tc>
          <w:tcPr>
            <w:tcW w:w="10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141,761</w:t>
            </w:r>
          </w:p>
        </w:tc>
        <w:tc>
          <w:tcPr>
            <w:tcW w:w="0" w:type="dxa"/>
            <w:vAlign w:val="bottom"/>
          </w:tcPr>
          <w:p>
            <w:pPr>
              <w:spacing w:after="0"/>
              <w:rPr>
                <w:sz w:val="1"/>
                <w:szCs w:val="1"/>
                <w:color w:val="auto"/>
              </w:rPr>
            </w:pPr>
          </w:p>
        </w:tc>
      </w:tr>
      <w:tr>
        <w:trPr>
          <w:trHeight w:val="122"/>
        </w:trPr>
        <w:tc>
          <w:tcPr>
            <w:tcW w:w="2780" w:type="dxa"/>
            <w:vAlign w:val="bottom"/>
            <w:gridSpan w:val="2"/>
          </w:tcPr>
          <w:p>
            <w:pPr>
              <w:ind w:left="20"/>
              <w:spacing w:after="0" w:line="122" w:lineRule="exact"/>
              <w:rPr>
                <w:sz w:val="20"/>
                <w:szCs w:val="20"/>
                <w:color w:val="auto"/>
              </w:rPr>
            </w:pPr>
            <w:r>
              <w:rPr>
                <w:rFonts w:ascii="Times New Roman" w:cs="Times New Roman" w:eastAsia="Times New Roman" w:hAnsi="Times New Roman"/>
                <w:sz w:val="13"/>
                <w:szCs w:val="13"/>
                <w:color w:val="auto"/>
              </w:rPr>
              <w:t>Issuance of restricted stock, net of forfeitures and</w:t>
            </w:r>
          </w:p>
        </w:tc>
        <w:tc>
          <w:tcPr>
            <w:tcW w:w="78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1,674</w:t>
            </w:r>
          </w:p>
        </w:tc>
        <w:tc>
          <w:tcPr>
            <w:tcW w:w="1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4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17</w:t>
            </w:r>
          </w:p>
        </w:tc>
        <w:tc>
          <w:tcPr>
            <w:tcW w:w="1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78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(17)</w:t>
            </w:r>
          </w:p>
        </w:tc>
        <w:tc>
          <w:tcPr>
            <w:tcW w:w="120" w:type="dxa"/>
            <w:vAlign w:val="bottom"/>
          </w:tcPr>
          <w:p>
            <w:pPr>
              <w:spacing w:after="0"/>
              <w:rPr>
                <w:sz w:val="10"/>
                <w:szCs w:val="10"/>
                <w:color w:val="auto"/>
              </w:rPr>
            </w:pPr>
          </w:p>
        </w:tc>
        <w:tc>
          <w:tcPr>
            <w:tcW w:w="860" w:type="dxa"/>
            <w:vAlign w:val="bottom"/>
            <w:gridSpan w:val="2"/>
            <w:vMerge w:val="restart"/>
          </w:tcPr>
          <w:p>
            <w:pPr>
              <w:ind w:left="560"/>
              <w:spacing w:after="0"/>
              <w:rPr>
                <w:sz w:val="20"/>
                <w:szCs w:val="20"/>
                <w:color w:val="auto"/>
              </w:rPr>
            </w:pPr>
            <w:r>
              <w:rPr>
                <w:rFonts w:ascii="Times New Roman" w:cs="Times New Roman" w:eastAsia="Times New Roman" w:hAnsi="Times New Roman"/>
                <w:sz w:val="13"/>
                <w:szCs w:val="13"/>
                <w:color w:val="auto"/>
              </w:rPr>
              <w:t>—</w:t>
            </w:r>
          </w:p>
        </w:tc>
        <w:tc>
          <w:tcPr>
            <w:tcW w:w="160" w:type="dxa"/>
            <w:vAlign w:val="bottom"/>
          </w:tcPr>
          <w:p>
            <w:pPr>
              <w:spacing w:after="0"/>
              <w:rPr>
                <w:sz w:val="10"/>
                <w:szCs w:val="10"/>
                <w:color w:val="auto"/>
              </w:rPr>
            </w:pPr>
          </w:p>
        </w:tc>
        <w:tc>
          <w:tcPr>
            <w:tcW w:w="840" w:type="dxa"/>
            <w:vAlign w:val="bottom"/>
            <w:gridSpan w:val="2"/>
            <w:vMerge w:val="restart"/>
          </w:tcPr>
          <w:p>
            <w:pPr>
              <w:ind w:left="520"/>
              <w:spacing w:after="0"/>
              <w:rPr>
                <w:sz w:val="20"/>
                <w:szCs w:val="20"/>
                <w:color w:val="auto"/>
              </w:rPr>
            </w:pPr>
            <w:r>
              <w:rPr>
                <w:rFonts w:ascii="Times New Roman" w:cs="Times New Roman" w:eastAsia="Times New Roman" w:hAnsi="Times New Roman"/>
                <w:sz w:val="13"/>
                <w:szCs w:val="13"/>
                <w:color w:val="auto"/>
              </w:rPr>
              <w:t>—</w:t>
            </w:r>
          </w:p>
        </w:tc>
        <w:tc>
          <w:tcPr>
            <w:tcW w:w="180" w:type="dxa"/>
            <w:vAlign w:val="bottom"/>
          </w:tcPr>
          <w:p>
            <w:pPr>
              <w:spacing w:after="0"/>
              <w:rPr>
                <w:sz w:val="10"/>
                <w:szCs w:val="10"/>
                <w:color w:val="auto"/>
              </w:rPr>
            </w:pPr>
          </w:p>
        </w:tc>
        <w:tc>
          <w:tcPr>
            <w:tcW w:w="1020" w:type="dxa"/>
            <w:vAlign w:val="bottom"/>
            <w:gridSpan w:val="2"/>
            <w:vMerge w:val="restart"/>
          </w:tcPr>
          <w:p>
            <w:pPr>
              <w:ind w:left="66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10"/>
                <w:szCs w:val="10"/>
                <w:color w:val="auto"/>
              </w:rPr>
            </w:pPr>
          </w:p>
        </w:tc>
        <w:tc>
          <w:tcPr>
            <w:tcW w:w="120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0"/>
                <w:szCs w:val="10"/>
                <w:color w:val="auto"/>
              </w:rPr>
            </w:pPr>
          </w:p>
        </w:tc>
        <w:tc>
          <w:tcPr>
            <w:tcW w:w="1020" w:type="dxa"/>
            <w:vAlign w:val="bottom"/>
            <w:vMerge w:val="restart"/>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0" w:type="dxa"/>
            <w:vAlign w:val="bottom"/>
          </w:tcPr>
          <w:p>
            <w:pPr>
              <w:spacing w:after="0"/>
              <w:rPr>
                <w:sz w:val="1"/>
                <w:szCs w:val="1"/>
                <w:color w:val="auto"/>
              </w:rPr>
            </w:pPr>
          </w:p>
        </w:tc>
      </w:tr>
      <w:tr>
        <w:trPr>
          <w:trHeight w:val="175"/>
        </w:trPr>
        <w:tc>
          <w:tcPr>
            <w:tcW w:w="2780" w:type="dxa"/>
            <w:vAlign w:val="bottom"/>
            <w:gridSpan w:val="2"/>
          </w:tcPr>
          <w:p>
            <w:pPr>
              <w:ind w:left="20"/>
              <w:spacing w:after="0"/>
              <w:rPr>
                <w:sz w:val="20"/>
                <w:szCs w:val="20"/>
                <w:color w:val="auto"/>
              </w:rPr>
            </w:pPr>
            <w:r>
              <w:rPr>
                <w:rFonts w:ascii="Times New Roman" w:cs="Times New Roman" w:eastAsia="Times New Roman" w:hAnsi="Times New Roman"/>
                <w:sz w:val="13"/>
                <w:szCs w:val="13"/>
                <w:color w:val="auto"/>
              </w:rPr>
              <w:t>cancellations</w:t>
            </w:r>
          </w:p>
        </w:tc>
        <w:tc>
          <w:tcPr>
            <w:tcW w:w="78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40" w:type="dxa"/>
            <w:vAlign w:val="bottom"/>
            <w:vMerge w:val="continue"/>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780" w:type="dxa"/>
            <w:vAlign w:val="bottom"/>
            <w:vMerge w:val="continue"/>
          </w:tcPr>
          <w:p>
            <w:pPr>
              <w:spacing w:after="0"/>
              <w:rPr>
                <w:sz w:val="15"/>
                <w:szCs w:val="15"/>
                <w:color w:val="auto"/>
              </w:rPr>
            </w:pPr>
          </w:p>
        </w:tc>
        <w:tc>
          <w:tcPr>
            <w:tcW w:w="120" w:type="dxa"/>
            <w:vAlign w:val="bottom"/>
          </w:tcPr>
          <w:p>
            <w:pPr>
              <w:spacing w:after="0"/>
              <w:rPr>
                <w:sz w:val="15"/>
                <w:szCs w:val="15"/>
                <w:color w:val="auto"/>
              </w:rPr>
            </w:pPr>
          </w:p>
        </w:tc>
        <w:tc>
          <w:tcPr>
            <w:tcW w:w="860" w:type="dxa"/>
            <w:vAlign w:val="bottom"/>
            <w:gridSpan w:val="2"/>
            <w:vMerge w:val="continue"/>
          </w:tcPr>
          <w:p>
            <w:pPr>
              <w:spacing w:after="0"/>
              <w:rPr>
                <w:sz w:val="15"/>
                <w:szCs w:val="15"/>
                <w:color w:val="auto"/>
              </w:rPr>
            </w:pPr>
          </w:p>
        </w:tc>
        <w:tc>
          <w:tcPr>
            <w:tcW w:w="160" w:type="dxa"/>
            <w:vAlign w:val="bottom"/>
          </w:tcPr>
          <w:p>
            <w:pPr>
              <w:spacing w:after="0"/>
              <w:rPr>
                <w:sz w:val="15"/>
                <w:szCs w:val="15"/>
                <w:color w:val="auto"/>
              </w:rPr>
            </w:pPr>
          </w:p>
        </w:tc>
        <w:tc>
          <w:tcPr>
            <w:tcW w:w="840" w:type="dxa"/>
            <w:vAlign w:val="bottom"/>
            <w:gridSpan w:val="2"/>
            <w:vMerge w:val="continue"/>
          </w:tcPr>
          <w:p>
            <w:pPr>
              <w:spacing w:after="0"/>
              <w:rPr>
                <w:sz w:val="15"/>
                <w:szCs w:val="15"/>
                <w:color w:val="auto"/>
              </w:rPr>
            </w:pPr>
          </w:p>
        </w:tc>
        <w:tc>
          <w:tcPr>
            <w:tcW w:w="180" w:type="dxa"/>
            <w:vAlign w:val="bottom"/>
          </w:tcPr>
          <w:p>
            <w:pPr>
              <w:spacing w:after="0"/>
              <w:rPr>
                <w:sz w:val="15"/>
                <w:szCs w:val="15"/>
                <w:color w:val="auto"/>
              </w:rPr>
            </w:pPr>
          </w:p>
        </w:tc>
        <w:tc>
          <w:tcPr>
            <w:tcW w:w="1020" w:type="dxa"/>
            <w:vAlign w:val="bottom"/>
            <w:gridSpan w:val="2"/>
            <w:vMerge w:val="continue"/>
          </w:tcPr>
          <w:p>
            <w:pPr>
              <w:spacing w:after="0"/>
              <w:rPr>
                <w:sz w:val="15"/>
                <w:szCs w:val="15"/>
                <w:color w:val="auto"/>
              </w:rPr>
            </w:pPr>
          </w:p>
        </w:tc>
        <w:tc>
          <w:tcPr>
            <w:tcW w:w="140" w:type="dxa"/>
            <w:vAlign w:val="bottom"/>
          </w:tcPr>
          <w:p>
            <w:pPr>
              <w:spacing w:after="0"/>
              <w:rPr>
                <w:sz w:val="15"/>
                <w:szCs w:val="15"/>
                <w:color w:val="auto"/>
              </w:rPr>
            </w:pPr>
          </w:p>
        </w:tc>
        <w:tc>
          <w:tcPr>
            <w:tcW w:w="1200" w:type="dxa"/>
            <w:vAlign w:val="bottom"/>
            <w:gridSpan w:val="2"/>
            <w:vMerge w:val="continue"/>
          </w:tcPr>
          <w:p>
            <w:pPr>
              <w:spacing w:after="0"/>
              <w:rPr>
                <w:sz w:val="15"/>
                <w:szCs w:val="15"/>
                <w:color w:val="auto"/>
              </w:rPr>
            </w:pPr>
          </w:p>
        </w:tc>
        <w:tc>
          <w:tcPr>
            <w:tcW w:w="140" w:type="dxa"/>
            <w:vAlign w:val="bottom"/>
          </w:tcPr>
          <w:p>
            <w:pPr>
              <w:spacing w:after="0"/>
              <w:rPr>
                <w:sz w:val="15"/>
                <w:szCs w:val="15"/>
                <w:color w:val="auto"/>
              </w:rPr>
            </w:pPr>
          </w:p>
        </w:tc>
        <w:tc>
          <w:tcPr>
            <w:tcW w:w="102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30"/>
        </w:trPr>
        <w:tc>
          <w:tcPr>
            <w:tcW w:w="278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3"/>
                <w:szCs w:val="13"/>
                <w:color w:val="auto"/>
              </w:rPr>
              <w:t>Net share settlement of restricted stock awards</w:t>
            </w: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(631)</w:t>
            </w:r>
          </w:p>
        </w:tc>
        <w:tc>
          <w:tcPr>
            <w:tcW w:w="1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6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(7)</w:t>
            </w: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(71,253)</w:t>
            </w:r>
          </w:p>
        </w:tc>
        <w:tc>
          <w:tcPr>
            <w:tcW w:w="120" w:type="dxa"/>
            <w:vAlign w:val="bottom"/>
            <w:shd w:val="clear" w:color="auto" w:fill="CCEEFF"/>
          </w:tcPr>
          <w:p>
            <w:pPr>
              <w:spacing w:after="0"/>
              <w:rPr>
                <w:sz w:val="19"/>
                <w:szCs w:val="19"/>
                <w:color w:val="auto"/>
              </w:rPr>
            </w:pPr>
          </w:p>
        </w:tc>
        <w:tc>
          <w:tcPr>
            <w:tcW w:w="860" w:type="dxa"/>
            <w:vAlign w:val="bottom"/>
            <w:gridSpan w:val="2"/>
            <w:shd w:val="clear" w:color="auto" w:fill="CCEEFF"/>
          </w:tcPr>
          <w:p>
            <w:pPr>
              <w:ind w:left="560"/>
              <w:spacing w:after="0"/>
              <w:rPr>
                <w:sz w:val="20"/>
                <w:szCs w:val="20"/>
                <w:color w:val="auto"/>
              </w:rPr>
            </w:pPr>
            <w:r>
              <w:rPr>
                <w:rFonts w:ascii="Times New Roman" w:cs="Times New Roman" w:eastAsia="Times New Roman" w:hAnsi="Times New Roman"/>
                <w:sz w:val="13"/>
                <w:szCs w:val="13"/>
                <w:color w:val="auto"/>
              </w:rPr>
              <w:t>—</w:t>
            </w:r>
          </w:p>
        </w:tc>
        <w:tc>
          <w:tcPr>
            <w:tcW w:w="160" w:type="dxa"/>
            <w:vAlign w:val="bottom"/>
            <w:shd w:val="clear" w:color="auto" w:fill="CCEEFF"/>
          </w:tcPr>
          <w:p>
            <w:pPr>
              <w:spacing w:after="0"/>
              <w:rPr>
                <w:sz w:val="19"/>
                <w:szCs w:val="19"/>
                <w:color w:val="auto"/>
              </w:rPr>
            </w:pPr>
          </w:p>
        </w:tc>
        <w:tc>
          <w:tcPr>
            <w:tcW w:w="840" w:type="dxa"/>
            <w:vAlign w:val="bottom"/>
            <w:gridSpan w:val="2"/>
            <w:shd w:val="clear" w:color="auto" w:fill="CCEEFF"/>
          </w:tcPr>
          <w:p>
            <w:pPr>
              <w:ind w:left="520"/>
              <w:spacing w:after="0"/>
              <w:rPr>
                <w:sz w:val="20"/>
                <w:szCs w:val="20"/>
                <w:color w:val="auto"/>
              </w:rPr>
            </w:pPr>
            <w:r>
              <w:rPr>
                <w:rFonts w:ascii="Times New Roman" w:cs="Times New Roman" w:eastAsia="Times New Roman" w:hAnsi="Times New Roman"/>
                <w:sz w:val="13"/>
                <w:szCs w:val="13"/>
                <w:color w:val="auto"/>
              </w:rPr>
              <w:t>—</w:t>
            </w:r>
          </w:p>
        </w:tc>
        <w:tc>
          <w:tcPr>
            <w:tcW w:w="180" w:type="dxa"/>
            <w:vAlign w:val="bottom"/>
            <w:shd w:val="clear" w:color="auto" w:fill="CCEEFF"/>
          </w:tcPr>
          <w:p>
            <w:pPr>
              <w:spacing w:after="0"/>
              <w:rPr>
                <w:sz w:val="19"/>
                <w:szCs w:val="19"/>
                <w:color w:val="auto"/>
              </w:rPr>
            </w:pPr>
          </w:p>
        </w:tc>
        <w:tc>
          <w:tcPr>
            <w:tcW w:w="1020" w:type="dxa"/>
            <w:vAlign w:val="bottom"/>
            <w:gridSpan w:val="2"/>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shd w:val="clear" w:color="auto" w:fill="CCEEFF"/>
          </w:tcPr>
          <w:p>
            <w:pPr>
              <w:spacing w:after="0"/>
              <w:rPr>
                <w:sz w:val="19"/>
                <w:szCs w:val="19"/>
                <w:color w:val="auto"/>
              </w:rPr>
            </w:pPr>
          </w:p>
        </w:tc>
        <w:tc>
          <w:tcPr>
            <w:tcW w:w="12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CCEEFF"/>
          </w:tcPr>
          <w:p>
            <w:pPr>
              <w:spacing w:after="0"/>
              <w:rPr>
                <w:sz w:val="19"/>
                <w:szCs w:val="19"/>
                <w:color w:val="auto"/>
              </w:rPr>
            </w:pPr>
          </w:p>
        </w:tc>
        <w:tc>
          <w:tcPr>
            <w:tcW w:w="10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(71,260)</w:t>
            </w:r>
          </w:p>
        </w:tc>
        <w:tc>
          <w:tcPr>
            <w:tcW w:w="0" w:type="dxa"/>
            <w:vAlign w:val="bottom"/>
          </w:tcPr>
          <w:p>
            <w:pPr>
              <w:spacing w:after="0"/>
              <w:rPr>
                <w:sz w:val="1"/>
                <w:szCs w:val="1"/>
                <w:color w:val="auto"/>
              </w:rPr>
            </w:pPr>
          </w:p>
        </w:tc>
      </w:tr>
      <w:tr>
        <w:trPr>
          <w:trHeight w:val="229"/>
        </w:trPr>
        <w:tc>
          <w:tcPr>
            <w:tcW w:w="268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3"/>
                <w:szCs w:val="13"/>
                <w:color w:val="auto"/>
              </w:rPr>
              <w:t>Employee share purchase plan settlement</w:t>
            </w:r>
          </w:p>
        </w:tc>
        <w:tc>
          <w:tcPr>
            <w:tcW w:w="100" w:type="dxa"/>
            <w:vAlign w:val="bottom"/>
            <w:tcBorders>
              <w:bottom w:val="single" w:sz="8" w:color="CCEEFF"/>
            </w:tcBorders>
          </w:tcPr>
          <w:p>
            <w:pPr>
              <w:spacing w:after="0"/>
              <w:rPr>
                <w:sz w:val="19"/>
                <w:szCs w:val="19"/>
                <w:color w:val="auto"/>
              </w:rPr>
            </w:pP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126</w:t>
            </w:r>
          </w:p>
        </w:tc>
        <w:tc>
          <w:tcPr>
            <w:tcW w:w="100" w:type="dxa"/>
            <w:vAlign w:val="bottom"/>
            <w:tcBorders>
              <w:bottom w:val="single" w:sz="8" w:color="CCEEFF"/>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6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2</w:t>
            </w:r>
          </w:p>
        </w:tc>
        <w:tc>
          <w:tcPr>
            <w:tcW w:w="120" w:type="dxa"/>
            <w:vAlign w:val="bottom"/>
            <w:tcBorders>
              <w:bottom w:val="single" w:sz="8" w:color="CCEEFF"/>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10,513</w:t>
            </w:r>
          </w:p>
        </w:tc>
        <w:tc>
          <w:tcPr>
            <w:tcW w:w="120" w:type="dxa"/>
            <w:vAlign w:val="bottom"/>
            <w:tcBorders>
              <w:bottom w:val="single" w:sz="8" w:color="CCEEFF"/>
            </w:tcBorders>
          </w:tcPr>
          <w:p>
            <w:pPr>
              <w:spacing w:after="0"/>
              <w:rPr>
                <w:sz w:val="19"/>
                <w:szCs w:val="19"/>
                <w:color w:val="auto"/>
              </w:rPr>
            </w:pPr>
          </w:p>
        </w:tc>
        <w:tc>
          <w:tcPr>
            <w:tcW w:w="760" w:type="dxa"/>
            <w:vAlign w:val="bottom"/>
            <w:tcBorders>
              <w:bottom w:val="single" w:sz="8" w:color="auto"/>
            </w:tcBorders>
          </w:tcPr>
          <w:p>
            <w:pPr>
              <w:ind w:left="56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Borders>
              <w:bottom w:val="single" w:sz="8" w:color="CCEEFF"/>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ind w:left="520"/>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Borders>
              <w:bottom w:val="single" w:sz="8" w:color="CCEEFF"/>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ind w:left="66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Borders>
              <w:bottom w:val="single" w:sz="8" w:color="CCEEFF"/>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Borders>
              <w:bottom w:val="single" w:sz="8" w:color="CCEEFF"/>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10,515</w:t>
            </w:r>
          </w:p>
        </w:tc>
        <w:tc>
          <w:tcPr>
            <w:tcW w:w="0" w:type="dxa"/>
            <w:vAlign w:val="bottom"/>
          </w:tcPr>
          <w:p>
            <w:pPr>
              <w:spacing w:after="0"/>
              <w:rPr>
                <w:sz w:val="1"/>
                <w:szCs w:val="1"/>
                <w:color w:val="auto"/>
              </w:rPr>
            </w:pPr>
          </w:p>
        </w:tc>
      </w:tr>
      <w:tr>
        <w:trPr>
          <w:trHeight w:val="197"/>
        </w:trPr>
        <w:tc>
          <w:tcPr>
            <w:tcW w:w="278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3"/>
                <w:szCs w:val="13"/>
                <w:b w:val="1"/>
                <w:bCs w:val="1"/>
                <w:color w:val="auto"/>
              </w:rPr>
              <w:t>Balance, December 31, 2019</w:t>
            </w: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b w:val="1"/>
                <w:bCs w:val="1"/>
                <w:color w:val="auto"/>
              </w:rPr>
              <w:t>135,771</w:t>
            </w: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b w:val="1"/>
                <w:bCs w:val="1"/>
                <w:color w:val="auto"/>
                <w:w w:val="91"/>
              </w:rPr>
              <w:t>$</w:t>
            </w:r>
          </w:p>
        </w:tc>
        <w:tc>
          <w:tcPr>
            <w:tcW w:w="6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b w:val="1"/>
                <w:bCs w:val="1"/>
                <w:color w:val="auto"/>
              </w:rPr>
              <w:t>1,358</w:t>
            </w:r>
          </w:p>
        </w:tc>
        <w:tc>
          <w:tcPr>
            <w:tcW w:w="120" w:type="dxa"/>
            <w:vAlign w:val="bottom"/>
            <w:shd w:val="clear" w:color="auto" w:fill="CCEEFF"/>
          </w:tcPr>
          <w:p>
            <w:pPr>
              <w:spacing w:after="0"/>
              <w:rPr>
                <w:sz w:val="17"/>
                <w:szCs w:val="17"/>
                <w:color w:val="auto"/>
              </w:rPr>
            </w:pP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b w:val="1"/>
                <w:bCs w:val="1"/>
                <w:color w:val="auto"/>
                <w:w w:val="91"/>
              </w:rPr>
              <w:t>$</w:t>
            </w: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b w:val="1"/>
                <w:bCs w:val="1"/>
                <w:color w:val="auto"/>
              </w:rPr>
              <w:t>2,100,373</w:t>
            </w:r>
          </w:p>
        </w:tc>
        <w:tc>
          <w:tcPr>
            <w:tcW w:w="120" w:type="dxa"/>
            <w:vAlign w:val="bottom"/>
            <w:shd w:val="clear" w:color="auto" w:fill="CCEEFF"/>
          </w:tcPr>
          <w:p>
            <w:pPr>
              <w:spacing w:after="0"/>
              <w:rPr>
                <w:sz w:val="17"/>
                <w:szCs w:val="17"/>
                <w:color w:val="auto"/>
              </w:rPr>
            </w:pPr>
          </w:p>
        </w:tc>
        <w:tc>
          <w:tcPr>
            <w:tcW w:w="760" w:type="dxa"/>
            <w:vAlign w:val="bottom"/>
            <w:shd w:val="clear" w:color="auto" w:fill="CCEEFF"/>
          </w:tcPr>
          <w:p>
            <w:pPr>
              <w:ind w:left="280"/>
              <w:spacing w:after="0"/>
              <w:rPr>
                <w:sz w:val="20"/>
                <w:szCs w:val="20"/>
                <w:color w:val="auto"/>
              </w:rPr>
            </w:pPr>
            <w:r>
              <w:rPr>
                <w:rFonts w:ascii="Times New Roman" w:cs="Times New Roman" w:eastAsia="Times New Roman" w:hAnsi="Times New Roman"/>
                <w:sz w:val="13"/>
                <w:szCs w:val="13"/>
                <w:b w:val="1"/>
                <w:bCs w:val="1"/>
                <w:color w:val="auto"/>
              </w:rPr>
              <w:t>(22,421)</w:t>
            </w:r>
          </w:p>
        </w:tc>
        <w:tc>
          <w:tcPr>
            <w:tcW w:w="100" w:type="dxa"/>
            <w:vAlign w:val="bottom"/>
            <w:shd w:val="clear" w:color="auto" w:fill="CCEEFF"/>
          </w:tcPr>
          <w:p>
            <w:pPr>
              <w:spacing w:after="0"/>
              <w:rPr>
                <w:sz w:val="17"/>
                <w:szCs w:val="17"/>
                <w:color w:val="auto"/>
              </w:rPr>
            </w:pP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b w:val="1"/>
                <w:bCs w:val="1"/>
                <w:color w:val="auto"/>
              </w:rPr>
              <w:t>$</w:t>
            </w:r>
          </w:p>
        </w:tc>
        <w:tc>
          <w:tcPr>
            <w:tcW w:w="720" w:type="dxa"/>
            <w:vAlign w:val="bottom"/>
            <w:shd w:val="clear" w:color="auto" w:fill="CCEEFF"/>
          </w:tcPr>
          <w:p>
            <w:pPr>
              <w:ind w:left="160"/>
              <w:spacing w:after="0"/>
              <w:rPr>
                <w:sz w:val="20"/>
                <w:szCs w:val="20"/>
                <w:color w:val="auto"/>
              </w:rPr>
            </w:pPr>
            <w:r>
              <w:rPr>
                <w:rFonts w:ascii="Times New Roman" w:cs="Times New Roman" w:eastAsia="Times New Roman" w:hAnsi="Times New Roman"/>
                <w:sz w:val="13"/>
                <w:szCs w:val="13"/>
                <w:b w:val="1"/>
                <w:bCs w:val="1"/>
                <w:color w:val="auto"/>
              </w:rPr>
              <w:t>(820,572)</w:t>
            </w:r>
          </w:p>
        </w:tc>
        <w:tc>
          <w:tcPr>
            <w:tcW w:w="120" w:type="dxa"/>
            <w:vAlign w:val="bottom"/>
            <w:shd w:val="clear" w:color="auto" w:fill="CCEEFF"/>
          </w:tcPr>
          <w:p>
            <w:pPr>
              <w:spacing w:after="0"/>
              <w:rPr>
                <w:sz w:val="17"/>
                <w:szCs w:val="17"/>
                <w:color w:val="auto"/>
              </w:rPr>
            </w:pPr>
          </w:p>
        </w:tc>
        <w:tc>
          <w:tcPr>
            <w:tcW w:w="180" w:type="dxa"/>
            <w:vAlign w:val="bottom"/>
            <w:shd w:val="clear" w:color="auto" w:fill="CCEEFF"/>
          </w:tcPr>
          <w:p>
            <w:pPr>
              <w:jc w:val="right"/>
              <w:ind w:right="33"/>
              <w:spacing w:after="0"/>
              <w:rPr>
                <w:sz w:val="20"/>
                <w:szCs w:val="20"/>
                <w:color w:val="auto"/>
              </w:rPr>
            </w:pPr>
            <w:r>
              <w:rPr>
                <w:rFonts w:ascii="Times New Roman" w:cs="Times New Roman" w:eastAsia="Times New Roman" w:hAnsi="Times New Roman"/>
                <w:sz w:val="13"/>
                <w:szCs w:val="13"/>
                <w:b w:val="1"/>
                <w:bCs w:val="1"/>
                <w:color w:val="auto"/>
                <w:w w:val="91"/>
              </w:rPr>
              <w:t>$</w:t>
            </w: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b w:val="1"/>
                <w:bCs w:val="1"/>
                <w:color w:val="auto"/>
              </w:rPr>
              <w:t>1,159,363</w:t>
            </w: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b w:val="1"/>
                <w:bCs w:val="1"/>
                <w:color w:val="auto"/>
              </w:rPr>
              <w:t>$</w:t>
            </w:r>
          </w:p>
        </w:tc>
        <w:tc>
          <w:tcPr>
            <w:tcW w:w="1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b w:val="1"/>
                <w:bCs w:val="1"/>
                <w:color w:val="auto"/>
              </w:rPr>
              <w:t>(38,487)</w:t>
            </w: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b w:val="1"/>
                <w:bCs w:val="1"/>
                <w:color w:val="auto"/>
              </w:rPr>
              <w:t>$</w:t>
            </w:r>
          </w:p>
        </w:tc>
        <w:tc>
          <w:tcPr>
            <w:tcW w:w="10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b w:val="1"/>
                <w:bCs w:val="1"/>
                <w:color w:val="auto"/>
              </w:rPr>
              <w:t>2,402,035</w:t>
            </w:r>
          </w:p>
        </w:tc>
        <w:tc>
          <w:tcPr>
            <w:tcW w:w="0" w:type="dxa"/>
            <w:vAlign w:val="bottom"/>
          </w:tcPr>
          <w:p>
            <w:pPr>
              <w:spacing w:after="0"/>
              <w:rPr>
                <w:sz w:val="1"/>
                <w:szCs w:val="1"/>
                <w:color w:val="auto"/>
              </w:rPr>
            </w:pPr>
          </w:p>
        </w:tc>
      </w:tr>
      <w:tr>
        <w:trPr>
          <w:trHeight w:val="20"/>
        </w:trPr>
        <w:tc>
          <w:tcPr>
            <w:tcW w:w="26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See accompanying Notes.</w:t>
      </w: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-32385</wp:posOffset>
            </wp:positionH>
            <wp:positionV relativeFrom="paragraph">
              <wp:posOffset>85725</wp:posOffset>
            </wp:positionV>
            <wp:extent cx="7132320" cy="171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20"/>
          </w:cols>
          <w:pgMar w:left="380" w:top="1216" w:right="399" w:bottom="1440" w:gutter="0" w:footer="0" w:header="0"/>
        </w:sectPr>
      </w:pPr>
    </w:p>
    <w:bookmarkStart w:id="8" w:name="page9"/>
    <w:bookmarkEnd w:id="8"/>
    <w:p>
      <w:pPr>
        <w:spacing w:after="0"/>
        <w:rPr>
          <w:rFonts w:ascii="Times New Roman" w:cs="Times New Roman" w:eastAsia="Times New Roman" w:hAnsi="Times New Roman"/>
          <w:sz w:val="18"/>
          <w:szCs w:val="18"/>
          <w:u w:val="single" w:color="auto"/>
          <w:color w:val="0000FF"/>
        </w:rPr>
      </w:pPr>
      <w:hyperlink w:anchor="page1">
        <w:r>
          <w:rPr>
            <w:rFonts w:ascii="Times New Roman" w:cs="Times New Roman" w:eastAsia="Times New Roman" w:hAnsi="Times New Roman"/>
            <w:sz w:val="18"/>
            <w:szCs w:val="18"/>
            <w:u w:val="single" w:color="auto"/>
            <w:color w:val="0000FF"/>
          </w:rPr>
          <w:t>Table of Contents</w:t>
        </w:r>
      </w:hyperlink>
    </w:p>
    <w:p>
      <w:pPr>
        <w:spacing w:after="0" w:line="200" w:lineRule="exact"/>
        <w:rPr>
          <w:sz w:val="20"/>
          <w:szCs w:val="20"/>
          <w:color w:val="auto"/>
        </w:rPr>
      </w:pPr>
    </w:p>
    <w:p>
      <w:pPr>
        <w:spacing w:after="0" w:line="264" w:lineRule="exact"/>
        <w:rPr>
          <w:sz w:val="20"/>
          <w:szCs w:val="20"/>
          <w:color w:val="auto"/>
        </w:rPr>
      </w:pPr>
    </w:p>
    <w:p>
      <w:pPr>
        <w:ind w:left="3700"/>
        <w:spacing w:after="0"/>
        <w:rPr>
          <w:sz w:val="20"/>
          <w:szCs w:val="20"/>
          <w:color w:val="auto"/>
        </w:rPr>
      </w:pPr>
      <w:r>
        <w:rPr>
          <w:rFonts w:ascii="Times New Roman" w:cs="Times New Roman" w:eastAsia="Times New Roman" w:hAnsi="Times New Roman"/>
          <w:sz w:val="18"/>
          <w:szCs w:val="18"/>
          <w:b w:val="1"/>
          <w:bCs w:val="1"/>
          <w:color w:val="auto"/>
        </w:rPr>
        <w:t>TAKE-TWO INTERACTIVE SOFTWARE, INC.</w:t>
      </w:r>
    </w:p>
    <w:p>
      <w:pPr>
        <w:spacing w:after="0" w:line="144" w:lineRule="exact"/>
        <w:rPr>
          <w:sz w:val="20"/>
          <w:szCs w:val="20"/>
          <w:color w:val="auto"/>
        </w:rPr>
      </w:pPr>
    </w:p>
    <w:p>
      <w:pPr>
        <w:ind w:left="3020"/>
        <w:spacing w:after="0"/>
        <w:rPr>
          <w:sz w:val="20"/>
          <w:szCs w:val="20"/>
          <w:color w:val="auto"/>
        </w:rPr>
      </w:pPr>
      <w:r>
        <w:rPr>
          <w:rFonts w:ascii="Times New Roman" w:cs="Times New Roman" w:eastAsia="Times New Roman" w:hAnsi="Times New Roman"/>
          <w:sz w:val="18"/>
          <w:szCs w:val="18"/>
          <w:b w:val="1"/>
          <w:bCs w:val="1"/>
          <w:color w:val="auto"/>
        </w:rPr>
        <w:t>Notes to Condensed Consolidated Financial Statements (Unaudited)</w:t>
      </w:r>
    </w:p>
    <w:p>
      <w:pPr>
        <w:spacing w:after="0" w:line="158" w:lineRule="exact"/>
        <w:rPr>
          <w:sz w:val="20"/>
          <w:szCs w:val="20"/>
          <w:color w:val="auto"/>
        </w:rPr>
      </w:pPr>
    </w:p>
    <w:p>
      <w:pPr>
        <w:ind w:left="4060"/>
        <w:spacing w:after="0"/>
        <w:rPr>
          <w:sz w:val="20"/>
          <w:szCs w:val="20"/>
          <w:color w:val="auto"/>
        </w:rPr>
      </w:pPr>
      <w:r>
        <w:rPr>
          <w:rFonts w:ascii="Times New Roman" w:cs="Times New Roman" w:eastAsia="Times New Roman" w:hAnsi="Times New Roman"/>
          <w:sz w:val="18"/>
          <w:szCs w:val="18"/>
          <w:b w:val="1"/>
          <w:bCs w:val="1"/>
          <w:color w:val="auto"/>
        </w:rPr>
        <w:t>(in thousands, except per share amounts)</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 BASIS OF PRESENTATION AND SIGNIFICANT ACCOUNTING POLICIES</w:t>
      </w:r>
    </w:p>
    <w:p>
      <w:pPr>
        <w:spacing w:after="0" w:line="148"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Take-Two Interactive Software, Inc. (the "Company," "we," "us," or similar pronouns) was incorporated in the state of Delaware in 1993. We are a leading developer, publisher, and marketer of interactive entertainment for consumers around the globe. We develop and publish products principally through Rockstar Games, 2K, Private Division, Social Point, and Playdots. Our products are designed for console systems and personal computers, including smart phones and tablets, and are delivered through physical retail, digital download, online platforms, and cloud streaming services.</w:t>
      </w:r>
    </w:p>
    <w:p>
      <w:pPr>
        <w:spacing w:after="0" w:line="10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Basis of Presentation</w:t>
      </w:r>
    </w:p>
    <w:p>
      <w:pPr>
        <w:spacing w:after="0" w:line="162"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The accompanying Condensed Consolidated Financial Statements are unaudited and include the accounts of the Company and its wholly-owned subsidiaries and, in our opinion, reflect all normal and recurring adjustments necessary for the fair presentation of our financial position, results of operations, and cash flows. Interim results may not be indicative of the results that may be expected for the full fiscal year. All intercompany accounts and transactions have been eliminated in consolidation. The preparation of these Condensed Consolidated Financial Statements in accordance with accounting principles generally accepted in the United States ("U.S. GAAP") requires management to make estimates and assumptions that affect the amounts reported in these Condensed Consolidated Financial Statements and accompanying notes. As permitted under U.S. GAAP, interim accounting for certain expenses, including income taxes, are based on full year assumptions when appropriate. Actual results could differ materially from those estimates, including as a result of the COVID-19 pandemic, which may affect economic conditions in a number of different ways and result in uncertainty and risk.</w:t>
      </w:r>
    </w:p>
    <w:p>
      <w:pPr>
        <w:spacing w:after="0" w:line="111"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Certain information and footnote disclosures normally included in financial statements prepared in accordance with U.S. GAAP have been omitted pursuant to the rules and regulations of the Securities and Exchange Commission ("SEC"), although we believe that the disclosures are adequate to make the information presented not misleading. These Condensed Consolidated Financial Statements and accompanying notes should be read in conjunction with our annual Consolidated Financial Statements and the notes thereto, included in our Annual Report on Form 10-K for the fiscal year ended March 31, 2020.</w:t>
      </w:r>
    </w:p>
    <w:p>
      <w:pPr>
        <w:spacing w:after="0" w:line="11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Certain immaterial reclassifications have been made to prior period amounts to conform to the current period presentation.</w:t>
      </w:r>
    </w:p>
    <w:p>
      <w:pPr>
        <w:spacing w:after="0" w:line="15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Recently Adopted Accounting Pronouncements</w:t>
      </w:r>
    </w:p>
    <w:p>
      <w:pPr>
        <w:spacing w:after="0" w:line="14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Accounting for Fair Value Measurement</w:t>
      </w:r>
    </w:p>
    <w:p>
      <w:pPr>
        <w:spacing w:after="0" w:line="160"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 xml:space="preserve">In August 2018, the FASB issued ASU 2018-13, </w:t>
      </w:r>
      <w:r>
        <w:rPr>
          <w:rFonts w:ascii="Times New Roman" w:cs="Times New Roman" w:eastAsia="Times New Roman" w:hAnsi="Times New Roman"/>
          <w:sz w:val="18"/>
          <w:szCs w:val="18"/>
          <w:i w:val="1"/>
          <w:iCs w:val="1"/>
          <w:color w:val="auto"/>
        </w:rPr>
        <w:t>Fair Value Measurement (Topic 820): Disclosure Framework - Changes to the Disclosure</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Requirements for Fair Value Measurement</w:t>
      </w:r>
      <w:r>
        <w:rPr>
          <w:rFonts w:ascii="Times New Roman" w:cs="Times New Roman" w:eastAsia="Times New Roman" w:hAnsi="Times New Roman"/>
          <w:sz w:val="18"/>
          <w:szCs w:val="18"/>
          <w:color w:val="auto"/>
        </w:rPr>
        <w:t>, which modifies the disclosure requirements on fair value measurements by removing, modifying, or adding</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certain disclosures. We adopted this update effective April 1, 2020. The adoption of this standard did not have a material impact on our Condensed Consolidated Financial Statements.</w:t>
      </w:r>
    </w:p>
    <w:p>
      <w:pPr>
        <w:spacing w:after="0" w:line="11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Accounting for Credit Losses</w:t>
      </w:r>
    </w:p>
    <w:p>
      <w:pPr>
        <w:spacing w:after="0" w:line="146" w:lineRule="exact"/>
        <w:rPr>
          <w:sz w:val="20"/>
          <w:szCs w:val="20"/>
          <w:color w:val="auto"/>
        </w:rPr>
      </w:pPr>
    </w:p>
    <w:p>
      <w:pPr>
        <w:jc w:val="both"/>
        <w:ind w:firstLine="648"/>
        <w:spacing w:after="0" w:line="239" w:lineRule="auto"/>
        <w:rPr>
          <w:sz w:val="20"/>
          <w:szCs w:val="20"/>
          <w:color w:val="auto"/>
        </w:rPr>
      </w:pPr>
      <w:r>
        <w:rPr>
          <w:rFonts w:ascii="Times New Roman" w:cs="Times New Roman" w:eastAsia="Times New Roman" w:hAnsi="Times New Roman"/>
          <w:sz w:val="18"/>
          <w:szCs w:val="18"/>
          <w:color w:val="auto"/>
        </w:rPr>
        <w:t xml:space="preserve">In June 2016, the FASB issued ASU 2016-13, </w:t>
      </w:r>
      <w:r>
        <w:rPr>
          <w:rFonts w:ascii="Times New Roman" w:cs="Times New Roman" w:eastAsia="Times New Roman" w:hAnsi="Times New Roman"/>
          <w:sz w:val="18"/>
          <w:szCs w:val="18"/>
          <w:i w:val="1"/>
          <w:iCs w:val="1"/>
          <w:color w:val="auto"/>
        </w:rPr>
        <w:t>Financial Instruments - Credit Losses</w:t>
      </w:r>
      <w:r>
        <w:rPr>
          <w:rFonts w:ascii="Times New Roman" w:cs="Times New Roman" w:eastAsia="Times New Roman" w:hAnsi="Times New Roman"/>
          <w:sz w:val="18"/>
          <w:szCs w:val="18"/>
          <w:color w:val="auto"/>
        </w:rPr>
        <w:t>, which replaces the incurred loss impairment methodology in current U.S. GAAP with a methodology that will require the reflection of expected credit losses and will also require consideration of a broader range of reasonable and supportable information to determine credit loss estimates. It also eliminates the concept of other-than-temporary impairment and requires credit losses related to available-for-sale debt securities to be recorded through an allowance for credit losses rather than as a reduction in the amortized cost basis of the securities. For most financial instruments, the standard will require the use of a forward-looking expected loss model rather than the incurred loss model for recognizing credit losses, which will generally result in the earlier recognition of credit losses on financial instruments. We adopted this update effective April 1, 2020 under a modified retrospective basis. No adjustment to retained earnings was recorded as a result of the adoption of this standard, which did not have a material impact on our Condensed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4" w:right="339" w:bottom="1440" w:gutter="0" w:footer="0" w:header="0"/>
        </w:sectPr>
      </w:pPr>
    </w:p>
    <w:bookmarkStart w:id="9" w:name="page10"/>
    <w:bookmarkEnd w:id="9"/>
    <w:p>
      <w:pPr>
        <w:spacing w:after="0"/>
        <w:rPr>
          <w:sz w:val="20"/>
          <w:szCs w:val="20"/>
          <w:color w:val="auto"/>
        </w:rPr>
      </w:pPr>
      <w:r>
        <w:rPr>
          <w:rFonts w:ascii="Times New Roman" w:cs="Times New Roman" w:eastAsia="Times New Roman" w:hAnsi="Times New Roman"/>
          <w:sz w:val="18"/>
          <w:szCs w:val="18"/>
          <w:b w:val="1"/>
          <w:bCs w:val="1"/>
          <w:color w:val="auto"/>
        </w:rPr>
        <w:t>Recently Issued Accounting Pronouncements</w:t>
      </w:r>
    </w:p>
    <w:p>
      <w:pPr>
        <w:spacing w:after="0" w:line="14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Accounting for Reference Rate Reform</w:t>
      </w:r>
    </w:p>
    <w:p>
      <w:pPr>
        <w:spacing w:after="0" w:line="160"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 xml:space="preserve">In March 2020, the FASB issued ASU 2020-04, </w:t>
      </w:r>
      <w:r>
        <w:rPr>
          <w:rFonts w:ascii="Times New Roman" w:cs="Times New Roman" w:eastAsia="Times New Roman" w:hAnsi="Times New Roman"/>
          <w:sz w:val="18"/>
          <w:szCs w:val="18"/>
          <w:i w:val="1"/>
          <w:iCs w:val="1"/>
          <w:color w:val="auto"/>
        </w:rPr>
        <w:t>Reference Rate Reform (Topic 848): Facilitation of the Effects of Reference Rate Reform on</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Financial Reporting</w:t>
      </w:r>
      <w:r>
        <w:rPr>
          <w:rFonts w:ascii="Times New Roman" w:cs="Times New Roman" w:eastAsia="Times New Roman" w:hAnsi="Times New Roman"/>
          <w:sz w:val="18"/>
          <w:szCs w:val="18"/>
          <w:color w:val="auto"/>
        </w:rPr>
        <w:t>, which provides temporary optional guidance to ease potential accounting impacts associated with transitioning away from reference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rates that are expected to be discontinued, such as interbank offered rates and LIBOR. The guidance includes practical expedients for contract modifications due to reference rate reform. Generally, contract modifications related to reference rate reform may be considered an event that does not require remeasurement or reassessment of a previous accounting determination at the modification date. This guidance is effective immediately and is only available through December 31, 2022. We are currently evaluating the potential impact of adopting this guidance on our Consolidated Financial Statements.</w:t>
      </w:r>
    </w:p>
    <w:p>
      <w:pPr>
        <w:spacing w:after="0" w:line="10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Accounting for Income Taxes</w:t>
      </w:r>
    </w:p>
    <w:p>
      <w:pPr>
        <w:spacing w:after="0" w:line="160" w:lineRule="exact"/>
        <w:rPr>
          <w:sz w:val="20"/>
          <w:szCs w:val="20"/>
          <w:color w:val="auto"/>
        </w:rPr>
      </w:pPr>
    </w:p>
    <w:p>
      <w:pPr>
        <w:jc w:val="both"/>
        <w:ind w:firstLine="648"/>
        <w:spacing w:after="0" w:line="257" w:lineRule="auto"/>
        <w:rPr>
          <w:sz w:val="20"/>
          <w:szCs w:val="20"/>
          <w:color w:val="auto"/>
        </w:rPr>
      </w:pPr>
      <w:r>
        <w:rPr>
          <w:rFonts w:ascii="Times New Roman" w:cs="Times New Roman" w:eastAsia="Times New Roman" w:hAnsi="Times New Roman"/>
          <w:sz w:val="18"/>
          <w:szCs w:val="18"/>
          <w:color w:val="auto"/>
        </w:rPr>
        <w:t xml:space="preserve">In December 2019, the FASB issued ASU 2019-12, </w:t>
      </w:r>
      <w:r>
        <w:rPr>
          <w:rFonts w:ascii="Times New Roman" w:cs="Times New Roman" w:eastAsia="Times New Roman" w:hAnsi="Times New Roman"/>
          <w:sz w:val="18"/>
          <w:szCs w:val="18"/>
          <w:i w:val="1"/>
          <w:iCs w:val="1"/>
          <w:color w:val="auto"/>
        </w:rPr>
        <w:t>Income Taxes (Topic 740): Simplifying the Accounting for Income Taxes</w:t>
      </w:r>
      <w:r>
        <w:rPr>
          <w:rFonts w:ascii="Times New Roman" w:cs="Times New Roman" w:eastAsia="Times New Roman" w:hAnsi="Times New Roman"/>
          <w:sz w:val="18"/>
          <w:szCs w:val="18"/>
          <w:color w:val="auto"/>
        </w:rPr>
        <w:t>, which enhances and simplifies various aspects of the income tax accounting guidance, including requirements such as tax basis step-up in goodwill obtained in a transaction that is not a business combination, ownership changes in investments, and interim-period accounting for enacted changes in tax law. ASU 2019-12 is effective for fiscal years, and interim periods within those fiscal years, beginning December 15, 2020 (April 1, 2021 for the Company), with early adoption permitted. We are currently evaluating the potential impact of adopting this guidance, and we do not expect that the impact of adopting this guidance will be material to our Consolidated Financial Statements.</w:t>
      </w:r>
    </w:p>
    <w:p>
      <w:pPr>
        <w:spacing w:after="0" w:line="200" w:lineRule="exact"/>
        <w:rPr>
          <w:sz w:val="20"/>
          <w:szCs w:val="20"/>
          <w:color w:val="auto"/>
        </w:rPr>
      </w:pPr>
    </w:p>
    <w:p>
      <w:pPr>
        <w:spacing w:after="0" w:line="29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2. REVENUE FROM CONTRACTS WITH CUSTOMERS</w:t>
      </w:r>
    </w:p>
    <w:p>
      <w:pPr>
        <w:spacing w:after="0" w:line="25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Disaggregation of revenue</w:t>
      </w:r>
    </w:p>
    <w:p>
      <w:pPr>
        <w:spacing w:after="0" w:line="21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Service and other revenue</w:t>
      </w:r>
    </w:p>
    <w:p>
      <w:pPr>
        <w:spacing w:after="0" w:line="202" w:lineRule="exact"/>
        <w:rPr>
          <w:sz w:val="20"/>
          <w:szCs w:val="20"/>
          <w:color w:val="auto"/>
        </w:rPr>
      </w:pPr>
    </w:p>
    <w:p>
      <w:pPr>
        <w:jc w:val="both"/>
        <w:ind w:right="20" w:firstLine="648"/>
        <w:spacing w:after="0" w:line="282" w:lineRule="auto"/>
        <w:rPr>
          <w:sz w:val="20"/>
          <w:szCs w:val="20"/>
          <w:color w:val="auto"/>
        </w:rPr>
      </w:pPr>
      <w:r>
        <w:rPr>
          <w:rFonts w:ascii="Times New Roman" w:cs="Times New Roman" w:eastAsia="Times New Roman" w:hAnsi="Times New Roman"/>
          <w:sz w:val="18"/>
          <w:szCs w:val="18"/>
          <w:color w:val="auto"/>
        </w:rPr>
        <w:t>Service and other revenue is primarily comprised of revenue from game related services, virtual currency transactions, and in-game purchases which are recognized over an estimated service period.</w:t>
      </w:r>
    </w:p>
    <w:p>
      <w:pPr>
        <w:spacing w:after="0" w:line="7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Product revenue</w:t>
      </w:r>
    </w:p>
    <w:p>
      <w:pPr>
        <w:spacing w:after="0" w:line="162"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Product revenue is primarily comprised of the portion of revenue from software products that is recognized when the customer takes control of the product (i.e., upon delivery of the software product).</w:t>
      </w:r>
    </w:p>
    <w:p>
      <w:pPr>
        <w:spacing w:after="0" w:line="94"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Net revenue by product revenue and service and other was as follows:</w:t>
      </w:r>
    </w:p>
    <w:p>
      <w:pPr>
        <w:spacing w:after="0" w:line="181"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26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20" w:type="dxa"/>
            <w:vAlign w:val="bottom"/>
            <w:tcBorders>
              <w:bottom w:val="single" w:sz="8" w:color="auto"/>
            </w:tcBorders>
          </w:tcPr>
          <w:p>
            <w:pPr>
              <w:spacing w:after="0"/>
              <w:rPr>
                <w:sz w:val="20"/>
                <w:szCs w:val="20"/>
                <w:color w:val="auto"/>
              </w:rPr>
            </w:pPr>
          </w:p>
        </w:tc>
        <w:tc>
          <w:tcPr>
            <w:tcW w:w="3900" w:type="dxa"/>
            <w:vAlign w:val="bottom"/>
            <w:tcBorders>
              <w:bottom w:val="single" w:sz="8" w:color="auto"/>
            </w:tcBorders>
            <w:gridSpan w:val="5"/>
          </w:tcPr>
          <w:p>
            <w:pPr>
              <w:ind w:left="320"/>
              <w:spacing w:after="0"/>
              <w:rPr>
                <w:sz w:val="20"/>
                <w:szCs w:val="20"/>
                <w:color w:val="auto"/>
              </w:rPr>
            </w:pPr>
            <w:r>
              <w:rPr>
                <w:rFonts w:ascii="Times New Roman" w:cs="Times New Roman" w:eastAsia="Times New Roman" w:hAnsi="Times New Roman"/>
                <w:sz w:val="18"/>
                <w:szCs w:val="18"/>
                <w:b w:val="1"/>
                <w:bCs w:val="1"/>
                <w:color w:val="auto"/>
              </w:rPr>
              <w:t>Three Months Ended December 31,</w:t>
            </w:r>
          </w:p>
        </w:tc>
        <w:tc>
          <w:tcPr>
            <w:tcW w:w="440" w:type="dxa"/>
            <w:vAlign w:val="bottom"/>
            <w:tcBorders>
              <w:bottom w:val="single" w:sz="8" w:color="auto"/>
            </w:tcBorders>
          </w:tcPr>
          <w:p>
            <w:pPr>
              <w:spacing w:after="0"/>
              <w:rPr>
                <w:sz w:val="20"/>
                <w:szCs w:val="20"/>
                <w:color w:val="auto"/>
              </w:rPr>
            </w:pPr>
          </w:p>
        </w:tc>
        <w:tc>
          <w:tcPr>
            <w:tcW w:w="3720" w:type="dxa"/>
            <w:vAlign w:val="bottom"/>
            <w:tcBorders>
              <w:bottom w:val="single" w:sz="8" w:color="auto"/>
            </w:tcBorders>
            <w:gridSpan w:val="4"/>
          </w:tcPr>
          <w:p>
            <w:pPr>
              <w:jc w:val="right"/>
              <w:ind w:right="670"/>
              <w:spacing w:after="0"/>
              <w:rPr>
                <w:sz w:val="20"/>
                <w:szCs w:val="20"/>
                <w:color w:val="auto"/>
              </w:rPr>
            </w:pPr>
            <w:r>
              <w:rPr>
                <w:rFonts w:ascii="Times New Roman" w:cs="Times New Roman" w:eastAsia="Times New Roman" w:hAnsi="Times New Roman"/>
                <w:sz w:val="18"/>
                <w:szCs w:val="18"/>
                <w:b w:val="1"/>
                <w:bCs w:val="1"/>
                <w:color w:val="auto"/>
              </w:rPr>
              <w:t>Nine Months Ended December 31,</w:t>
            </w:r>
          </w:p>
        </w:tc>
      </w:tr>
      <w:tr>
        <w:trPr>
          <w:trHeight w:val="223"/>
        </w:trPr>
        <w:tc>
          <w:tcPr>
            <w:tcW w:w="2660" w:type="dxa"/>
            <w:vAlign w:val="bottom"/>
            <w:tcBorders>
              <w:bottom w:val="single" w:sz="8" w:color="CCEEFF"/>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1640" w:type="dxa"/>
            <w:vAlign w:val="bottom"/>
            <w:tcBorders>
              <w:bottom w:val="single" w:sz="8" w:color="auto"/>
            </w:tcBorders>
          </w:tcPr>
          <w:p>
            <w:pPr>
              <w:jc w:val="right"/>
              <w:ind w:right="770"/>
              <w:spacing w:after="0"/>
              <w:rPr>
                <w:sz w:val="20"/>
                <w:szCs w:val="20"/>
                <w:color w:val="auto"/>
              </w:rPr>
            </w:pPr>
            <w:r>
              <w:rPr>
                <w:rFonts w:ascii="Times New Roman" w:cs="Times New Roman" w:eastAsia="Times New Roman" w:hAnsi="Times New Roman"/>
                <w:sz w:val="18"/>
                <w:szCs w:val="18"/>
                <w:b w:val="1"/>
                <w:bCs w:val="1"/>
                <w:color w:val="auto"/>
              </w:rPr>
              <w:t>2020</w:t>
            </w:r>
          </w:p>
        </w:tc>
        <w:tc>
          <w:tcPr>
            <w:tcW w:w="100" w:type="dxa"/>
            <w:vAlign w:val="bottom"/>
            <w:tcBorders>
              <w:bottom w:val="single" w:sz="8" w:color="auto"/>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1680" w:type="dxa"/>
            <w:vAlign w:val="bottom"/>
            <w:tcBorders>
              <w:bottom w:val="single" w:sz="8" w:color="auto"/>
            </w:tcBorders>
          </w:tcPr>
          <w:p>
            <w:pPr>
              <w:jc w:val="right"/>
              <w:ind w:right="770"/>
              <w:spacing w:after="0"/>
              <w:rPr>
                <w:sz w:val="20"/>
                <w:szCs w:val="20"/>
                <w:color w:val="auto"/>
              </w:rPr>
            </w:pPr>
            <w:r>
              <w:rPr>
                <w:rFonts w:ascii="Times New Roman" w:cs="Times New Roman" w:eastAsia="Times New Roman" w:hAnsi="Times New Roman"/>
                <w:sz w:val="18"/>
                <w:szCs w:val="18"/>
                <w:b w:val="1"/>
                <w:bCs w:val="1"/>
                <w:color w:val="auto"/>
              </w:rPr>
              <w:t>2019</w:t>
            </w:r>
          </w:p>
        </w:tc>
        <w:tc>
          <w:tcPr>
            <w:tcW w:w="100" w:type="dxa"/>
            <w:vAlign w:val="bottom"/>
            <w:tcBorders>
              <w:bottom w:val="single" w:sz="8" w:color="auto"/>
            </w:tcBorders>
          </w:tcPr>
          <w:p>
            <w:pPr>
              <w:spacing w:after="0"/>
              <w:rPr>
                <w:sz w:val="19"/>
                <w:szCs w:val="19"/>
                <w:color w:val="auto"/>
              </w:rPr>
            </w:pPr>
          </w:p>
        </w:tc>
        <w:tc>
          <w:tcPr>
            <w:tcW w:w="440" w:type="dxa"/>
            <w:vAlign w:val="bottom"/>
            <w:tcBorders>
              <w:bottom w:val="single" w:sz="8" w:color="auto"/>
            </w:tcBorders>
          </w:tcPr>
          <w:p>
            <w:pPr>
              <w:spacing w:after="0"/>
              <w:rPr>
                <w:sz w:val="19"/>
                <w:szCs w:val="19"/>
                <w:color w:val="auto"/>
              </w:rPr>
            </w:pPr>
          </w:p>
        </w:tc>
        <w:tc>
          <w:tcPr>
            <w:tcW w:w="1560" w:type="dxa"/>
            <w:vAlign w:val="bottom"/>
            <w:tcBorders>
              <w:bottom w:val="single" w:sz="8" w:color="auto"/>
            </w:tcBorders>
          </w:tcPr>
          <w:p>
            <w:pPr>
              <w:jc w:val="right"/>
              <w:ind w:right="730"/>
              <w:spacing w:after="0"/>
              <w:rPr>
                <w:sz w:val="20"/>
                <w:szCs w:val="20"/>
                <w:color w:val="auto"/>
              </w:rPr>
            </w:pPr>
            <w:r>
              <w:rPr>
                <w:rFonts w:ascii="Times New Roman" w:cs="Times New Roman" w:eastAsia="Times New Roman" w:hAnsi="Times New Roman"/>
                <w:sz w:val="18"/>
                <w:szCs w:val="18"/>
                <w:b w:val="1"/>
                <w:bCs w:val="1"/>
                <w:color w:val="auto"/>
              </w:rPr>
              <w:t>2020</w:t>
            </w:r>
          </w:p>
        </w:tc>
        <w:tc>
          <w:tcPr>
            <w:tcW w:w="100" w:type="dxa"/>
            <w:vAlign w:val="bottom"/>
            <w:tcBorders>
              <w:bottom w:val="single" w:sz="8" w:color="auto"/>
            </w:tcBorders>
          </w:tcPr>
          <w:p>
            <w:pPr>
              <w:spacing w:after="0"/>
              <w:rPr>
                <w:sz w:val="19"/>
                <w:szCs w:val="19"/>
                <w:color w:val="auto"/>
              </w:rPr>
            </w:pPr>
          </w:p>
        </w:tc>
        <w:tc>
          <w:tcPr>
            <w:tcW w:w="480" w:type="dxa"/>
            <w:vAlign w:val="bottom"/>
            <w:tcBorders>
              <w:bottom w:val="single" w:sz="8" w:color="auto"/>
            </w:tcBorders>
          </w:tcPr>
          <w:p>
            <w:pPr>
              <w:spacing w:after="0"/>
              <w:rPr>
                <w:sz w:val="19"/>
                <w:szCs w:val="19"/>
                <w:color w:val="auto"/>
              </w:rPr>
            </w:pPr>
          </w:p>
        </w:tc>
        <w:tc>
          <w:tcPr>
            <w:tcW w:w="1580" w:type="dxa"/>
            <w:vAlign w:val="bottom"/>
            <w:tcBorders>
              <w:bottom w:val="single" w:sz="8" w:color="auto"/>
            </w:tcBorders>
          </w:tcPr>
          <w:p>
            <w:pPr>
              <w:jc w:val="right"/>
              <w:ind w:right="750"/>
              <w:spacing w:after="0"/>
              <w:rPr>
                <w:sz w:val="20"/>
                <w:szCs w:val="20"/>
                <w:color w:val="auto"/>
              </w:rPr>
            </w:pPr>
            <w:r>
              <w:rPr>
                <w:rFonts w:ascii="Times New Roman" w:cs="Times New Roman" w:eastAsia="Times New Roman" w:hAnsi="Times New Roman"/>
                <w:sz w:val="18"/>
                <w:szCs w:val="18"/>
                <w:b w:val="1"/>
                <w:bCs w:val="1"/>
                <w:color w:val="auto"/>
              </w:rPr>
              <w:t>2019</w:t>
            </w:r>
          </w:p>
        </w:tc>
      </w:tr>
      <w:tr>
        <w:trPr>
          <w:trHeight w:val="210"/>
        </w:trPr>
        <w:tc>
          <w:tcPr>
            <w:tcW w:w="276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b w:val="1"/>
                <w:bCs w:val="1"/>
                <w:color w:val="auto"/>
              </w:rPr>
              <w:t>Net revenue recognized:</w:t>
            </w:r>
          </w:p>
        </w:tc>
        <w:tc>
          <w:tcPr>
            <w:tcW w:w="420" w:type="dxa"/>
            <w:vAlign w:val="bottom"/>
            <w:shd w:val="clear" w:color="auto" w:fill="CCEEFF"/>
          </w:tcPr>
          <w:p>
            <w:pPr>
              <w:spacing w:after="0"/>
              <w:rPr>
                <w:sz w:val="18"/>
                <w:szCs w:val="18"/>
                <w:color w:val="auto"/>
              </w:rPr>
            </w:pPr>
          </w:p>
        </w:tc>
        <w:tc>
          <w:tcPr>
            <w:tcW w:w="1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6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580" w:type="dxa"/>
            <w:vAlign w:val="bottom"/>
            <w:shd w:val="clear" w:color="auto" w:fill="CCEEFF"/>
          </w:tcPr>
          <w:p>
            <w:pPr>
              <w:spacing w:after="0"/>
              <w:rPr>
                <w:sz w:val="18"/>
                <w:szCs w:val="18"/>
                <w:color w:val="auto"/>
              </w:rPr>
            </w:pPr>
          </w:p>
        </w:tc>
      </w:tr>
      <w:tr>
        <w:trPr>
          <w:trHeight w:val="230"/>
        </w:trPr>
        <w:tc>
          <w:tcPr>
            <w:tcW w:w="276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Service and other</w:t>
            </w:r>
          </w:p>
        </w:tc>
        <w:tc>
          <w:tcPr>
            <w:tcW w:w="420" w:type="dxa"/>
            <w:vAlign w:val="bottom"/>
          </w:tcPr>
          <w:p>
            <w:pPr>
              <w:jc w:val="right"/>
              <w:ind w:right="210"/>
              <w:spacing w:after="0"/>
              <w:rPr>
                <w:sz w:val="20"/>
                <w:szCs w:val="20"/>
                <w:color w:val="auto"/>
              </w:rPr>
            </w:pPr>
            <w:r>
              <w:rPr>
                <w:rFonts w:ascii="Times New Roman" w:cs="Times New Roman" w:eastAsia="Times New Roman" w:hAnsi="Times New Roman"/>
                <w:sz w:val="18"/>
                <w:szCs w:val="18"/>
                <w:b w:val="1"/>
                <w:bCs w:val="1"/>
                <w:color w:val="auto"/>
              </w:rPr>
              <w:t>$</w:t>
            </w:r>
          </w:p>
        </w:tc>
        <w:tc>
          <w:tcPr>
            <w:tcW w:w="16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578,830</w:t>
            </w:r>
          </w:p>
        </w:tc>
        <w:tc>
          <w:tcPr>
            <w:tcW w:w="100" w:type="dxa"/>
            <w:vAlign w:val="bottom"/>
          </w:tcPr>
          <w:p>
            <w:pPr>
              <w:spacing w:after="0"/>
              <w:rPr>
                <w:sz w:val="19"/>
                <w:szCs w:val="19"/>
                <w:color w:val="auto"/>
              </w:rPr>
            </w:pPr>
          </w:p>
        </w:tc>
        <w:tc>
          <w:tcPr>
            <w:tcW w:w="380" w:type="dxa"/>
            <w:vAlign w:val="bottom"/>
          </w:tcPr>
          <w:p>
            <w:pPr>
              <w:jc w:val="right"/>
              <w:ind w:right="17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481,301</w:t>
            </w:r>
          </w:p>
        </w:tc>
        <w:tc>
          <w:tcPr>
            <w:tcW w:w="100" w:type="dxa"/>
            <w:vAlign w:val="bottom"/>
          </w:tcPr>
          <w:p>
            <w:pPr>
              <w:spacing w:after="0"/>
              <w:rPr>
                <w:sz w:val="19"/>
                <w:szCs w:val="19"/>
                <w:color w:val="auto"/>
              </w:rPr>
            </w:pPr>
          </w:p>
        </w:tc>
        <w:tc>
          <w:tcPr>
            <w:tcW w:w="440" w:type="dxa"/>
            <w:vAlign w:val="bottom"/>
          </w:tcPr>
          <w:p>
            <w:pPr>
              <w:jc w:val="right"/>
              <w:ind w:right="230"/>
              <w:spacing w:after="0"/>
              <w:rPr>
                <w:sz w:val="20"/>
                <w:szCs w:val="20"/>
                <w:color w:val="auto"/>
              </w:rPr>
            </w:pPr>
            <w:r>
              <w:rPr>
                <w:rFonts w:ascii="Times New Roman" w:cs="Times New Roman" w:eastAsia="Times New Roman" w:hAnsi="Times New Roman"/>
                <w:sz w:val="18"/>
                <w:szCs w:val="18"/>
                <w:b w:val="1"/>
                <w:bCs w:val="1"/>
                <w:color w:val="auto"/>
              </w:rPr>
              <w:t>$</w:t>
            </w:r>
          </w:p>
        </w:tc>
        <w:tc>
          <w:tcPr>
            <w:tcW w:w="15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1,662,456</w:t>
            </w:r>
          </w:p>
        </w:tc>
        <w:tc>
          <w:tcPr>
            <w:tcW w:w="100" w:type="dxa"/>
            <w:vAlign w:val="bottom"/>
          </w:tcPr>
          <w:p>
            <w:pPr>
              <w:spacing w:after="0"/>
              <w:rPr>
                <w:sz w:val="19"/>
                <w:szCs w:val="19"/>
                <w:color w:val="auto"/>
              </w:rPr>
            </w:pPr>
          </w:p>
        </w:tc>
        <w:tc>
          <w:tcPr>
            <w:tcW w:w="480" w:type="dxa"/>
            <w:vAlign w:val="bottom"/>
          </w:tcPr>
          <w:p>
            <w:pPr>
              <w:jc w:val="right"/>
              <w:ind w:right="270"/>
              <w:spacing w:after="0"/>
              <w:rPr>
                <w:sz w:val="20"/>
                <w:szCs w:val="20"/>
                <w:color w:val="auto"/>
              </w:rPr>
            </w:pPr>
            <w:r>
              <w:rPr>
                <w:rFonts w:ascii="Times New Roman" w:cs="Times New Roman" w:eastAsia="Times New Roman" w:hAnsi="Times New Roman"/>
                <w:sz w:val="18"/>
                <w:szCs w:val="18"/>
                <w:color w:val="auto"/>
              </w:rPr>
              <w:t>$</w:t>
            </w:r>
          </w:p>
        </w:tc>
        <w:tc>
          <w:tcPr>
            <w:tcW w:w="15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1,327,433</w:t>
            </w:r>
          </w:p>
        </w:tc>
      </w:tr>
      <w:tr>
        <w:trPr>
          <w:trHeight w:val="230"/>
        </w:trPr>
        <w:tc>
          <w:tcPr>
            <w:tcW w:w="276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Product</w:t>
            </w:r>
          </w:p>
        </w:tc>
        <w:tc>
          <w:tcPr>
            <w:tcW w:w="420" w:type="dxa"/>
            <w:vAlign w:val="bottom"/>
            <w:shd w:val="clear" w:color="auto" w:fill="CCEEFF"/>
          </w:tcPr>
          <w:p>
            <w:pPr>
              <w:spacing w:after="0"/>
              <w:rPr>
                <w:sz w:val="19"/>
                <w:szCs w:val="19"/>
                <w:color w:val="auto"/>
              </w:rPr>
            </w:pPr>
          </w:p>
        </w:tc>
        <w:tc>
          <w:tcPr>
            <w:tcW w:w="16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282,059</w:t>
            </w:r>
          </w:p>
        </w:tc>
        <w:tc>
          <w:tcPr>
            <w:tcW w:w="10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1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448,828</w:t>
            </w:r>
          </w:p>
        </w:tc>
        <w:tc>
          <w:tcPr>
            <w:tcW w:w="100" w:type="dxa"/>
            <w:vAlign w:val="bottom"/>
            <w:shd w:val="clear" w:color="auto" w:fill="CCEEFF"/>
          </w:tcPr>
          <w:p>
            <w:pPr>
              <w:spacing w:after="0"/>
              <w:rPr>
                <w:sz w:val="19"/>
                <w:szCs w:val="19"/>
                <w:color w:val="auto"/>
              </w:rPr>
            </w:pPr>
          </w:p>
        </w:tc>
        <w:tc>
          <w:tcPr>
            <w:tcW w:w="440" w:type="dxa"/>
            <w:vAlign w:val="bottom"/>
            <w:shd w:val="clear" w:color="auto" w:fill="CCEEFF"/>
          </w:tcPr>
          <w:p>
            <w:pPr>
              <w:spacing w:after="0"/>
              <w:rPr>
                <w:sz w:val="19"/>
                <w:szCs w:val="19"/>
                <w:color w:val="auto"/>
              </w:rPr>
            </w:pPr>
          </w:p>
        </w:tc>
        <w:tc>
          <w:tcPr>
            <w:tcW w:w="15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870,885</w:t>
            </w:r>
          </w:p>
        </w:tc>
        <w:tc>
          <w:tcPr>
            <w:tcW w:w="100" w:type="dxa"/>
            <w:vAlign w:val="bottom"/>
            <w:shd w:val="clear" w:color="auto" w:fill="CCEEFF"/>
          </w:tcPr>
          <w:p>
            <w:pPr>
              <w:spacing w:after="0"/>
              <w:rPr>
                <w:sz w:val="19"/>
                <w:szCs w:val="19"/>
                <w:color w:val="auto"/>
              </w:rPr>
            </w:pPr>
          </w:p>
        </w:tc>
        <w:tc>
          <w:tcPr>
            <w:tcW w:w="480" w:type="dxa"/>
            <w:vAlign w:val="bottom"/>
            <w:shd w:val="clear" w:color="auto" w:fill="CCEEFF"/>
          </w:tcPr>
          <w:p>
            <w:pPr>
              <w:spacing w:after="0"/>
              <w:rPr>
                <w:sz w:val="19"/>
                <w:szCs w:val="19"/>
                <w:color w:val="auto"/>
              </w:rPr>
            </w:pPr>
          </w:p>
        </w:tc>
        <w:tc>
          <w:tcPr>
            <w:tcW w:w="15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1,000,996</w:t>
            </w:r>
          </w:p>
        </w:tc>
      </w:tr>
      <w:tr>
        <w:trPr>
          <w:trHeight w:val="223"/>
        </w:trPr>
        <w:tc>
          <w:tcPr>
            <w:tcW w:w="2660" w:type="dxa"/>
            <w:vAlign w:val="bottom"/>
            <w:tcBorders>
              <w:top w:val="single" w:sz="8" w:color="auto"/>
              <w:bottom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Total net revenue</w:t>
            </w:r>
          </w:p>
        </w:tc>
        <w:tc>
          <w:tcPr>
            <w:tcW w:w="100" w:type="dxa"/>
            <w:vAlign w:val="bottom"/>
          </w:tcPr>
          <w:p>
            <w:pPr>
              <w:spacing w:after="0"/>
              <w:rPr>
                <w:sz w:val="19"/>
                <w:szCs w:val="19"/>
                <w:color w:val="auto"/>
              </w:rPr>
            </w:pPr>
          </w:p>
        </w:tc>
        <w:tc>
          <w:tcPr>
            <w:tcW w:w="420" w:type="dxa"/>
            <w:vAlign w:val="bottom"/>
            <w:tcBorders>
              <w:top w:val="single" w:sz="8" w:color="auto"/>
              <w:bottom w:val="single" w:sz="8" w:color="auto"/>
            </w:tcBorders>
          </w:tcPr>
          <w:p>
            <w:pPr>
              <w:jc w:val="right"/>
              <w:ind w:right="210"/>
              <w:spacing w:after="0"/>
              <w:rPr>
                <w:sz w:val="20"/>
                <w:szCs w:val="20"/>
                <w:color w:val="auto"/>
              </w:rPr>
            </w:pPr>
            <w:r>
              <w:rPr>
                <w:rFonts w:ascii="Times New Roman" w:cs="Times New Roman" w:eastAsia="Times New Roman" w:hAnsi="Times New Roman"/>
                <w:sz w:val="18"/>
                <w:szCs w:val="18"/>
                <w:b w:val="1"/>
                <w:bCs w:val="1"/>
                <w:color w:val="auto"/>
              </w:rPr>
              <w:t>$</w:t>
            </w:r>
          </w:p>
        </w:tc>
        <w:tc>
          <w:tcPr>
            <w:tcW w:w="16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860,889</w:t>
            </w:r>
          </w:p>
        </w:tc>
        <w:tc>
          <w:tcPr>
            <w:tcW w:w="100" w:type="dxa"/>
            <w:vAlign w:val="bottom"/>
            <w:tcBorders>
              <w:bottom w:val="single" w:sz="8" w:color="auto"/>
            </w:tcBorders>
          </w:tcPr>
          <w:p>
            <w:pPr>
              <w:spacing w:after="0"/>
              <w:rPr>
                <w:sz w:val="19"/>
                <w:szCs w:val="19"/>
                <w:color w:val="auto"/>
              </w:rPr>
            </w:pPr>
          </w:p>
        </w:tc>
        <w:tc>
          <w:tcPr>
            <w:tcW w:w="380" w:type="dxa"/>
            <w:vAlign w:val="bottom"/>
            <w:tcBorders>
              <w:top w:val="single" w:sz="8" w:color="auto"/>
              <w:bottom w:val="single" w:sz="8" w:color="auto"/>
            </w:tcBorders>
          </w:tcPr>
          <w:p>
            <w:pPr>
              <w:jc w:val="right"/>
              <w:ind w:right="17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930,129</w:t>
            </w:r>
          </w:p>
        </w:tc>
        <w:tc>
          <w:tcPr>
            <w:tcW w:w="100" w:type="dxa"/>
            <w:vAlign w:val="bottom"/>
            <w:tcBorders>
              <w:bottom w:val="single" w:sz="8" w:color="auto"/>
            </w:tcBorders>
          </w:tcPr>
          <w:p>
            <w:pPr>
              <w:spacing w:after="0"/>
              <w:rPr>
                <w:sz w:val="19"/>
                <w:szCs w:val="19"/>
                <w:color w:val="auto"/>
              </w:rPr>
            </w:pPr>
          </w:p>
        </w:tc>
        <w:tc>
          <w:tcPr>
            <w:tcW w:w="440" w:type="dxa"/>
            <w:vAlign w:val="bottom"/>
            <w:tcBorders>
              <w:top w:val="single" w:sz="8" w:color="auto"/>
              <w:bottom w:val="single" w:sz="8" w:color="auto"/>
            </w:tcBorders>
          </w:tcPr>
          <w:p>
            <w:pPr>
              <w:jc w:val="right"/>
              <w:ind w:right="230"/>
              <w:spacing w:after="0"/>
              <w:rPr>
                <w:sz w:val="20"/>
                <w:szCs w:val="20"/>
                <w:color w:val="auto"/>
              </w:rPr>
            </w:pPr>
            <w:r>
              <w:rPr>
                <w:rFonts w:ascii="Times New Roman" w:cs="Times New Roman" w:eastAsia="Times New Roman" w:hAnsi="Times New Roman"/>
                <w:sz w:val="18"/>
                <w:szCs w:val="18"/>
                <w:b w:val="1"/>
                <w:bCs w:val="1"/>
                <w:color w:val="auto"/>
              </w:rPr>
              <w:t>$</w:t>
            </w:r>
          </w:p>
        </w:tc>
        <w:tc>
          <w:tcPr>
            <w:tcW w:w="15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2,533,341</w:t>
            </w:r>
          </w:p>
        </w:tc>
        <w:tc>
          <w:tcPr>
            <w:tcW w:w="100" w:type="dxa"/>
            <w:vAlign w:val="bottom"/>
            <w:tcBorders>
              <w:bottom w:val="single" w:sz="8" w:color="auto"/>
            </w:tcBorders>
          </w:tcPr>
          <w:p>
            <w:pPr>
              <w:spacing w:after="0"/>
              <w:rPr>
                <w:sz w:val="19"/>
                <w:szCs w:val="19"/>
                <w:color w:val="auto"/>
              </w:rPr>
            </w:pPr>
          </w:p>
        </w:tc>
        <w:tc>
          <w:tcPr>
            <w:tcW w:w="480" w:type="dxa"/>
            <w:vAlign w:val="bottom"/>
            <w:tcBorders>
              <w:top w:val="single" w:sz="8" w:color="auto"/>
              <w:bottom w:val="single" w:sz="8" w:color="auto"/>
            </w:tcBorders>
          </w:tcPr>
          <w:p>
            <w:pPr>
              <w:jc w:val="right"/>
              <w:ind w:right="270"/>
              <w:spacing w:after="0"/>
              <w:rPr>
                <w:sz w:val="20"/>
                <w:szCs w:val="20"/>
                <w:color w:val="auto"/>
              </w:rPr>
            </w:pPr>
            <w:r>
              <w:rPr>
                <w:rFonts w:ascii="Times New Roman" w:cs="Times New Roman" w:eastAsia="Times New Roman" w:hAnsi="Times New Roman"/>
                <w:sz w:val="18"/>
                <w:szCs w:val="18"/>
                <w:color w:val="auto"/>
              </w:rPr>
              <w:t>$</w:t>
            </w:r>
          </w:p>
        </w:tc>
        <w:tc>
          <w:tcPr>
            <w:tcW w:w="15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2,328,429</w:t>
            </w:r>
          </w:p>
        </w:tc>
      </w:tr>
      <w:tr>
        <w:trPr>
          <w:trHeight w:val="20"/>
        </w:trPr>
        <w:tc>
          <w:tcPr>
            <w:tcW w:w="26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6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5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r>
      <w:tr>
        <w:trPr>
          <w:trHeight w:val="871"/>
        </w:trPr>
        <w:tc>
          <w:tcPr>
            <w:tcW w:w="26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680" w:type="dxa"/>
            <w:vAlign w:val="bottom"/>
          </w:tcPr>
          <w:p>
            <w:pPr>
              <w:jc w:val="right"/>
              <w:ind w:right="1230"/>
              <w:spacing w:after="0"/>
              <w:rPr>
                <w:sz w:val="20"/>
                <w:szCs w:val="20"/>
                <w:color w:val="auto"/>
              </w:rPr>
            </w:pPr>
            <w:r>
              <w:rPr>
                <w:rFonts w:ascii="Times New Roman" w:cs="Times New Roman" w:eastAsia="Times New Roman" w:hAnsi="Times New Roman"/>
                <w:sz w:val="18"/>
                <w:szCs w:val="18"/>
                <w:color w:val="auto"/>
              </w:rPr>
              <w:t>9</w:t>
            </w:r>
          </w:p>
        </w:tc>
        <w:tc>
          <w:tcPr>
            <w:tcW w:w="1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580" w:type="dxa"/>
            <w:vAlign w:val="bottom"/>
          </w:tcPr>
          <w:p>
            <w:pPr>
              <w:spacing w:after="0"/>
              <w:rPr>
                <w:sz w:val="24"/>
                <w:szCs w:val="24"/>
                <w:color w:val="auto"/>
              </w:rPr>
            </w:pPr>
          </w:p>
        </w:tc>
      </w:tr>
      <w:tr>
        <w:trPr>
          <w:trHeight w:val="115"/>
        </w:trPr>
        <w:tc>
          <w:tcPr>
            <w:tcW w:w="266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420" w:type="dxa"/>
            <w:vAlign w:val="bottom"/>
            <w:tcBorders>
              <w:bottom w:val="single" w:sz="8" w:color="9A9A9A"/>
            </w:tcBorders>
          </w:tcPr>
          <w:p>
            <w:pPr>
              <w:spacing w:after="0"/>
              <w:rPr>
                <w:sz w:val="10"/>
                <w:szCs w:val="10"/>
                <w:color w:val="auto"/>
              </w:rPr>
            </w:pPr>
          </w:p>
        </w:tc>
        <w:tc>
          <w:tcPr>
            <w:tcW w:w="164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380" w:type="dxa"/>
            <w:vAlign w:val="bottom"/>
            <w:tcBorders>
              <w:bottom w:val="single" w:sz="8" w:color="9A9A9A"/>
            </w:tcBorders>
          </w:tcPr>
          <w:p>
            <w:pPr>
              <w:spacing w:after="0"/>
              <w:rPr>
                <w:sz w:val="10"/>
                <w:szCs w:val="10"/>
                <w:color w:val="auto"/>
              </w:rPr>
            </w:pPr>
          </w:p>
        </w:tc>
        <w:tc>
          <w:tcPr>
            <w:tcW w:w="168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440" w:type="dxa"/>
            <w:vAlign w:val="bottom"/>
            <w:tcBorders>
              <w:bottom w:val="single" w:sz="8" w:color="9A9A9A"/>
            </w:tcBorders>
          </w:tcPr>
          <w:p>
            <w:pPr>
              <w:spacing w:after="0"/>
              <w:rPr>
                <w:sz w:val="10"/>
                <w:szCs w:val="10"/>
                <w:color w:val="auto"/>
              </w:rPr>
            </w:pPr>
          </w:p>
        </w:tc>
        <w:tc>
          <w:tcPr>
            <w:tcW w:w="156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480" w:type="dxa"/>
            <w:vAlign w:val="bottom"/>
            <w:tcBorders>
              <w:bottom w:val="single" w:sz="8" w:color="9A9A9A"/>
            </w:tcBorders>
          </w:tcPr>
          <w:p>
            <w:pPr>
              <w:spacing w:after="0"/>
              <w:rPr>
                <w:sz w:val="10"/>
                <w:szCs w:val="10"/>
                <w:color w:val="auto"/>
              </w:rPr>
            </w:pPr>
          </w:p>
        </w:tc>
        <w:tc>
          <w:tcPr>
            <w:tcW w:w="1580" w:type="dxa"/>
            <w:vAlign w:val="bottom"/>
            <w:tcBorders>
              <w:bottom w:val="single" w:sz="8" w:color="9A9A9A"/>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7128510</wp:posOffset>
            </wp:positionH>
            <wp:positionV relativeFrom="paragraph">
              <wp:posOffset>-7620</wp:posOffset>
            </wp:positionV>
            <wp:extent cx="8255"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-16510</wp:posOffset>
            </wp:positionV>
            <wp:extent cx="8890" cy="171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8890" cy="17145"/>
                    </a:xfrm>
                    <a:prstGeom prst="rect">
                      <a:avLst/>
                    </a:prstGeom>
                    <a:noFill/>
                  </pic:spPr>
                </pic:pic>
              </a:graphicData>
            </a:graphic>
          </wp:anchor>
        </w:drawing>
      </w:r>
    </w:p>
    <w:p>
      <w:pPr>
        <w:sectPr>
          <w:pgSz w:w="11900" w:h="16838" w:orient="portrait"/>
          <w:cols w:equalWidth="0" w:num="1">
            <w:col w:w="11240"/>
          </w:cols>
          <w:pgMar w:left="320" w:top="1170" w:right="339" w:bottom="1440" w:gutter="0" w:footer="0" w:header="0"/>
        </w:sectPr>
      </w:pPr>
    </w:p>
    <w:bookmarkStart w:id="10" w:name="page11"/>
    <w:bookmarkEnd w:id="10"/>
    <w:p>
      <w:pPr>
        <w:spacing w:after="0" w:line="12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Recurrent consumer spending revenue</w:t>
      </w:r>
    </w:p>
    <w:p>
      <w:pPr>
        <w:spacing w:after="0" w:line="162" w:lineRule="exact"/>
        <w:rPr>
          <w:sz w:val="20"/>
          <w:szCs w:val="20"/>
          <w:color w:val="auto"/>
        </w:rPr>
      </w:pPr>
    </w:p>
    <w:p>
      <w:pPr>
        <w:ind w:right="20" w:firstLine="648"/>
        <w:spacing w:after="0" w:line="282" w:lineRule="auto"/>
        <w:rPr>
          <w:sz w:val="20"/>
          <w:szCs w:val="20"/>
          <w:color w:val="auto"/>
        </w:rPr>
      </w:pPr>
      <w:r>
        <w:rPr>
          <w:rFonts w:ascii="Times New Roman" w:cs="Times New Roman" w:eastAsia="Times New Roman" w:hAnsi="Times New Roman"/>
          <w:sz w:val="18"/>
          <w:szCs w:val="18"/>
          <w:color w:val="auto"/>
        </w:rPr>
        <w:t>Recurrent consumer spending revenue is generated from ongoing consumer engagement and includes revenue from virtual currency, add-on content, and in-game purchases.</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Full game and other revenue</w:t>
      </w:r>
    </w:p>
    <w:p>
      <w:pPr>
        <w:spacing w:after="0" w:line="31" w:lineRule="exact"/>
        <w:rPr>
          <w:sz w:val="20"/>
          <w:szCs w:val="20"/>
          <w:color w:val="auto"/>
        </w:rPr>
      </w:pPr>
    </w:p>
    <w:p>
      <w:pPr>
        <w:ind w:right="20" w:firstLine="648"/>
        <w:spacing w:after="0" w:line="260" w:lineRule="auto"/>
        <w:rPr>
          <w:sz w:val="20"/>
          <w:szCs w:val="20"/>
          <w:color w:val="auto"/>
        </w:rPr>
      </w:pPr>
      <w:r>
        <w:rPr>
          <w:rFonts w:ascii="Times New Roman" w:cs="Times New Roman" w:eastAsia="Times New Roman" w:hAnsi="Times New Roman"/>
          <w:sz w:val="18"/>
          <w:szCs w:val="18"/>
          <w:color w:val="auto"/>
        </w:rPr>
        <w:t>Full game and other revenue primarily includes the initial sale of full game software products, which may include offline and/or significant game related services.</w:t>
      </w:r>
    </w:p>
    <w:p>
      <w:pPr>
        <w:spacing w:after="0" w:line="100"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Net revenue by full game and other revenue and recurrent consumer spending was as follows:</w:t>
      </w:r>
    </w:p>
    <w:p>
      <w:pPr>
        <w:spacing w:after="0" w:line="194"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28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58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8"/>
                <w:szCs w:val="18"/>
                <w:b w:val="1"/>
                <w:bCs w:val="1"/>
                <w:color w:val="auto"/>
              </w:rPr>
              <w:t>Three Months Ended December 31,</w:t>
            </w:r>
          </w:p>
        </w:tc>
        <w:tc>
          <w:tcPr>
            <w:tcW w:w="740" w:type="dxa"/>
            <w:vAlign w:val="bottom"/>
            <w:tcBorders>
              <w:bottom w:val="single" w:sz="8" w:color="auto"/>
            </w:tcBorders>
          </w:tcPr>
          <w:p>
            <w:pPr>
              <w:spacing w:after="0"/>
              <w:rPr>
                <w:sz w:val="20"/>
                <w:szCs w:val="20"/>
                <w:color w:val="auto"/>
              </w:rPr>
            </w:pPr>
          </w:p>
        </w:tc>
        <w:tc>
          <w:tcPr>
            <w:tcW w:w="440" w:type="dxa"/>
            <w:vAlign w:val="bottom"/>
            <w:tcBorders>
              <w:bottom w:val="single" w:sz="8" w:color="auto"/>
            </w:tcBorders>
          </w:tcPr>
          <w:p>
            <w:pPr>
              <w:spacing w:after="0"/>
              <w:rPr>
                <w:sz w:val="20"/>
                <w:szCs w:val="20"/>
                <w:color w:val="auto"/>
              </w:rPr>
            </w:pPr>
          </w:p>
        </w:tc>
        <w:tc>
          <w:tcPr>
            <w:tcW w:w="3520" w:type="dxa"/>
            <w:vAlign w:val="bottom"/>
            <w:tcBorders>
              <w:bottom w:val="single" w:sz="8" w:color="auto"/>
            </w:tcBorders>
            <w:gridSpan w:val="4"/>
          </w:tcPr>
          <w:p>
            <w:pPr>
              <w:jc w:val="right"/>
              <w:ind w:right="530"/>
              <w:spacing w:after="0"/>
              <w:rPr>
                <w:sz w:val="20"/>
                <w:szCs w:val="20"/>
                <w:color w:val="auto"/>
              </w:rPr>
            </w:pPr>
            <w:r>
              <w:rPr>
                <w:rFonts w:ascii="Times New Roman" w:cs="Times New Roman" w:eastAsia="Times New Roman" w:hAnsi="Times New Roman"/>
                <w:sz w:val="18"/>
                <w:szCs w:val="18"/>
                <w:b w:val="1"/>
                <w:bCs w:val="1"/>
                <w:color w:val="auto"/>
              </w:rPr>
              <w:t>Nine Months Ended December 31,</w:t>
            </w:r>
          </w:p>
        </w:tc>
      </w:tr>
      <w:tr>
        <w:trPr>
          <w:trHeight w:val="223"/>
        </w:trPr>
        <w:tc>
          <w:tcPr>
            <w:tcW w:w="2860" w:type="dxa"/>
            <w:vAlign w:val="bottom"/>
            <w:tcBorders>
              <w:bottom w:val="single" w:sz="8" w:color="CCEEFF"/>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134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b w:val="1"/>
                <w:bCs w:val="1"/>
                <w:color w:val="auto"/>
              </w:rPr>
              <w:t>2020</w:t>
            </w:r>
          </w:p>
        </w:tc>
        <w:tc>
          <w:tcPr>
            <w:tcW w:w="780" w:type="dxa"/>
            <w:vAlign w:val="bottom"/>
            <w:tcBorders>
              <w:bottom w:val="single" w:sz="8" w:color="auto"/>
            </w:tcBorders>
          </w:tcPr>
          <w:p>
            <w:pPr>
              <w:spacing w:after="0"/>
              <w:rPr>
                <w:sz w:val="19"/>
                <w:szCs w:val="19"/>
                <w:color w:val="auto"/>
              </w:rPr>
            </w:pPr>
          </w:p>
        </w:tc>
        <w:tc>
          <w:tcPr>
            <w:tcW w:w="1460" w:type="dxa"/>
            <w:vAlign w:val="bottom"/>
            <w:tcBorders>
              <w:bottom w:val="single" w:sz="8" w:color="auto"/>
            </w:tcBorders>
          </w:tcPr>
          <w:p>
            <w:pPr>
              <w:jc w:val="right"/>
              <w:ind w:right="50"/>
              <w:spacing w:after="0"/>
              <w:rPr>
                <w:sz w:val="20"/>
                <w:szCs w:val="20"/>
                <w:color w:val="auto"/>
              </w:rPr>
            </w:pPr>
            <w:r>
              <w:rPr>
                <w:rFonts w:ascii="Times New Roman" w:cs="Times New Roman" w:eastAsia="Times New Roman" w:hAnsi="Times New Roman"/>
                <w:sz w:val="18"/>
                <w:szCs w:val="18"/>
                <w:b w:val="1"/>
                <w:bCs w:val="1"/>
                <w:color w:val="auto"/>
              </w:rPr>
              <w:t>2019</w:t>
            </w:r>
          </w:p>
        </w:tc>
        <w:tc>
          <w:tcPr>
            <w:tcW w:w="740" w:type="dxa"/>
            <w:vAlign w:val="bottom"/>
            <w:tcBorders>
              <w:bottom w:val="single" w:sz="8" w:color="auto"/>
            </w:tcBorders>
          </w:tcPr>
          <w:p>
            <w:pPr>
              <w:spacing w:after="0"/>
              <w:rPr>
                <w:sz w:val="19"/>
                <w:szCs w:val="19"/>
                <w:color w:val="auto"/>
              </w:rPr>
            </w:pPr>
          </w:p>
        </w:tc>
        <w:tc>
          <w:tcPr>
            <w:tcW w:w="440" w:type="dxa"/>
            <w:vAlign w:val="bottom"/>
            <w:tcBorders>
              <w:bottom w:val="single" w:sz="8" w:color="auto"/>
            </w:tcBorders>
          </w:tcPr>
          <w:p>
            <w:pPr>
              <w:spacing w:after="0"/>
              <w:rPr>
                <w:sz w:val="19"/>
                <w:szCs w:val="19"/>
                <w:color w:val="auto"/>
              </w:rPr>
            </w:pPr>
          </w:p>
        </w:tc>
        <w:tc>
          <w:tcPr>
            <w:tcW w:w="1560" w:type="dxa"/>
            <w:vAlign w:val="bottom"/>
            <w:tcBorders>
              <w:bottom w:val="single" w:sz="8" w:color="auto"/>
            </w:tcBorders>
          </w:tcPr>
          <w:p>
            <w:pPr>
              <w:jc w:val="right"/>
              <w:ind w:right="690"/>
              <w:spacing w:after="0"/>
              <w:rPr>
                <w:sz w:val="20"/>
                <w:szCs w:val="20"/>
                <w:color w:val="auto"/>
              </w:rPr>
            </w:pPr>
            <w:r>
              <w:rPr>
                <w:rFonts w:ascii="Times New Roman" w:cs="Times New Roman" w:eastAsia="Times New Roman" w:hAnsi="Times New Roman"/>
                <w:sz w:val="18"/>
                <w:szCs w:val="18"/>
                <w:b w:val="1"/>
                <w:bCs w:val="1"/>
                <w:color w:val="auto"/>
              </w:rPr>
              <w:t>2020</w:t>
            </w:r>
          </w:p>
        </w:tc>
        <w:tc>
          <w:tcPr>
            <w:tcW w:w="120" w:type="dxa"/>
            <w:vAlign w:val="bottom"/>
            <w:tcBorders>
              <w:bottom w:val="single" w:sz="8" w:color="CCEEFF"/>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1420" w:type="dxa"/>
            <w:vAlign w:val="bottom"/>
            <w:tcBorders>
              <w:bottom w:val="single" w:sz="8" w:color="auto"/>
            </w:tcBorders>
          </w:tcPr>
          <w:p>
            <w:pPr>
              <w:jc w:val="right"/>
              <w:ind w:right="650"/>
              <w:spacing w:after="0"/>
              <w:rPr>
                <w:sz w:val="20"/>
                <w:szCs w:val="20"/>
                <w:color w:val="auto"/>
              </w:rPr>
            </w:pPr>
            <w:r>
              <w:rPr>
                <w:rFonts w:ascii="Times New Roman" w:cs="Times New Roman" w:eastAsia="Times New Roman" w:hAnsi="Times New Roman"/>
                <w:sz w:val="18"/>
                <w:szCs w:val="18"/>
                <w:b w:val="1"/>
                <w:bCs w:val="1"/>
                <w:color w:val="auto"/>
              </w:rPr>
              <w:t>2019</w:t>
            </w:r>
          </w:p>
        </w:tc>
      </w:tr>
      <w:tr>
        <w:trPr>
          <w:trHeight w:val="210"/>
        </w:trPr>
        <w:tc>
          <w:tcPr>
            <w:tcW w:w="296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b w:val="1"/>
                <w:bCs w:val="1"/>
                <w:color w:val="auto"/>
              </w:rPr>
              <w:t>Net revenue recognized:</w:t>
            </w:r>
          </w:p>
        </w:tc>
        <w:tc>
          <w:tcPr>
            <w:tcW w:w="134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46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5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420" w:type="dxa"/>
            <w:vAlign w:val="bottom"/>
            <w:shd w:val="clear" w:color="auto" w:fill="CCEEFF"/>
          </w:tcPr>
          <w:p>
            <w:pPr>
              <w:spacing w:after="0"/>
              <w:rPr>
                <w:sz w:val="18"/>
                <w:szCs w:val="18"/>
                <w:color w:val="auto"/>
              </w:rPr>
            </w:pPr>
          </w:p>
        </w:tc>
      </w:tr>
      <w:tr>
        <w:trPr>
          <w:trHeight w:val="229"/>
        </w:trPr>
        <w:tc>
          <w:tcPr>
            <w:tcW w:w="296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Recurrent consumer spending</w:t>
            </w:r>
          </w:p>
        </w:tc>
        <w:tc>
          <w:tcPr>
            <w:tcW w:w="1340" w:type="dxa"/>
            <w:vAlign w:val="bottom"/>
          </w:tcPr>
          <w:p>
            <w:pPr>
              <w:jc w:val="right"/>
              <w:ind w:right="1130"/>
              <w:spacing w:after="0"/>
              <w:rPr>
                <w:sz w:val="20"/>
                <w:szCs w:val="20"/>
                <w:color w:val="auto"/>
              </w:rPr>
            </w:pPr>
            <w:r>
              <w:rPr>
                <w:rFonts w:ascii="Times New Roman" w:cs="Times New Roman" w:eastAsia="Times New Roman" w:hAnsi="Times New Roman"/>
                <w:sz w:val="18"/>
                <w:szCs w:val="18"/>
                <w:b w:val="1"/>
                <w:bCs w:val="1"/>
                <w:color w:val="auto"/>
              </w:rPr>
              <w:t>$</w:t>
            </w:r>
          </w:p>
        </w:tc>
        <w:tc>
          <w:tcPr>
            <w:tcW w:w="780" w:type="dxa"/>
            <w:vAlign w:val="bottom"/>
          </w:tcPr>
          <w:p>
            <w:pPr>
              <w:jc w:val="right"/>
              <w:ind w:right="10"/>
              <w:spacing w:after="0"/>
              <w:rPr>
                <w:sz w:val="20"/>
                <w:szCs w:val="20"/>
                <w:color w:val="auto"/>
              </w:rPr>
            </w:pPr>
            <w:r>
              <w:rPr>
                <w:rFonts w:ascii="Times New Roman" w:cs="Times New Roman" w:eastAsia="Times New Roman" w:hAnsi="Times New Roman"/>
                <w:sz w:val="18"/>
                <w:szCs w:val="18"/>
                <w:b w:val="1"/>
                <w:bCs w:val="1"/>
                <w:color w:val="auto"/>
              </w:rPr>
              <w:t>533,475</w:t>
            </w:r>
          </w:p>
        </w:tc>
        <w:tc>
          <w:tcPr>
            <w:tcW w:w="1460" w:type="dxa"/>
            <w:vAlign w:val="bottom"/>
          </w:tcPr>
          <w:p>
            <w:pPr>
              <w:jc w:val="right"/>
              <w:ind w:right="1170"/>
              <w:spacing w:after="0"/>
              <w:rPr>
                <w:sz w:val="20"/>
                <w:szCs w:val="20"/>
                <w:color w:val="auto"/>
              </w:rPr>
            </w:pPr>
            <w:r>
              <w:rPr>
                <w:rFonts w:ascii="Times New Roman" w:cs="Times New Roman" w:eastAsia="Times New Roman" w:hAnsi="Times New Roman"/>
                <w:sz w:val="18"/>
                <w:szCs w:val="18"/>
                <w:color w:val="auto"/>
              </w:rPr>
              <w:t>$</w:t>
            </w:r>
          </w:p>
        </w:tc>
        <w:tc>
          <w:tcPr>
            <w:tcW w:w="74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rPr>
              <w:t>340,496</w:t>
            </w:r>
          </w:p>
        </w:tc>
        <w:tc>
          <w:tcPr>
            <w:tcW w:w="440" w:type="dxa"/>
            <w:vAlign w:val="bottom"/>
          </w:tcPr>
          <w:p>
            <w:pPr>
              <w:jc w:val="right"/>
              <w:ind w:right="150"/>
              <w:spacing w:after="0"/>
              <w:rPr>
                <w:sz w:val="20"/>
                <w:szCs w:val="20"/>
                <w:color w:val="auto"/>
              </w:rPr>
            </w:pPr>
            <w:r>
              <w:rPr>
                <w:rFonts w:ascii="Times New Roman" w:cs="Times New Roman" w:eastAsia="Times New Roman" w:hAnsi="Times New Roman"/>
                <w:sz w:val="18"/>
                <w:szCs w:val="18"/>
                <w:b w:val="1"/>
                <w:bCs w:val="1"/>
                <w:color w:val="auto"/>
              </w:rPr>
              <w:t>$</w:t>
            </w:r>
          </w:p>
        </w:tc>
        <w:tc>
          <w:tcPr>
            <w:tcW w:w="15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1,508,604</w:t>
            </w:r>
          </w:p>
        </w:tc>
        <w:tc>
          <w:tcPr>
            <w:tcW w:w="120" w:type="dxa"/>
            <w:vAlign w:val="bottom"/>
          </w:tcPr>
          <w:p>
            <w:pPr>
              <w:spacing w:after="0"/>
              <w:rPr>
                <w:sz w:val="19"/>
                <w:szCs w:val="19"/>
                <w:color w:val="auto"/>
              </w:rPr>
            </w:pPr>
          </w:p>
        </w:tc>
        <w:tc>
          <w:tcPr>
            <w:tcW w:w="420" w:type="dxa"/>
            <w:vAlign w:val="bottom"/>
          </w:tcPr>
          <w:p>
            <w:pPr>
              <w:jc w:val="right"/>
              <w:ind w:right="230"/>
              <w:spacing w:after="0"/>
              <w:rPr>
                <w:sz w:val="20"/>
                <w:szCs w:val="20"/>
                <w:color w:val="auto"/>
              </w:rPr>
            </w:pPr>
            <w:r>
              <w:rPr>
                <w:rFonts w:ascii="Times New Roman" w:cs="Times New Roman" w:eastAsia="Times New Roman" w:hAnsi="Times New Roman"/>
                <w:sz w:val="18"/>
                <w:szCs w:val="18"/>
                <w:color w:val="auto"/>
                <w:w w:val="88"/>
              </w:rPr>
              <w:t>$</w:t>
            </w:r>
          </w:p>
        </w:tc>
        <w:tc>
          <w:tcPr>
            <w:tcW w:w="14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973,822</w:t>
            </w:r>
          </w:p>
        </w:tc>
      </w:tr>
      <w:tr>
        <w:trPr>
          <w:trHeight w:val="229"/>
        </w:trPr>
        <w:tc>
          <w:tcPr>
            <w:tcW w:w="296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Full game and other</w:t>
            </w:r>
          </w:p>
        </w:tc>
        <w:tc>
          <w:tcPr>
            <w:tcW w:w="1340" w:type="dxa"/>
            <w:vAlign w:val="bottom"/>
            <w:shd w:val="clear" w:color="auto" w:fill="CCEEFF"/>
          </w:tcPr>
          <w:p>
            <w:pPr>
              <w:spacing w:after="0"/>
              <w:rPr>
                <w:sz w:val="19"/>
                <w:szCs w:val="19"/>
                <w:color w:val="auto"/>
              </w:rPr>
            </w:pPr>
          </w:p>
        </w:tc>
        <w:tc>
          <w:tcPr>
            <w:tcW w:w="78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b w:val="1"/>
                <w:bCs w:val="1"/>
                <w:color w:val="auto"/>
              </w:rPr>
              <w:t>327,414</w:t>
            </w:r>
          </w:p>
        </w:tc>
        <w:tc>
          <w:tcPr>
            <w:tcW w:w="1460" w:type="dxa"/>
            <w:vAlign w:val="bottom"/>
            <w:shd w:val="clear" w:color="auto" w:fill="CCEEFF"/>
          </w:tcPr>
          <w:p>
            <w:pPr>
              <w:spacing w:after="0"/>
              <w:rPr>
                <w:sz w:val="19"/>
                <w:szCs w:val="19"/>
                <w:color w:val="auto"/>
              </w:rPr>
            </w:pPr>
          </w:p>
        </w:tc>
        <w:tc>
          <w:tcPr>
            <w:tcW w:w="74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589,633</w:t>
            </w:r>
          </w:p>
        </w:tc>
        <w:tc>
          <w:tcPr>
            <w:tcW w:w="440" w:type="dxa"/>
            <w:vAlign w:val="bottom"/>
            <w:shd w:val="clear" w:color="auto" w:fill="CCEEFF"/>
          </w:tcPr>
          <w:p>
            <w:pPr>
              <w:spacing w:after="0"/>
              <w:rPr>
                <w:sz w:val="19"/>
                <w:szCs w:val="19"/>
                <w:color w:val="auto"/>
              </w:rPr>
            </w:pPr>
          </w:p>
        </w:tc>
        <w:tc>
          <w:tcPr>
            <w:tcW w:w="15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1,024,737</w:t>
            </w:r>
          </w:p>
        </w:tc>
        <w:tc>
          <w:tcPr>
            <w:tcW w:w="12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14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1,354,607</w:t>
            </w:r>
          </w:p>
        </w:tc>
      </w:tr>
      <w:tr>
        <w:trPr>
          <w:trHeight w:val="223"/>
        </w:trPr>
        <w:tc>
          <w:tcPr>
            <w:tcW w:w="2860" w:type="dxa"/>
            <w:vAlign w:val="bottom"/>
            <w:tcBorders>
              <w:top w:val="single" w:sz="8" w:color="auto"/>
              <w:bottom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Total net revenue</w:t>
            </w:r>
          </w:p>
        </w:tc>
        <w:tc>
          <w:tcPr>
            <w:tcW w:w="100" w:type="dxa"/>
            <w:vAlign w:val="bottom"/>
          </w:tcPr>
          <w:p>
            <w:pPr>
              <w:spacing w:after="0"/>
              <w:rPr>
                <w:sz w:val="19"/>
                <w:szCs w:val="19"/>
                <w:color w:val="auto"/>
              </w:rPr>
            </w:pPr>
          </w:p>
        </w:tc>
        <w:tc>
          <w:tcPr>
            <w:tcW w:w="1340" w:type="dxa"/>
            <w:vAlign w:val="bottom"/>
            <w:tcBorders>
              <w:top w:val="single" w:sz="8" w:color="auto"/>
              <w:bottom w:val="single" w:sz="8" w:color="auto"/>
            </w:tcBorders>
          </w:tcPr>
          <w:p>
            <w:pPr>
              <w:jc w:val="right"/>
              <w:ind w:right="1130"/>
              <w:spacing w:after="0"/>
              <w:rPr>
                <w:sz w:val="20"/>
                <w:szCs w:val="20"/>
                <w:color w:val="auto"/>
              </w:rPr>
            </w:pPr>
            <w:r>
              <w:rPr>
                <w:rFonts w:ascii="Times New Roman" w:cs="Times New Roman" w:eastAsia="Times New Roman" w:hAnsi="Times New Roman"/>
                <w:sz w:val="18"/>
                <w:szCs w:val="18"/>
                <w:b w:val="1"/>
                <w:bCs w:val="1"/>
                <w:color w:val="auto"/>
              </w:rPr>
              <w:t>$</w:t>
            </w:r>
          </w:p>
        </w:tc>
        <w:tc>
          <w:tcPr>
            <w:tcW w:w="780" w:type="dxa"/>
            <w:vAlign w:val="bottom"/>
            <w:tcBorders>
              <w:top w:val="single" w:sz="8" w:color="auto"/>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b w:val="1"/>
                <w:bCs w:val="1"/>
                <w:color w:val="auto"/>
              </w:rPr>
              <w:t>860,889</w:t>
            </w:r>
          </w:p>
        </w:tc>
        <w:tc>
          <w:tcPr>
            <w:tcW w:w="1460" w:type="dxa"/>
            <w:vAlign w:val="bottom"/>
            <w:tcBorders>
              <w:top w:val="single" w:sz="8" w:color="auto"/>
              <w:bottom w:val="single" w:sz="8" w:color="auto"/>
            </w:tcBorders>
          </w:tcPr>
          <w:p>
            <w:pPr>
              <w:jc w:val="right"/>
              <w:ind w:right="1170"/>
              <w:spacing w:after="0"/>
              <w:rPr>
                <w:sz w:val="20"/>
                <w:szCs w:val="20"/>
                <w:color w:val="auto"/>
              </w:rPr>
            </w:pPr>
            <w:r>
              <w:rPr>
                <w:rFonts w:ascii="Times New Roman" w:cs="Times New Roman" w:eastAsia="Times New Roman" w:hAnsi="Times New Roman"/>
                <w:sz w:val="18"/>
                <w:szCs w:val="18"/>
                <w:color w:val="auto"/>
              </w:rPr>
              <w:t>$</w:t>
            </w:r>
          </w:p>
        </w:tc>
        <w:tc>
          <w:tcPr>
            <w:tcW w:w="740" w:type="dxa"/>
            <w:vAlign w:val="bottom"/>
            <w:tcBorders>
              <w:top w:val="single" w:sz="8" w:color="auto"/>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rPr>
              <w:t>930,129</w:t>
            </w:r>
          </w:p>
        </w:tc>
        <w:tc>
          <w:tcPr>
            <w:tcW w:w="440" w:type="dxa"/>
            <w:vAlign w:val="bottom"/>
            <w:tcBorders>
              <w:top w:val="single" w:sz="8" w:color="auto"/>
              <w:bottom w:val="single" w:sz="8" w:color="auto"/>
            </w:tcBorders>
          </w:tcPr>
          <w:p>
            <w:pPr>
              <w:jc w:val="right"/>
              <w:ind w:right="150"/>
              <w:spacing w:after="0"/>
              <w:rPr>
                <w:sz w:val="20"/>
                <w:szCs w:val="20"/>
                <w:color w:val="auto"/>
              </w:rPr>
            </w:pPr>
            <w:r>
              <w:rPr>
                <w:rFonts w:ascii="Times New Roman" w:cs="Times New Roman" w:eastAsia="Times New Roman" w:hAnsi="Times New Roman"/>
                <w:sz w:val="18"/>
                <w:szCs w:val="18"/>
                <w:b w:val="1"/>
                <w:bCs w:val="1"/>
                <w:color w:val="auto"/>
              </w:rPr>
              <w:t>$</w:t>
            </w:r>
          </w:p>
        </w:tc>
        <w:tc>
          <w:tcPr>
            <w:tcW w:w="15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2,533,341</w:t>
            </w:r>
          </w:p>
        </w:tc>
        <w:tc>
          <w:tcPr>
            <w:tcW w:w="120" w:type="dxa"/>
            <w:vAlign w:val="bottom"/>
          </w:tcPr>
          <w:p>
            <w:pPr>
              <w:spacing w:after="0"/>
              <w:rPr>
                <w:sz w:val="19"/>
                <w:szCs w:val="19"/>
                <w:color w:val="auto"/>
              </w:rPr>
            </w:pPr>
          </w:p>
        </w:tc>
        <w:tc>
          <w:tcPr>
            <w:tcW w:w="420" w:type="dxa"/>
            <w:vAlign w:val="bottom"/>
            <w:tcBorders>
              <w:top w:val="single" w:sz="8" w:color="auto"/>
              <w:bottom w:val="single" w:sz="8" w:color="auto"/>
            </w:tcBorders>
          </w:tcPr>
          <w:p>
            <w:pPr>
              <w:jc w:val="right"/>
              <w:ind w:right="230"/>
              <w:spacing w:after="0"/>
              <w:rPr>
                <w:sz w:val="20"/>
                <w:szCs w:val="20"/>
                <w:color w:val="auto"/>
              </w:rPr>
            </w:pPr>
            <w:r>
              <w:rPr>
                <w:rFonts w:ascii="Times New Roman" w:cs="Times New Roman" w:eastAsia="Times New Roman" w:hAnsi="Times New Roman"/>
                <w:sz w:val="18"/>
                <w:szCs w:val="18"/>
                <w:color w:val="auto"/>
                <w:w w:val="88"/>
              </w:rPr>
              <w:t>$</w:t>
            </w:r>
          </w:p>
        </w:tc>
        <w:tc>
          <w:tcPr>
            <w:tcW w:w="14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2,328,429</w:t>
            </w:r>
          </w:p>
        </w:tc>
      </w:tr>
      <w:tr>
        <w:trPr>
          <w:trHeight w:val="20"/>
        </w:trPr>
        <w:tc>
          <w:tcPr>
            <w:tcW w:w="2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5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7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Geography</w:t>
      </w:r>
    </w:p>
    <w:p>
      <w:pPr>
        <w:spacing w:after="0" w:line="148"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We attribute net revenue to geographic regions based on software product destination. Net revenue by geographic region was as follows:</w:t>
      </w:r>
    </w:p>
    <w:p>
      <w:pPr>
        <w:spacing w:after="0" w:line="194"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24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80" w:type="dxa"/>
            <w:vAlign w:val="bottom"/>
            <w:tcBorders>
              <w:bottom w:val="single" w:sz="8" w:color="auto"/>
            </w:tcBorders>
            <w:gridSpan w:val="3"/>
          </w:tcPr>
          <w:p>
            <w:pPr>
              <w:jc w:val="right"/>
              <w:ind w:right="10"/>
              <w:spacing w:after="0"/>
              <w:rPr>
                <w:sz w:val="20"/>
                <w:szCs w:val="20"/>
                <w:color w:val="auto"/>
              </w:rPr>
            </w:pPr>
            <w:r>
              <w:rPr>
                <w:rFonts w:ascii="Times New Roman" w:cs="Times New Roman" w:eastAsia="Times New Roman" w:hAnsi="Times New Roman"/>
                <w:sz w:val="18"/>
                <w:szCs w:val="18"/>
                <w:b w:val="1"/>
                <w:bCs w:val="1"/>
                <w:color w:val="auto"/>
              </w:rPr>
              <w:t>Three Months Ended December 31,</w:t>
            </w:r>
          </w:p>
        </w:tc>
        <w:tc>
          <w:tcPr>
            <w:tcW w:w="760" w:type="dxa"/>
            <w:vAlign w:val="bottom"/>
            <w:tcBorders>
              <w:bottom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4100" w:type="dxa"/>
            <w:vAlign w:val="bottom"/>
            <w:tcBorders>
              <w:bottom w:val="single" w:sz="8" w:color="auto"/>
            </w:tcBorders>
            <w:gridSpan w:val="4"/>
          </w:tcPr>
          <w:p>
            <w:pPr>
              <w:jc w:val="right"/>
              <w:ind w:right="650"/>
              <w:spacing w:after="0"/>
              <w:rPr>
                <w:sz w:val="20"/>
                <w:szCs w:val="20"/>
                <w:color w:val="auto"/>
              </w:rPr>
            </w:pPr>
            <w:r>
              <w:rPr>
                <w:rFonts w:ascii="Times New Roman" w:cs="Times New Roman" w:eastAsia="Times New Roman" w:hAnsi="Times New Roman"/>
                <w:sz w:val="18"/>
                <w:szCs w:val="18"/>
                <w:b w:val="1"/>
                <w:bCs w:val="1"/>
                <w:color w:val="auto"/>
              </w:rPr>
              <w:t>Nine Months Ended December 31,</w:t>
            </w:r>
          </w:p>
        </w:tc>
      </w:tr>
      <w:tr>
        <w:trPr>
          <w:trHeight w:val="223"/>
        </w:trPr>
        <w:tc>
          <w:tcPr>
            <w:tcW w:w="2460" w:type="dxa"/>
            <w:vAlign w:val="bottom"/>
            <w:tcBorders>
              <w:bottom w:val="single" w:sz="8" w:color="CCEEFF"/>
            </w:tcBorders>
          </w:tcPr>
          <w:p>
            <w:pPr>
              <w:spacing w:after="0"/>
              <w:rPr>
                <w:sz w:val="19"/>
                <w:szCs w:val="19"/>
                <w:color w:val="auto"/>
              </w:rPr>
            </w:pPr>
          </w:p>
        </w:tc>
        <w:tc>
          <w:tcPr>
            <w:tcW w:w="120" w:type="dxa"/>
            <w:vAlign w:val="bottom"/>
            <w:tcBorders>
              <w:bottom w:val="single" w:sz="8" w:color="CCEEFF"/>
            </w:tcBorders>
          </w:tcPr>
          <w:p>
            <w:pPr>
              <w:spacing w:after="0"/>
              <w:rPr>
                <w:sz w:val="19"/>
                <w:szCs w:val="19"/>
                <w:color w:val="auto"/>
              </w:rPr>
            </w:pPr>
          </w:p>
        </w:tc>
        <w:tc>
          <w:tcPr>
            <w:tcW w:w="1360" w:type="dxa"/>
            <w:vAlign w:val="bottom"/>
            <w:tcBorders>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b w:val="1"/>
                <w:bCs w:val="1"/>
                <w:color w:val="auto"/>
              </w:rPr>
              <w:t>2020</w:t>
            </w:r>
          </w:p>
        </w:tc>
        <w:tc>
          <w:tcPr>
            <w:tcW w:w="800" w:type="dxa"/>
            <w:vAlign w:val="bottom"/>
            <w:tcBorders>
              <w:bottom w:val="single" w:sz="8" w:color="auto"/>
            </w:tcBorders>
          </w:tcPr>
          <w:p>
            <w:pPr>
              <w:spacing w:after="0"/>
              <w:rPr>
                <w:sz w:val="19"/>
                <w:szCs w:val="19"/>
                <w:color w:val="auto"/>
              </w:rPr>
            </w:pPr>
          </w:p>
        </w:tc>
        <w:tc>
          <w:tcPr>
            <w:tcW w:w="1520" w:type="dxa"/>
            <w:vAlign w:val="bottom"/>
            <w:tcBorders>
              <w:bottom w:val="single" w:sz="8" w:color="auto"/>
            </w:tcBorders>
          </w:tcPr>
          <w:p>
            <w:pPr>
              <w:jc w:val="right"/>
              <w:ind w:right="70"/>
              <w:spacing w:after="0"/>
              <w:rPr>
                <w:sz w:val="20"/>
                <w:szCs w:val="20"/>
                <w:color w:val="auto"/>
              </w:rPr>
            </w:pPr>
            <w:r>
              <w:rPr>
                <w:rFonts w:ascii="Times New Roman" w:cs="Times New Roman" w:eastAsia="Times New Roman" w:hAnsi="Times New Roman"/>
                <w:sz w:val="18"/>
                <w:szCs w:val="18"/>
                <w:b w:val="1"/>
                <w:bCs w:val="1"/>
                <w:color w:val="auto"/>
              </w:rPr>
              <w:t>2019</w:t>
            </w:r>
          </w:p>
        </w:tc>
        <w:tc>
          <w:tcPr>
            <w:tcW w:w="760" w:type="dxa"/>
            <w:vAlign w:val="bottom"/>
            <w:tcBorders>
              <w:bottom w:val="single" w:sz="8" w:color="auto"/>
            </w:tcBorders>
          </w:tcPr>
          <w:p>
            <w:pPr>
              <w:spacing w:after="0"/>
              <w:rPr>
                <w:sz w:val="19"/>
                <w:szCs w:val="19"/>
                <w:color w:val="auto"/>
              </w:rPr>
            </w:pPr>
          </w:p>
        </w:tc>
        <w:tc>
          <w:tcPr>
            <w:tcW w:w="120" w:type="dxa"/>
            <w:vAlign w:val="bottom"/>
            <w:tcBorders>
              <w:bottom w:val="single" w:sz="8" w:color="CCEEFF"/>
            </w:tcBorders>
          </w:tcPr>
          <w:p>
            <w:pPr>
              <w:spacing w:after="0"/>
              <w:rPr>
                <w:sz w:val="19"/>
                <w:szCs w:val="19"/>
                <w:color w:val="auto"/>
              </w:rPr>
            </w:pPr>
          </w:p>
        </w:tc>
        <w:tc>
          <w:tcPr>
            <w:tcW w:w="12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2020</w:t>
            </w:r>
          </w:p>
        </w:tc>
        <w:tc>
          <w:tcPr>
            <w:tcW w:w="840" w:type="dxa"/>
            <w:vAlign w:val="bottom"/>
            <w:tcBorders>
              <w:bottom w:val="single" w:sz="8" w:color="auto"/>
            </w:tcBorders>
          </w:tcPr>
          <w:p>
            <w:pPr>
              <w:spacing w:after="0"/>
              <w:rPr>
                <w:sz w:val="19"/>
                <w:szCs w:val="19"/>
                <w:color w:val="auto"/>
              </w:rPr>
            </w:pPr>
          </w:p>
        </w:tc>
        <w:tc>
          <w:tcPr>
            <w:tcW w:w="540" w:type="dxa"/>
            <w:vAlign w:val="bottom"/>
            <w:tcBorders>
              <w:bottom w:val="single" w:sz="8" w:color="auto"/>
            </w:tcBorders>
          </w:tcPr>
          <w:p>
            <w:pPr>
              <w:spacing w:after="0"/>
              <w:rPr>
                <w:sz w:val="19"/>
                <w:szCs w:val="19"/>
                <w:color w:val="auto"/>
              </w:rPr>
            </w:pPr>
          </w:p>
        </w:tc>
        <w:tc>
          <w:tcPr>
            <w:tcW w:w="1500" w:type="dxa"/>
            <w:vAlign w:val="bottom"/>
            <w:tcBorders>
              <w:bottom w:val="single" w:sz="8" w:color="auto"/>
            </w:tcBorders>
          </w:tcPr>
          <w:p>
            <w:pPr>
              <w:jc w:val="right"/>
              <w:ind w:right="710"/>
              <w:spacing w:after="0"/>
              <w:rPr>
                <w:sz w:val="20"/>
                <w:szCs w:val="20"/>
                <w:color w:val="auto"/>
              </w:rPr>
            </w:pPr>
            <w:r>
              <w:rPr>
                <w:rFonts w:ascii="Times New Roman" w:cs="Times New Roman" w:eastAsia="Times New Roman" w:hAnsi="Times New Roman"/>
                <w:sz w:val="18"/>
                <w:szCs w:val="18"/>
                <w:b w:val="1"/>
                <w:bCs w:val="1"/>
                <w:color w:val="auto"/>
              </w:rPr>
              <w:t>2019</w:t>
            </w:r>
          </w:p>
        </w:tc>
      </w:tr>
      <w:tr>
        <w:trPr>
          <w:trHeight w:val="210"/>
        </w:trPr>
        <w:tc>
          <w:tcPr>
            <w:tcW w:w="258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b w:val="1"/>
                <w:bCs w:val="1"/>
                <w:color w:val="auto"/>
              </w:rPr>
              <w:t>Net revenue recognized:</w:t>
            </w:r>
          </w:p>
        </w:tc>
        <w:tc>
          <w:tcPr>
            <w:tcW w:w="136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5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500" w:type="dxa"/>
            <w:vAlign w:val="bottom"/>
            <w:shd w:val="clear" w:color="auto" w:fill="CCEEFF"/>
          </w:tcPr>
          <w:p>
            <w:pPr>
              <w:spacing w:after="0"/>
              <w:rPr>
                <w:sz w:val="18"/>
                <w:szCs w:val="18"/>
                <w:color w:val="auto"/>
              </w:rPr>
            </w:pPr>
          </w:p>
        </w:tc>
      </w:tr>
      <w:tr>
        <w:trPr>
          <w:trHeight w:val="229"/>
        </w:trPr>
        <w:tc>
          <w:tcPr>
            <w:tcW w:w="258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United States</w:t>
            </w:r>
          </w:p>
        </w:tc>
        <w:tc>
          <w:tcPr>
            <w:tcW w:w="1360" w:type="dxa"/>
            <w:vAlign w:val="bottom"/>
          </w:tcPr>
          <w:p>
            <w:pPr>
              <w:jc w:val="right"/>
              <w:ind w:right="117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800" w:type="dxa"/>
            <w:vAlign w:val="bottom"/>
          </w:tcPr>
          <w:p>
            <w:pPr>
              <w:jc w:val="right"/>
              <w:ind w:right="10"/>
              <w:spacing w:after="0"/>
              <w:rPr>
                <w:sz w:val="20"/>
                <w:szCs w:val="20"/>
                <w:color w:val="auto"/>
              </w:rPr>
            </w:pPr>
            <w:r>
              <w:rPr>
                <w:rFonts w:ascii="Times New Roman" w:cs="Times New Roman" w:eastAsia="Times New Roman" w:hAnsi="Times New Roman"/>
                <w:sz w:val="18"/>
                <w:szCs w:val="18"/>
                <w:b w:val="1"/>
                <w:bCs w:val="1"/>
                <w:color w:val="auto"/>
              </w:rPr>
              <w:t>528,324</w:t>
            </w:r>
          </w:p>
        </w:tc>
        <w:tc>
          <w:tcPr>
            <w:tcW w:w="1520" w:type="dxa"/>
            <w:vAlign w:val="bottom"/>
          </w:tcPr>
          <w:p>
            <w:pPr>
              <w:jc w:val="right"/>
              <w:ind w:right="1250"/>
              <w:spacing w:after="0"/>
              <w:rPr>
                <w:sz w:val="20"/>
                <w:szCs w:val="20"/>
                <w:color w:val="auto"/>
              </w:rPr>
            </w:pPr>
            <w:r>
              <w:rPr>
                <w:rFonts w:ascii="Times New Roman" w:cs="Times New Roman" w:eastAsia="Times New Roman" w:hAnsi="Times New Roman"/>
                <w:sz w:val="18"/>
                <w:szCs w:val="18"/>
                <w:color w:val="auto"/>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536,841</w:t>
            </w:r>
          </w:p>
        </w:tc>
        <w:tc>
          <w:tcPr>
            <w:tcW w:w="120" w:type="dxa"/>
            <w:vAlign w:val="bottom"/>
          </w:tcPr>
          <w:p>
            <w:pPr>
              <w:spacing w:after="0"/>
              <w:rPr>
                <w:sz w:val="19"/>
                <w:szCs w:val="19"/>
                <w:color w:val="auto"/>
              </w:rPr>
            </w:pPr>
          </w:p>
        </w:tc>
        <w:tc>
          <w:tcPr>
            <w:tcW w:w="1220" w:type="dxa"/>
            <w:vAlign w:val="bottom"/>
          </w:tcPr>
          <w:p>
            <w:pPr>
              <w:jc w:val="right"/>
              <w:ind w:right="103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840" w:type="dxa"/>
            <w:vAlign w:val="bottom"/>
          </w:tcPr>
          <w:p>
            <w:pPr>
              <w:jc w:val="right"/>
              <w:ind w:right="10"/>
              <w:spacing w:after="0"/>
              <w:rPr>
                <w:sz w:val="20"/>
                <w:szCs w:val="20"/>
                <w:color w:val="auto"/>
              </w:rPr>
            </w:pPr>
            <w:r>
              <w:rPr>
                <w:rFonts w:ascii="Times New Roman" w:cs="Times New Roman" w:eastAsia="Times New Roman" w:hAnsi="Times New Roman"/>
                <w:sz w:val="18"/>
                <w:szCs w:val="18"/>
                <w:b w:val="1"/>
                <w:bCs w:val="1"/>
                <w:color w:val="auto"/>
                <w:w w:val="99"/>
              </w:rPr>
              <w:t>1,502,397</w:t>
            </w:r>
          </w:p>
        </w:tc>
        <w:tc>
          <w:tcPr>
            <w:tcW w:w="540" w:type="dxa"/>
            <w:vAlign w:val="bottom"/>
          </w:tcPr>
          <w:p>
            <w:pPr>
              <w:jc w:val="right"/>
              <w:ind w:right="250"/>
              <w:spacing w:after="0"/>
              <w:rPr>
                <w:sz w:val="20"/>
                <w:szCs w:val="20"/>
                <w:color w:val="auto"/>
              </w:rPr>
            </w:pPr>
            <w:r>
              <w:rPr>
                <w:rFonts w:ascii="Times New Roman" w:cs="Times New Roman" w:eastAsia="Times New Roman" w:hAnsi="Times New Roman"/>
                <w:sz w:val="18"/>
                <w:szCs w:val="18"/>
                <w:color w:val="auto"/>
              </w:rPr>
              <w:t>$</w:t>
            </w:r>
          </w:p>
        </w:tc>
        <w:tc>
          <w:tcPr>
            <w:tcW w:w="15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1,361,981</w:t>
            </w:r>
          </w:p>
        </w:tc>
      </w:tr>
      <w:tr>
        <w:trPr>
          <w:trHeight w:val="230"/>
        </w:trPr>
        <w:tc>
          <w:tcPr>
            <w:tcW w:w="258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International</w:t>
            </w:r>
          </w:p>
        </w:tc>
        <w:tc>
          <w:tcPr>
            <w:tcW w:w="1360" w:type="dxa"/>
            <w:vAlign w:val="bottom"/>
            <w:shd w:val="clear" w:color="auto" w:fill="CCEEFF"/>
          </w:tcPr>
          <w:p>
            <w:pPr>
              <w:spacing w:after="0"/>
              <w:rPr>
                <w:sz w:val="19"/>
                <w:szCs w:val="19"/>
                <w:color w:val="auto"/>
              </w:rPr>
            </w:pPr>
          </w:p>
        </w:tc>
        <w:tc>
          <w:tcPr>
            <w:tcW w:w="80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b w:val="1"/>
                <w:bCs w:val="1"/>
                <w:color w:val="auto"/>
              </w:rPr>
              <w:t>332,565</w:t>
            </w:r>
          </w:p>
        </w:tc>
        <w:tc>
          <w:tcPr>
            <w:tcW w:w="1520" w:type="dxa"/>
            <w:vAlign w:val="bottom"/>
            <w:shd w:val="clear" w:color="auto" w:fill="CCEEFF"/>
          </w:tcPr>
          <w:p>
            <w:pPr>
              <w:spacing w:after="0"/>
              <w:rPr>
                <w:sz w:val="19"/>
                <w:szCs w:val="19"/>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393,288</w:t>
            </w:r>
          </w:p>
        </w:tc>
        <w:tc>
          <w:tcPr>
            <w:tcW w:w="120" w:type="dxa"/>
            <w:vAlign w:val="bottom"/>
            <w:shd w:val="clear" w:color="auto" w:fill="CCEEFF"/>
          </w:tcPr>
          <w:p>
            <w:pPr>
              <w:spacing w:after="0"/>
              <w:rPr>
                <w:sz w:val="19"/>
                <w:szCs w:val="19"/>
                <w:color w:val="auto"/>
              </w:rPr>
            </w:pPr>
          </w:p>
        </w:tc>
        <w:tc>
          <w:tcPr>
            <w:tcW w:w="1220" w:type="dxa"/>
            <w:vAlign w:val="bottom"/>
            <w:shd w:val="clear" w:color="auto" w:fill="CCEEFF"/>
          </w:tcPr>
          <w:p>
            <w:pPr>
              <w:spacing w:after="0"/>
              <w:rPr>
                <w:sz w:val="19"/>
                <w:szCs w:val="19"/>
                <w:color w:val="auto"/>
              </w:rPr>
            </w:pPr>
          </w:p>
        </w:tc>
        <w:tc>
          <w:tcPr>
            <w:tcW w:w="84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b w:val="1"/>
                <w:bCs w:val="1"/>
                <w:color w:val="auto"/>
                <w:w w:val="99"/>
              </w:rPr>
              <w:t>1,030,944</w:t>
            </w:r>
          </w:p>
        </w:tc>
        <w:tc>
          <w:tcPr>
            <w:tcW w:w="540" w:type="dxa"/>
            <w:vAlign w:val="bottom"/>
            <w:shd w:val="clear" w:color="auto" w:fill="CCEEFF"/>
          </w:tcPr>
          <w:p>
            <w:pPr>
              <w:spacing w:after="0"/>
              <w:rPr>
                <w:sz w:val="19"/>
                <w:szCs w:val="19"/>
                <w:color w:val="auto"/>
              </w:rPr>
            </w:pPr>
          </w:p>
        </w:tc>
        <w:tc>
          <w:tcPr>
            <w:tcW w:w="15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966,448</w:t>
            </w:r>
          </w:p>
        </w:tc>
      </w:tr>
      <w:tr>
        <w:trPr>
          <w:trHeight w:val="223"/>
        </w:trPr>
        <w:tc>
          <w:tcPr>
            <w:tcW w:w="2460" w:type="dxa"/>
            <w:vAlign w:val="bottom"/>
            <w:tcBorders>
              <w:top w:val="single" w:sz="8" w:color="auto"/>
              <w:bottom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Total net revenue</w:t>
            </w:r>
          </w:p>
        </w:tc>
        <w:tc>
          <w:tcPr>
            <w:tcW w:w="120" w:type="dxa"/>
            <w:vAlign w:val="bottom"/>
          </w:tcPr>
          <w:p>
            <w:pPr>
              <w:spacing w:after="0"/>
              <w:rPr>
                <w:sz w:val="19"/>
                <w:szCs w:val="19"/>
                <w:color w:val="auto"/>
              </w:rPr>
            </w:pPr>
          </w:p>
        </w:tc>
        <w:tc>
          <w:tcPr>
            <w:tcW w:w="1360" w:type="dxa"/>
            <w:vAlign w:val="bottom"/>
            <w:tcBorders>
              <w:top w:val="single" w:sz="8" w:color="auto"/>
              <w:bottom w:val="single" w:sz="8" w:color="auto"/>
            </w:tcBorders>
          </w:tcPr>
          <w:p>
            <w:pPr>
              <w:jc w:val="right"/>
              <w:ind w:right="117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800" w:type="dxa"/>
            <w:vAlign w:val="bottom"/>
            <w:tcBorders>
              <w:top w:val="single" w:sz="8" w:color="auto"/>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b w:val="1"/>
                <w:bCs w:val="1"/>
                <w:color w:val="auto"/>
              </w:rPr>
              <w:t>860,889</w:t>
            </w:r>
          </w:p>
        </w:tc>
        <w:tc>
          <w:tcPr>
            <w:tcW w:w="1520" w:type="dxa"/>
            <w:vAlign w:val="bottom"/>
            <w:tcBorders>
              <w:top w:val="single" w:sz="8" w:color="auto"/>
              <w:bottom w:val="single" w:sz="8" w:color="auto"/>
            </w:tcBorders>
          </w:tcPr>
          <w:p>
            <w:pPr>
              <w:jc w:val="right"/>
              <w:ind w:right="1250"/>
              <w:spacing w:after="0"/>
              <w:rPr>
                <w:sz w:val="20"/>
                <w:szCs w:val="20"/>
                <w:color w:val="auto"/>
              </w:rPr>
            </w:pPr>
            <w:r>
              <w:rPr>
                <w:rFonts w:ascii="Times New Roman" w:cs="Times New Roman" w:eastAsia="Times New Roman" w:hAnsi="Times New Roman"/>
                <w:sz w:val="18"/>
                <w:szCs w:val="18"/>
                <w:color w:val="auto"/>
              </w:rPr>
              <w:t>$</w:t>
            </w:r>
          </w:p>
        </w:tc>
        <w:tc>
          <w:tcPr>
            <w:tcW w:w="7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930,129</w:t>
            </w:r>
          </w:p>
        </w:tc>
        <w:tc>
          <w:tcPr>
            <w:tcW w:w="120" w:type="dxa"/>
            <w:vAlign w:val="bottom"/>
          </w:tcPr>
          <w:p>
            <w:pPr>
              <w:spacing w:after="0"/>
              <w:rPr>
                <w:sz w:val="19"/>
                <w:szCs w:val="19"/>
                <w:color w:val="auto"/>
              </w:rPr>
            </w:pPr>
          </w:p>
        </w:tc>
        <w:tc>
          <w:tcPr>
            <w:tcW w:w="1220" w:type="dxa"/>
            <w:vAlign w:val="bottom"/>
            <w:tcBorders>
              <w:top w:val="single" w:sz="8" w:color="auto"/>
              <w:bottom w:val="single" w:sz="8" w:color="auto"/>
            </w:tcBorders>
          </w:tcPr>
          <w:p>
            <w:pPr>
              <w:jc w:val="right"/>
              <w:ind w:right="103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840" w:type="dxa"/>
            <w:vAlign w:val="bottom"/>
            <w:tcBorders>
              <w:top w:val="single" w:sz="8" w:color="auto"/>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b w:val="1"/>
                <w:bCs w:val="1"/>
                <w:color w:val="auto"/>
                <w:w w:val="99"/>
              </w:rPr>
              <w:t>2,533,341</w:t>
            </w:r>
          </w:p>
        </w:tc>
        <w:tc>
          <w:tcPr>
            <w:tcW w:w="540" w:type="dxa"/>
            <w:vAlign w:val="bottom"/>
            <w:tcBorders>
              <w:top w:val="single" w:sz="8" w:color="auto"/>
              <w:bottom w:val="single" w:sz="8" w:color="auto"/>
            </w:tcBorders>
          </w:tcPr>
          <w:p>
            <w:pPr>
              <w:jc w:val="right"/>
              <w:ind w:right="250"/>
              <w:spacing w:after="0"/>
              <w:rPr>
                <w:sz w:val="20"/>
                <w:szCs w:val="20"/>
                <w:color w:val="auto"/>
              </w:rPr>
            </w:pPr>
            <w:r>
              <w:rPr>
                <w:rFonts w:ascii="Times New Roman" w:cs="Times New Roman" w:eastAsia="Times New Roman" w:hAnsi="Times New Roman"/>
                <w:sz w:val="18"/>
                <w:szCs w:val="18"/>
                <w:color w:val="auto"/>
              </w:rPr>
              <w:t>$</w:t>
            </w:r>
          </w:p>
        </w:tc>
        <w:tc>
          <w:tcPr>
            <w:tcW w:w="15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2,328,429</w:t>
            </w:r>
          </w:p>
        </w:tc>
      </w:tr>
      <w:tr>
        <w:trPr>
          <w:trHeight w:val="20"/>
        </w:trPr>
        <w:tc>
          <w:tcPr>
            <w:tcW w:w="24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5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7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Platform</w:t>
      </w:r>
    </w:p>
    <w:p>
      <w:pPr>
        <w:spacing w:after="0" w:line="148"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Net revenue by platform was as follows:</w:t>
      </w:r>
    </w:p>
    <w:p>
      <w:pPr>
        <w:spacing w:after="0" w:line="194"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25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4020" w:type="dxa"/>
            <w:vAlign w:val="bottom"/>
            <w:gridSpan w:val="4"/>
          </w:tcPr>
          <w:p>
            <w:pPr>
              <w:ind w:left="360"/>
              <w:spacing w:after="0"/>
              <w:rPr>
                <w:sz w:val="20"/>
                <w:szCs w:val="20"/>
                <w:color w:val="auto"/>
              </w:rPr>
            </w:pPr>
            <w:r>
              <w:rPr>
                <w:rFonts w:ascii="Times New Roman" w:cs="Times New Roman" w:eastAsia="Times New Roman" w:hAnsi="Times New Roman"/>
                <w:sz w:val="18"/>
                <w:szCs w:val="18"/>
                <w:b w:val="1"/>
                <w:bCs w:val="1"/>
                <w:color w:val="auto"/>
              </w:rPr>
              <w:t>Three Months Ended December 31,</w:t>
            </w:r>
          </w:p>
        </w:tc>
        <w:tc>
          <w:tcPr>
            <w:tcW w:w="420" w:type="dxa"/>
            <w:vAlign w:val="bottom"/>
          </w:tcPr>
          <w:p>
            <w:pPr>
              <w:spacing w:after="0"/>
              <w:rPr>
                <w:sz w:val="20"/>
                <w:szCs w:val="20"/>
                <w:color w:val="auto"/>
              </w:rPr>
            </w:pPr>
          </w:p>
        </w:tc>
        <w:tc>
          <w:tcPr>
            <w:tcW w:w="3640" w:type="dxa"/>
            <w:vAlign w:val="bottom"/>
            <w:gridSpan w:val="3"/>
          </w:tcPr>
          <w:p>
            <w:pPr>
              <w:jc w:val="right"/>
              <w:ind w:right="610"/>
              <w:spacing w:after="0"/>
              <w:rPr>
                <w:sz w:val="20"/>
                <w:szCs w:val="20"/>
                <w:color w:val="auto"/>
              </w:rPr>
            </w:pPr>
            <w:r>
              <w:rPr>
                <w:rFonts w:ascii="Times New Roman" w:cs="Times New Roman" w:eastAsia="Times New Roman" w:hAnsi="Times New Roman"/>
                <w:sz w:val="18"/>
                <w:szCs w:val="18"/>
                <w:b w:val="1"/>
                <w:bCs w:val="1"/>
                <w:color w:val="auto"/>
              </w:rPr>
              <w:t>Nine Months Ended December 31,</w:t>
            </w:r>
          </w:p>
        </w:tc>
      </w:tr>
      <w:tr>
        <w:trPr>
          <w:trHeight w:val="223"/>
        </w:trPr>
        <w:tc>
          <w:tcPr>
            <w:tcW w:w="2580" w:type="dxa"/>
            <w:vAlign w:val="bottom"/>
            <w:tcBorders>
              <w:bottom w:val="single" w:sz="8" w:color="CCEEFF"/>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480" w:type="dxa"/>
            <w:vAlign w:val="bottom"/>
            <w:tcBorders>
              <w:top w:val="single" w:sz="8" w:color="auto"/>
              <w:bottom w:val="single" w:sz="8" w:color="auto"/>
            </w:tcBorders>
          </w:tcPr>
          <w:p>
            <w:pPr>
              <w:spacing w:after="0"/>
              <w:rPr>
                <w:sz w:val="19"/>
                <w:szCs w:val="19"/>
                <w:color w:val="auto"/>
              </w:rPr>
            </w:pPr>
          </w:p>
        </w:tc>
        <w:tc>
          <w:tcPr>
            <w:tcW w:w="1700" w:type="dxa"/>
            <w:vAlign w:val="bottom"/>
            <w:tcBorders>
              <w:top w:val="single" w:sz="8" w:color="auto"/>
              <w:bottom w:val="single" w:sz="8" w:color="auto"/>
            </w:tcBorders>
          </w:tcPr>
          <w:p>
            <w:pPr>
              <w:jc w:val="right"/>
              <w:ind w:right="830"/>
              <w:spacing w:after="0"/>
              <w:rPr>
                <w:sz w:val="20"/>
                <w:szCs w:val="20"/>
                <w:color w:val="auto"/>
              </w:rPr>
            </w:pPr>
            <w:r>
              <w:rPr>
                <w:rFonts w:ascii="Times New Roman" w:cs="Times New Roman" w:eastAsia="Times New Roman" w:hAnsi="Times New Roman"/>
                <w:sz w:val="18"/>
                <w:szCs w:val="18"/>
                <w:b w:val="1"/>
                <w:bCs w:val="1"/>
                <w:color w:val="auto"/>
              </w:rPr>
              <w:t>2020</w:t>
            </w:r>
          </w:p>
        </w:tc>
        <w:tc>
          <w:tcPr>
            <w:tcW w:w="420" w:type="dxa"/>
            <w:vAlign w:val="bottom"/>
            <w:tcBorders>
              <w:top w:val="single" w:sz="8" w:color="auto"/>
              <w:bottom w:val="single" w:sz="8" w:color="auto"/>
            </w:tcBorders>
          </w:tcPr>
          <w:p>
            <w:pPr>
              <w:spacing w:after="0"/>
              <w:rPr>
                <w:sz w:val="19"/>
                <w:szCs w:val="19"/>
                <w:color w:val="auto"/>
              </w:rPr>
            </w:pPr>
          </w:p>
        </w:tc>
        <w:tc>
          <w:tcPr>
            <w:tcW w:w="1800" w:type="dxa"/>
            <w:vAlign w:val="bottom"/>
            <w:tcBorders>
              <w:top w:val="single" w:sz="8" w:color="auto"/>
              <w:bottom w:val="single" w:sz="8" w:color="auto"/>
            </w:tcBorders>
          </w:tcPr>
          <w:p>
            <w:pPr>
              <w:jc w:val="right"/>
              <w:ind w:right="810"/>
              <w:spacing w:after="0"/>
              <w:rPr>
                <w:sz w:val="20"/>
                <w:szCs w:val="20"/>
                <w:color w:val="auto"/>
              </w:rPr>
            </w:pPr>
            <w:r>
              <w:rPr>
                <w:rFonts w:ascii="Times New Roman" w:cs="Times New Roman" w:eastAsia="Times New Roman" w:hAnsi="Times New Roman"/>
                <w:sz w:val="18"/>
                <w:szCs w:val="18"/>
                <w:b w:val="1"/>
                <w:bCs w:val="1"/>
                <w:color w:val="auto"/>
              </w:rPr>
              <w:t>2019</w:t>
            </w:r>
          </w:p>
        </w:tc>
        <w:tc>
          <w:tcPr>
            <w:tcW w:w="100" w:type="dxa"/>
            <w:vAlign w:val="bottom"/>
            <w:tcBorders>
              <w:bottom w:val="single" w:sz="8" w:color="CCEEFF"/>
            </w:tcBorders>
          </w:tcPr>
          <w:p>
            <w:pPr>
              <w:spacing w:after="0"/>
              <w:rPr>
                <w:sz w:val="19"/>
                <w:szCs w:val="19"/>
                <w:color w:val="auto"/>
              </w:rPr>
            </w:pPr>
          </w:p>
        </w:tc>
        <w:tc>
          <w:tcPr>
            <w:tcW w:w="420" w:type="dxa"/>
            <w:vAlign w:val="bottom"/>
            <w:tcBorders>
              <w:top w:val="single" w:sz="8" w:color="auto"/>
              <w:bottom w:val="single" w:sz="8" w:color="auto"/>
            </w:tcBorders>
          </w:tcPr>
          <w:p>
            <w:pPr>
              <w:spacing w:after="0"/>
              <w:rPr>
                <w:sz w:val="19"/>
                <w:szCs w:val="19"/>
                <w:color w:val="auto"/>
              </w:rPr>
            </w:pPr>
          </w:p>
        </w:tc>
        <w:tc>
          <w:tcPr>
            <w:tcW w:w="1580" w:type="dxa"/>
            <w:vAlign w:val="bottom"/>
            <w:tcBorders>
              <w:top w:val="single" w:sz="8" w:color="auto"/>
              <w:bottom w:val="single" w:sz="8" w:color="auto"/>
            </w:tcBorders>
          </w:tcPr>
          <w:p>
            <w:pPr>
              <w:jc w:val="right"/>
              <w:ind w:right="730"/>
              <w:spacing w:after="0"/>
              <w:rPr>
                <w:sz w:val="20"/>
                <w:szCs w:val="20"/>
                <w:color w:val="auto"/>
              </w:rPr>
            </w:pPr>
            <w:r>
              <w:rPr>
                <w:rFonts w:ascii="Times New Roman" w:cs="Times New Roman" w:eastAsia="Times New Roman" w:hAnsi="Times New Roman"/>
                <w:sz w:val="18"/>
                <w:szCs w:val="18"/>
                <w:b w:val="1"/>
                <w:bCs w:val="1"/>
                <w:color w:val="auto"/>
              </w:rPr>
              <w:t>2020</w:t>
            </w:r>
          </w:p>
        </w:tc>
        <w:tc>
          <w:tcPr>
            <w:tcW w:w="540" w:type="dxa"/>
            <w:vAlign w:val="bottom"/>
            <w:tcBorders>
              <w:top w:val="single" w:sz="8" w:color="auto"/>
              <w:bottom w:val="single" w:sz="8" w:color="auto"/>
            </w:tcBorders>
          </w:tcPr>
          <w:p>
            <w:pPr>
              <w:spacing w:after="0"/>
              <w:rPr>
                <w:sz w:val="19"/>
                <w:szCs w:val="19"/>
                <w:color w:val="auto"/>
              </w:rPr>
            </w:pPr>
          </w:p>
        </w:tc>
        <w:tc>
          <w:tcPr>
            <w:tcW w:w="1520" w:type="dxa"/>
            <w:vAlign w:val="bottom"/>
            <w:tcBorders>
              <w:top w:val="single" w:sz="8" w:color="auto"/>
              <w:bottom w:val="single" w:sz="8" w:color="auto"/>
            </w:tcBorders>
          </w:tcPr>
          <w:p>
            <w:pPr>
              <w:jc w:val="right"/>
              <w:ind w:right="710"/>
              <w:spacing w:after="0"/>
              <w:rPr>
                <w:sz w:val="20"/>
                <w:szCs w:val="20"/>
                <w:color w:val="auto"/>
              </w:rPr>
            </w:pPr>
            <w:r>
              <w:rPr>
                <w:rFonts w:ascii="Times New Roman" w:cs="Times New Roman" w:eastAsia="Times New Roman" w:hAnsi="Times New Roman"/>
                <w:sz w:val="18"/>
                <w:szCs w:val="18"/>
                <w:b w:val="1"/>
                <w:bCs w:val="1"/>
                <w:color w:val="auto"/>
              </w:rPr>
              <w:t>2019</w:t>
            </w:r>
          </w:p>
        </w:tc>
      </w:tr>
      <w:tr>
        <w:trPr>
          <w:trHeight w:val="210"/>
        </w:trPr>
        <w:tc>
          <w:tcPr>
            <w:tcW w:w="268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b w:val="1"/>
                <w:bCs w:val="1"/>
                <w:color w:val="auto"/>
              </w:rPr>
              <w:t>Net revenue recognized:</w:t>
            </w:r>
          </w:p>
        </w:tc>
        <w:tc>
          <w:tcPr>
            <w:tcW w:w="480" w:type="dxa"/>
            <w:vAlign w:val="bottom"/>
            <w:shd w:val="clear" w:color="auto" w:fill="CCEEFF"/>
          </w:tcPr>
          <w:p>
            <w:pPr>
              <w:spacing w:after="0"/>
              <w:rPr>
                <w:sz w:val="18"/>
                <w:szCs w:val="18"/>
                <w:color w:val="auto"/>
              </w:rPr>
            </w:pPr>
          </w:p>
        </w:tc>
        <w:tc>
          <w:tcPr>
            <w:tcW w:w="170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5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520" w:type="dxa"/>
            <w:vAlign w:val="bottom"/>
            <w:shd w:val="clear" w:color="auto" w:fill="CCEEFF"/>
          </w:tcPr>
          <w:p>
            <w:pPr>
              <w:spacing w:after="0"/>
              <w:rPr>
                <w:sz w:val="18"/>
                <w:szCs w:val="18"/>
                <w:color w:val="auto"/>
              </w:rPr>
            </w:pPr>
          </w:p>
        </w:tc>
      </w:tr>
      <w:tr>
        <w:trPr>
          <w:trHeight w:val="230"/>
        </w:trPr>
        <w:tc>
          <w:tcPr>
            <w:tcW w:w="268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Console</w:t>
            </w:r>
          </w:p>
        </w:tc>
        <w:tc>
          <w:tcPr>
            <w:tcW w:w="480" w:type="dxa"/>
            <w:vAlign w:val="bottom"/>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700" w:type="dxa"/>
            <w:vAlign w:val="bottom"/>
          </w:tcPr>
          <w:p>
            <w:pPr>
              <w:jc w:val="right"/>
              <w:ind w:right="10"/>
              <w:spacing w:after="0"/>
              <w:rPr>
                <w:sz w:val="20"/>
                <w:szCs w:val="20"/>
                <w:color w:val="auto"/>
              </w:rPr>
            </w:pPr>
            <w:r>
              <w:rPr>
                <w:rFonts w:ascii="Times New Roman" w:cs="Times New Roman" w:eastAsia="Times New Roman" w:hAnsi="Times New Roman"/>
                <w:sz w:val="18"/>
                <w:szCs w:val="18"/>
                <w:b w:val="1"/>
                <w:bCs w:val="1"/>
                <w:color w:val="auto"/>
              </w:rPr>
              <w:t>656,079</w:t>
            </w:r>
          </w:p>
        </w:tc>
        <w:tc>
          <w:tcPr>
            <w:tcW w:w="420" w:type="dxa"/>
            <w:vAlign w:val="bottom"/>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679,799</w:t>
            </w:r>
          </w:p>
        </w:tc>
        <w:tc>
          <w:tcPr>
            <w:tcW w:w="100" w:type="dxa"/>
            <w:vAlign w:val="bottom"/>
          </w:tcPr>
          <w:p>
            <w:pPr>
              <w:spacing w:after="0"/>
              <w:rPr>
                <w:sz w:val="19"/>
                <w:szCs w:val="19"/>
                <w:color w:val="auto"/>
              </w:rPr>
            </w:pPr>
          </w:p>
        </w:tc>
        <w:tc>
          <w:tcPr>
            <w:tcW w:w="420" w:type="dxa"/>
            <w:vAlign w:val="bottom"/>
          </w:tcPr>
          <w:p>
            <w:pPr>
              <w:jc w:val="right"/>
              <w:ind w:right="210"/>
              <w:spacing w:after="0"/>
              <w:rPr>
                <w:sz w:val="20"/>
                <w:szCs w:val="20"/>
                <w:color w:val="auto"/>
              </w:rPr>
            </w:pPr>
            <w:r>
              <w:rPr>
                <w:rFonts w:ascii="Times New Roman" w:cs="Times New Roman" w:eastAsia="Times New Roman" w:hAnsi="Times New Roman"/>
                <w:sz w:val="18"/>
                <w:szCs w:val="18"/>
                <w:b w:val="1"/>
                <w:bCs w:val="1"/>
                <w:color w:val="auto"/>
              </w:rPr>
              <w:t>$</w:t>
            </w:r>
          </w:p>
        </w:tc>
        <w:tc>
          <w:tcPr>
            <w:tcW w:w="1580" w:type="dxa"/>
            <w:vAlign w:val="bottom"/>
          </w:tcPr>
          <w:p>
            <w:pPr>
              <w:jc w:val="right"/>
              <w:ind w:right="10"/>
              <w:spacing w:after="0"/>
              <w:rPr>
                <w:sz w:val="20"/>
                <w:szCs w:val="20"/>
                <w:color w:val="auto"/>
              </w:rPr>
            </w:pPr>
            <w:r>
              <w:rPr>
                <w:rFonts w:ascii="Times New Roman" w:cs="Times New Roman" w:eastAsia="Times New Roman" w:hAnsi="Times New Roman"/>
                <w:sz w:val="18"/>
                <w:szCs w:val="18"/>
                <w:b w:val="1"/>
                <w:bCs w:val="1"/>
                <w:color w:val="auto"/>
              </w:rPr>
              <w:t>1,909,033</w:t>
            </w:r>
          </w:p>
        </w:tc>
        <w:tc>
          <w:tcPr>
            <w:tcW w:w="540" w:type="dxa"/>
            <w:vAlign w:val="bottom"/>
          </w:tcPr>
          <w:p>
            <w:pPr>
              <w:jc w:val="right"/>
              <w:ind w:right="250"/>
              <w:spacing w:after="0"/>
              <w:rPr>
                <w:sz w:val="20"/>
                <w:szCs w:val="20"/>
                <w:color w:val="auto"/>
              </w:rPr>
            </w:pPr>
            <w:r>
              <w:rPr>
                <w:rFonts w:ascii="Times New Roman" w:cs="Times New Roman" w:eastAsia="Times New Roman" w:hAnsi="Times New Roman"/>
                <w:sz w:val="18"/>
                <w:szCs w:val="18"/>
                <w:color w:val="auto"/>
              </w:rPr>
              <w:t>$</w:t>
            </w:r>
          </w:p>
        </w:tc>
        <w:tc>
          <w:tcPr>
            <w:tcW w:w="1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1,766,431</w:t>
            </w:r>
          </w:p>
        </w:tc>
      </w:tr>
      <w:tr>
        <w:trPr>
          <w:trHeight w:val="230"/>
        </w:trPr>
        <w:tc>
          <w:tcPr>
            <w:tcW w:w="268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PC and other</w:t>
            </w:r>
          </w:p>
        </w:tc>
        <w:tc>
          <w:tcPr>
            <w:tcW w:w="480" w:type="dxa"/>
            <w:vAlign w:val="bottom"/>
            <w:shd w:val="clear" w:color="auto" w:fill="CCEEFF"/>
          </w:tcPr>
          <w:p>
            <w:pPr>
              <w:spacing w:after="0"/>
              <w:rPr>
                <w:sz w:val="19"/>
                <w:szCs w:val="19"/>
                <w:color w:val="auto"/>
              </w:rPr>
            </w:pPr>
          </w:p>
        </w:tc>
        <w:tc>
          <w:tcPr>
            <w:tcW w:w="170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b w:val="1"/>
                <w:bCs w:val="1"/>
                <w:color w:val="auto"/>
              </w:rPr>
              <w:t>204,810</w:t>
            </w:r>
          </w:p>
        </w:tc>
        <w:tc>
          <w:tcPr>
            <w:tcW w:w="420" w:type="dxa"/>
            <w:vAlign w:val="bottom"/>
            <w:shd w:val="clear" w:color="auto" w:fill="CCEEFF"/>
          </w:tcPr>
          <w:p>
            <w:pPr>
              <w:spacing w:after="0"/>
              <w:rPr>
                <w:sz w:val="19"/>
                <w:szCs w:val="19"/>
                <w:color w:val="auto"/>
              </w:rPr>
            </w:pPr>
          </w:p>
        </w:tc>
        <w:tc>
          <w:tcPr>
            <w:tcW w:w="1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250,330</w:t>
            </w:r>
          </w:p>
        </w:tc>
        <w:tc>
          <w:tcPr>
            <w:tcW w:w="10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158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b w:val="1"/>
                <w:bCs w:val="1"/>
                <w:color w:val="auto"/>
              </w:rPr>
              <w:t>624,308</w:t>
            </w:r>
          </w:p>
        </w:tc>
        <w:tc>
          <w:tcPr>
            <w:tcW w:w="540" w:type="dxa"/>
            <w:vAlign w:val="bottom"/>
            <w:shd w:val="clear" w:color="auto" w:fill="CCEEFF"/>
          </w:tcPr>
          <w:p>
            <w:pPr>
              <w:spacing w:after="0"/>
              <w:rPr>
                <w:sz w:val="19"/>
                <w:szCs w:val="19"/>
                <w:color w:val="auto"/>
              </w:rPr>
            </w:pPr>
          </w:p>
        </w:tc>
        <w:tc>
          <w:tcPr>
            <w:tcW w:w="1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561,998</w:t>
            </w:r>
          </w:p>
        </w:tc>
      </w:tr>
      <w:tr>
        <w:trPr>
          <w:trHeight w:val="223"/>
        </w:trPr>
        <w:tc>
          <w:tcPr>
            <w:tcW w:w="2580" w:type="dxa"/>
            <w:vAlign w:val="bottom"/>
            <w:tcBorders>
              <w:top w:val="single" w:sz="8" w:color="auto"/>
              <w:bottom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Total net revenue</w:t>
            </w:r>
          </w:p>
        </w:tc>
        <w:tc>
          <w:tcPr>
            <w:tcW w:w="100" w:type="dxa"/>
            <w:vAlign w:val="bottom"/>
          </w:tcPr>
          <w:p>
            <w:pPr>
              <w:spacing w:after="0"/>
              <w:rPr>
                <w:sz w:val="19"/>
                <w:szCs w:val="19"/>
                <w:color w:val="auto"/>
              </w:rPr>
            </w:pPr>
          </w:p>
        </w:tc>
        <w:tc>
          <w:tcPr>
            <w:tcW w:w="480" w:type="dxa"/>
            <w:vAlign w:val="bottom"/>
            <w:tcBorders>
              <w:top w:val="single" w:sz="8" w:color="auto"/>
              <w:bottom w:val="single" w:sz="8" w:color="auto"/>
            </w:tcBorders>
          </w:tcPr>
          <w:p>
            <w:pPr>
              <w:jc w:val="right"/>
              <w:ind w:right="29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700" w:type="dxa"/>
            <w:vAlign w:val="bottom"/>
            <w:tcBorders>
              <w:top w:val="single" w:sz="8" w:color="auto"/>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b w:val="1"/>
                <w:bCs w:val="1"/>
                <w:color w:val="auto"/>
              </w:rPr>
              <w:t>860,889</w:t>
            </w:r>
          </w:p>
        </w:tc>
        <w:tc>
          <w:tcPr>
            <w:tcW w:w="420" w:type="dxa"/>
            <w:vAlign w:val="bottom"/>
            <w:tcBorders>
              <w:top w:val="single" w:sz="8" w:color="auto"/>
              <w:bottom w:val="single" w:sz="8" w:color="auto"/>
            </w:tcBorders>
          </w:tcPr>
          <w:p>
            <w:pPr>
              <w:jc w:val="right"/>
              <w:ind w:right="150"/>
              <w:spacing w:after="0"/>
              <w:rPr>
                <w:sz w:val="20"/>
                <w:szCs w:val="20"/>
                <w:color w:val="auto"/>
              </w:rPr>
            </w:pPr>
            <w:r>
              <w:rPr>
                <w:rFonts w:ascii="Times New Roman" w:cs="Times New Roman" w:eastAsia="Times New Roman" w:hAnsi="Times New Roman"/>
                <w:sz w:val="18"/>
                <w:szCs w:val="18"/>
                <w:color w:val="auto"/>
              </w:rPr>
              <w:t>$</w:t>
            </w:r>
          </w:p>
        </w:tc>
        <w:tc>
          <w:tcPr>
            <w:tcW w:w="18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930,129</w:t>
            </w:r>
          </w:p>
        </w:tc>
        <w:tc>
          <w:tcPr>
            <w:tcW w:w="100" w:type="dxa"/>
            <w:vAlign w:val="bottom"/>
          </w:tcPr>
          <w:p>
            <w:pPr>
              <w:spacing w:after="0"/>
              <w:rPr>
                <w:sz w:val="19"/>
                <w:szCs w:val="19"/>
                <w:color w:val="auto"/>
              </w:rPr>
            </w:pPr>
          </w:p>
        </w:tc>
        <w:tc>
          <w:tcPr>
            <w:tcW w:w="420" w:type="dxa"/>
            <w:vAlign w:val="bottom"/>
            <w:tcBorders>
              <w:top w:val="single" w:sz="8" w:color="auto"/>
              <w:bottom w:val="single" w:sz="8" w:color="auto"/>
            </w:tcBorders>
          </w:tcPr>
          <w:p>
            <w:pPr>
              <w:jc w:val="right"/>
              <w:ind w:right="210"/>
              <w:spacing w:after="0"/>
              <w:rPr>
                <w:sz w:val="20"/>
                <w:szCs w:val="20"/>
                <w:color w:val="auto"/>
              </w:rPr>
            </w:pPr>
            <w:r>
              <w:rPr>
                <w:rFonts w:ascii="Times New Roman" w:cs="Times New Roman" w:eastAsia="Times New Roman" w:hAnsi="Times New Roman"/>
                <w:sz w:val="18"/>
                <w:szCs w:val="18"/>
                <w:b w:val="1"/>
                <w:bCs w:val="1"/>
                <w:color w:val="auto"/>
              </w:rPr>
              <w:t>$</w:t>
            </w:r>
          </w:p>
        </w:tc>
        <w:tc>
          <w:tcPr>
            <w:tcW w:w="1580" w:type="dxa"/>
            <w:vAlign w:val="bottom"/>
            <w:tcBorders>
              <w:top w:val="single" w:sz="8" w:color="auto"/>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b w:val="1"/>
                <w:bCs w:val="1"/>
                <w:color w:val="auto"/>
              </w:rPr>
              <w:t>2,533,341</w:t>
            </w:r>
          </w:p>
        </w:tc>
        <w:tc>
          <w:tcPr>
            <w:tcW w:w="540" w:type="dxa"/>
            <w:vAlign w:val="bottom"/>
            <w:tcBorders>
              <w:top w:val="single" w:sz="8" w:color="auto"/>
              <w:bottom w:val="single" w:sz="8" w:color="auto"/>
            </w:tcBorders>
          </w:tcPr>
          <w:p>
            <w:pPr>
              <w:jc w:val="right"/>
              <w:ind w:right="250"/>
              <w:spacing w:after="0"/>
              <w:rPr>
                <w:sz w:val="20"/>
                <w:szCs w:val="20"/>
                <w:color w:val="auto"/>
              </w:rPr>
            </w:pPr>
            <w:r>
              <w:rPr>
                <w:rFonts w:ascii="Times New Roman" w:cs="Times New Roman" w:eastAsia="Times New Roman" w:hAnsi="Times New Roman"/>
                <w:sz w:val="18"/>
                <w:szCs w:val="18"/>
                <w:color w:val="auto"/>
              </w:rPr>
              <w:t>$</w:t>
            </w:r>
          </w:p>
        </w:tc>
        <w:tc>
          <w:tcPr>
            <w:tcW w:w="15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2,328,429</w:t>
            </w:r>
          </w:p>
        </w:tc>
      </w:tr>
      <w:tr>
        <w:trPr>
          <w:trHeight w:val="20"/>
        </w:trPr>
        <w:tc>
          <w:tcPr>
            <w:tcW w:w="25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520" w:type="dxa"/>
            <w:vAlign w:val="bottom"/>
            <w:tcBorders>
              <w:bottom w:val="single" w:sz="8" w:color="auto"/>
            </w:tcBorders>
          </w:tcPr>
          <w:p>
            <w:pPr>
              <w:spacing w:after="0" w:line="20" w:lineRule="exact"/>
              <w:rPr>
                <w:sz w:val="1"/>
                <w:szCs w:val="1"/>
                <w:color w:val="auto"/>
              </w:rPr>
            </w:pPr>
          </w:p>
        </w:tc>
      </w:tr>
      <w:tr>
        <w:trPr>
          <w:trHeight w:val="871"/>
        </w:trPr>
        <w:tc>
          <w:tcPr>
            <w:tcW w:w="2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800" w:type="dxa"/>
            <w:vAlign w:val="bottom"/>
          </w:tcPr>
          <w:p>
            <w:pPr>
              <w:jc w:val="right"/>
              <w:ind w:right="1270"/>
              <w:spacing w:after="0"/>
              <w:rPr>
                <w:sz w:val="20"/>
                <w:szCs w:val="20"/>
                <w:color w:val="auto"/>
              </w:rPr>
            </w:pPr>
            <w:r>
              <w:rPr>
                <w:rFonts w:ascii="Times New Roman" w:cs="Times New Roman" w:eastAsia="Times New Roman" w:hAnsi="Times New Roman"/>
                <w:sz w:val="18"/>
                <w:szCs w:val="18"/>
                <w:color w:val="auto"/>
              </w:rPr>
              <w:t>10</w:t>
            </w:r>
          </w:p>
        </w:tc>
        <w:tc>
          <w:tcPr>
            <w:tcW w:w="1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520" w:type="dxa"/>
            <w:vAlign w:val="bottom"/>
          </w:tcPr>
          <w:p>
            <w:pPr>
              <w:spacing w:after="0"/>
              <w:rPr>
                <w:sz w:val="24"/>
                <w:szCs w:val="24"/>
                <w:color w:val="auto"/>
              </w:rPr>
            </w:pPr>
          </w:p>
        </w:tc>
      </w:tr>
      <w:tr>
        <w:trPr>
          <w:trHeight w:val="115"/>
        </w:trPr>
        <w:tc>
          <w:tcPr>
            <w:tcW w:w="258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480" w:type="dxa"/>
            <w:vAlign w:val="bottom"/>
            <w:tcBorders>
              <w:bottom w:val="single" w:sz="8" w:color="9A9A9A"/>
            </w:tcBorders>
          </w:tcPr>
          <w:p>
            <w:pPr>
              <w:spacing w:after="0"/>
              <w:rPr>
                <w:sz w:val="10"/>
                <w:szCs w:val="10"/>
                <w:color w:val="auto"/>
              </w:rPr>
            </w:pPr>
          </w:p>
        </w:tc>
        <w:tc>
          <w:tcPr>
            <w:tcW w:w="1700" w:type="dxa"/>
            <w:vAlign w:val="bottom"/>
            <w:tcBorders>
              <w:bottom w:val="single" w:sz="8" w:color="9A9A9A"/>
            </w:tcBorders>
          </w:tcPr>
          <w:p>
            <w:pPr>
              <w:spacing w:after="0"/>
              <w:rPr>
                <w:sz w:val="10"/>
                <w:szCs w:val="10"/>
                <w:color w:val="auto"/>
              </w:rPr>
            </w:pPr>
          </w:p>
        </w:tc>
        <w:tc>
          <w:tcPr>
            <w:tcW w:w="420" w:type="dxa"/>
            <w:vAlign w:val="bottom"/>
            <w:tcBorders>
              <w:bottom w:val="single" w:sz="8" w:color="9A9A9A"/>
            </w:tcBorders>
          </w:tcPr>
          <w:p>
            <w:pPr>
              <w:spacing w:after="0"/>
              <w:rPr>
                <w:sz w:val="10"/>
                <w:szCs w:val="10"/>
                <w:color w:val="auto"/>
              </w:rPr>
            </w:pPr>
          </w:p>
        </w:tc>
        <w:tc>
          <w:tcPr>
            <w:tcW w:w="1800" w:type="dxa"/>
            <w:vAlign w:val="bottom"/>
            <w:tcBorders>
              <w:bottom w:val="single" w:sz="8" w:color="9A9A9A"/>
            </w:tcBorders>
          </w:tcPr>
          <w:p>
            <w:pPr>
              <w:spacing w:after="0"/>
              <w:rPr>
                <w:sz w:val="10"/>
                <w:szCs w:val="10"/>
                <w:color w:val="auto"/>
              </w:rPr>
            </w:pPr>
          </w:p>
        </w:tc>
        <w:tc>
          <w:tcPr>
            <w:tcW w:w="100" w:type="dxa"/>
            <w:vAlign w:val="bottom"/>
            <w:tcBorders>
              <w:bottom w:val="single" w:sz="8" w:color="9A9A9A"/>
            </w:tcBorders>
          </w:tcPr>
          <w:p>
            <w:pPr>
              <w:spacing w:after="0"/>
              <w:rPr>
                <w:sz w:val="10"/>
                <w:szCs w:val="10"/>
                <w:color w:val="auto"/>
              </w:rPr>
            </w:pPr>
          </w:p>
        </w:tc>
        <w:tc>
          <w:tcPr>
            <w:tcW w:w="420" w:type="dxa"/>
            <w:vAlign w:val="bottom"/>
            <w:tcBorders>
              <w:bottom w:val="single" w:sz="8" w:color="9A9A9A"/>
            </w:tcBorders>
          </w:tcPr>
          <w:p>
            <w:pPr>
              <w:spacing w:after="0"/>
              <w:rPr>
                <w:sz w:val="10"/>
                <w:szCs w:val="10"/>
                <w:color w:val="auto"/>
              </w:rPr>
            </w:pPr>
          </w:p>
        </w:tc>
        <w:tc>
          <w:tcPr>
            <w:tcW w:w="1580" w:type="dxa"/>
            <w:vAlign w:val="bottom"/>
            <w:tcBorders>
              <w:bottom w:val="single" w:sz="8" w:color="9A9A9A"/>
            </w:tcBorders>
          </w:tcPr>
          <w:p>
            <w:pPr>
              <w:spacing w:after="0"/>
              <w:rPr>
                <w:sz w:val="10"/>
                <w:szCs w:val="10"/>
                <w:color w:val="auto"/>
              </w:rPr>
            </w:pPr>
          </w:p>
        </w:tc>
        <w:tc>
          <w:tcPr>
            <w:tcW w:w="540" w:type="dxa"/>
            <w:vAlign w:val="bottom"/>
            <w:tcBorders>
              <w:bottom w:val="single" w:sz="8" w:color="9A9A9A"/>
            </w:tcBorders>
          </w:tcPr>
          <w:p>
            <w:pPr>
              <w:spacing w:after="0"/>
              <w:rPr>
                <w:sz w:val="10"/>
                <w:szCs w:val="10"/>
                <w:color w:val="auto"/>
              </w:rPr>
            </w:pPr>
          </w:p>
        </w:tc>
        <w:tc>
          <w:tcPr>
            <w:tcW w:w="1520" w:type="dxa"/>
            <w:vAlign w:val="bottom"/>
            <w:tcBorders>
              <w:bottom w:val="single" w:sz="8" w:color="9A9A9A"/>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7128510</wp:posOffset>
            </wp:positionH>
            <wp:positionV relativeFrom="paragraph">
              <wp:posOffset>-7620</wp:posOffset>
            </wp:positionV>
            <wp:extent cx="8255" cy="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8255"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-16510</wp:posOffset>
            </wp:positionV>
            <wp:extent cx="8890" cy="171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8890" cy="17145"/>
                    </a:xfrm>
                    <a:prstGeom prst="rect">
                      <a:avLst/>
                    </a:prstGeom>
                    <a:noFill/>
                  </pic:spPr>
                </pic:pic>
              </a:graphicData>
            </a:graphic>
          </wp:anchor>
        </w:drawing>
      </w:r>
    </w:p>
    <w:p>
      <w:pPr>
        <w:sectPr>
          <w:pgSz w:w="11900" w:h="16838" w:orient="portrait"/>
          <w:cols w:equalWidth="0" w:num="1">
            <w:col w:w="11240"/>
          </w:cols>
          <w:pgMar w:left="320" w:top="1440" w:right="339" w:bottom="1440" w:gutter="0" w:footer="0" w:header="0"/>
        </w:sectPr>
      </w:pPr>
    </w:p>
    <w:bookmarkStart w:id="11" w:name="page12"/>
    <w:bookmarkEnd w:id="11"/>
    <w:p>
      <w:pPr>
        <w:spacing w:after="0"/>
        <w:rPr>
          <w:sz w:val="20"/>
          <w:szCs w:val="20"/>
          <w:color w:val="auto"/>
        </w:rPr>
      </w:pPr>
      <w:r>
        <w:rPr>
          <w:rFonts w:ascii="Times New Roman" w:cs="Times New Roman" w:eastAsia="Times New Roman" w:hAnsi="Times New Roman"/>
          <w:sz w:val="18"/>
          <w:szCs w:val="18"/>
          <w:b w:val="1"/>
          <w:bCs w:val="1"/>
          <w:i w:val="1"/>
          <w:iCs w:val="1"/>
          <w:color w:val="auto"/>
        </w:rPr>
        <w:t>Distribution channel</w:t>
      </w:r>
    </w:p>
    <w:p>
      <w:pPr>
        <w:spacing w:after="0" w:line="256"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Our products are delivered through digital online services (digital download, online platforms, and cloud streaming) and physical retail and other.</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Net revenue by distribution channel was as follows:</w:t>
      </w:r>
    </w:p>
    <w:p>
      <w:pPr>
        <w:spacing w:after="0" w:line="27"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26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2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8"/>
                <w:szCs w:val="18"/>
                <w:b w:val="1"/>
                <w:bCs w:val="1"/>
                <w:color w:val="auto"/>
              </w:rPr>
              <w:t>Three Months Ended December 31,</w:t>
            </w:r>
          </w:p>
        </w:tc>
        <w:tc>
          <w:tcPr>
            <w:tcW w:w="74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400" w:type="dxa"/>
            <w:vAlign w:val="bottom"/>
            <w:tcBorders>
              <w:bottom w:val="single" w:sz="8" w:color="auto"/>
            </w:tcBorders>
          </w:tcPr>
          <w:p>
            <w:pPr>
              <w:spacing w:after="0"/>
              <w:rPr>
                <w:sz w:val="20"/>
                <w:szCs w:val="20"/>
                <w:color w:val="auto"/>
              </w:rPr>
            </w:pPr>
          </w:p>
        </w:tc>
        <w:tc>
          <w:tcPr>
            <w:tcW w:w="3640" w:type="dxa"/>
            <w:vAlign w:val="bottom"/>
            <w:tcBorders>
              <w:bottom w:val="single" w:sz="8" w:color="auto"/>
            </w:tcBorders>
            <w:gridSpan w:val="3"/>
          </w:tcPr>
          <w:p>
            <w:pPr>
              <w:jc w:val="right"/>
              <w:ind w:right="610"/>
              <w:spacing w:after="0"/>
              <w:rPr>
                <w:sz w:val="20"/>
                <w:szCs w:val="20"/>
                <w:color w:val="auto"/>
              </w:rPr>
            </w:pPr>
            <w:r>
              <w:rPr>
                <w:rFonts w:ascii="Times New Roman" w:cs="Times New Roman" w:eastAsia="Times New Roman" w:hAnsi="Times New Roman"/>
                <w:sz w:val="18"/>
                <w:szCs w:val="18"/>
                <w:b w:val="1"/>
                <w:bCs w:val="1"/>
                <w:color w:val="auto"/>
              </w:rPr>
              <w:t>Nine Months Ended December 31,</w:t>
            </w:r>
          </w:p>
        </w:tc>
      </w:tr>
      <w:tr>
        <w:trPr>
          <w:trHeight w:val="223"/>
        </w:trPr>
        <w:tc>
          <w:tcPr>
            <w:tcW w:w="2620" w:type="dxa"/>
            <w:vAlign w:val="bottom"/>
            <w:tcBorders>
              <w:bottom w:val="single" w:sz="8" w:color="CCEEFF"/>
            </w:tcBorders>
          </w:tcPr>
          <w:p>
            <w:pPr>
              <w:spacing w:after="0"/>
              <w:rPr>
                <w:sz w:val="19"/>
                <w:szCs w:val="19"/>
                <w:color w:val="auto"/>
              </w:rPr>
            </w:pPr>
          </w:p>
        </w:tc>
        <w:tc>
          <w:tcPr>
            <w:tcW w:w="120" w:type="dxa"/>
            <w:vAlign w:val="bottom"/>
            <w:tcBorders>
              <w:bottom w:val="single" w:sz="8" w:color="CCEEFF"/>
            </w:tcBorders>
          </w:tcPr>
          <w:p>
            <w:pPr>
              <w:spacing w:after="0"/>
              <w:rPr>
                <w:sz w:val="19"/>
                <w:szCs w:val="19"/>
                <w:color w:val="auto"/>
              </w:rPr>
            </w:pPr>
          </w:p>
        </w:tc>
        <w:tc>
          <w:tcPr>
            <w:tcW w:w="1340" w:type="dxa"/>
            <w:vAlign w:val="bottom"/>
            <w:tcBorders>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b w:val="1"/>
                <w:bCs w:val="1"/>
                <w:color w:val="auto"/>
              </w:rPr>
              <w:t>2020</w:t>
            </w:r>
          </w:p>
        </w:tc>
        <w:tc>
          <w:tcPr>
            <w:tcW w:w="780" w:type="dxa"/>
            <w:vAlign w:val="bottom"/>
            <w:tcBorders>
              <w:bottom w:val="single" w:sz="8" w:color="auto"/>
            </w:tcBorders>
          </w:tcPr>
          <w:p>
            <w:pPr>
              <w:spacing w:after="0"/>
              <w:rPr>
                <w:sz w:val="19"/>
                <w:szCs w:val="19"/>
                <w:color w:val="auto"/>
              </w:rPr>
            </w:pPr>
          </w:p>
        </w:tc>
        <w:tc>
          <w:tcPr>
            <w:tcW w:w="1500" w:type="dxa"/>
            <w:vAlign w:val="bottom"/>
            <w:tcBorders>
              <w:bottom w:val="single" w:sz="8" w:color="auto"/>
            </w:tcBorders>
          </w:tcPr>
          <w:p>
            <w:pPr>
              <w:jc w:val="right"/>
              <w:ind w:right="70"/>
              <w:spacing w:after="0"/>
              <w:rPr>
                <w:sz w:val="20"/>
                <w:szCs w:val="20"/>
                <w:color w:val="auto"/>
              </w:rPr>
            </w:pPr>
            <w:r>
              <w:rPr>
                <w:rFonts w:ascii="Times New Roman" w:cs="Times New Roman" w:eastAsia="Times New Roman" w:hAnsi="Times New Roman"/>
                <w:sz w:val="18"/>
                <w:szCs w:val="18"/>
                <w:b w:val="1"/>
                <w:bCs w:val="1"/>
                <w:color w:val="auto"/>
              </w:rPr>
              <w:t>2019</w:t>
            </w:r>
          </w:p>
        </w:tc>
        <w:tc>
          <w:tcPr>
            <w:tcW w:w="740" w:type="dxa"/>
            <w:vAlign w:val="bottom"/>
            <w:tcBorders>
              <w:bottom w:val="single" w:sz="8" w:color="auto"/>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1580" w:type="dxa"/>
            <w:vAlign w:val="bottom"/>
            <w:tcBorders>
              <w:bottom w:val="single" w:sz="8" w:color="auto"/>
            </w:tcBorders>
          </w:tcPr>
          <w:p>
            <w:pPr>
              <w:jc w:val="right"/>
              <w:ind w:right="730"/>
              <w:spacing w:after="0"/>
              <w:rPr>
                <w:sz w:val="20"/>
                <w:szCs w:val="20"/>
                <w:color w:val="auto"/>
              </w:rPr>
            </w:pPr>
            <w:r>
              <w:rPr>
                <w:rFonts w:ascii="Times New Roman" w:cs="Times New Roman" w:eastAsia="Times New Roman" w:hAnsi="Times New Roman"/>
                <w:sz w:val="18"/>
                <w:szCs w:val="18"/>
                <w:b w:val="1"/>
                <w:bCs w:val="1"/>
                <w:color w:val="auto"/>
              </w:rPr>
              <w:t>2020</w:t>
            </w:r>
          </w:p>
        </w:tc>
        <w:tc>
          <w:tcPr>
            <w:tcW w:w="540" w:type="dxa"/>
            <w:vAlign w:val="bottom"/>
            <w:tcBorders>
              <w:bottom w:val="single" w:sz="8" w:color="auto"/>
            </w:tcBorders>
          </w:tcPr>
          <w:p>
            <w:pPr>
              <w:spacing w:after="0"/>
              <w:rPr>
                <w:sz w:val="19"/>
                <w:szCs w:val="19"/>
                <w:color w:val="auto"/>
              </w:rPr>
            </w:pPr>
          </w:p>
        </w:tc>
        <w:tc>
          <w:tcPr>
            <w:tcW w:w="1520" w:type="dxa"/>
            <w:vAlign w:val="bottom"/>
            <w:tcBorders>
              <w:bottom w:val="single" w:sz="8" w:color="auto"/>
            </w:tcBorders>
          </w:tcPr>
          <w:p>
            <w:pPr>
              <w:jc w:val="right"/>
              <w:ind w:right="730"/>
              <w:spacing w:after="0"/>
              <w:rPr>
                <w:sz w:val="20"/>
                <w:szCs w:val="20"/>
                <w:color w:val="auto"/>
              </w:rPr>
            </w:pPr>
            <w:r>
              <w:rPr>
                <w:rFonts w:ascii="Times New Roman" w:cs="Times New Roman" w:eastAsia="Times New Roman" w:hAnsi="Times New Roman"/>
                <w:sz w:val="18"/>
                <w:szCs w:val="18"/>
                <w:b w:val="1"/>
                <w:bCs w:val="1"/>
                <w:color w:val="auto"/>
              </w:rPr>
              <w:t>2019</w:t>
            </w:r>
          </w:p>
        </w:tc>
      </w:tr>
      <w:tr>
        <w:trPr>
          <w:trHeight w:val="209"/>
        </w:trPr>
        <w:tc>
          <w:tcPr>
            <w:tcW w:w="274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b w:val="1"/>
                <w:bCs w:val="1"/>
                <w:color w:val="auto"/>
              </w:rPr>
              <w:t>Net revenue recognized:</w:t>
            </w:r>
          </w:p>
        </w:tc>
        <w:tc>
          <w:tcPr>
            <w:tcW w:w="134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5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5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520" w:type="dxa"/>
            <w:vAlign w:val="bottom"/>
            <w:shd w:val="clear" w:color="auto" w:fill="CCEEFF"/>
          </w:tcPr>
          <w:p>
            <w:pPr>
              <w:spacing w:after="0"/>
              <w:rPr>
                <w:sz w:val="18"/>
                <w:szCs w:val="18"/>
                <w:color w:val="auto"/>
              </w:rPr>
            </w:pPr>
          </w:p>
        </w:tc>
      </w:tr>
      <w:tr>
        <w:trPr>
          <w:trHeight w:val="230"/>
        </w:trPr>
        <w:tc>
          <w:tcPr>
            <w:tcW w:w="274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Digital online</w:t>
            </w:r>
          </w:p>
        </w:tc>
        <w:tc>
          <w:tcPr>
            <w:tcW w:w="1340" w:type="dxa"/>
            <w:vAlign w:val="bottom"/>
          </w:tcPr>
          <w:p>
            <w:pPr>
              <w:jc w:val="right"/>
              <w:ind w:right="115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780" w:type="dxa"/>
            <w:vAlign w:val="bottom"/>
          </w:tcPr>
          <w:p>
            <w:pPr>
              <w:jc w:val="right"/>
              <w:ind w:right="10"/>
              <w:spacing w:after="0"/>
              <w:rPr>
                <w:sz w:val="20"/>
                <w:szCs w:val="20"/>
                <w:color w:val="auto"/>
              </w:rPr>
            </w:pPr>
            <w:r>
              <w:rPr>
                <w:rFonts w:ascii="Times New Roman" w:cs="Times New Roman" w:eastAsia="Times New Roman" w:hAnsi="Times New Roman"/>
                <w:sz w:val="18"/>
                <w:szCs w:val="18"/>
                <w:b w:val="1"/>
                <w:bCs w:val="1"/>
                <w:color w:val="auto"/>
              </w:rPr>
              <w:t>728,510</w:t>
            </w:r>
          </w:p>
        </w:tc>
        <w:tc>
          <w:tcPr>
            <w:tcW w:w="1500" w:type="dxa"/>
            <w:vAlign w:val="bottom"/>
          </w:tcPr>
          <w:p>
            <w:pPr>
              <w:jc w:val="right"/>
              <w:ind w:right="1210"/>
              <w:spacing w:after="0"/>
              <w:rPr>
                <w:sz w:val="20"/>
                <w:szCs w:val="20"/>
                <w:color w:val="auto"/>
              </w:rPr>
            </w:pPr>
            <w:r>
              <w:rPr>
                <w:rFonts w:ascii="Times New Roman" w:cs="Times New Roman" w:eastAsia="Times New Roman" w:hAnsi="Times New Roman"/>
                <w:sz w:val="18"/>
                <w:szCs w:val="18"/>
                <w:color w:val="auto"/>
              </w:rPr>
              <w:t>$</w:t>
            </w: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700,321</w:t>
            </w:r>
          </w:p>
        </w:tc>
        <w:tc>
          <w:tcPr>
            <w:tcW w:w="100" w:type="dxa"/>
            <w:vAlign w:val="bottom"/>
          </w:tcPr>
          <w:p>
            <w:pPr>
              <w:spacing w:after="0"/>
              <w:rPr>
                <w:sz w:val="19"/>
                <w:szCs w:val="19"/>
                <w:color w:val="auto"/>
              </w:rPr>
            </w:pPr>
          </w:p>
        </w:tc>
        <w:tc>
          <w:tcPr>
            <w:tcW w:w="400" w:type="dxa"/>
            <w:vAlign w:val="bottom"/>
          </w:tcPr>
          <w:p>
            <w:pPr>
              <w:jc w:val="right"/>
              <w:ind w:right="190"/>
              <w:spacing w:after="0"/>
              <w:rPr>
                <w:sz w:val="20"/>
                <w:szCs w:val="20"/>
                <w:color w:val="auto"/>
              </w:rPr>
            </w:pPr>
            <w:r>
              <w:rPr>
                <w:rFonts w:ascii="Times New Roman" w:cs="Times New Roman" w:eastAsia="Times New Roman" w:hAnsi="Times New Roman"/>
                <w:sz w:val="18"/>
                <w:szCs w:val="18"/>
                <w:b w:val="1"/>
                <w:bCs w:val="1"/>
                <w:color w:val="auto"/>
              </w:rPr>
              <w:t>$</w:t>
            </w:r>
          </w:p>
        </w:tc>
        <w:tc>
          <w:tcPr>
            <w:tcW w:w="1580" w:type="dxa"/>
            <w:vAlign w:val="bottom"/>
          </w:tcPr>
          <w:p>
            <w:pPr>
              <w:jc w:val="right"/>
              <w:ind w:right="10"/>
              <w:spacing w:after="0"/>
              <w:rPr>
                <w:sz w:val="20"/>
                <w:szCs w:val="20"/>
                <w:color w:val="auto"/>
              </w:rPr>
            </w:pPr>
            <w:r>
              <w:rPr>
                <w:rFonts w:ascii="Times New Roman" w:cs="Times New Roman" w:eastAsia="Times New Roman" w:hAnsi="Times New Roman"/>
                <w:sz w:val="18"/>
                <w:szCs w:val="18"/>
                <w:b w:val="1"/>
                <w:bCs w:val="1"/>
                <w:color w:val="auto"/>
              </w:rPr>
              <w:t>2,166,035</w:t>
            </w:r>
          </w:p>
        </w:tc>
        <w:tc>
          <w:tcPr>
            <w:tcW w:w="540" w:type="dxa"/>
            <w:vAlign w:val="bottom"/>
          </w:tcPr>
          <w:p>
            <w:pPr>
              <w:jc w:val="right"/>
              <w:ind w:right="270"/>
              <w:spacing w:after="0"/>
              <w:rPr>
                <w:sz w:val="20"/>
                <w:szCs w:val="20"/>
                <w:color w:val="auto"/>
              </w:rPr>
            </w:pPr>
            <w:r>
              <w:rPr>
                <w:rFonts w:ascii="Times New Roman" w:cs="Times New Roman" w:eastAsia="Times New Roman" w:hAnsi="Times New Roman"/>
                <w:sz w:val="18"/>
                <w:szCs w:val="18"/>
                <w:color w:val="auto"/>
              </w:rPr>
              <w:t>$</w:t>
            </w:r>
          </w:p>
        </w:tc>
        <w:tc>
          <w:tcPr>
            <w:tcW w:w="15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1,743,876</w:t>
            </w:r>
          </w:p>
        </w:tc>
      </w:tr>
      <w:tr>
        <w:trPr>
          <w:trHeight w:val="229"/>
        </w:trPr>
        <w:tc>
          <w:tcPr>
            <w:tcW w:w="274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Physical retail and other</w:t>
            </w:r>
          </w:p>
        </w:tc>
        <w:tc>
          <w:tcPr>
            <w:tcW w:w="1340" w:type="dxa"/>
            <w:vAlign w:val="bottom"/>
            <w:shd w:val="clear" w:color="auto" w:fill="CCEEFF"/>
          </w:tcPr>
          <w:p>
            <w:pPr>
              <w:spacing w:after="0"/>
              <w:rPr>
                <w:sz w:val="19"/>
                <w:szCs w:val="19"/>
                <w:color w:val="auto"/>
              </w:rPr>
            </w:pPr>
          </w:p>
        </w:tc>
        <w:tc>
          <w:tcPr>
            <w:tcW w:w="78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b w:val="1"/>
                <w:bCs w:val="1"/>
                <w:color w:val="auto"/>
              </w:rPr>
              <w:t>132,379</w:t>
            </w:r>
          </w:p>
        </w:tc>
        <w:tc>
          <w:tcPr>
            <w:tcW w:w="1500" w:type="dxa"/>
            <w:vAlign w:val="bottom"/>
            <w:shd w:val="clear" w:color="auto" w:fill="CCEEFF"/>
          </w:tcPr>
          <w:p>
            <w:pPr>
              <w:spacing w:after="0"/>
              <w:rPr>
                <w:sz w:val="19"/>
                <w:szCs w:val="19"/>
                <w:color w:val="auto"/>
              </w:rPr>
            </w:pPr>
          </w:p>
        </w:tc>
        <w:tc>
          <w:tcPr>
            <w:tcW w:w="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229,808</w:t>
            </w: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58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b w:val="1"/>
                <w:bCs w:val="1"/>
                <w:color w:val="auto"/>
              </w:rPr>
              <w:t>367,306</w:t>
            </w:r>
          </w:p>
        </w:tc>
        <w:tc>
          <w:tcPr>
            <w:tcW w:w="540" w:type="dxa"/>
            <w:vAlign w:val="bottom"/>
            <w:shd w:val="clear" w:color="auto" w:fill="CCEEFF"/>
          </w:tcPr>
          <w:p>
            <w:pPr>
              <w:spacing w:after="0"/>
              <w:rPr>
                <w:sz w:val="19"/>
                <w:szCs w:val="19"/>
                <w:color w:val="auto"/>
              </w:rPr>
            </w:pPr>
          </w:p>
        </w:tc>
        <w:tc>
          <w:tcPr>
            <w:tcW w:w="1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584,553</w:t>
            </w:r>
          </w:p>
        </w:tc>
      </w:tr>
      <w:tr>
        <w:trPr>
          <w:trHeight w:val="223"/>
        </w:trPr>
        <w:tc>
          <w:tcPr>
            <w:tcW w:w="2620" w:type="dxa"/>
            <w:vAlign w:val="bottom"/>
            <w:tcBorders>
              <w:top w:val="single" w:sz="8" w:color="auto"/>
              <w:bottom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Total net revenue</w:t>
            </w:r>
          </w:p>
        </w:tc>
        <w:tc>
          <w:tcPr>
            <w:tcW w:w="120" w:type="dxa"/>
            <w:vAlign w:val="bottom"/>
          </w:tcPr>
          <w:p>
            <w:pPr>
              <w:spacing w:after="0"/>
              <w:rPr>
                <w:sz w:val="19"/>
                <w:szCs w:val="19"/>
                <w:color w:val="auto"/>
              </w:rPr>
            </w:pPr>
          </w:p>
        </w:tc>
        <w:tc>
          <w:tcPr>
            <w:tcW w:w="1340" w:type="dxa"/>
            <w:vAlign w:val="bottom"/>
            <w:tcBorders>
              <w:top w:val="single" w:sz="8" w:color="auto"/>
              <w:bottom w:val="single" w:sz="8" w:color="auto"/>
            </w:tcBorders>
          </w:tcPr>
          <w:p>
            <w:pPr>
              <w:jc w:val="right"/>
              <w:ind w:right="115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780" w:type="dxa"/>
            <w:vAlign w:val="bottom"/>
            <w:tcBorders>
              <w:top w:val="single" w:sz="8" w:color="auto"/>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b w:val="1"/>
                <w:bCs w:val="1"/>
                <w:color w:val="auto"/>
              </w:rPr>
              <w:t>860,889</w:t>
            </w:r>
          </w:p>
        </w:tc>
        <w:tc>
          <w:tcPr>
            <w:tcW w:w="1500" w:type="dxa"/>
            <w:vAlign w:val="bottom"/>
            <w:tcBorders>
              <w:top w:val="single" w:sz="8" w:color="auto"/>
              <w:bottom w:val="single" w:sz="8" w:color="auto"/>
            </w:tcBorders>
          </w:tcPr>
          <w:p>
            <w:pPr>
              <w:jc w:val="right"/>
              <w:ind w:right="1210"/>
              <w:spacing w:after="0"/>
              <w:rPr>
                <w:sz w:val="20"/>
                <w:szCs w:val="20"/>
                <w:color w:val="auto"/>
              </w:rPr>
            </w:pPr>
            <w:r>
              <w:rPr>
                <w:rFonts w:ascii="Times New Roman" w:cs="Times New Roman" w:eastAsia="Times New Roman" w:hAnsi="Times New Roman"/>
                <w:sz w:val="18"/>
                <w:szCs w:val="18"/>
                <w:color w:val="auto"/>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930,129</w:t>
            </w:r>
          </w:p>
        </w:tc>
        <w:tc>
          <w:tcPr>
            <w:tcW w:w="100" w:type="dxa"/>
            <w:vAlign w:val="bottom"/>
          </w:tcPr>
          <w:p>
            <w:pPr>
              <w:spacing w:after="0"/>
              <w:rPr>
                <w:sz w:val="19"/>
                <w:szCs w:val="19"/>
                <w:color w:val="auto"/>
              </w:rPr>
            </w:pPr>
          </w:p>
        </w:tc>
        <w:tc>
          <w:tcPr>
            <w:tcW w:w="400" w:type="dxa"/>
            <w:vAlign w:val="bottom"/>
            <w:tcBorders>
              <w:top w:val="single" w:sz="8" w:color="auto"/>
              <w:bottom w:val="single" w:sz="8" w:color="auto"/>
            </w:tcBorders>
          </w:tcPr>
          <w:p>
            <w:pPr>
              <w:jc w:val="right"/>
              <w:ind w:right="190"/>
              <w:spacing w:after="0"/>
              <w:rPr>
                <w:sz w:val="20"/>
                <w:szCs w:val="20"/>
                <w:color w:val="auto"/>
              </w:rPr>
            </w:pPr>
            <w:r>
              <w:rPr>
                <w:rFonts w:ascii="Times New Roman" w:cs="Times New Roman" w:eastAsia="Times New Roman" w:hAnsi="Times New Roman"/>
                <w:sz w:val="18"/>
                <w:szCs w:val="18"/>
                <w:b w:val="1"/>
                <w:bCs w:val="1"/>
                <w:color w:val="auto"/>
              </w:rPr>
              <w:t>$</w:t>
            </w:r>
          </w:p>
        </w:tc>
        <w:tc>
          <w:tcPr>
            <w:tcW w:w="1580" w:type="dxa"/>
            <w:vAlign w:val="bottom"/>
            <w:tcBorders>
              <w:top w:val="single" w:sz="8" w:color="auto"/>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b w:val="1"/>
                <w:bCs w:val="1"/>
                <w:color w:val="auto"/>
              </w:rPr>
              <w:t>2,533,341</w:t>
            </w:r>
          </w:p>
        </w:tc>
        <w:tc>
          <w:tcPr>
            <w:tcW w:w="540" w:type="dxa"/>
            <w:vAlign w:val="bottom"/>
            <w:tcBorders>
              <w:top w:val="single" w:sz="8" w:color="auto"/>
              <w:bottom w:val="single" w:sz="8" w:color="auto"/>
            </w:tcBorders>
          </w:tcPr>
          <w:p>
            <w:pPr>
              <w:jc w:val="right"/>
              <w:ind w:right="270"/>
              <w:spacing w:after="0"/>
              <w:rPr>
                <w:sz w:val="20"/>
                <w:szCs w:val="20"/>
                <w:color w:val="auto"/>
              </w:rPr>
            </w:pPr>
            <w:r>
              <w:rPr>
                <w:rFonts w:ascii="Times New Roman" w:cs="Times New Roman" w:eastAsia="Times New Roman" w:hAnsi="Times New Roman"/>
                <w:sz w:val="18"/>
                <w:szCs w:val="18"/>
                <w:color w:val="auto"/>
              </w:rPr>
              <w:t>$</w:t>
            </w:r>
          </w:p>
        </w:tc>
        <w:tc>
          <w:tcPr>
            <w:tcW w:w="15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2,328,429</w:t>
            </w:r>
          </w:p>
        </w:tc>
      </w:tr>
      <w:tr>
        <w:trPr>
          <w:trHeight w:val="20"/>
        </w:trPr>
        <w:tc>
          <w:tcPr>
            <w:tcW w:w="26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52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7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Deferred Revenue</w:t>
      </w:r>
    </w:p>
    <w:p>
      <w:pPr>
        <w:spacing w:after="0" w:line="162"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We record deferred revenue when payments are due or received in advance of the fulfillment of our associated performance obligations. Deferred revenue, including current and non-current balances as of December 31, 2020 and March 31, 2020 were $1,023,289 and $806,123, respectively. For the three months ended December 31, 2020, the additions to our deferred revenue balance were due primarily to cash payments received or due in advance of satisfying our performance obligations, while the reductions to our deferred revenue balance were due primarily to the recognition of revenue upon fulfillment of our performance obligations, both of which were in the ordinary course of business.</w:t>
      </w:r>
    </w:p>
    <w:p>
      <w:pPr>
        <w:spacing w:after="0" w:line="102"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During the three months ended December 31, 2020 and 2019, $109,713 and $193,468, respectively, of revenue was recognized that was included in the deferred revenue balance at the beginning of the respective period. During the nine months ended December 31, 2020 and 2019, $722,658 and $758,301, respectively, of revenue was recognized that was included in the deferred revenue balance at the beginning of the respective period. As of December 31, 2020, the aggregate amount of contract revenue allocated to unsatisfied performance obligations is $1,134,398, which includes our deferred revenue balances and amounts to be invoiced and recognized in future periods. We expect to recognize approximately $1,011,585 of this balance as revenue over the next 12 months, and the remainder thereafter. This balance does not include an estimate for variable consideration arising from sales-based royalty license revenue in excess of the contractual minimum guarantee.</w:t>
      </w:r>
    </w:p>
    <w:p>
      <w:pPr>
        <w:spacing w:after="0" w:line="121"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As of December 31, 2020 and March 31, 2020, our contract asset balances were $105,460 and $81,625, respectively, which are recorded within Prepaid expenses and other in our Condensed Consolidated Balance Sheets.</w:t>
      </w:r>
    </w:p>
    <w:p>
      <w:pPr>
        <w:spacing w:after="0" w:line="200" w:lineRule="exact"/>
        <w:rPr>
          <w:sz w:val="20"/>
          <w:szCs w:val="20"/>
          <w:color w:val="auto"/>
        </w:rPr>
      </w:pPr>
    </w:p>
    <w:p>
      <w:pPr>
        <w:spacing w:after="0" w:line="26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3. MANAGEMENT AGREEMENT</w:t>
      </w:r>
    </w:p>
    <w:p>
      <w:pPr>
        <w:spacing w:after="0" w:line="162"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In November 2017, we entered into a new management agreement (the "2017 Management Agreement"), with ZelnickMedia Corporation ("ZelnickMedia") that replaces our previous agreement with ZelnickMedia and pursuant to which ZelnickMedia provides financial and management consulting services through March 31, 2024. The 2017 Management Agreement became effective January 1, 2018. As part of the 2017 Management Agreement, Strauss Zelnick, the President of ZelnickMedia, continues to serve as Executive Chairman and Chief Executive Officer of the Company, and Karl Slatoff, a partner of ZelnickMedia, continues to serve as President of the Company. The 2017 Management Agreement provides for an annual management fee of $3,100 over the term of the agreement and a maximum annual bonus opportunity of $7,440 over the term of the agreement, based on the Company achieving certain performance thresholds.</w:t>
      </w:r>
    </w:p>
    <w:p>
      <w:pPr>
        <w:spacing w:after="0" w:line="121"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In consideration for ZelnickMedia's services, we recorded consulting expense (a component of General and administrative expenses) of $2,655 and $3,166 during the three months ended December 31, 2020 and 2019, respectively, and $7,925 and $6,541 during the nine months ended December 31, 2020 and 2019, respectively. We recorded stock-based compensation expense for restricted stock units granted to ZelnickMedia, which is included in General and administrative expenses, of $6,887 and $5,956 during the three months ended December 31, 2020 and 2019, respectively, and $20,544 and $17,457 during the nine months ended December 31, 2020 and 2019, respectively.</w:t>
      </w: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413" w:right="339" w:bottom="1440" w:gutter="0" w:footer="0" w:header="0"/>
        </w:sectPr>
      </w:pPr>
    </w:p>
    <w:bookmarkStart w:id="12" w:name="page13"/>
    <w:bookmarkEnd w:id="12"/>
    <w:p>
      <w:pPr>
        <w:spacing w:after="0"/>
        <w:rPr>
          <w:rFonts w:ascii="Times New Roman" w:cs="Times New Roman" w:eastAsia="Times New Roman" w:hAnsi="Times New Roman"/>
          <w:sz w:val="18"/>
          <w:szCs w:val="18"/>
          <w:u w:val="single" w:color="auto"/>
          <w:color w:val="0000FF"/>
        </w:rPr>
      </w:pPr>
      <w:hyperlink w:anchor="page1">
        <w:r>
          <w:rPr>
            <w:rFonts w:ascii="Times New Roman" w:cs="Times New Roman" w:eastAsia="Times New Roman" w:hAnsi="Times New Roman"/>
            <w:sz w:val="18"/>
            <w:szCs w:val="18"/>
            <w:u w:val="single" w:color="auto"/>
            <w:color w:val="0000FF"/>
          </w:rPr>
          <w:t>Table of Contents</w:t>
        </w:r>
      </w:hyperlink>
    </w:p>
    <w:p>
      <w:pPr>
        <w:spacing w:after="0" w:line="200" w:lineRule="exact"/>
        <w:rPr>
          <w:sz w:val="20"/>
          <w:szCs w:val="20"/>
          <w:color w:val="auto"/>
        </w:rPr>
      </w:pPr>
    </w:p>
    <w:p>
      <w:pPr>
        <w:spacing w:after="0" w:line="268"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In connection with the 2017 Management Agreement, we have granted restricted stock units as follows:</w:t>
      </w:r>
    </w:p>
    <w:p>
      <w:pPr>
        <w:spacing w:after="0" w:line="170" w:lineRule="exact"/>
        <w:rPr>
          <w:sz w:val="20"/>
          <w:szCs w:val="20"/>
          <w:color w:val="auto"/>
        </w:rPr>
      </w:pPr>
    </w:p>
    <w:p>
      <w:pPr>
        <w:jc w:val="center"/>
        <w:ind w:left="9200"/>
        <w:spacing w:after="0"/>
        <w:rPr>
          <w:sz w:val="20"/>
          <w:szCs w:val="20"/>
          <w:color w:val="auto"/>
        </w:rPr>
      </w:pPr>
      <w:r>
        <w:rPr>
          <w:rFonts w:ascii="Times New Roman" w:cs="Times New Roman" w:eastAsia="Times New Roman" w:hAnsi="Times New Roman"/>
          <w:sz w:val="14"/>
          <w:szCs w:val="14"/>
          <w:b w:val="1"/>
          <w:bCs w:val="1"/>
          <w:color w:val="auto"/>
        </w:rPr>
        <w:t>Nine Months Ended December</w:t>
      </w:r>
    </w:p>
    <w:p>
      <w:pPr>
        <w:jc w:val="center"/>
        <w:ind w:left="9200"/>
        <w:spacing w:after="0"/>
        <w:rPr>
          <w:sz w:val="20"/>
          <w:szCs w:val="20"/>
          <w:color w:val="auto"/>
        </w:rPr>
      </w:pPr>
      <w:r>
        <w:rPr>
          <w:rFonts w:ascii="Times New Roman" w:cs="Times New Roman" w:eastAsia="Times New Roman" w:hAnsi="Times New Roman"/>
          <w:sz w:val="14"/>
          <w:szCs w:val="14"/>
          <w:b w:val="1"/>
          <w:bCs w:val="1"/>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5876925</wp:posOffset>
            </wp:positionH>
            <wp:positionV relativeFrom="paragraph">
              <wp:posOffset>13335</wp:posOffset>
            </wp:positionV>
            <wp:extent cx="1234440" cy="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1234440" cy="8255"/>
                    </a:xfrm>
                    <a:prstGeom prst="rect">
                      <a:avLst/>
                    </a:prstGeom>
                    <a:noFill/>
                  </pic:spPr>
                </pic:pic>
              </a:graphicData>
            </a:graphic>
          </wp:anchor>
        </w:drawing>
      </w:r>
    </w:p>
    <w:p>
      <w:pPr>
        <w:spacing w:after="0" w:line="31"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9260" w:type="dxa"/>
            <w:vAlign w:val="bottom"/>
            <w:tcBorders>
              <w:bottom w:val="single" w:sz="8" w:color="CCEEFF"/>
            </w:tcBorders>
          </w:tcPr>
          <w:p>
            <w:pPr>
              <w:spacing w:after="0"/>
              <w:rPr>
                <w:sz w:val="16"/>
                <w:szCs w:val="16"/>
                <w:color w:val="auto"/>
              </w:rPr>
            </w:pPr>
          </w:p>
        </w:tc>
        <w:tc>
          <w:tcPr>
            <w:tcW w:w="920" w:type="dxa"/>
            <w:vAlign w:val="bottom"/>
            <w:tcBorders>
              <w:bottom w:val="single" w:sz="8" w:color="auto"/>
            </w:tcBorders>
          </w:tcPr>
          <w:p>
            <w:pPr>
              <w:jc w:val="right"/>
              <w:ind w:right="233"/>
              <w:spacing w:after="0"/>
              <w:rPr>
                <w:sz w:val="20"/>
                <w:szCs w:val="20"/>
                <w:color w:val="auto"/>
              </w:rPr>
            </w:pPr>
            <w:r>
              <w:rPr>
                <w:rFonts w:ascii="Times New Roman" w:cs="Times New Roman" w:eastAsia="Times New Roman" w:hAnsi="Times New Roman"/>
                <w:sz w:val="14"/>
                <w:szCs w:val="14"/>
                <w:b w:val="1"/>
                <w:bCs w:val="1"/>
                <w:color w:val="auto"/>
              </w:rPr>
              <w:t>2020</w:t>
            </w:r>
          </w:p>
        </w:tc>
        <w:tc>
          <w:tcPr>
            <w:tcW w:w="100" w:type="dxa"/>
            <w:vAlign w:val="bottom"/>
            <w:tcBorders>
              <w:bottom w:val="single" w:sz="8" w:color="CCEEFF"/>
            </w:tcBorders>
          </w:tcPr>
          <w:p>
            <w:pPr>
              <w:spacing w:after="0"/>
              <w:rPr>
                <w:sz w:val="16"/>
                <w:szCs w:val="16"/>
                <w:color w:val="auto"/>
              </w:rPr>
            </w:pPr>
          </w:p>
        </w:tc>
        <w:tc>
          <w:tcPr>
            <w:tcW w:w="920" w:type="dxa"/>
            <w:vAlign w:val="bottom"/>
            <w:tcBorders>
              <w:bottom w:val="single" w:sz="8" w:color="auto"/>
            </w:tcBorders>
          </w:tcPr>
          <w:p>
            <w:pPr>
              <w:jc w:val="right"/>
              <w:ind w:right="233"/>
              <w:spacing w:after="0"/>
              <w:rPr>
                <w:sz w:val="20"/>
                <w:szCs w:val="20"/>
                <w:color w:val="auto"/>
              </w:rPr>
            </w:pPr>
            <w:r>
              <w:rPr>
                <w:rFonts w:ascii="Times New Roman" w:cs="Times New Roman" w:eastAsia="Times New Roman" w:hAnsi="Times New Roman"/>
                <w:sz w:val="14"/>
                <w:szCs w:val="14"/>
                <w:b w:val="1"/>
                <w:bCs w:val="1"/>
                <w:color w:val="auto"/>
              </w:rPr>
              <w:t>2019</w:t>
            </w:r>
          </w:p>
        </w:tc>
      </w:tr>
      <w:tr>
        <w:trPr>
          <w:trHeight w:val="228"/>
        </w:trPr>
        <w:tc>
          <w:tcPr>
            <w:tcW w:w="92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Time-based</w:t>
            </w: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79</w:t>
            </w:r>
          </w:p>
        </w:tc>
        <w:tc>
          <w:tcPr>
            <w:tcW w:w="10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92</w:t>
            </w:r>
          </w:p>
        </w:tc>
      </w:tr>
      <w:tr>
        <w:trPr>
          <w:trHeight w:val="230"/>
        </w:trPr>
        <w:tc>
          <w:tcPr>
            <w:tcW w:w="92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Market-based(1)</w:t>
            </w: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145</w:t>
            </w:r>
          </w:p>
        </w:tc>
        <w:tc>
          <w:tcPr>
            <w:tcW w:w="10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168</w:t>
            </w:r>
          </w:p>
        </w:tc>
      </w:tr>
      <w:tr>
        <w:trPr>
          <w:trHeight w:val="229"/>
        </w:trPr>
        <w:tc>
          <w:tcPr>
            <w:tcW w:w="92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Performance-based(1)</w:t>
            </w:r>
          </w:p>
        </w:tc>
        <w:tc>
          <w:tcPr>
            <w:tcW w:w="9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r>
      <w:tr>
        <w:trPr>
          <w:trHeight w:val="229"/>
        </w:trPr>
        <w:tc>
          <w:tcPr>
            <w:tcW w:w="926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IP</w:t>
            </w: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24</w:t>
            </w:r>
          </w:p>
        </w:tc>
        <w:tc>
          <w:tcPr>
            <w:tcW w:w="10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w:t>
            </w:r>
          </w:p>
        </w:tc>
      </w:tr>
      <w:tr>
        <w:trPr>
          <w:trHeight w:val="230"/>
        </w:trPr>
        <w:tc>
          <w:tcPr>
            <w:tcW w:w="926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Recurrent Consumer Spending ("RCS")</w:t>
            </w:r>
          </w:p>
        </w:tc>
        <w:tc>
          <w:tcPr>
            <w:tcW w:w="9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24</w:t>
            </w:r>
          </w:p>
        </w:tc>
        <w:tc>
          <w:tcPr>
            <w:tcW w:w="100" w:type="dxa"/>
            <w:vAlign w:val="bottom"/>
            <w:shd w:val="clear" w:color="auto" w:fill="CCEEFF"/>
          </w:tcPr>
          <w:p>
            <w:pPr>
              <w:spacing w:after="0"/>
              <w:rPr>
                <w:sz w:val="19"/>
                <w:szCs w:val="19"/>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w:t>
            </w:r>
          </w:p>
        </w:tc>
      </w:tr>
      <w:tr>
        <w:trPr>
          <w:trHeight w:val="223"/>
        </w:trPr>
        <w:tc>
          <w:tcPr>
            <w:tcW w:w="926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Total—Performance-based</w:t>
            </w: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48</w:t>
            </w:r>
          </w:p>
        </w:tc>
        <w:tc>
          <w:tcPr>
            <w:tcW w:w="100" w:type="dxa"/>
            <w:vAlign w:val="bottom"/>
            <w:tcBorders>
              <w:bottom w:val="single" w:sz="8" w:color="CCEEFF"/>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56</w:t>
            </w:r>
          </w:p>
        </w:tc>
      </w:tr>
      <w:tr>
        <w:trPr>
          <w:trHeight w:val="248"/>
        </w:trPr>
        <w:tc>
          <w:tcPr>
            <w:tcW w:w="926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Total Restricted Stock Units</w:t>
            </w:r>
          </w:p>
        </w:tc>
        <w:tc>
          <w:tcPr>
            <w:tcW w:w="9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272</w:t>
            </w:r>
          </w:p>
        </w:tc>
        <w:tc>
          <w:tcPr>
            <w:tcW w:w="1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316</w:t>
            </w:r>
          </w:p>
        </w:tc>
      </w:tr>
      <w:tr>
        <w:trPr>
          <w:trHeight w:val="20"/>
        </w:trPr>
        <w:tc>
          <w:tcPr>
            <w:tcW w:w="9260" w:type="dxa"/>
            <w:vAlign w:val="bottom"/>
            <w:tcBorders>
              <w:top w:val="single" w:sz="8" w:color="CCEEFF"/>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r>
    </w:tbl>
    <w:p>
      <w:pPr>
        <w:spacing w:after="0" w:line="85"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_______________________________________________________________________________</w:t>
      </w:r>
    </w:p>
    <w:p>
      <w:pPr>
        <w:spacing w:after="0" w:line="248"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color w:val="auto"/>
        </w:rPr>
        <w:t>(1) Represents the maximum number of shares eligible to vest.</w:t>
      </w:r>
    </w:p>
    <w:p>
      <w:pPr>
        <w:spacing w:after="0" w:line="158"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Time-based restricted stock units granted in fiscal year 2021 will vest on April 13, 2022, and those granted in fiscal year 2020 will vest on April 13, 2021, in each case provided that the 2017 Management Agreement has not been terminated prior to such vesting date.</w:t>
      </w:r>
    </w:p>
    <w:p>
      <w:pPr>
        <w:spacing w:after="0" w:line="94"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Market-based restricted stock units granted in fiscal year 2021 are eligible to vest on April 13, 2022, and those granted in fiscal year 2020 are eligible to vest on April 13, 2021, in each case provided that the 2017 Management Agreement has not been terminated prior to such vesting date. Market-based restricted stock units are eligible to vest based on the Company's Total Shareholder Return (as defined in the relevant grant agreement) relative to the Total Shareholder Return (as defined in the relevant grant agreement) of the companies that constitute the NASDAQ Composite Index as of the grant date measured over a two-year period. To earn the target number of market-based restricted stock units (which represents 50% of the number of the market-based restricted stock units set forth in the table above), the Company must perform at the 50th percentile, with the maximum number of market-based restricted stock units earned if the Company performs at the 75th percentile.</w:t>
      </w:r>
    </w:p>
    <w:p>
      <w:pPr>
        <w:spacing w:after="0" w:line="108"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Performance-based restricted stock units granted in fiscal year 2021 are eligible to vest on April 13, 2022, and those granted in fiscal year 2020 are eligible to vest on April 13, 2021, in each case provided that the 2017 Management Agreement has not been terminated prior to such vesting date. The performance-based restricted stock units, of which 50% are tied to "IP" and 50% to "RCS" (as defined in the relevant grant agreement), are eligible to vest based on the Company's achievement of certain performance metrics (as defined in the relevant grant agreement) of either individual product releases of "IP" or "RCS" measured over a two-year period. The target number of performance-based restricted stock units that may be earned pursuant to these grants is equal to 50% of the grant amounts set forth in the above table (the numbers in the table represent the maximum number of performance-based restricted stock units that may be earned). At the end of each reporting period, we assess the probability of each performance metric and upon determination that certain thresholds are probable, we record expense for the unvested portion of the shares of performance-based restricted stock units.</w:t>
      </w:r>
    </w:p>
    <w:p>
      <w:pPr>
        <w:spacing w:after="0" w:line="124"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The unvested portion of time-based, market-based and performance-based restricted stock units held by ZelnickMedia were 588 and 613 as of December 31, 2020 and March 31, 2020, respectively. During the three and nine months ended December 31, 2020, 297 restricted stock units previously granted to ZelnickMedia vested, and no restricted stock units were forfeited by ZelnickMedia.</w:t>
      </w:r>
    </w:p>
    <w:p>
      <w:pPr>
        <w:spacing w:after="0" w:line="200" w:lineRule="exact"/>
        <w:rPr>
          <w:sz w:val="20"/>
          <w:szCs w:val="20"/>
          <w:color w:val="auto"/>
        </w:rPr>
      </w:pPr>
    </w:p>
    <w:p>
      <w:pPr>
        <w:spacing w:after="0" w:line="28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4. FAIR VALUE MEASUREMENTS</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Recurring fair value measurements</w:t>
      </w:r>
    </w:p>
    <w:p>
      <w:pPr>
        <w:spacing w:after="0" w:line="146" w:lineRule="exact"/>
        <w:rPr>
          <w:sz w:val="20"/>
          <w:szCs w:val="20"/>
          <w:color w:val="auto"/>
        </w:rPr>
      </w:pPr>
    </w:p>
    <w:p>
      <w:pPr>
        <w:jc w:val="both"/>
        <w:ind w:right="20" w:firstLine="648"/>
        <w:spacing w:after="0" w:line="282" w:lineRule="auto"/>
        <w:rPr>
          <w:sz w:val="20"/>
          <w:szCs w:val="20"/>
          <w:color w:val="auto"/>
        </w:rPr>
      </w:pPr>
      <w:r>
        <w:rPr>
          <w:rFonts w:ascii="Times New Roman" w:cs="Times New Roman" w:eastAsia="Times New Roman" w:hAnsi="Times New Roman"/>
          <w:sz w:val="18"/>
          <w:szCs w:val="18"/>
          <w:color w:val="auto"/>
        </w:rPr>
        <w:t>The carrying amounts of our financial instruments, including cash and cash equivalents, restricted cash and cash equivalents, accounts receivable, prepaid expenses and other, accounts payable, and accrued expenses and other current liabilities, approximate fair value because of their short maturities.</w:t>
      </w:r>
    </w:p>
    <w:p>
      <w:pPr>
        <w:spacing w:after="0" w:line="81"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We follow a three-level fair value hierarchy that prioritizes the inputs used to measure fair value. This hierarchy requires entities to maximize the use of "observable inputs" and minimize the use of "unobservable inputs." The three levels of inputs used to measure fair value are as follows:</w:t>
      </w:r>
    </w:p>
    <w:p>
      <w:pPr>
        <w:spacing w:after="0" w:line="94" w:lineRule="exact"/>
        <w:rPr>
          <w:sz w:val="20"/>
          <w:szCs w:val="20"/>
          <w:color w:val="auto"/>
        </w:rPr>
      </w:pPr>
    </w:p>
    <w:p>
      <w:pPr>
        <w:ind w:left="660" w:hanging="328"/>
        <w:spacing w:after="0"/>
        <w:tabs>
          <w:tab w:leader="none" w:pos="66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Level 1—Quoted prices in active markets for identical assets or liabilities.</w:t>
      </w:r>
    </w:p>
    <w:p>
      <w:pPr>
        <w:spacing w:after="0" w:line="200" w:lineRule="exact"/>
        <w:rPr>
          <w:rFonts w:ascii="Times New Roman" w:cs="Times New Roman" w:eastAsia="Times New Roman" w:hAnsi="Times New Roman"/>
          <w:sz w:val="18"/>
          <w:szCs w:val="18"/>
          <w:color w:val="auto"/>
        </w:rPr>
      </w:pPr>
    </w:p>
    <w:p>
      <w:pPr>
        <w:spacing w:after="0" w:line="200" w:lineRule="exact"/>
        <w:rPr>
          <w:rFonts w:ascii="Times New Roman" w:cs="Times New Roman" w:eastAsia="Times New Roman" w:hAnsi="Times New Roman"/>
          <w:sz w:val="18"/>
          <w:szCs w:val="18"/>
          <w:color w:val="auto"/>
        </w:rPr>
      </w:pPr>
    </w:p>
    <w:p>
      <w:pPr>
        <w:spacing w:after="0" w:line="200" w:lineRule="exact"/>
        <w:rPr>
          <w:rFonts w:ascii="Times New Roman" w:cs="Times New Roman" w:eastAsia="Times New Roman" w:hAnsi="Times New Roman"/>
          <w:sz w:val="18"/>
          <w:szCs w:val="18"/>
          <w:color w:val="auto"/>
        </w:rPr>
      </w:pPr>
    </w:p>
    <w:p>
      <w:pPr>
        <w:spacing w:after="0" w:line="205" w:lineRule="exact"/>
        <w:rPr>
          <w:rFonts w:ascii="Times New Roman" w:cs="Times New Roman" w:eastAsia="Times New Roman" w:hAnsi="Times New Roman"/>
          <w:sz w:val="18"/>
          <w:szCs w:val="18"/>
          <w:color w:val="auto"/>
        </w:rPr>
      </w:pPr>
    </w:p>
    <w:p>
      <w:pPr>
        <w:ind w:left="55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4" w:right="339" w:bottom="1440" w:gutter="0" w:footer="0" w:header="0"/>
        </w:sectPr>
      </w:pPr>
    </w:p>
    <w:bookmarkStart w:id="13" w:name="page14"/>
    <w:bookmarkEnd w:id="13"/>
    <w:p>
      <w:pPr>
        <w:spacing w:after="0"/>
        <w:rPr>
          <w:rFonts w:ascii="Times New Roman" w:cs="Times New Roman" w:eastAsia="Times New Roman" w:hAnsi="Times New Roman"/>
          <w:sz w:val="18"/>
          <w:szCs w:val="18"/>
          <w:u w:val="single" w:color="auto"/>
          <w:color w:val="0000FF"/>
        </w:rPr>
      </w:pPr>
      <w:hyperlink w:anchor="page1">
        <w:r>
          <w:rPr>
            <w:rFonts w:ascii="Times New Roman" w:cs="Times New Roman" w:eastAsia="Times New Roman" w:hAnsi="Times New Roman"/>
            <w:sz w:val="18"/>
            <w:szCs w:val="18"/>
            <w:u w:val="single" w:color="auto"/>
            <w:color w:val="0000FF"/>
          </w:rPr>
          <w:t>Table of Contents</w:t>
        </w:r>
      </w:hyperlink>
    </w:p>
    <w:p>
      <w:pPr>
        <w:spacing w:after="0" w:line="320" w:lineRule="exact"/>
        <w:rPr>
          <w:sz w:val="20"/>
          <w:szCs w:val="20"/>
          <w:color w:val="auto"/>
        </w:rPr>
      </w:pPr>
    </w:p>
    <w:p>
      <w:pPr>
        <w:ind w:left="660" w:right="100" w:hanging="328"/>
        <w:spacing w:after="0" w:line="282" w:lineRule="auto"/>
        <w:tabs>
          <w:tab w:leader="none" w:pos="655"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Level 2—Observable inputs other than quoted prices included in Level 1, such as quoted prices for markets that are not active or other inputs that are observable or can be corroborated by observable market data.</w:t>
      </w:r>
    </w:p>
    <w:p>
      <w:pPr>
        <w:spacing w:after="0" w:line="188" w:lineRule="exact"/>
        <w:rPr>
          <w:rFonts w:ascii="Times New Roman" w:cs="Times New Roman" w:eastAsia="Times New Roman" w:hAnsi="Times New Roman"/>
          <w:sz w:val="18"/>
          <w:szCs w:val="18"/>
          <w:color w:val="auto"/>
        </w:rPr>
      </w:pPr>
    </w:p>
    <w:p>
      <w:pPr>
        <w:ind w:left="660" w:right="140" w:hanging="328"/>
        <w:spacing w:after="0" w:line="312" w:lineRule="auto"/>
        <w:tabs>
          <w:tab w:leader="none" w:pos="655" w:val="left"/>
        </w:tabs>
        <w:numPr>
          <w:ilvl w:val="0"/>
          <w:numId w:val="4"/>
        </w:numPr>
        <w:rPr>
          <w:rFonts w:ascii="Times New Roman" w:cs="Times New Roman" w:eastAsia="Times New Roman" w:hAnsi="Times New Roman"/>
          <w:sz w:val="17"/>
          <w:szCs w:val="17"/>
          <w:b w:val="1"/>
          <w:bCs w:val="1"/>
          <w:color w:val="auto"/>
        </w:rPr>
      </w:pPr>
      <w:r>
        <w:rPr>
          <w:rFonts w:ascii="Times New Roman" w:cs="Times New Roman" w:eastAsia="Times New Roman" w:hAnsi="Times New Roman"/>
          <w:sz w:val="17"/>
          <w:szCs w:val="17"/>
          <w:color w:val="auto"/>
        </w:rPr>
        <w:t>Level 3—Unobservable inputs that are supported by little or no market activity and that are significant to the fair value of the assets or liabilities. This includes certain pricing models, discounted cash flow methodologies, and similar techniques that use significant unobservable inputs.</w:t>
      </w:r>
    </w:p>
    <w:p>
      <w:pPr>
        <w:spacing w:after="0" w:line="72" w:lineRule="exact"/>
        <w:rPr>
          <w:sz w:val="20"/>
          <w:szCs w:val="20"/>
          <w:color w:val="auto"/>
        </w:rPr>
      </w:pPr>
    </w:p>
    <w:p>
      <w:pPr>
        <w:ind w:firstLine="648"/>
        <w:spacing w:after="0" w:line="282" w:lineRule="auto"/>
        <w:rPr>
          <w:sz w:val="20"/>
          <w:szCs w:val="20"/>
          <w:color w:val="auto"/>
        </w:rPr>
      </w:pPr>
      <w:r>
        <w:rPr>
          <w:rFonts w:ascii="Times New Roman" w:cs="Times New Roman" w:eastAsia="Times New Roman" w:hAnsi="Times New Roman"/>
          <w:sz w:val="18"/>
          <w:szCs w:val="18"/>
          <w:color w:val="auto"/>
        </w:rPr>
        <w:t>The table below segregates all assets and liabilities that are measured at fair value on a recurring basis (which is measured at least annually) into the most appropriate level within the fair value hierarchy based on the inputs used to determine the fair value at the measurement date.</w:t>
      </w:r>
    </w:p>
    <w:p>
      <w:pPr>
        <w:spacing w:after="0" w:line="10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2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120" w:type="dxa"/>
            <w:vAlign w:val="bottom"/>
            <w:gridSpan w:val="2"/>
          </w:tcPr>
          <w:p>
            <w:pPr>
              <w:jc w:val="center"/>
              <w:ind w:right="260"/>
              <w:spacing w:after="0"/>
              <w:rPr>
                <w:sz w:val="20"/>
                <w:szCs w:val="20"/>
                <w:color w:val="auto"/>
              </w:rPr>
            </w:pPr>
            <w:r>
              <w:rPr>
                <w:rFonts w:ascii="Times New Roman" w:cs="Times New Roman" w:eastAsia="Times New Roman" w:hAnsi="Times New Roman"/>
                <w:sz w:val="14"/>
                <w:szCs w:val="14"/>
                <w:b w:val="1"/>
                <w:bCs w:val="1"/>
                <w:color w:val="auto"/>
              </w:rPr>
              <w:t>Quoted prices</w:t>
            </w:r>
          </w:p>
        </w:tc>
        <w:tc>
          <w:tcPr>
            <w:tcW w:w="120" w:type="dxa"/>
            <w:vAlign w:val="bottom"/>
          </w:tcPr>
          <w:p>
            <w:pPr>
              <w:spacing w:after="0"/>
              <w:rPr>
                <w:sz w:val="13"/>
                <w:szCs w:val="13"/>
                <w:color w:val="auto"/>
              </w:rPr>
            </w:pPr>
          </w:p>
        </w:tc>
        <w:tc>
          <w:tcPr>
            <w:tcW w:w="960" w:type="dxa"/>
            <w:vAlign w:val="bottom"/>
            <w:gridSpan w:val="2"/>
            <w:vMerge w:val="restart"/>
          </w:tcPr>
          <w:p>
            <w:pPr>
              <w:jc w:val="center"/>
              <w:ind w:right="220"/>
              <w:spacing w:after="0"/>
              <w:rPr>
                <w:sz w:val="20"/>
                <w:szCs w:val="20"/>
                <w:color w:val="auto"/>
              </w:rPr>
            </w:pPr>
            <w:r>
              <w:rPr>
                <w:rFonts w:ascii="Times New Roman" w:cs="Times New Roman" w:eastAsia="Times New Roman" w:hAnsi="Times New Roman"/>
                <w:sz w:val="14"/>
                <w:szCs w:val="14"/>
                <w:b w:val="1"/>
                <w:bCs w:val="1"/>
                <w:color w:val="auto"/>
              </w:rPr>
              <w:t>Significant</w:t>
            </w:r>
          </w:p>
        </w:tc>
        <w:tc>
          <w:tcPr>
            <w:tcW w:w="16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30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5"/>
        </w:trPr>
        <w:tc>
          <w:tcPr>
            <w:tcW w:w="32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20" w:type="dxa"/>
            <w:vAlign w:val="bottom"/>
            <w:gridSpan w:val="2"/>
          </w:tcPr>
          <w:p>
            <w:pPr>
              <w:jc w:val="center"/>
              <w:ind w:right="240"/>
              <w:spacing w:after="0" w:line="135" w:lineRule="exact"/>
              <w:rPr>
                <w:sz w:val="20"/>
                <w:szCs w:val="20"/>
                <w:color w:val="auto"/>
              </w:rPr>
            </w:pPr>
            <w:r>
              <w:rPr>
                <w:rFonts w:ascii="Times New Roman" w:cs="Times New Roman" w:eastAsia="Times New Roman" w:hAnsi="Times New Roman"/>
                <w:sz w:val="14"/>
                <w:szCs w:val="14"/>
                <w:b w:val="1"/>
                <w:bCs w:val="1"/>
                <w:color w:val="auto"/>
              </w:rPr>
              <w:t>in active</w:t>
            </w:r>
          </w:p>
        </w:tc>
        <w:tc>
          <w:tcPr>
            <w:tcW w:w="120" w:type="dxa"/>
            <w:vAlign w:val="bottom"/>
          </w:tcPr>
          <w:p>
            <w:pPr>
              <w:spacing w:after="0"/>
              <w:rPr>
                <w:sz w:val="11"/>
                <w:szCs w:val="11"/>
                <w:color w:val="auto"/>
              </w:rPr>
            </w:pPr>
          </w:p>
        </w:tc>
        <w:tc>
          <w:tcPr>
            <w:tcW w:w="960" w:type="dxa"/>
            <w:vAlign w:val="bottom"/>
            <w:gridSpan w:val="2"/>
            <w:vMerge w:val="continue"/>
          </w:tcPr>
          <w:p>
            <w:pPr>
              <w:spacing w:after="0"/>
              <w:rPr>
                <w:sz w:val="11"/>
                <w:szCs w:val="11"/>
                <w:color w:val="auto"/>
              </w:rPr>
            </w:pPr>
          </w:p>
        </w:tc>
        <w:tc>
          <w:tcPr>
            <w:tcW w:w="160" w:type="dxa"/>
            <w:vAlign w:val="bottom"/>
          </w:tcPr>
          <w:p>
            <w:pPr>
              <w:spacing w:after="0"/>
              <w:rPr>
                <w:sz w:val="11"/>
                <w:szCs w:val="11"/>
                <w:color w:val="auto"/>
              </w:rPr>
            </w:pPr>
          </w:p>
        </w:tc>
        <w:tc>
          <w:tcPr>
            <w:tcW w:w="1040" w:type="dxa"/>
            <w:vAlign w:val="bottom"/>
            <w:vMerge w:val="restart"/>
          </w:tcPr>
          <w:p>
            <w:pPr>
              <w:jc w:val="center"/>
              <w:ind w:right="74"/>
              <w:spacing w:after="0"/>
              <w:rPr>
                <w:sz w:val="20"/>
                <w:szCs w:val="20"/>
                <w:color w:val="auto"/>
              </w:rPr>
            </w:pPr>
            <w:r>
              <w:rPr>
                <w:rFonts w:ascii="Times New Roman" w:cs="Times New Roman" w:eastAsia="Times New Roman" w:hAnsi="Times New Roman"/>
                <w:sz w:val="14"/>
                <w:szCs w:val="14"/>
                <w:b w:val="1"/>
                <w:bCs w:val="1"/>
                <w:color w:val="auto"/>
              </w:rPr>
              <w:t>Significant</w:t>
            </w:r>
          </w:p>
        </w:tc>
        <w:tc>
          <w:tcPr>
            <w:tcW w:w="100" w:type="dxa"/>
            <w:vAlign w:val="bottom"/>
          </w:tcPr>
          <w:p>
            <w:pPr>
              <w:spacing w:after="0"/>
              <w:rPr>
                <w:sz w:val="11"/>
                <w:szCs w:val="11"/>
                <w:color w:val="auto"/>
              </w:rPr>
            </w:pPr>
          </w:p>
        </w:tc>
        <w:tc>
          <w:tcPr>
            <w:tcW w:w="30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32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20" w:type="dxa"/>
            <w:vAlign w:val="bottom"/>
            <w:gridSpan w:val="2"/>
          </w:tcPr>
          <w:p>
            <w:pPr>
              <w:jc w:val="center"/>
              <w:ind w:right="240"/>
              <w:spacing w:after="0" w:line="135" w:lineRule="exact"/>
              <w:rPr>
                <w:sz w:val="20"/>
                <w:szCs w:val="20"/>
                <w:color w:val="auto"/>
              </w:rPr>
            </w:pPr>
            <w:r>
              <w:rPr>
                <w:rFonts w:ascii="Times New Roman" w:cs="Times New Roman" w:eastAsia="Times New Roman" w:hAnsi="Times New Roman"/>
                <w:sz w:val="14"/>
                <w:szCs w:val="14"/>
                <w:b w:val="1"/>
                <w:bCs w:val="1"/>
                <w:color w:val="auto"/>
              </w:rPr>
              <w:t>markets for</w:t>
            </w:r>
          </w:p>
        </w:tc>
        <w:tc>
          <w:tcPr>
            <w:tcW w:w="120" w:type="dxa"/>
            <w:vAlign w:val="bottom"/>
          </w:tcPr>
          <w:p>
            <w:pPr>
              <w:spacing w:after="0"/>
              <w:rPr>
                <w:sz w:val="11"/>
                <w:szCs w:val="11"/>
                <w:color w:val="auto"/>
              </w:rPr>
            </w:pPr>
          </w:p>
        </w:tc>
        <w:tc>
          <w:tcPr>
            <w:tcW w:w="960" w:type="dxa"/>
            <w:vAlign w:val="bottom"/>
            <w:gridSpan w:val="2"/>
          </w:tcPr>
          <w:p>
            <w:pPr>
              <w:jc w:val="center"/>
              <w:ind w:right="240"/>
              <w:spacing w:after="0" w:line="135" w:lineRule="exact"/>
              <w:rPr>
                <w:sz w:val="20"/>
                <w:szCs w:val="20"/>
                <w:color w:val="auto"/>
              </w:rPr>
            </w:pPr>
            <w:r>
              <w:rPr>
                <w:rFonts w:ascii="Times New Roman" w:cs="Times New Roman" w:eastAsia="Times New Roman" w:hAnsi="Times New Roman"/>
                <w:sz w:val="14"/>
                <w:szCs w:val="14"/>
                <w:b w:val="1"/>
                <w:bCs w:val="1"/>
                <w:color w:val="auto"/>
              </w:rPr>
              <w:t>other</w:t>
            </w:r>
          </w:p>
        </w:tc>
        <w:tc>
          <w:tcPr>
            <w:tcW w:w="160" w:type="dxa"/>
            <w:vAlign w:val="bottom"/>
          </w:tcPr>
          <w:p>
            <w:pPr>
              <w:spacing w:after="0"/>
              <w:rPr>
                <w:sz w:val="11"/>
                <w:szCs w:val="11"/>
                <w:color w:val="auto"/>
              </w:rPr>
            </w:pPr>
          </w:p>
        </w:tc>
        <w:tc>
          <w:tcPr>
            <w:tcW w:w="1040" w:type="dxa"/>
            <w:vAlign w:val="bottom"/>
            <w:vMerge w:val="continue"/>
          </w:tcPr>
          <w:p>
            <w:pPr>
              <w:spacing w:after="0"/>
              <w:rPr>
                <w:sz w:val="11"/>
                <w:szCs w:val="11"/>
                <w:color w:val="auto"/>
              </w:rPr>
            </w:pPr>
          </w:p>
        </w:tc>
        <w:tc>
          <w:tcPr>
            <w:tcW w:w="100" w:type="dxa"/>
            <w:vAlign w:val="bottom"/>
          </w:tcPr>
          <w:p>
            <w:pPr>
              <w:spacing w:after="0"/>
              <w:rPr>
                <w:sz w:val="11"/>
                <w:szCs w:val="11"/>
                <w:color w:val="auto"/>
              </w:rPr>
            </w:pPr>
          </w:p>
        </w:tc>
        <w:tc>
          <w:tcPr>
            <w:tcW w:w="30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32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20" w:type="dxa"/>
            <w:vAlign w:val="bottom"/>
            <w:gridSpan w:val="2"/>
          </w:tcPr>
          <w:p>
            <w:pPr>
              <w:jc w:val="center"/>
              <w:ind w:right="240"/>
              <w:spacing w:after="0" w:line="135" w:lineRule="exact"/>
              <w:rPr>
                <w:sz w:val="20"/>
                <w:szCs w:val="20"/>
                <w:color w:val="auto"/>
              </w:rPr>
            </w:pPr>
            <w:r>
              <w:rPr>
                <w:rFonts w:ascii="Times New Roman" w:cs="Times New Roman" w:eastAsia="Times New Roman" w:hAnsi="Times New Roman"/>
                <w:sz w:val="14"/>
                <w:szCs w:val="14"/>
                <w:b w:val="1"/>
                <w:bCs w:val="1"/>
                <w:color w:val="auto"/>
              </w:rPr>
              <w:t>identical</w:t>
            </w:r>
          </w:p>
        </w:tc>
        <w:tc>
          <w:tcPr>
            <w:tcW w:w="120" w:type="dxa"/>
            <w:vAlign w:val="bottom"/>
          </w:tcPr>
          <w:p>
            <w:pPr>
              <w:spacing w:after="0"/>
              <w:rPr>
                <w:sz w:val="11"/>
                <w:szCs w:val="11"/>
                <w:color w:val="auto"/>
              </w:rPr>
            </w:pPr>
          </w:p>
        </w:tc>
        <w:tc>
          <w:tcPr>
            <w:tcW w:w="960" w:type="dxa"/>
            <w:vAlign w:val="bottom"/>
            <w:gridSpan w:val="2"/>
          </w:tcPr>
          <w:p>
            <w:pPr>
              <w:jc w:val="center"/>
              <w:ind w:right="220"/>
              <w:spacing w:after="0" w:line="135" w:lineRule="exact"/>
              <w:rPr>
                <w:sz w:val="20"/>
                <w:szCs w:val="20"/>
                <w:color w:val="auto"/>
              </w:rPr>
            </w:pPr>
            <w:r>
              <w:rPr>
                <w:rFonts w:ascii="Times New Roman" w:cs="Times New Roman" w:eastAsia="Times New Roman" w:hAnsi="Times New Roman"/>
                <w:sz w:val="14"/>
                <w:szCs w:val="14"/>
                <w:b w:val="1"/>
                <w:bCs w:val="1"/>
                <w:color w:val="auto"/>
              </w:rPr>
              <w:t>observable</w:t>
            </w:r>
          </w:p>
        </w:tc>
        <w:tc>
          <w:tcPr>
            <w:tcW w:w="160" w:type="dxa"/>
            <w:vAlign w:val="bottom"/>
          </w:tcPr>
          <w:p>
            <w:pPr>
              <w:spacing w:after="0"/>
              <w:rPr>
                <w:sz w:val="11"/>
                <w:szCs w:val="11"/>
                <w:color w:val="auto"/>
              </w:rPr>
            </w:pPr>
          </w:p>
        </w:tc>
        <w:tc>
          <w:tcPr>
            <w:tcW w:w="1040" w:type="dxa"/>
            <w:vAlign w:val="bottom"/>
          </w:tcPr>
          <w:p>
            <w:pPr>
              <w:jc w:val="center"/>
              <w:ind w:right="74"/>
              <w:spacing w:after="0" w:line="135" w:lineRule="exact"/>
              <w:rPr>
                <w:sz w:val="20"/>
                <w:szCs w:val="20"/>
                <w:color w:val="auto"/>
              </w:rPr>
            </w:pPr>
            <w:r>
              <w:rPr>
                <w:rFonts w:ascii="Times New Roman" w:cs="Times New Roman" w:eastAsia="Times New Roman" w:hAnsi="Times New Roman"/>
                <w:sz w:val="14"/>
                <w:szCs w:val="14"/>
                <w:b w:val="1"/>
                <w:bCs w:val="1"/>
                <w:color w:val="auto"/>
              </w:rPr>
              <w:t>unobservable</w:t>
            </w:r>
          </w:p>
        </w:tc>
        <w:tc>
          <w:tcPr>
            <w:tcW w:w="100" w:type="dxa"/>
            <w:vAlign w:val="bottom"/>
          </w:tcPr>
          <w:p>
            <w:pPr>
              <w:spacing w:after="0"/>
              <w:rPr>
                <w:sz w:val="11"/>
                <w:szCs w:val="11"/>
                <w:color w:val="auto"/>
              </w:rPr>
            </w:pPr>
          </w:p>
        </w:tc>
        <w:tc>
          <w:tcPr>
            <w:tcW w:w="30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3220" w:type="dxa"/>
            <w:vAlign w:val="bottom"/>
          </w:tcPr>
          <w:p>
            <w:pPr>
              <w:spacing w:after="0"/>
              <w:rPr>
                <w:sz w:val="11"/>
                <w:szCs w:val="11"/>
                <w:color w:val="auto"/>
              </w:rPr>
            </w:pPr>
          </w:p>
        </w:tc>
        <w:tc>
          <w:tcPr>
            <w:tcW w:w="1320" w:type="dxa"/>
            <w:vAlign w:val="bottom"/>
            <w:gridSpan w:val="3"/>
            <w:vMerge w:val="restart"/>
          </w:tcPr>
          <w:p>
            <w:pPr>
              <w:ind w:left="20"/>
              <w:spacing w:after="0"/>
              <w:rPr>
                <w:sz w:val="20"/>
                <w:szCs w:val="20"/>
                <w:color w:val="auto"/>
              </w:rPr>
            </w:pPr>
            <w:r>
              <w:rPr>
                <w:rFonts w:ascii="Times New Roman" w:cs="Times New Roman" w:eastAsia="Times New Roman" w:hAnsi="Times New Roman"/>
                <w:sz w:val="14"/>
                <w:szCs w:val="14"/>
                <w:b w:val="1"/>
                <w:bCs w:val="1"/>
                <w:color w:val="auto"/>
              </w:rPr>
              <w:t>December 31, 2020</w:t>
            </w:r>
          </w:p>
        </w:tc>
        <w:tc>
          <w:tcPr>
            <w:tcW w:w="120" w:type="dxa"/>
            <w:vAlign w:val="bottom"/>
          </w:tcPr>
          <w:p>
            <w:pPr>
              <w:spacing w:after="0"/>
              <w:rPr>
                <w:sz w:val="11"/>
                <w:szCs w:val="11"/>
                <w:color w:val="auto"/>
              </w:rPr>
            </w:pPr>
          </w:p>
        </w:tc>
        <w:tc>
          <w:tcPr>
            <w:tcW w:w="1120" w:type="dxa"/>
            <w:vAlign w:val="bottom"/>
            <w:gridSpan w:val="2"/>
          </w:tcPr>
          <w:p>
            <w:pPr>
              <w:jc w:val="center"/>
              <w:ind w:right="240"/>
              <w:spacing w:after="0" w:line="135" w:lineRule="exact"/>
              <w:rPr>
                <w:sz w:val="20"/>
                <w:szCs w:val="20"/>
                <w:color w:val="auto"/>
              </w:rPr>
            </w:pPr>
            <w:r>
              <w:rPr>
                <w:rFonts w:ascii="Times New Roman" w:cs="Times New Roman" w:eastAsia="Times New Roman" w:hAnsi="Times New Roman"/>
                <w:sz w:val="14"/>
                <w:szCs w:val="14"/>
                <w:b w:val="1"/>
                <w:bCs w:val="1"/>
                <w:color w:val="auto"/>
              </w:rPr>
              <w:t>assets</w:t>
            </w:r>
          </w:p>
        </w:tc>
        <w:tc>
          <w:tcPr>
            <w:tcW w:w="120" w:type="dxa"/>
            <w:vAlign w:val="bottom"/>
          </w:tcPr>
          <w:p>
            <w:pPr>
              <w:spacing w:after="0"/>
              <w:rPr>
                <w:sz w:val="11"/>
                <w:szCs w:val="11"/>
                <w:color w:val="auto"/>
              </w:rPr>
            </w:pPr>
          </w:p>
        </w:tc>
        <w:tc>
          <w:tcPr>
            <w:tcW w:w="960" w:type="dxa"/>
            <w:vAlign w:val="bottom"/>
            <w:gridSpan w:val="2"/>
          </w:tcPr>
          <w:p>
            <w:pPr>
              <w:jc w:val="center"/>
              <w:ind w:right="220"/>
              <w:spacing w:after="0" w:line="135" w:lineRule="exact"/>
              <w:rPr>
                <w:sz w:val="20"/>
                <w:szCs w:val="20"/>
                <w:color w:val="auto"/>
              </w:rPr>
            </w:pPr>
            <w:r>
              <w:rPr>
                <w:rFonts w:ascii="Times New Roman" w:cs="Times New Roman" w:eastAsia="Times New Roman" w:hAnsi="Times New Roman"/>
                <w:sz w:val="14"/>
                <w:szCs w:val="14"/>
                <w:b w:val="1"/>
                <w:bCs w:val="1"/>
                <w:color w:val="auto"/>
              </w:rPr>
              <w:t>inputs</w:t>
            </w:r>
          </w:p>
        </w:tc>
        <w:tc>
          <w:tcPr>
            <w:tcW w:w="160" w:type="dxa"/>
            <w:vAlign w:val="bottom"/>
          </w:tcPr>
          <w:p>
            <w:pPr>
              <w:spacing w:after="0"/>
              <w:rPr>
                <w:sz w:val="11"/>
                <w:szCs w:val="11"/>
                <w:color w:val="auto"/>
              </w:rPr>
            </w:pPr>
          </w:p>
        </w:tc>
        <w:tc>
          <w:tcPr>
            <w:tcW w:w="1040" w:type="dxa"/>
            <w:vAlign w:val="bottom"/>
          </w:tcPr>
          <w:p>
            <w:pPr>
              <w:jc w:val="center"/>
              <w:ind w:right="74"/>
              <w:spacing w:after="0" w:line="135" w:lineRule="exact"/>
              <w:rPr>
                <w:sz w:val="20"/>
                <w:szCs w:val="20"/>
                <w:color w:val="auto"/>
              </w:rPr>
            </w:pPr>
            <w:r>
              <w:rPr>
                <w:rFonts w:ascii="Times New Roman" w:cs="Times New Roman" w:eastAsia="Times New Roman" w:hAnsi="Times New Roman"/>
                <w:sz w:val="14"/>
                <w:szCs w:val="14"/>
                <w:b w:val="1"/>
                <w:bCs w:val="1"/>
                <w:color w:val="auto"/>
              </w:rPr>
              <w:t>inputs</w:t>
            </w:r>
          </w:p>
        </w:tc>
        <w:tc>
          <w:tcPr>
            <w:tcW w:w="100" w:type="dxa"/>
            <w:vAlign w:val="bottom"/>
          </w:tcPr>
          <w:p>
            <w:pPr>
              <w:spacing w:after="0"/>
              <w:rPr>
                <w:sz w:val="11"/>
                <w:szCs w:val="11"/>
                <w:color w:val="auto"/>
              </w:rPr>
            </w:pPr>
          </w:p>
        </w:tc>
        <w:tc>
          <w:tcPr>
            <w:tcW w:w="3020" w:type="dxa"/>
            <w:vAlign w:val="bottom"/>
            <w:vMerge w:val="restart"/>
          </w:tcPr>
          <w:p>
            <w:pPr>
              <w:ind w:left="640"/>
              <w:spacing w:after="0"/>
              <w:rPr>
                <w:sz w:val="20"/>
                <w:szCs w:val="20"/>
                <w:color w:val="auto"/>
              </w:rPr>
            </w:pPr>
            <w:r>
              <w:rPr>
                <w:rFonts w:ascii="Times New Roman" w:cs="Times New Roman" w:eastAsia="Times New Roman" w:hAnsi="Times New Roman"/>
                <w:sz w:val="14"/>
                <w:szCs w:val="14"/>
                <w:b w:val="1"/>
                <w:bCs w:val="1"/>
                <w:color w:val="auto"/>
              </w:rPr>
              <w:t>Balance Sheet Classification</w:t>
            </w:r>
          </w:p>
        </w:tc>
        <w:tc>
          <w:tcPr>
            <w:tcW w:w="0" w:type="dxa"/>
            <w:vAlign w:val="bottom"/>
          </w:tcPr>
          <w:p>
            <w:pPr>
              <w:spacing w:after="0"/>
              <w:rPr>
                <w:sz w:val="1"/>
                <w:szCs w:val="1"/>
                <w:color w:val="auto"/>
              </w:rPr>
            </w:pPr>
          </w:p>
        </w:tc>
      </w:tr>
      <w:tr>
        <w:trPr>
          <w:trHeight w:val="189"/>
        </w:trPr>
        <w:tc>
          <w:tcPr>
            <w:tcW w:w="3220" w:type="dxa"/>
            <w:vAlign w:val="bottom"/>
          </w:tcPr>
          <w:p>
            <w:pPr>
              <w:spacing w:after="0"/>
              <w:rPr>
                <w:sz w:val="16"/>
                <w:szCs w:val="16"/>
                <w:color w:val="auto"/>
              </w:rPr>
            </w:pPr>
          </w:p>
        </w:tc>
        <w:tc>
          <w:tcPr>
            <w:tcW w:w="1320" w:type="dxa"/>
            <w:vAlign w:val="bottom"/>
            <w:gridSpan w:val="3"/>
            <w:vMerge w:val="continue"/>
          </w:tcPr>
          <w:p>
            <w:pPr>
              <w:spacing w:after="0"/>
              <w:rPr>
                <w:sz w:val="16"/>
                <w:szCs w:val="16"/>
                <w:color w:val="auto"/>
              </w:rPr>
            </w:pPr>
          </w:p>
        </w:tc>
        <w:tc>
          <w:tcPr>
            <w:tcW w:w="120" w:type="dxa"/>
            <w:vAlign w:val="bottom"/>
          </w:tcPr>
          <w:p>
            <w:pPr>
              <w:spacing w:after="0"/>
              <w:rPr>
                <w:sz w:val="16"/>
                <w:szCs w:val="16"/>
                <w:color w:val="auto"/>
              </w:rPr>
            </w:pPr>
          </w:p>
        </w:tc>
        <w:tc>
          <w:tcPr>
            <w:tcW w:w="1120" w:type="dxa"/>
            <w:vAlign w:val="bottom"/>
            <w:gridSpan w:val="2"/>
          </w:tcPr>
          <w:p>
            <w:pPr>
              <w:jc w:val="center"/>
              <w:ind w:right="240"/>
              <w:spacing w:after="0"/>
              <w:rPr>
                <w:sz w:val="20"/>
                <w:szCs w:val="20"/>
                <w:color w:val="auto"/>
              </w:rPr>
            </w:pPr>
            <w:r>
              <w:rPr>
                <w:rFonts w:ascii="Times New Roman" w:cs="Times New Roman" w:eastAsia="Times New Roman" w:hAnsi="Times New Roman"/>
                <w:sz w:val="14"/>
                <w:szCs w:val="14"/>
                <w:b w:val="1"/>
                <w:bCs w:val="1"/>
                <w:color w:val="auto"/>
              </w:rPr>
              <w:t>(level 1)</w:t>
            </w:r>
          </w:p>
        </w:tc>
        <w:tc>
          <w:tcPr>
            <w:tcW w:w="120" w:type="dxa"/>
            <w:vAlign w:val="bottom"/>
          </w:tcPr>
          <w:p>
            <w:pPr>
              <w:spacing w:after="0"/>
              <w:rPr>
                <w:sz w:val="16"/>
                <w:szCs w:val="16"/>
                <w:color w:val="auto"/>
              </w:rPr>
            </w:pPr>
          </w:p>
        </w:tc>
        <w:tc>
          <w:tcPr>
            <w:tcW w:w="960" w:type="dxa"/>
            <w:vAlign w:val="bottom"/>
            <w:gridSpan w:val="2"/>
          </w:tcPr>
          <w:p>
            <w:pPr>
              <w:jc w:val="center"/>
              <w:ind w:right="240"/>
              <w:spacing w:after="0"/>
              <w:rPr>
                <w:sz w:val="20"/>
                <w:szCs w:val="20"/>
                <w:color w:val="auto"/>
              </w:rPr>
            </w:pPr>
            <w:r>
              <w:rPr>
                <w:rFonts w:ascii="Times New Roman" w:cs="Times New Roman" w:eastAsia="Times New Roman" w:hAnsi="Times New Roman"/>
                <w:sz w:val="14"/>
                <w:szCs w:val="14"/>
                <w:b w:val="1"/>
                <w:bCs w:val="1"/>
                <w:color w:val="auto"/>
              </w:rPr>
              <w:t>(level 2)</w:t>
            </w:r>
          </w:p>
        </w:tc>
        <w:tc>
          <w:tcPr>
            <w:tcW w:w="160" w:type="dxa"/>
            <w:vAlign w:val="bottom"/>
          </w:tcPr>
          <w:p>
            <w:pPr>
              <w:spacing w:after="0"/>
              <w:rPr>
                <w:sz w:val="16"/>
                <w:szCs w:val="16"/>
                <w:color w:val="auto"/>
              </w:rPr>
            </w:pPr>
          </w:p>
        </w:tc>
        <w:tc>
          <w:tcPr>
            <w:tcW w:w="1040" w:type="dxa"/>
            <w:vAlign w:val="bottom"/>
          </w:tcPr>
          <w:p>
            <w:pPr>
              <w:jc w:val="center"/>
              <w:ind w:right="74"/>
              <w:spacing w:after="0"/>
              <w:rPr>
                <w:sz w:val="20"/>
                <w:szCs w:val="20"/>
                <w:color w:val="auto"/>
              </w:rPr>
            </w:pPr>
            <w:r>
              <w:rPr>
                <w:rFonts w:ascii="Times New Roman" w:cs="Times New Roman" w:eastAsia="Times New Roman" w:hAnsi="Times New Roman"/>
                <w:sz w:val="14"/>
                <w:szCs w:val="14"/>
                <w:b w:val="1"/>
                <w:bCs w:val="1"/>
                <w:color w:val="auto"/>
              </w:rPr>
              <w:t>(level 3)</w:t>
            </w:r>
          </w:p>
        </w:tc>
        <w:tc>
          <w:tcPr>
            <w:tcW w:w="100" w:type="dxa"/>
            <w:vAlign w:val="bottom"/>
          </w:tcPr>
          <w:p>
            <w:pPr>
              <w:spacing w:after="0"/>
              <w:rPr>
                <w:sz w:val="16"/>
                <w:szCs w:val="16"/>
                <w:color w:val="auto"/>
              </w:rPr>
            </w:pPr>
          </w:p>
        </w:tc>
        <w:tc>
          <w:tcPr>
            <w:tcW w:w="302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23"/>
        </w:trPr>
        <w:tc>
          <w:tcPr>
            <w:tcW w:w="322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Money market funds</w:t>
            </w:r>
          </w:p>
        </w:tc>
        <w:tc>
          <w:tcPr>
            <w:tcW w:w="260" w:type="dxa"/>
            <w:vAlign w:val="bottom"/>
            <w:tcBorders>
              <w:top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w:t>
            </w:r>
          </w:p>
        </w:tc>
        <w:tc>
          <w:tcPr>
            <w:tcW w:w="9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745,564</w:t>
            </w:r>
          </w:p>
        </w:tc>
        <w:tc>
          <w:tcPr>
            <w:tcW w:w="120" w:type="dxa"/>
            <w:vAlign w:val="bottom"/>
            <w:tcBorders>
              <w:top w:val="single" w:sz="8" w:color="CCEEFF"/>
            </w:tcBorders>
            <w:shd w:val="clear" w:color="auto" w:fill="CCEEFF"/>
          </w:tcPr>
          <w:p>
            <w:pPr>
              <w:spacing w:after="0"/>
              <w:rPr>
                <w:sz w:val="19"/>
                <w:szCs w:val="19"/>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745,564</w:t>
            </w:r>
          </w:p>
        </w:tc>
        <w:tc>
          <w:tcPr>
            <w:tcW w:w="120" w:type="dxa"/>
            <w:vAlign w:val="bottom"/>
            <w:tcBorders>
              <w:top w:val="single" w:sz="8" w:color="CCEEFF"/>
            </w:tcBorders>
            <w:shd w:val="clear" w:color="auto" w:fill="CCEEFF"/>
          </w:tcPr>
          <w:p>
            <w:pPr>
              <w:spacing w:after="0"/>
              <w:rPr>
                <w:sz w:val="19"/>
                <w:szCs w:val="19"/>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Borders>
              <w:top w:val="single" w:sz="8" w:color="CCEEFF"/>
            </w:tcBorders>
            <w:shd w:val="clear" w:color="auto" w:fill="CCEEFF"/>
          </w:tcPr>
          <w:p>
            <w:pPr>
              <w:spacing w:after="0"/>
              <w:rPr>
                <w:sz w:val="19"/>
                <w:szCs w:val="19"/>
                <w:color w:val="auto"/>
              </w:rPr>
            </w:pPr>
          </w:p>
        </w:tc>
        <w:tc>
          <w:tcPr>
            <w:tcW w:w="1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Borders>
              <w:top w:val="single" w:sz="8" w:color="CCEEFF"/>
            </w:tcBorders>
            <w:shd w:val="clear" w:color="auto" w:fill="CCEEFF"/>
          </w:tcPr>
          <w:p>
            <w:pPr>
              <w:spacing w:after="0"/>
              <w:rPr>
                <w:sz w:val="19"/>
                <w:szCs w:val="19"/>
                <w:color w:val="auto"/>
              </w:rPr>
            </w:pPr>
          </w:p>
        </w:tc>
        <w:tc>
          <w:tcPr>
            <w:tcW w:w="3020" w:type="dxa"/>
            <w:vAlign w:val="bottom"/>
            <w:tcBorders>
              <w:top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Cash and cash equivalents</w:t>
            </w:r>
          </w:p>
        </w:tc>
        <w:tc>
          <w:tcPr>
            <w:tcW w:w="0" w:type="dxa"/>
            <w:vAlign w:val="bottom"/>
          </w:tcPr>
          <w:p>
            <w:pPr>
              <w:spacing w:after="0"/>
              <w:rPr>
                <w:sz w:val="1"/>
                <w:szCs w:val="1"/>
                <w:color w:val="auto"/>
              </w:rPr>
            </w:pPr>
          </w:p>
        </w:tc>
      </w:tr>
      <w:tr>
        <w:trPr>
          <w:trHeight w:val="230"/>
        </w:trPr>
        <w:tc>
          <w:tcPr>
            <w:tcW w:w="32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Bank-time deposits</w:t>
            </w:r>
          </w:p>
        </w:tc>
        <w:tc>
          <w:tcPr>
            <w:tcW w:w="26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471,688</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471,688</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6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9"/>
                <w:szCs w:val="19"/>
                <w:color w:val="auto"/>
              </w:rPr>
            </w:pPr>
          </w:p>
        </w:tc>
        <w:tc>
          <w:tcPr>
            <w:tcW w:w="30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Cash and cash equivalents</w:t>
            </w:r>
          </w:p>
        </w:tc>
        <w:tc>
          <w:tcPr>
            <w:tcW w:w="0" w:type="dxa"/>
            <w:vAlign w:val="bottom"/>
          </w:tcPr>
          <w:p>
            <w:pPr>
              <w:spacing w:after="0"/>
              <w:rPr>
                <w:sz w:val="1"/>
                <w:szCs w:val="1"/>
                <w:color w:val="auto"/>
              </w:rPr>
            </w:pPr>
          </w:p>
        </w:tc>
      </w:tr>
      <w:tr>
        <w:trPr>
          <w:trHeight w:val="229"/>
        </w:trPr>
        <w:tc>
          <w:tcPr>
            <w:tcW w:w="32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Commercial paper</w:t>
            </w:r>
          </w:p>
        </w:tc>
        <w:tc>
          <w:tcPr>
            <w:tcW w:w="26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37,005</w:t>
            </w: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1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37,005</w:t>
            </w: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19"/>
                <w:szCs w:val="19"/>
                <w:color w:val="auto"/>
              </w:rPr>
            </w:pPr>
          </w:p>
        </w:tc>
        <w:tc>
          <w:tcPr>
            <w:tcW w:w="30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Cash and cash equivalents</w:t>
            </w:r>
          </w:p>
        </w:tc>
        <w:tc>
          <w:tcPr>
            <w:tcW w:w="0" w:type="dxa"/>
            <w:vAlign w:val="bottom"/>
          </w:tcPr>
          <w:p>
            <w:pPr>
              <w:spacing w:after="0"/>
              <w:rPr>
                <w:sz w:val="1"/>
                <w:szCs w:val="1"/>
                <w:color w:val="auto"/>
              </w:rPr>
            </w:pPr>
          </w:p>
        </w:tc>
      </w:tr>
      <w:tr>
        <w:trPr>
          <w:trHeight w:val="229"/>
        </w:trPr>
        <w:tc>
          <w:tcPr>
            <w:tcW w:w="32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Corporate bonds</w:t>
            </w:r>
          </w:p>
        </w:tc>
        <w:tc>
          <w:tcPr>
            <w:tcW w:w="26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300</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2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300</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9"/>
                <w:szCs w:val="19"/>
                <w:color w:val="auto"/>
              </w:rPr>
            </w:pPr>
          </w:p>
        </w:tc>
        <w:tc>
          <w:tcPr>
            <w:tcW w:w="30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Cash and cash equivalents</w:t>
            </w:r>
          </w:p>
        </w:tc>
        <w:tc>
          <w:tcPr>
            <w:tcW w:w="0" w:type="dxa"/>
            <w:vAlign w:val="bottom"/>
          </w:tcPr>
          <w:p>
            <w:pPr>
              <w:spacing w:after="0"/>
              <w:rPr>
                <w:sz w:val="1"/>
                <w:szCs w:val="1"/>
                <w:color w:val="auto"/>
              </w:rPr>
            </w:pPr>
          </w:p>
        </w:tc>
      </w:tr>
      <w:tr>
        <w:trPr>
          <w:trHeight w:val="230"/>
        </w:trPr>
        <w:tc>
          <w:tcPr>
            <w:tcW w:w="32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Corporate bonds</w:t>
            </w:r>
          </w:p>
        </w:tc>
        <w:tc>
          <w:tcPr>
            <w:tcW w:w="26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509,949</w:t>
            </w: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1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509,949</w:t>
            </w: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19"/>
                <w:szCs w:val="19"/>
                <w:color w:val="auto"/>
              </w:rPr>
            </w:pPr>
          </w:p>
        </w:tc>
        <w:tc>
          <w:tcPr>
            <w:tcW w:w="30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Short-term investments</w:t>
            </w:r>
          </w:p>
        </w:tc>
        <w:tc>
          <w:tcPr>
            <w:tcW w:w="0" w:type="dxa"/>
            <w:vAlign w:val="bottom"/>
          </w:tcPr>
          <w:p>
            <w:pPr>
              <w:spacing w:after="0"/>
              <w:rPr>
                <w:sz w:val="1"/>
                <w:szCs w:val="1"/>
                <w:color w:val="auto"/>
              </w:rPr>
            </w:pPr>
          </w:p>
        </w:tc>
      </w:tr>
      <w:tr>
        <w:trPr>
          <w:trHeight w:val="229"/>
        </w:trPr>
        <w:tc>
          <w:tcPr>
            <w:tcW w:w="32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Bank-time deposits</w:t>
            </w:r>
          </w:p>
        </w:tc>
        <w:tc>
          <w:tcPr>
            <w:tcW w:w="26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118,000</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118,000</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6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9"/>
                <w:szCs w:val="19"/>
                <w:color w:val="auto"/>
              </w:rPr>
            </w:pPr>
          </w:p>
        </w:tc>
        <w:tc>
          <w:tcPr>
            <w:tcW w:w="30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Short-term investments</w:t>
            </w:r>
          </w:p>
        </w:tc>
        <w:tc>
          <w:tcPr>
            <w:tcW w:w="0" w:type="dxa"/>
            <w:vAlign w:val="bottom"/>
          </w:tcPr>
          <w:p>
            <w:pPr>
              <w:spacing w:after="0"/>
              <w:rPr>
                <w:sz w:val="1"/>
                <w:szCs w:val="1"/>
                <w:color w:val="auto"/>
              </w:rPr>
            </w:pPr>
          </w:p>
        </w:tc>
      </w:tr>
      <w:tr>
        <w:trPr>
          <w:trHeight w:val="230"/>
        </w:trPr>
        <w:tc>
          <w:tcPr>
            <w:tcW w:w="32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US Treasuries</w:t>
            </w:r>
          </w:p>
        </w:tc>
        <w:tc>
          <w:tcPr>
            <w:tcW w:w="26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45,041</w:t>
            </w: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45,041</w:t>
            </w: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96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19"/>
                <w:szCs w:val="19"/>
                <w:color w:val="auto"/>
              </w:rPr>
            </w:pPr>
          </w:p>
        </w:tc>
        <w:tc>
          <w:tcPr>
            <w:tcW w:w="30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Short-term investments</w:t>
            </w:r>
          </w:p>
        </w:tc>
        <w:tc>
          <w:tcPr>
            <w:tcW w:w="0" w:type="dxa"/>
            <w:vAlign w:val="bottom"/>
          </w:tcPr>
          <w:p>
            <w:pPr>
              <w:spacing w:after="0"/>
              <w:rPr>
                <w:sz w:val="1"/>
                <w:szCs w:val="1"/>
                <w:color w:val="auto"/>
              </w:rPr>
            </w:pPr>
          </w:p>
        </w:tc>
      </w:tr>
      <w:tr>
        <w:trPr>
          <w:trHeight w:val="229"/>
        </w:trPr>
        <w:tc>
          <w:tcPr>
            <w:tcW w:w="32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Asset-backed securities</w:t>
            </w:r>
          </w:p>
        </w:tc>
        <w:tc>
          <w:tcPr>
            <w:tcW w:w="26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699</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2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699</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9"/>
                <w:szCs w:val="19"/>
                <w:color w:val="auto"/>
              </w:rPr>
            </w:pPr>
          </w:p>
        </w:tc>
        <w:tc>
          <w:tcPr>
            <w:tcW w:w="30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Short-term investments</w:t>
            </w:r>
          </w:p>
        </w:tc>
        <w:tc>
          <w:tcPr>
            <w:tcW w:w="0" w:type="dxa"/>
            <w:vAlign w:val="bottom"/>
          </w:tcPr>
          <w:p>
            <w:pPr>
              <w:spacing w:after="0"/>
              <w:rPr>
                <w:sz w:val="1"/>
                <w:szCs w:val="1"/>
                <w:color w:val="auto"/>
              </w:rPr>
            </w:pPr>
          </w:p>
        </w:tc>
      </w:tr>
      <w:tr>
        <w:trPr>
          <w:trHeight w:val="229"/>
        </w:trPr>
        <w:tc>
          <w:tcPr>
            <w:tcW w:w="32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Commercial paper</w:t>
            </w:r>
          </w:p>
        </w:tc>
        <w:tc>
          <w:tcPr>
            <w:tcW w:w="26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98,994</w:t>
            </w: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1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98,994</w:t>
            </w: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19"/>
                <w:szCs w:val="19"/>
                <w:color w:val="auto"/>
              </w:rPr>
            </w:pPr>
          </w:p>
        </w:tc>
        <w:tc>
          <w:tcPr>
            <w:tcW w:w="30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Short-term investments</w:t>
            </w:r>
          </w:p>
        </w:tc>
        <w:tc>
          <w:tcPr>
            <w:tcW w:w="0" w:type="dxa"/>
            <w:vAlign w:val="bottom"/>
          </w:tcPr>
          <w:p>
            <w:pPr>
              <w:spacing w:after="0"/>
              <w:rPr>
                <w:sz w:val="1"/>
                <w:szCs w:val="1"/>
                <w:color w:val="auto"/>
              </w:rPr>
            </w:pPr>
          </w:p>
        </w:tc>
      </w:tr>
      <w:tr>
        <w:trPr>
          <w:trHeight w:val="230"/>
        </w:trPr>
        <w:tc>
          <w:tcPr>
            <w:tcW w:w="32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Money market funds</w:t>
            </w:r>
          </w:p>
        </w:tc>
        <w:tc>
          <w:tcPr>
            <w:tcW w:w="26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469,988</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469,988</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6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9"/>
                <w:szCs w:val="19"/>
                <w:color w:val="auto"/>
              </w:rPr>
            </w:pPr>
          </w:p>
        </w:tc>
        <w:tc>
          <w:tcPr>
            <w:tcW w:w="30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Restricted cash and cash equivalents</w:t>
            </w:r>
          </w:p>
        </w:tc>
        <w:tc>
          <w:tcPr>
            <w:tcW w:w="0" w:type="dxa"/>
            <w:vAlign w:val="bottom"/>
          </w:tcPr>
          <w:p>
            <w:pPr>
              <w:spacing w:after="0"/>
              <w:rPr>
                <w:sz w:val="1"/>
                <w:szCs w:val="1"/>
                <w:color w:val="auto"/>
              </w:rPr>
            </w:pPr>
          </w:p>
        </w:tc>
      </w:tr>
      <w:tr>
        <w:trPr>
          <w:trHeight w:val="229"/>
        </w:trPr>
        <w:tc>
          <w:tcPr>
            <w:tcW w:w="32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Bank-time deposits</w:t>
            </w:r>
          </w:p>
        </w:tc>
        <w:tc>
          <w:tcPr>
            <w:tcW w:w="26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560</w:t>
            </w: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560</w:t>
            </w: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96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19"/>
                <w:szCs w:val="19"/>
                <w:color w:val="auto"/>
              </w:rPr>
            </w:pPr>
          </w:p>
        </w:tc>
        <w:tc>
          <w:tcPr>
            <w:tcW w:w="30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Restricted cash and cash equivalents</w:t>
            </w:r>
          </w:p>
        </w:tc>
        <w:tc>
          <w:tcPr>
            <w:tcW w:w="0" w:type="dxa"/>
            <w:vAlign w:val="bottom"/>
          </w:tcPr>
          <w:p>
            <w:pPr>
              <w:spacing w:after="0"/>
              <w:rPr>
                <w:sz w:val="1"/>
                <w:szCs w:val="1"/>
                <w:color w:val="auto"/>
              </w:rPr>
            </w:pPr>
          </w:p>
        </w:tc>
      </w:tr>
      <w:tr>
        <w:trPr>
          <w:trHeight w:val="176"/>
        </w:trPr>
        <w:tc>
          <w:tcPr>
            <w:tcW w:w="3220" w:type="dxa"/>
            <w:vAlign w:val="bottom"/>
          </w:tcPr>
          <w:p>
            <w:pPr>
              <w:ind w:left="20"/>
              <w:spacing w:after="0" w:line="176" w:lineRule="exact"/>
              <w:rPr>
                <w:sz w:val="20"/>
                <w:szCs w:val="20"/>
                <w:color w:val="auto"/>
              </w:rPr>
            </w:pPr>
            <w:r>
              <w:rPr>
                <w:rFonts w:ascii="Times New Roman" w:cs="Times New Roman" w:eastAsia="Times New Roman" w:hAnsi="Times New Roman"/>
                <w:sz w:val="18"/>
                <w:szCs w:val="18"/>
                <w:color w:val="auto"/>
              </w:rPr>
              <w:t>Money market funds</w:t>
            </w:r>
          </w:p>
        </w:tc>
        <w:tc>
          <w:tcPr>
            <w:tcW w:w="260" w:type="dxa"/>
            <w:vAlign w:val="bottom"/>
          </w:tcPr>
          <w:p>
            <w:pPr>
              <w:spacing w:after="0"/>
              <w:rPr>
                <w:sz w:val="15"/>
                <w:szCs w:val="15"/>
                <w:color w:val="auto"/>
              </w:rPr>
            </w:pPr>
          </w:p>
        </w:tc>
        <w:tc>
          <w:tcPr>
            <w:tcW w:w="940" w:type="dxa"/>
            <w:vAlign w:val="bottom"/>
          </w:tcPr>
          <w:p>
            <w:pPr>
              <w:jc w:val="right"/>
              <w:spacing w:after="0" w:line="176" w:lineRule="exact"/>
              <w:rPr>
                <w:sz w:val="20"/>
                <w:szCs w:val="20"/>
                <w:color w:val="auto"/>
              </w:rPr>
            </w:pPr>
            <w:r>
              <w:rPr>
                <w:rFonts w:ascii="Times New Roman" w:cs="Times New Roman" w:eastAsia="Times New Roman" w:hAnsi="Times New Roman"/>
                <w:sz w:val="18"/>
                <w:szCs w:val="18"/>
                <w:color w:val="auto"/>
              </w:rPr>
              <w:t>98,538</w:t>
            </w: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0" w:type="dxa"/>
            <w:vAlign w:val="bottom"/>
          </w:tcPr>
          <w:p>
            <w:pPr>
              <w:jc w:val="right"/>
              <w:spacing w:after="0" w:line="176" w:lineRule="exact"/>
              <w:rPr>
                <w:sz w:val="20"/>
                <w:szCs w:val="20"/>
                <w:color w:val="auto"/>
              </w:rPr>
            </w:pPr>
            <w:r>
              <w:rPr>
                <w:rFonts w:ascii="Times New Roman" w:cs="Times New Roman" w:eastAsia="Times New Roman" w:hAnsi="Times New Roman"/>
                <w:sz w:val="18"/>
                <w:szCs w:val="18"/>
                <w:color w:val="auto"/>
              </w:rPr>
              <w:t>98,538</w:t>
            </w: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60" w:type="dxa"/>
            <w:vAlign w:val="bottom"/>
            <w:gridSpan w:val="2"/>
          </w:tcPr>
          <w:p>
            <w:pPr>
              <w:jc w:val="right"/>
              <w:ind w:right="180"/>
              <w:spacing w:after="0" w:line="176" w:lineRule="exact"/>
              <w:rPr>
                <w:sz w:val="20"/>
                <w:szCs w:val="20"/>
                <w:color w:val="auto"/>
              </w:rPr>
            </w:pPr>
            <w:r>
              <w:rPr>
                <w:rFonts w:ascii="Times New Roman" w:cs="Times New Roman" w:eastAsia="Times New Roman" w:hAnsi="Times New Roman"/>
                <w:sz w:val="18"/>
                <w:szCs w:val="18"/>
                <w:color w:val="auto"/>
              </w:rPr>
              <w:t>—</w:t>
            </w:r>
          </w:p>
        </w:tc>
        <w:tc>
          <w:tcPr>
            <w:tcW w:w="160" w:type="dxa"/>
            <w:vAlign w:val="bottom"/>
          </w:tcPr>
          <w:p>
            <w:pPr>
              <w:spacing w:after="0"/>
              <w:rPr>
                <w:sz w:val="15"/>
                <w:szCs w:val="15"/>
                <w:color w:val="auto"/>
              </w:rPr>
            </w:pPr>
          </w:p>
        </w:tc>
        <w:tc>
          <w:tcPr>
            <w:tcW w:w="1040" w:type="dxa"/>
            <w:vAlign w:val="bottom"/>
          </w:tcPr>
          <w:p>
            <w:pPr>
              <w:jc w:val="right"/>
              <w:spacing w:after="0" w:line="176" w:lineRule="exact"/>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5"/>
                <w:szCs w:val="15"/>
                <w:color w:val="auto"/>
              </w:rPr>
            </w:pPr>
          </w:p>
        </w:tc>
        <w:tc>
          <w:tcPr>
            <w:tcW w:w="3020" w:type="dxa"/>
            <w:vAlign w:val="bottom"/>
          </w:tcPr>
          <w:p>
            <w:pPr>
              <w:ind w:left="20"/>
              <w:spacing w:after="0" w:line="176" w:lineRule="exact"/>
              <w:rPr>
                <w:sz w:val="20"/>
                <w:szCs w:val="20"/>
                <w:color w:val="auto"/>
              </w:rPr>
            </w:pPr>
            <w:r>
              <w:rPr>
                <w:rFonts w:ascii="Times New Roman" w:cs="Times New Roman" w:eastAsia="Times New Roman" w:hAnsi="Times New Roman"/>
                <w:sz w:val="18"/>
                <w:szCs w:val="18"/>
                <w:color w:val="auto"/>
              </w:rPr>
              <w:t>Long-term restricted cash and cash</w:t>
            </w:r>
          </w:p>
        </w:tc>
        <w:tc>
          <w:tcPr>
            <w:tcW w:w="0" w:type="dxa"/>
            <w:vAlign w:val="bottom"/>
          </w:tcPr>
          <w:p>
            <w:pPr>
              <w:spacing w:after="0"/>
              <w:rPr>
                <w:sz w:val="1"/>
                <w:szCs w:val="1"/>
                <w:color w:val="auto"/>
              </w:rPr>
            </w:pPr>
          </w:p>
        </w:tc>
      </w:tr>
      <w:tr>
        <w:trPr>
          <w:trHeight w:val="229"/>
        </w:trPr>
        <w:tc>
          <w:tcPr>
            <w:tcW w:w="32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0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equivalents</w:t>
            </w:r>
          </w:p>
        </w:tc>
        <w:tc>
          <w:tcPr>
            <w:tcW w:w="0" w:type="dxa"/>
            <w:vAlign w:val="bottom"/>
          </w:tcPr>
          <w:p>
            <w:pPr>
              <w:spacing w:after="0"/>
              <w:rPr>
                <w:sz w:val="1"/>
                <w:szCs w:val="1"/>
                <w:color w:val="auto"/>
              </w:rPr>
            </w:pPr>
          </w:p>
        </w:tc>
      </w:tr>
      <w:tr>
        <w:trPr>
          <w:trHeight w:val="230"/>
        </w:trPr>
        <w:tc>
          <w:tcPr>
            <w:tcW w:w="32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Private equity</w:t>
            </w:r>
          </w:p>
        </w:tc>
        <w:tc>
          <w:tcPr>
            <w:tcW w:w="26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6,178</w:t>
            </w: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1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19"/>
                <w:szCs w:val="19"/>
                <w:color w:val="auto"/>
              </w:rPr>
            </w:pPr>
          </w:p>
        </w:tc>
        <w:tc>
          <w:tcPr>
            <w:tcW w:w="96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6,178</w:t>
            </w:r>
          </w:p>
        </w:tc>
        <w:tc>
          <w:tcPr>
            <w:tcW w:w="100" w:type="dxa"/>
            <w:vAlign w:val="bottom"/>
            <w:shd w:val="clear" w:color="auto" w:fill="CCEEFF"/>
          </w:tcPr>
          <w:p>
            <w:pPr>
              <w:spacing w:after="0"/>
              <w:rPr>
                <w:sz w:val="19"/>
                <w:szCs w:val="19"/>
                <w:color w:val="auto"/>
              </w:rPr>
            </w:pPr>
          </w:p>
        </w:tc>
        <w:tc>
          <w:tcPr>
            <w:tcW w:w="30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Other assets</w:t>
            </w:r>
          </w:p>
        </w:tc>
        <w:tc>
          <w:tcPr>
            <w:tcW w:w="0" w:type="dxa"/>
            <w:vAlign w:val="bottom"/>
          </w:tcPr>
          <w:p>
            <w:pPr>
              <w:spacing w:after="0"/>
              <w:rPr>
                <w:sz w:val="1"/>
                <w:szCs w:val="1"/>
                <w:color w:val="auto"/>
              </w:rPr>
            </w:pPr>
          </w:p>
        </w:tc>
      </w:tr>
      <w:tr>
        <w:trPr>
          <w:trHeight w:val="175"/>
        </w:trPr>
        <w:tc>
          <w:tcPr>
            <w:tcW w:w="3220" w:type="dxa"/>
            <w:vAlign w:val="bottom"/>
          </w:tcPr>
          <w:p>
            <w:pPr>
              <w:ind w:left="20"/>
              <w:spacing w:after="0" w:line="176" w:lineRule="exact"/>
              <w:rPr>
                <w:sz w:val="20"/>
                <w:szCs w:val="20"/>
                <w:color w:val="auto"/>
              </w:rPr>
            </w:pPr>
            <w:r>
              <w:rPr>
                <w:rFonts w:ascii="Times New Roman" w:cs="Times New Roman" w:eastAsia="Times New Roman" w:hAnsi="Times New Roman"/>
                <w:sz w:val="18"/>
                <w:szCs w:val="18"/>
                <w:color w:val="auto"/>
              </w:rPr>
              <w:t>Foreign currency forward contracts</w:t>
            </w:r>
          </w:p>
        </w:tc>
        <w:tc>
          <w:tcPr>
            <w:tcW w:w="260" w:type="dxa"/>
            <w:vAlign w:val="bottom"/>
          </w:tcPr>
          <w:p>
            <w:pPr>
              <w:spacing w:after="0"/>
              <w:rPr>
                <w:sz w:val="15"/>
                <w:szCs w:val="15"/>
                <w:color w:val="auto"/>
              </w:rPr>
            </w:pPr>
          </w:p>
        </w:tc>
        <w:tc>
          <w:tcPr>
            <w:tcW w:w="940" w:type="dxa"/>
            <w:vAlign w:val="bottom"/>
          </w:tcPr>
          <w:p>
            <w:pPr>
              <w:jc w:val="right"/>
              <w:spacing w:after="0" w:line="176" w:lineRule="exact"/>
              <w:rPr>
                <w:sz w:val="20"/>
                <w:szCs w:val="20"/>
                <w:color w:val="auto"/>
              </w:rPr>
            </w:pPr>
            <w:r>
              <w:rPr>
                <w:rFonts w:ascii="Times New Roman" w:cs="Times New Roman" w:eastAsia="Times New Roman" w:hAnsi="Times New Roman"/>
                <w:sz w:val="18"/>
                <w:szCs w:val="18"/>
                <w:color w:val="auto"/>
              </w:rPr>
              <w:t>(128)</w:t>
            </w: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120" w:type="dxa"/>
            <w:vAlign w:val="bottom"/>
            <w:gridSpan w:val="2"/>
          </w:tcPr>
          <w:p>
            <w:pPr>
              <w:jc w:val="right"/>
              <w:ind w:right="180"/>
              <w:spacing w:after="0" w:line="176" w:lineRule="exact"/>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5"/>
                <w:szCs w:val="15"/>
                <w:color w:val="auto"/>
              </w:rPr>
            </w:pPr>
          </w:p>
        </w:tc>
        <w:tc>
          <w:tcPr>
            <w:tcW w:w="860" w:type="dxa"/>
            <w:vAlign w:val="bottom"/>
          </w:tcPr>
          <w:p>
            <w:pPr>
              <w:jc w:val="right"/>
              <w:spacing w:after="0" w:line="176" w:lineRule="exact"/>
              <w:rPr>
                <w:sz w:val="20"/>
                <w:szCs w:val="20"/>
                <w:color w:val="auto"/>
              </w:rPr>
            </w:pPr>
            <w:r>
              <w:rPr>
                <w:rFonts w:ascii="Times New Roman" w:cs="Times New Roman" w:eastAsia="Times New Roman" w:hAnsi="Times New Roman"/>
                <w:sz w:val="18"/>
                <w:szCs w:val="18"/>
                <w:color w:val="auto"/>
              </w:rPr>
              <w:t>(128)</w:t>
            </w:r>
          </w:p>
        </w:tc>
        <w:tc>
          <w:tcPr>
            <w:tcW w:w="1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40" w:type="dxa"/>
            <w:vAlign w:val="bottom"/>
          </w:tcPr>
          <w:p>
            <w:pPr>
              <w:jc w:val="right"/>
              <w:spacing w:after="0" w:line="176" w:lineRule="exact"/>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5"/>
                <w:szCs w:val="15"/>
                <w:color w:val="auto"/>
              </w:rPr>
            </w:pPr>
          </w:p>
        </w:tc>
        <w:tc>
          <w:tcPr>
            <w:tcW w:w="3020" w:type="dxa"/>
            <w:vAlign w:val="bottom"/>
          </w:tcPr>
          <w:p>
            <w:pPr>
              <w:ind w:left="20"/>
              <w:spacing w:after="0" w:line="176" w:lineRule="exact"/>
              <w:rPr>
                <w:sz w:val="20"/>
                <w:szCs w:val="20"/>
                <w:color w:val="auto"/>
              </w:rPr>
            </w:pPr>
            <w:r>
              <w:rPr>
                <w:rFonts w:ascii="Times New Roman" w:cs="Times New Roman" w:eastAsia="Times New Roman" w:hAnsi="Times New Roman"/>
                <w:sz w:val="18"/>
                <w:szCs w:val="18"/>
                <w:color w:val="auto"/>
              </w:rPr>
              <w:t>Accrued expenses and other current</w:t>
            </w:r>
          </w:p>
        </w:tc>
        <w:tc>
          <w:tcPr>
            <w:tcW w:w="0" w:type="dxa"/>
            <w:vAlign w:val="bottom"/>
          </w:tcPr>
          <w:p>
            <w:pPr>
              <w:spacing w:after="0"/>
              <w:rPr>
                <w:sz w:val="1"/>
                <w:szCs w:val="1"/>
                <w:color w:val="auto"/>
              </w:rPr>
            </w:pPr>
          </w:p>
        </w:tc>
      </w:tr>
      <w:tr>
        <w:trPr>
          <w:trHeight w:val="230"/>
        </w:trPr>
        <w:tc>
          <w:tcPr>
            <w:tcW w:w="3220" w:type="dxa"/>
            <w:vAlign w:val="bottom"/>
            <w:tcBorders>
              <w:bottom w:val="single" w:sz="8" w:color="CCEEFF"/>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spacing w:after="0"/>
              <w:rPr>
                <w:sz w:val="19"/>
                <w:szCs w:val="19"/>
                <w:color w:val="auto"/>
              </w:rPr>
            </w:pPr>
          </w:p>
        </w:tc>
        <w:tc>
          <w:tcPr>
            <w:tcW w:w="120" w:type="dxa"/>
            <w:vAlign w:val="bottom"/>
            <w:tcBorders>
              <w:bottom w:val="single" w:sz="8" w:color="CCEEFF"/>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spacing w:after="0"/>
              <w:rPr>
                <w:sz w:val="19"/>
                <w:szCs w:val="19"/>
                <w:color w:val="auto"/>
              </w:rPr>
            </w:pPr>
          </w:p>
        </w:tc>
        <w:tc>
          <w:tcPr>
            <w:tcW w:w="120" w:type="dxa"/>
            <w:vAlign w:val="bottom"/>
            <w:tcBorders>
              <w:bottom w:val="single" w:sz="8" w:color="CCEEFF"/>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302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liabilities</w:t>
            </w:r>
          </w:p>
        </w:tc>
        <w:tc>
          <w:tcPr>
            <w:tcW w:w="0" w:type="dxa"/>
            <w:vAlign w:val="bottom"/>
          </w:tcPr>
          <w:p>
            <w:pPr>
              <w:spacing w:after="0"/>
              <w:rPr>
                <w:sz w:val="1"/>
                <w:szCs w:val="1"/>
                <w:color w:val="auto"/>
              </w:rPr>
            </w:pPr>
          </w:p>
        </w:tc>
      </w:tr>
      <w:tr>
        <w:trPr>
          <w:trHeight w:val="155"/>
        </w:trPr>
        <w:tc>
          <w:tcPr>
            <w:tcW w:w="3220" w:type="dxa"/>
            <w:vAlign w:val="bottom"/>
            <w:shd w:val="clear" w:color="auto" w:fill="CCEEFF"/>
          </w:tcPr>
          <w:p>
            <w:pPr>
              <w:ind w:left="20"/>
              <w:spacing w:after="0" w:line="156" w:lineRule="exact"/>
              <w:rPr>
                <w:sz w:val="20"/>
                <w:szCs w:val="20"/>
                <w:color w:val="auto"/>
              </w:rPr>
            </w:pPr>
            <w:r>
              <w:rPr>
                <w:rFonts w:ascii="Times New Roman" w:cs="Times New Roman" w:eastAsia="Times New Roman" w:hAnsi="Times New Roman"/>
                <w:sz w:val="18"/>
                <w:szCs w:val="18"/>
                <w:color w:val="auto"/>
              </w:rPr>
              <w:t>Total recurring fair value measurements,</w:t>
            </w:r>
          </w:p>
        </w:tc>
        <w:tc>
          <w:tcPr>
            <w:tcW w:w="260" w:type="dxa"/>
            <w:vAlign w:val="bottom"/>
            <w:vMerge w:val="restart"/>
            <w:shd w:val="clear" w:color="auto" w:fill="CCEEFF"/>
          </w:tcPr>
          <w:p>
            <w:pPr>
              <w:ind w:left="20"/>
              <w:spacing w:after="0"/>
              <w:rPr>
                <w:sz w:val="20"/>
                <w:szCs w:val="20"/>
                <w:color w:val="auto"/>
              </w:rPr>
            </w:pPr>
            <w:r>
              <w:rPr>
                <w:rFonts w:ascii="Times New Roman" w:cs="Times New Roman" w:eastAsia="Times New Roman" w:hAnsi="Times New Roman"/>
                <w:sz w:val="18"/>
                <w:szCs w:val="18"/>
                <w:b w:val="1"/>
                <w:bCs w:val="1"/>
                <w:color w:val="auto"/>
              </w:rPr>
              <w:t>$</w:t>
            </w:r>
          </w:p>
        </w:tc>
        <w:tc>
          <w:tcPr>
            <w:tcW w:w="94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2,602,376</w:t>
            </w:r>
          </w:p>
        </w:tc>
        <w:tc>
          <w:tcPr>
            <w:tcW w:w="120" w:type="dxa"/>
            <w:vAlign w:val="bottom"/>
            <w:shd w:val="clear" w:color="auto" w:fill="CCEEFF"/>
          </w:tcPr>
          <w:p>
            <w:pPr>
              <w:spacing w:after="0"/>
              <w:rPr>
                <w:sz w:val="13"/>
                <w:szCs w:val="13"/>
                <w:color w:val="auto"/>
              </w:rPr>
            </w:pPr>
          </w:p>
        </w:tc>
        <w:tc>
          <w:tcPr>
            <w:tcW w:w="12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0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1,949,379</w:t>
            </w:r>
          </w:p>
        </w:tc>
        <w:tc>
          <w:tcPr>
            <w:tcW w:w="120" w:type="dxa"/>
            <w:vAlign w:val="bottom"/>
            <w:shd w:val="clear" w:color="auto" w:fill="CCEEFF"/>
          </w:tcPr>
          <w:p>
            <w:pPr>
              <w:spacing w:after="0"/>
              <w:rPr>
                <w:sz w:val="13"/>
                <w:szCs w:val="13"/>
                <w:color w:val="auto"/>
              </w:rPr>
            </w:pPr>
          </w:p>
        </w:tc>
        <w:tc>
          <w:tcPr>
            <w:tcW w:w="12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86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646,819</w:t>
            </w:r>
          </w:p>
        </w:tc>
        <w:tc>
          <w:tcPr>
            <w:tcW w:w="100" w:type="dxa"/>
            <w:vAlign w:val="bottom"/>
            <w:shd w:val="clear" w:color="auto" w:fill="CCEEFF"/>
          </w:tcPr>
          <w:p>
            <w:pPr>
              <w:spacing w:after="0"/>
              <w:rPr>
                <w:sz w:val="13"/>
                <w:szCs w:val="13"/>
                <w:color w:val="auto"/>
              </w:rPr>
            </w:pPr>
          </w:p>
        </w:tc>
        <w:tc>
          <w:tcPr>
            <w:tcW w:w="16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104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6,178</w:t>
            </w:r>
          </w:p>
        </w:tc>
        <w:tc>
          <w:tcPr>
            <w:tcW w:w="100" w:type="dxa"/>
            <w:vAlign w:val="bottom"/>
            <w:shd w:val="clear" w:color="auto" w:fill="CCEEFF"/>
          </w:tcPr>
          <w:p>
            <w:pPr>
              <w:spacing w:after="0"/>
              <w:rPr>
                <w:sz w:val="13"/>
                <w:szCs w:val="13"/>
                <w:color w:val="auto"/>
              </w:rPr>
            </w:pPr>
          </w:p>
        </w:tc>
        <w:tc>
          <w:tcPr>
            <w:tcW w:w="3020" w:type="dxa"/>
            <w:vAlign w:val="bottom"/>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223"/>
        </w:trPr>
        <w:tc>
          <w:tcPr>
            <w:tcW w:w="3220" w:type="dxa"/>
            <w:vAlign w:val="bottom"/>
            <w:tcBorders>
              <w:bottom w:val="single" w:sz="8" w:color="CCEEFF"/>
            </w:tcBorders>
            <w:shd w:val="clear" w:color="auto" w:fill="CCEEFF"/>
          </w:tcPr>
          <w:p>
            <w:pPr>
              <w:ind w:left="20"/>
              <w:spacing w:after="0" w:line="202" w:lineRule="exact"/>
              <w:rPr>
                <w:sz w:val="20"/>
                <w:szCs w:val="20"/>
                <w:color w:val="auto"/>
              </w:rPr>
            </w:pPr>
            <w:r>
              <w:rPr>
                <w:rFonts w:ascii="Times New Roman" w:cs="Times New Roman" w:eastAsia="Times New Roman" w:hAnsi="Times New Roman"/>
                <w:sz w:val="18"/>
                <w:szCs w:val="18"/>
                <w:color w:val="auto"/>
              </w:rPr>
              <w:t>net</w:t>
            </w:r>
          </w:p>
        </w:tc>
        <w:tc>
          <w:tcPr>
            <w:tcW w:w="260" w:type="dxa"/>
            <w:vAlign w:val="bottom"/>
            <w:tcBorders>
              <w:bottom w:val="single" w:sz="8" w:color="auto"/>
            </w:tcBorders>
            <w:vMerge w:val="continue"/>
            <w:shd w:val="clear" w:color="auto" w:fill="CCEEFF"/>
          </w:tcPr>
          <w:p>
            <w:pPr>
              <w:spacing w:after="0"/>
              <w:rPr>
                <w:sz w:val="19"/>
                <w:szCs w:val="19"/>
                <w:color w:val="auto"/>
              </w:rPr>
            </w:pPr>
          </w:p>
        </w:tc>
        <w:tc>
          <w:tcPr>
            <w:tcW w:w="940" w:type="dxa"/>
            <w:vAlign w:val="bottom"/>
            <w:tcBorders>
              <w:bottom w:val="single" w:sz="8" w:color="auto"/>
            </w:tcBorders>
            <w:vMerge w:val="continue"/>
            <w:shd w:val="clear" w:color="auto" w:fill="CCEEFF"/>
          </w:tcPr>
          <w:p>
            <w:pPr>
              <w:spacing w:after="0"/>
              <w:rPr>
                <w:sz w:val="19"/>
                <w:szCs w:val="19"/>
                <w:color w:val="auto"/>
              </w:rPr>
            </w:pPr>
          </w:p>
        </w:tc>
        <w:tc>
          <w:tcPr>
            <w:tcW w:w="12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auto"/>
            </w:tcBorders>
            <w:vMerge w:val="continue"/>
            <w:shd w:val="clear" w:color="auto" w:fill="CCEEFF"/>
          </w:tcPr>
          <w:p>
            <w:pPr>
              <w:spacing w:after="0"/>
              <w:rPr>
                <w:sz w:val="19"/>
                <w:szCs w:val="19"/>
                <w:color w:val="auto"/>
              </w:rPr>
            </w:pPr>
          </w:p>
        </w:tc>
        <w:tc>
          <w:tcPr>
            <w:tcW w:w="1000" w:type="dxa"/>
            <w:vAlign w:val="bottom"/>
            <w:tcBorders>
              <w:bottom w:val="single" w:sz="8" w:color="auto"/>
            </w:tcBorders>
            <w:vMerge w:val="continue"/>
            <w:shd w:val="clear" w:color="auto" w:fill="CCEEFF"/>
          </w:tcPr>
          <w:p>
            <w:pPr>
              <w:spacing w:after="0"/>
              <w:rPr>
                <w:sz w:val="19"/>
                <w:szCs w:val="19"/>
                <w:color w:val="auto"/>
              </w:rPr>
            </w:pPr>
          </w:p>
        </w:tc>
        <w:tc>
          <w:tcPr>
            <w:tcW w:w="12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auto"/>
            </w:tcBorders>
            <w:vMerge w:val="continue"/>
            <w:shd w:val="clear" w:color="auto" w:fill="CCEEFF"/>
          </w:tcPr>
          <w:p>
            <w:pPr>
              <w:spacing w:after="0"/>
              <w:rPr>
                <w:sz w:val="19"/>
                <w:szCs w:val="19"/>
                <w:color w:val="auto"/>
              </w:rPr>
            </w:pPr>
          </w:p>
        </w:tc>
        <w:tc>
          <w:tcPr>
            <w:tcW w:w="860" w:type="dxa"/>
            <w:vAlign w:val="bottom"/>
            <w:tcBorders>
              <w:bottom w:val="single" w:sz="8" w:color="auto"/>
            </w:tcBorders>
            <w:vMerge w:val="continue"/>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160" w:type="dxa"/>
            <w:vAlign w:val="bottom"/>
            <w:tcBorders>
              <w:bottom w:val="single" w:sz="8" w:color="auto"/>
            </w:tcBorders>
            <w:vMerge w:val="continue"/>
            <w:shd w:val="clear" w:color="auto" w:fill="CCEEFF"/>
          </w:tcPr>
          <w:p>
            <w:pPr>
              <w:spacing w:after="0"/>
              <w:rPr>
                <w:sz w:val="19"/>
                <w:szCs w:val="19"/>
                <w:color w:val="auto"/>
              </w:rPr>
            </w:pPr>
          </w:p>
        </w:tc>
        <w:tc>
          <w:tcPr>
            <w:tcW w:w="1040" w:type="dxa"/>
            <w:vAlign w:val="bottom"/>
            <w:tcBorders>
              <w:bottom w:val="single" w:sz="8" w:color="auto"/>
            </w:tcBorders>
            <w:vMerge w:val="continue"/>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3020" w:type="dxa"/>
            <w:vAlign w:val="bottom"/>
            <w:tcBorders>
              <w:bottom w:val="single" w:sz="8" w:color="CCEEFF"/>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32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2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364" w:right="359" w:bottom="1440" w:gutter="0" w:footer="0" w:header="0"/>
        </w:sectPr>
      </w:pPr>
    </w:p>
    <w:bookmarkStart w:id="14" w:name="page15"/>
    <w:bookmarkEnd w:id="14"/>
    <w:p>
      <w:pPr>
        <w:spacing w:after="0"/>
        <w:rPr>
          <w:rFonts w:ascii="Times New Roman" w:cs="Times New Roman" w:eastAsia="Times New Roman" w:hAnsi="Times New Roman"/>
          <w:sz w:val="18"/>
          <w:szCs w:val="18"/>
          <w:u w:val="single" w:color="auto"/>
          <w:color w:val="0000FF"/>
        </w:rPr>
      </w:pPr>
      <w:hyperlink w:anchor="page1">
        <w:r>
          <w:rPr>
            <w:rFonts w:ascii="Times New Roman" w:cs="Times New Roman" w:eastAsia="Times New Roman" w:hAnsi="Times New Roman"/>
            <w:sz w:val="18"/>
            <w:szCs w:val="18"/>
            <w:u w:val="single" w:color="auto"/>
            <w:color w:val="0000FF"/>
          </w:rPr>
          <w:t>Table of Contents</w:t>
        </w:r>
      </w:hyperlink>
    </w:p>
    <w:p>
      <w:pPr>
        <w:spacing w:after="0" w:line="200" w:lineRule="exact"/>
        <w:rPr>
          <w:sz w:val="20"/>
          <w:szCs w:val="20"/>
          <w:color w:val="auto"/>
        </w:rPr>
      </w:pPr>
    </w:p>
    <w:p>
      <w:pPr>
        <w:spacing w:after="0" w:line="28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2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40" w:type="dxa"/>
            <w:vAlign w:val="bottom"/>
            <w:gridSpan w:val="3"/>
          </w:tcPr>
          <w:p>
            <w:pPr>
              <w:jc w:val="center"/>
              <w:ind w:right="120"/>
              <w:spacing w:after="0"/>
              <w:rPr>
                <w:sz w:val="20"/>
                <w:szCs w:val="20"/>
                <w:color w:val="auto"/>
              </w:rPr>
            </w:pPr>
            <w:r>
              <w:rPr>
                <w:rFonts w:ascii="Times New Roman" w:cs="Times New Roman" w:eastAsia="Times New Roman" w:hAnsi="Times New Roman"/>
                <w:sz w:val="14"/>
                <w:szCs w:val="14"/>
                <w:b w:val="1"/>
                <w:bCs w:val="1"/>
                <w:color w:val="auto"/>
              </w:rPr>
              <w:t>Quoted prices in</w:t>
            </w:r>
          </w:p>
        </w:tc>
        <w:tc>
          <w:tcPr>
            <w:tcW w:w="120" w:type="dxa"/>
            <w:vAlign w:val="bottom"/>
          </w:tcPr>
          <w:p>
            <w:pPr>
              <w:spacing w:after="0"/>
              <w:rPr>
                <w:sz w:val="13"/>
                <w:szCs w:val="13"/>
                <w:color w:val="auto"/>
              </w:rPr>
            </w:pPr>
          </w:p>
        </w:tc>
        <w:tc>
          <w:tcPr>
            <w:tcW w:w="960" w:type="dxa"/>
            <w:vAlign w:val="bottom"/>
            <w:gridSpan w:val="2"/>
          </w:tcPr>
          <w:p>
            <w:pPr>
              <w:jc w:val="center"/>
              <w:ind w:right="220"/>
              <w:spacing w:after="0"/>
              <w:rPr>
                <w:sz w:val="20"/>
                <w:szCs w:val="20"/>
                <w:color w:val="auto"/>
              </w:rPr>
            </w:pPr>
            <w:r>
              <w:rPr>
                <w:rFonts w:ascii="Times New Roman" w:cs="Times New Roman" w:eastAsia="Times New Roman" w:hAnsi="Times New Roman"/>
                <w:sz w:val="14"/>
                <w:szCs w:val="14"/>
                <w:b w:val="1"/>
                <w:bCs w:val="1"/>
                <w:color w:val="auto"/>
              </w:rPr>
              <w:t>Significant</w:t>
            </w:r>
          </w:p>
        </w:tc>
        <w:tc>
          <w:tcPr>
            <w:tcW w:w="140" w:type="dxa"/>
            <w:vAlign w:val="bottom"/>
          </w:tcPr>
          <w:p>
            <w:pPr>
              <w:spacing w:after="0"/>
              <w:rPr>
                <w:sz w:val="13"/>
                <w:szCs w:val="13"/>
                <w:color w:val="auto"/>
              </w:rPr>
            </w:pPr>
          </w:p>
        </w:tc>
        <w:tc>
          <w:tcPr>
            <w:tcW w:w="1060" w:type="dxa"/>
            <w:vAlign w:val="bottom"/>
            <w:vMerge w:val="restart"/>
          </w:tcPr>
          <w:p>
            <w:pPr>
              <w:jc w:val="center"/>
              <w:ind w:right="53"/>
              <w:spacing w:after="0"/>
              <w:rPr>
                <w:sz w:val="20"/>
                <w:szCs w:val="20"/>
                <w:color w:val="auto"/>
              </w:rPr>
            </w:pPr>
            <w:r>
              <w:rPr>
                <w:rFonts w:ascii="Times New Roman" w:cs="Times New Roman" w:eastAsia="Times New Roman" w:hAnsi="Times New Roman"/>
                <w:sz w:val="14"/>
                <w:szCs w:val="14"/>
                <w:b w:val="1"/>
                <w:bCs w:val="1"/>
                <w:color w:val="auto"/>
              </w:rPr>
              <w:t>Significant</w:t>
            </w:r>
          </w:p>
        </w:tc>
        <w:tc>
          <w:tcPr>
            <w:tcW w:w="100" w:type="dxa"/>
            <w:vAlign w:val="bottom"/>
          </w:tcPr>
          <w:p>
            <w:pPr>
              <w:spacing w:after="0"/>
              <w:rPr>
                <w:sz w:val="13"/>
                <w:szCs w:val="13"/>
                <w:color w:val="auto"/>
              </w:rPr>
            </w:pPr>
          </w:p>
        </w:tc>
        <w:tc>
          <w:tcPr>
            <w:tcW w:w="30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5"/>
        </w:trPr>
        <w:tc>
          <w:tcPr>
            <w:tcW w:w="3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40" w:type="dxa"/>
            <w:vAlign w:val="bottom"/>
            <w:gridSpan w:val="2"/>
          </w:tcPr>
          <w:p>
            <w:pPr>
              <w:jc w:val="center"/>
              <w:ind w:right="240"/>
              <w:spacing w:after="0" w:line="135" w:lineRule="exact"/>
              <w:rPr>
                <w:sz w:val="20"/>
                <w:szCs w:val="20"/>
                <w:color w:val="auto"/>
              </w:rPr>
            </w:pPr>
            <w:r>
              <w:rPr>
                <w:rFonts w:ascii="Times New Roman" w:cs="Times New Roman" w:eastAsia="Times New Roman" w:hAnsi="Times New Roman"/>
                <w:sz w:val="14"/>
                <w:szCs w:val="14"/>
                <w:b w:val="1"/>
                <w:bCs w:val="1"/>
                <w:color w:val="auto"/>
              </w:rPr>
              <w:t>active markets</w:t>
            </w:r>
          </w:p>
        </w:tc>
        <w:tc>
          <w:tcPr>
            <w:tcW w:w="120" w:type="dxa"/>
            <w:vAlign w:val="bottom"/>
          </w:tcPr>
          <w:p>
            <w:pPr>
              <w:spacing w:after="0"/>
              <w:rPr>
                <w:sz w:val="11"/>
                <w:szCs w:val="11"/>
                <w:color w:val="auto"/>
              </w:rPr>
            </w:pPr>
          </w:p>
        </w:tc>
        <w:tc>
          <w:tcPr>
            <w:tcW w:w="960" w:type="dxa"/>
            <w:vAlign w:val="bottom"/>
            <w:gridSpan w:val="2"/>
          </w:tcPr>
          <w:p>
            <w:pPr>
              <w:jc w:val="center"/>
              <w:ind w:right="240"/>
              <w:spacing w:after="0" w:line="135" w:lineRule="exact"/>
              <w:rPr>
                <w:sz w:val="20"/>
                <w:szCs w:val="20"/>
                <w:color w:val="auto"/>
              </w:rPr>
            </w:pPr>
            <w:r>
              <w:rPr>
                <w:rFonts w:ascii="Times New Roman" w:cs="Times New Roman" w:eastAsia="Times New Roman" w:hAnsi="Times New Roman"/>
                <w:sz w:val="14"/>
                <w:szCs w:val="14"/>
                <w:b w:val="1"/>
                <w:bCs w:val="1"/>
                <w:color w:val="auto"/>
              </w:rPr>
              <w:t>other</w:t>
            </w:r>
          </w:p>
        </w:tc>
        <w:tc>
          <w:tcPr>
            <w:tcW w:w="140" w:type="dxa"/>
            <w:vAlign w:val="bottom"/>
          </w:tcPr>
          <w:p>
            <w:pPr>
              <w:spacing w:after="0"/>
              <w:rPr>
                <w:sz w:val="11"/>
                <w:szCs w:val="11"/>
                <w:color w:val="auto"/>
              </w:rPr>
            </w:pPr>
          </w:p>
        </w:tc>
        <w:tc>
          <w:tcPr>
            <w:tcW w:w="1060" w:type="dxa"/>
            <w:vAlign w:val="bottom"/>
            <w:vMerge w:val="continue"/>
          </w:tcPr>
          <w:p>
            <w:pPr>
              <w:spacing w:after="0"/>
              <w:rPr>
                <w:sz w:val="11"/>
                <w:szCs w:val="11"/>
                <w:color w:val="auto"/>
              </w:rPr>
            </w:pPr>
          </w:p>
        </w:tc>
        <w:tc>
          <w:tcPr>
            <w:tcW w:w="100" w:type="dxa"/>
            <w:vAlign w:val="bottom"/>
          </w:tcPr>
          <w:p>
            <w:pPr>
              <w:spacing w:after="0"/>
              <w:rPr>
                <w:sz w:val="11"/>
                <w:szCs w:val="11"/>
                <w:color w:val="auto"/>
              </w:rPr>
            </w:pPr>
          </w:p>
        </w:tc>
        <w:tc>
          <w:tcPr>
            <w:tcW w:w="30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32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0" w:type="dxa"/>
            <w:vAlign w:val="bottom"/>
            <w:gridSpan w:val="2"/>
            <w:vMerge w:val="restart"/>
          </w:tcPr>
          <w:p>
            <w:pPr>
              <w:spacing w:after="0"/>
              <w:rPr>
                <w:sz w:val="20"/>
                <w:szCs w:val="20"/>
                <w:color w:val="auto"/>
              </w:rPr>
            </w:pPr>
            <w:r>
              <w:rPr>
                <w:rFonts w:ascii="Times New Roman" w:cs="Times New Roman" w:eastAsia="Times New Roman" w:hAnsi="Times New Roman"/>
                <w:sz w:val="14"/>
                <w:szCs w:val="14"/>
                <w:b w:val="1"/>
                <w:bCs w:val="1"/>
                <w:color w:val="auto"/>
              </w:rPr>
              <w:t>March 31, 2020</w:t>
            </w:r>
          </w:p>
        </w:tc>
        <w:tc>
          <w:tcPr>
            <w:tcW w:w="100" w:type="dxa"/>
            <w:vAlign w:val="bottom"/>
          </w:tcPr>
          <w:p>
            <w:pPr>
              <w:spacing w:after="0"/>
              <w:rPr>
                <w:sz w:val="11"/>
                <w:szCs w:val="11"/>
                <w:color w:val="auto"/>
              </w:rPr>
            </w:pPr>
          </w:p>
        </w:tc>
        <w:tc>
          <w:tcPr>
            <w:tcW w:w="1140" w:type="dxa"/>
            <w:vAlign w:val="bottom"/>
            <w:gridSpan w:val="2"/>
          </w:tcPr>
          <w:p>
            <w:pPr>
              <w:jc w:val="center"/>
              <w:ind w:right="220"/>
              <w:spacing w:after="0" w:line="135" w:lineRule="exact"/>
              <w:rPr>
                <w:sz w:val="20"/>
                <w:szCs w:val="20"/>
                <w:color w:val="auto"/>
              </w:rPr>
            </w:pPr>
            <w:r>
              <w:rPr>
                <w:rFonts w:ascii="Times New Roman" w:cs="Times New Roman" w:eastAsia="Times New Roman" w:hAnsi="Times New Roman"/>
                <w:sz w:val="14"/>
                <w:szCs w:val="14"/>
                <w:b w:val="1"/>
                <w:bCs w:val="1"/>
                <w:color w:val="auto"/>
              </w:rPr>
              <w:t>for identical</w:t>
            </w:r>
          </w:p>
        </w:tc>
        <w:tc>
          <w:tcPr>
            <w:tcW w:w="120" w:type="dxa"/>
            <w:vAlign w:val="bottom"/>
          </w:tcPr>
          <w:p>
            <w:pPr>
              <w:spacing w:after="0"/>
              <w:rPr>
                <w:sz w:val="11"/>
                <w:szCs w:val="11"/>
                <w:color w:val="auto"/>
              </w:rPr>
            </w:pPr>
          </w:p>
        </w:tc>
        <w:tc>
          <w:tcPr>
            <w:tcW w:w="960" w:type="dxa"/>
            <w:vAlign w:val="bottom"/>
            <w:gridSpan w:val="2"/>
          </w:tcPr>
          <w:p>
            <w:pPr>
              <w:jc w:val="center"/>
              <w:ind w:right="220"/>
              <w:spacing w:after="0" w:line="135" w:lineRule="exact"/>
              <w:rPr>
                <w:sz w:val="20"/>
                <w:szCs w:val="20"/>
                <w:color w:val="auto"/>
              </w:rPr>
            </w:pPr>
            <w:r>
              <w:rPr>
                <w:rFonts w:ascii="Times New Roman" w:cs="Times New Roman" w:eastAsia="Times New Roman" w:hAnsi="Times New Roman"/>
                <w:sz w:val="14"/>
                <w:szCs w:val="14"/>
                <w:b w:val="1"/>
                <w:bCs w:val="1"/>
                <w:color w:val="auto"/>
              </w:rPr>
              <w:t>observable</w:t>
            </w:r>
          </w:p>
        </w:tc>
        <w:tc>
          <w:tcPr>
            <w:tcW w:w="140" w:type="dxa"/>
            <w:vAlign w:val="bottom"/>
          </w:tcPr>
          <w:p>
            <w:pPr>
              <w:spacing w:after="0"/>
              <w:rPr>
                <w:sz w:val="11"/>
                <w:szCs w:val="11"/>
                <w:color w:val="auto"/>
              </w:rPr>
            </w:pPr>
          </w:p>
        </w:tc>
        <w:tc>
          <w:tcPr>
            <w:tcW w:w="1060" w:type="dxa"/>
            <w:vAlign w:val="bottom"/>
          </w:tcPr>
          <w:p>
            <w:pPr>
              <w:jc w:val="center"/>
              <w:ind w:right="53"/>
              <w:spacing w:after="0" w:line="135" w:lineRule="exact"/>
              <w:rPr>
                <w:sz w:val="20"/>
                <w:szCs w:val="20"/>
                <w:color w:val="auto"/>
              </w:rPr>
            </w:pPr>
            <w:r>
              <w:rPr>
                <w:rFonts w:ascii="Times New Roman" w:cs="Times New Roman" w:eastAsia="Times New Roman" w:hAnsi="Times New Roman"/>
                <w:sz w:val="14"/>
                <w:szCs w:val="14"/>
                <w:b w:val="1"/>
                <w:bCs w:val="1"/>
                <w:color w:val="auto"/>
              </w:rPr>
              <w:t>unobservable</w:t>
            </w:r>
          </w:p>
        </w:tc>
        <w:tc>
          <w:tcPr>
            <w:tcW w:w="100" w:type="dxa"/>
            <w:vAlign w:val="bottom"/>
          </w:tcPr>
          <w:p>
            <w:pPr>
              <w:spacing w:after="0"/>
              <w:rPr>
                <w:sz w:val="11"/>
                <w:szCs w:val="11"/>
                <w:color w:val="auto"/>
              </w:rPr>
            </w:pPr>
          </w:p>
        </w:tc>
        <w:tc>
          <w:tcPr>
            <w:tcW w:w="3020" w:type="dxa"/>
            <w:vAlign w:val="bottom"/>
            <w:vMerge w:val="restart"/>
          </w:tcPr>
          <w:p>
            <w:pPr>
              <w:ind w:left="640"/>
              <w:spacing w:after="0"/>
              <w:rPr>
                <w:sz w:val="20"/>
                <w:szCs w:val="20"/>
                <w:color w:val="auto"/>
              </w:rPr>
            </w:pPr>
            <w:r>
              <w:rPr>
                <w:rFonts w:ascii="Times New Roman" w:cs="Times New Roman" w:eastAsia="Times New Roman" w:hAnsi="Times New Roman"/>
                <w:sz w:val="14"/>
                <w:szCs w:val="14"/>
                <w:b w:val="1"/>
                <w:bCs w:val="1"/>
                <w:color w:val="auto"/>
              </w:rPr>
              <w:t>Balance Sheet Classification</w:t>
            </w:r>
          </w:p>
        </w:tc>
        <w:tc>
          <w:tcPr>
            <w:tcW w:w="0" w:type="dxa"/>
            <w:vAlign w:val="bottom"/>
          </w:tcPr>
          <w:p>
            <w:pPr>
              <w:spacing w:after="0"/>
              <w:rPr>
                <w:sz w:val="1"/>
                <w:szCs w:val="1"/>
                <w:color w:val="auto"/>
              </w:rPr>
            </w:pPr>
          </w:p>
        </w:tc>
      </w:tr>
      <w:tr>
        <w:trPr>
          <w:trHeight w:val="189"/>
        </w:trPr>
        <w:tc>
          <w:tcPr>
            <w:tcW w:w="32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00" w:type="dxa"/>
            <w:vAlign w:val="bottom"/>
            <w:gridSpan w:val="2"/>
            <w:vMerge w:val="continue"/>
          </w:tcPr>
          <w:p>
            <w:pPr>
              <w:spacing w:after="0"/>
              <w:rPr>
                <w:sz w:val="16"/>
                <w:szCs w:val="16"/>
                <w:color w:val="auto"/>
              </w:rPr>
            </w:pPr>
          </w:p>
        </w:tc>
        <w:tc>
          <w:tcPr>
            <w:tcW w:w="100" w:type="dxa"/>
            <w:vAlign w:val="bottom"/>
          </w:tcPr>
          <w:p>
            <w:pPr>
              <w:spacing w:after="0"/>
              <w:rPr>
                <w:sz w:val="16"/>
                <w:szCs w:val="16"/>
                <w:color w:val="auto"/>
              </w:rPr>
            </w:pPr>
          </w:p>
        </w:tc>
        <w:tc>
          <w:tcPr>
            <w:tcW w:w="1140" w:type="dxa"/>
            <w:vAlign w:val="bottom"/>
            <w:gridSpan w:val="2"/>
          </w:tcPr>
          <w:p>
            <w:pPr>
              <w:jc w:val="center"/>
              <w:ind w:right="220"/>
              <w:spacing w:after="0"/>
              <w:rPr>
                <w:sz w:val="20"/>
                <w:szCs w:val="20"/>
                <w:color w:val="auto"/>
              </w:rPr>
            </w:pPr>
            <w:r>
              <w:rPr>
                <w:rFonts w:ascii="Times New Roman" w:cs="Times New Roman" w:eastAsia="Times New Roman" w:hAnsi="Times New Roman"/>
                <w:sz w:val="14"/>
                <w:szCs w:val="14"/>
                <w:b w:val="1"/>
                <w:bCs w:val="1"/>
                <w:color w:val="auto"/>
              </w:rPr>
              <w:t>assets (level 1)</w:t>
            </w:r>
          </w:p>
        </w:tc>
        <w:tc>
          <w:tcPr>
            <w:tcW w:w="1080" w:type="dxa"/>
            <w:vAlign w:val="bottom"/>
            <w:gridSpan w:val="3"/>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rPr>
              <w:t>inputs (level 2)</w:t>
            </w:r>
          </w:p>
        </w:tc>
        <w:tc>
          <w:tcPr>
            <w:tcW w:w="140" w:type="dxa"/>
            <w:vAlign w:val="bottom"/>
          </w:tcPr>
          <w:p>
            <w:pPr>
              <w:spacing w:after="0"/>
              <w:rPr>
                <w:sz w:val="16"/>
                <w:szCs w:val="16"/>
                <w:color w:val="auto"/>
              </w:rPr>
            </w:pPr>
          </w:p>
        </w:tc>
        <w:tc>
          <w:tcPr>
            <w:tcW w:w="1060" w:type="dxa"/>
            <w:vAlign w:val="bottom"/>
          </w:tcPr>
          <w:p>
            <w:pPr>
              <w:jc w:val="center"/>
              <w:ind w:right="53"/>
              <w:spacing w:after="0"/>
              <w:rPr>
                <w:sz w:val="20"/>
                <w:szCs w:val="20"/>
                <w:color w:val="auto"/>
              </w:rPr>
            </w:pPr>
            <w:r>
              <w:rPr>
                <w:rFonts w:ascii="Times New Roman" w:cs="Times New Roman" w:eastAsia="Times New Roman" w:hAnsi="Times New Roman"/>
                <w:sz w:val="14"/>
                <w:szCs w:val="14"/>
                <w:b w:val="1"/>
                <w:bCs w:val="1"/>
                <w:color w:val="auto"/>
              </w:rPr>
              <w:t>inputs (level 3)</w:t>
            </w:r>
          </w:p>
        </w:tc>
        <w:tc>
          <w:tcPr>
            <w:tcW w:w="100" w:type="dxa"/>
            <w:vAlign w:val="bottom"/>
          </w:tcPr>
          <w:p>
            <w:pPr>
              <w:spacing w:after="0"/>
              <w:rPr>
                <w:sz w:val="16"/>
                <w:szCs w:val="16"/>
                <w:color w:val="auto"/>
              </w:rPr>
            </w:pPr>
          </w:p>
        </w:tc>
        <w:tc>
          <w:tcPr>
            <w:tcW w:w="302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23"/>
        </w:trPr>
        <w:tc>
          <w:tcPr>
            <w:tcW w:w="322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Money market funds</w:t>
            </w: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497,861</w:t>
            </w:r>
          </w:p>
        </w:tc>
        <w:tc>
          <w:tcPr>
            <w:tcW w:w="120" w:type="dxa"/>
            <w:vAlign w:val="bottom"/>
            <w:tcBorders>
              <w:top w:val="single" w:sz="8" w:color="CCEEFF"/>
            </w:tcBorders>
            <w:shd w:val="clear" w:color="auto" w:fill="CCEEFF"/>
          </w:tcPr>
          <w:p>
            <w:pPr>
              <w:spacing w:after="0"/>
              <w:rPr>
                <w:sz w:val="19"/>
                <w:szCs w:val="19"/>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497,861</w:t>
            </w:r>
          </w:p>
        </w:tc>
        <w:tc>
          <w:tcPr>
            <w:tcW w:w="120" w:type="dxa"/>
            <w:vAlign w:val="bottom"/>
            <w:tcBorders>
              <w:top w:val="single" w:sz="8" w:color="CCEEFF"/>
            </w:tcBorders>
            <w:shd w:val="clear" w:color="auto" w:fill="CCEEFF"/>
          </w:tcPr>
          <w:p>
            <w:pPr>
              <w:spacing w:after="0"/>
              <w:rPr>
                <w:sz w:val="19"/>
                <w:szCs w:val="19"/>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Borders>
              <w:top w:val="single" w:sz="8" w:color="CCEEFF"/>
            </w:tcBorders>
            <w:shd w:val="clear" w:color="auto" w:fill="CCEEFF"/>
          </w:tcPr>
          <w:p>
            <w:pPr>
              <w:spacing w:after="0"/>
              <w:rPr>
                <w:sz w:val="19"/>
                <w:szCs w:val="19"/>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Borders>
              <w:top w:val="single" w:sz="8" w:color="CCEEFF"/>
            </w:tcBorders>
            <w:shd w:val="clear" w:color="auto" w:fill="CCEEFF"/>
          </w:tcPr>
          <w:p>
            <w:pPr>
              <w:spacing w:after="0"/>
              <w:rPr>
                <w:sz w:val="19"/>
                <w:szCs w:val="19"/>
                <w:color w:val="auto"/>
              </w:rPr>
            </w:pPr>
          </w:p>
        </w:tc>
        <w:tc>
          <w:tcPr>
            <w:tcW w:w="3020" w:type="dxa"/>
            <w:vAlign w:val="bottom"/>
            <w:tcBorders>
              <w:top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Cash and cash equivalents</w:t>
            </w:r>
          </w:p>
        </w:tc>
        <w:tc>
          <w:tcPr>
            <w:tcW w:w="0" w:type="dxa"/>
            <w:vAlign w:val="bottom"/>
          </w:tcPr>
          <w:p>
            <w:pPr>
              <w:spacing w:after="0"/>
              <w:rPr>
                <w:sz w:val="1"/>
                <w:szCs w:val="1"/>
                <w:color w:val="auto"/>
              </w:rPr>
            </w:pPr>
          </w:p>
        </w:tc>
      </w:tr>
      <w:tr>
        <w:trPr>
          <w:trHeight w:val="229"/>
        </w:trPr>
        <w:tc>
          <w:tcPr>
            <w:tcW w:w="32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Bank-time deposits</w:t>
            </w:r>
          </w:p>
        </w:tc>
        <w:tc>
          <w:tcPr>
            <w:tcW w:w="12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313,757</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313,757</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6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9"/>
                <w:szCs w:val="19"/>
                <w:color w:val="auto"/>
              </w:rPr>
            </w:pPr>
          </w:p>
        </w:tc>
        <w:tc>
          <w:tcPr>
            <w:tcW w:w="30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Cash and cash equivalents</w:t>
            </w:r>
          </w:p>
        </w:tc>
        <w:tc>
          <w:tcPr>
            <w:tcW w:w="0" w:type="dxa"/>
            <w:vAlign w:val="bottom"/>
          </w:tcPr>
          <w:p>
            <w:pPr>
              <w:spacing w:after="0"/>
              <w:rPr>
                <w:sz w:val="1"/>
                <w:szCs w:val="1"/>
                <w:color w:val="auto"/>
              </w:rPr>
            </w:pPr>
          </w:p>
        </w:tc>
      </w:tr>
      <w:tr>
        <w:trPr>
          <w:trHeight w:val="229"/>
        </w:trPr>
        <w:tc>
          <w:tcPr>
            <w:tcW w:w="32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Commercial paper</w:t>
            </w:r>
          </w:p>
        </w:tc>
        <w:tc>
          <w:tcPr>
            <w:tcW w:w="12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97,544</w:t>
            </w:r>
          </w:p>
        </w:tc>
        <w:tc>
          <w:tcPr>
            <w:tcW w:w="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14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97,544</w:t>
            </w: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19"/>
                <w:szCs w:val="19"/>
                <w:color w:val="auto"/>
              </w:rPr>
            </w:pPr>
          </w:p>
        </w:tc>
        <w:tc>
          <w:tcPr>
            <w:tcW w:w="30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Cash and cash equivalents</w:t>
            </w:r>
          </w:p>
        </w:tc>
        <w:tc>
          <w:tcPr>
            <w:tcW w:w="0" w:type="dxa"/>
            <w:vAlign w:val="bottom"/>
          </w:tcPr>
          <w:p>
            <w:pPr>
              <w:spacing w:after="0"/>
              <w:rPr>
                <w:sz w:val="1"/>
                <w:szCs w:val="1"/>
                <w:color w:val="auto"/>
              </w:rPr>
            </w:pPr>
          </w:p>
        </w:tc>
      </w:tr>
      <w:tr>
        <w:trPr>
          <w:trHeight w:val="230"/>
        </w:trPr>
        <w:tc>
          <w:tcPr>
            <w:tcW w:w="32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Corporate bonds</w:t>
            </w:r>
          </w:p>
        </w:tc>
        <w:tc>
          <w:tcPr>
            <w:tcW w:w="12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9,888</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4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9,888</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9"/>
                <w:szCs w:val="19"/>
                <w:color w:val="auto"/>
              </w:rPr>
            </w:pPr>
          </w:p>
        </w:tc>
        <w:tc>
          <w:tcPr>
            <w:tcW w:w="30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Cash and cash equivalents</w:t>
            </w:r>
          </w:p>
        </w:tc>
        <w:tc>
          <w:tcPr>
            <w:tcW w:w="0" w:type="dxa"/>
            <w:vAlign w:val="bottom"/>
          </w:tcPr>
          <w:p>
            <w:pPr>
              <w:spacing w:after="0"/>
              <w:rPr>
                <w:sz w:val="1"/>
                <w:szCs w:val="1"/>
                <w:color w:val="auto"/>
              </w:rPr>
            </w:pPr>
          </w:p>
        </w:tc>
      </w:tr>
      <w:tr>
        <w:trPr>
          <w:trHeight w:val="229"/>
        </w:trPr>
        <w:tc>
          <w:tcPr>
            <w:tcW w:w="32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Money market funds</w:t>
            </w:r>
          </w:p>
        </w:tc>
        <w:tc>
          <w:tcPr>
            <w:tcW w:w="12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546,604</w:t>
            </w:r>
          </w:p>
        </w:tc>
        <w:tc>
          <w:tcPr>
            <w:tcW w:w="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0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546,604</w:t>
            </w: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96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19"/>
                <w:szCs w:val="19"/>
                <w:color w:val="auto"/>
              </w:rPr>
            </w:pPr>
          </w:p>
        </w:tc>
        <w:tc>
          <w:tcPr>
            <w:tcW w:w="30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Restricted cash and cash equivalents</w:t>
            </w:r>
          </w:p>
        </w:tc>
        <w:tc>
          <w:tcPr>
            <w:tcW w:w="0" w:type="dxa"/>
            <w:vAlign w:val="bottom"/>
          </w:tcPr>
          <w:p>
            <w:pPr>
              <w:spacing w:after="0"/>
              <w:rPr>
                <w:sz w:val="1"/>
                <w:szCs w:val="1"/>
                <w:color w:val="auto"/>
              </w:rPr>
            </w:pPr>
          </w:p>
        </w:tc>
      </w:tr>
      <w:tr>
        <w:trPr>
          <w:trHeight w:val="230"/>
        </w:trPr>
        <w:tc>
          <w:tcPr>
            <w:tcW w:w="32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Corporate bonds</w:t>
            </w:r>
          </w:p>
        </w:tc>
        <w:tc>
          <w:tcPr>
            <w:tcW w:w="12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334,631</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4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334,631</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9"/>
                <w:szCs w:val="19"/>
                <w:color w:val="auto"/>
              </w:rPr>
            </w:pPr>
          </w:p>
        </w:tc>
        <w:tc>
          <w:tcPr>
            <w:tcW w:w="30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Short-term investments</w:t>
            </w:r>
          </w:p>
        </w:tc>
        <w:tc>
          <w:tcPr>
            <w:tcW w:w="0" w:type="dxa"/>
            <w:vAlign w:val="bottom"/>
          </w:tcPr>
          <w:p>
            <w:pPr>
              <w:spacing w:after="0"/>
              <w:rPr>
                <w:sz w:val="1"/>
                <w:szCs w:val="1"/>
                <w:color w:val="auto"/>
              </w:rPr>
            </w:pPr>
          </w:p>
        </w:tc>
      </w:tr>
      <w:tr>
        <w:trPr>
          <w:trHeight w:val="229"/>
        </w:trPr>
        <w:tc>
          <w:tcPr>
            <w:tcW w:w="32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Bank-time deposits</w:t>
            </w:r>
          </w:p>
        </w:tc>
        <w:tc>
          <w:tcPr>
            <w:tcW w:w="12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191,000</w:t>
            </w:r>
          </w:p>
        </w:tc>
        <w:tc>
          <w:tcPr>
            <w:tcW w:w="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0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191,000</w:t>
            </w: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96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19"/>
                <w:szCs w:val="19"/>
                <w:color w:val="auto"/>
              </w:rPr>
            </w:pPr>
          </w:p>
        </w:tc>
        <w:tc>
          <w:tcPr>
            <w:tcW w:w="30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Short-term investments</w:t>
            </w:r>
          </w:p>
        </w:tc>
        <w:tc>
          <w:tcPr>
            <w:tcW w:w="0" w:type="dxa"/>
            <w:vAlign w:val="bottom"/>
          </w:tcPr>
          <w:p>
            <w:pPr>
              <w:spacing w:after="0"/>
              <w:rPr>
                <w:sz w:val="1"/>
                <w:szCs w:val="1"/>
                <w:color w:val="auto"/>
              </w:rPr>
            </w:pPr>
          </w:p>
        </w:tc>
      </w:tr>
      <w:tr>
        <w:trPr>
          <w:trHeight w:val="229"/>
        </w:trPr>
        <w:tc>
          <w:tcPr>
            <w:tcW w:w="32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US Treasuries</w:t>
            </w:r>
          </w:p>
        </w:tc>
        <w:tc>
          <w:tcPr>
            <w:tcW w:w="12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30,819</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30,819</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6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9"/>
                <w:szCs w:val="19"/>
                <w:color w:val="auto"/>
              </w:rPr>
            </w:pPr>
          </w:p>
        </w:tc>
        <w:tc>
          <w:tcPr>
            <w:tcW w:w="30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Short-term investments</w:t>
            </w:r>
          </w:p>
        </w:tc>
        <w:tc>
          <w:tcPr>
            <w:tcW w:w="0" w:type="dxa"/>
            <w:vAlign w:val="bottom"/>
          </w:tcPr>
          <w:p>
            <w:pPr>
              <w:spacing w:after="0"/>
              <w:rPr>
                <w:sz w:val="1"/>
                <w:szCs w:val="1"/>
                <w:color w:val="auto"/>
              </w:rPr>
            </w:pPr>
          </w:p>
        </w:tc>
      </w:tr>
      <w:tr>
        <w:trPr>
          <w:trHeight w:val="230"/>
        </w:trPr>
        <w:tc>
          <w:tcPr>
            <w:tcW w:w="32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Commercial paper</w:t>
            </w:r>
          </w:p>
        </w:tc>
        <w:tc>
          <w:tcPr>
            <w:tcW w:w="12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87,553</w:t>
            </w:r>
          </w:p>
        </w:tc>
        <w:tc>
          <w:tcPr>
            <w:tcW w:w="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14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87,553</w:t>
            </w: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19"/>
                <w:szCs w:val="19"/>
                <w:color w:val="auto"/>
              </w:rPr>
            </w:pPr>
          </w:p>
        </w:tc>
        <w:tc>
          <w:tcPr>
            <w:tcW w:w="30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Short-term investments</w:t>
            </w:r>
          </w:p>
        </w:tc>
        <w:tc>
          <w:tcPr>
            <w:tcW w:w="0" w:type="dxa"/>
            <w:vAlign w:val="bottom"/>
          </w:tcPr>
          <w:p>
            <w:pPr>
              <w:spacing w:after="0"/>
              <w:rPr>
                <w:sz w:val="1"/>
                <w:szCs w:val="1"/>
                <w:color w:val="auto"/>
              </w:rPr>
            </w:pPr>
          </w:p>
        </w:tc>
      </w:tr>
      <w:tr>
        <w:trPr>
          <w:trHeight w:val="229"/>
        </w:trPr>
        <w:tc>
          <w:tcPr>
            <w:tcW w:w="32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Cross-currency swap</w:t>
            </w:r>
          </w:p>
        </w:tc>
        <w:tc>
          <w:tcPr>
            <w:tcW w:w="12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11,275</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4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11,275</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9"/>
                <w:szCs w:val="19"/>
                <w:color w:val="auto"/>
              </w:rPr>
            </w:pPr>
          </w:p>
        </w:tc>
        <w:tc>
          <w:tcPr>
            <w:tcW w:w="30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Prepaid expenses and other</w:t>
            </w:r>
          </w:p>
        </w:tc>
        <w:tc>
          <w:tcPr>
            <w:tcW w:w="0" w:type="dxa"/>
            <w:vAlign w:val="bottom"/>
          </w:tcPr>
          <w:p>
            <w:pPr>
              <w:spacing w:after="0"/>
              <w:rPr>
                <w:sz w:val="1"/>
                <w:szCs w:val="1"/>
                <w:color w:val="auto"/>
              </w:rPr>
            </w:pPr>
          </w:p>
        </w:tc>
      </w:tr>
      <w:tr>
        <w:trPr>
          <w:trHeight w:val="176"/>
        </w:trPr>
        <w:tc>
          <w:tcPr>
            <w:tcW w:w="3220" w:type="dxa"/>
            <w:vAlign w:val="bottom"/>
            <w:shd w:val="clear" w:color="auto" w:fill="CCEEFF"/>
          </w:tcPr>
          <w:p>
            <w:pPr>
              <w:ind w:left="20"/>
              <w:spacing w:after="0" w:line="176" w:lineRule="exact"/>
              <w:rPr>
                <w:sz w:val="20"/>
                <w:szCs w:val="20"/>
                <w:color w:val="auto"/>
              </w:rPr>
            </w:pPr>
            <w:r>
              <w:rPr>
                <w:rFonts w:ascii="Times New Roman" w:cs="Times New Roman" w:eastAsia="Times New Roman" w:hAnsi="Times New Roman"/>
                <w:sz w:val="18"/>
                <w:szCs w:val="18"/>
                <w:color w:val="auto"/>
              </w:rPr>
              <w:t>Money market funds</w:t>
            </w:r>
          </w:p>
        </w:tc>
        <w:tc>
          <w:tcPr>
            <w:tcW w:w="120" w:type="dxa"/>
            <w:vAlign w:val="bottom"/>
            <w:shd w:val="clear" w:color="auto" w:fill="CCEEFF"/>
          </w:tcPr>
          <w:p>
            <w:pPr>
              <w:spacing w:after="0"/>
              <w:rPr>
                <w:sz w:val="15"/>
                <w:szCs w:val="15"/>
                <w:color w:val="auto"/>
              </w:rPr>
            </w:pPr>
          </w:p>
        </w:tc>
        <w:tc>
          <w:tcPr>
            <w:tcW w:w="1080" w:type="dxa"/>
            <w:vAlign w:val="bottom"/>
            <w:shd w:val="clear" w:color="auto" w:fill="CCEEFF"/>
          </w:tcPr>
          <w:p>
            <w:pPr>
              <w:jc w:val="right"/>
              <w:spacing w:after="0" w:line="176" w:lineRule="exact"/>
              <w:rPr>
                <w:sz w:val="20"/>
                <w:szCs w:val="20"/>
                <w:color w:val="auto"/>
              </w:rPr>
            </w:pPr>
            <w:r>
              <w:rPr>
                <w:rFonts w:ascii="Times New Roman" w:cs="Times New Roman" w:eastAsia="Times New Roman" w:hAnsi="Times New Roman"/>
                <w:sz w:val="18"/>
                <w:szCs w:val="18"/>
                <w:color w:val="auto"/>
              </w:rPr>
              <w:t>89,124</w:t>
            </w:r>
          </w:p>
        </w:tc>
        <w:tc>
          <w:tcPr>
            <w:tcW w:w="1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20" w:type="dxa"/>
            <w:vAlign w:val="bottom"/>
            <w:shd w:val="clear" w:color="auto" w:fill="CCEEFF"/>
          </w:tcPr>
          <w:p>
            <w:pPr>
              <w:jc w:val="right"/>
              <w:spacing w:after="0" w:line="176" w:lineRule="exact"/>
              <w:rPr>
                <w:sz w:val="20"/>
                <w:szCs w:val="20"/>
                <w:color w:val="auto"/>
              </w:rPr>
            </w:pPr>
            <w:r>
              <w:rPr>
                <w:rFonts w:ascii="Times New Roman" w:cs="Times New Roman" w:eastAsia="Times New Roman" w:hAnsi="Times New Roman"/>
                <w:sz w:val="18"/>
                <w:szCs w:val="18"/>
                <w:color w:val="auto"/>
              </w:rPr>
              <w:t>89,124</w:t>
            </w:r>
          </w:p>
        </w:tc>
        <w:tc>
          <w:tcPr>
            <w:tcW w:w="12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960" w:type="dxa"/>
            <w:vAlign w:val="bottom"/>
            <w:gridSpan w:val="2"/>
            <w:shd w:val="clear" w:color="auto" w:fill="CCEEFF"/>
          </w:tcPr>
          <w:p>
            <w:pPr>
              <w:jc w:val="right"/>
              <w:ind w:right="180"/>
              <w:spacing w:after="0" w:line="176" w:lineRule="exact"/>
              <w:rPr>
                <w:sz w:val="20"/>
                <w:szCs w:val="20"/>
                <w:color w:val="auto"/>
              </w:rPr>
            </w:pPr>
            <w:r>
              <w:rPr>
                <w:rFonts w:ascii="Times New Roman" w:cs="Times New Roman" w:eastAsia="Times New Roman" w:hAnsi="Times New Roman"/>
                <w:sz w:val="18"/>
                <w:szCs w:val="18"/>
                <w:color w:val="auto"/>
              </w:rPr>
              <w:t>—</w:t>
            </w:r>
          </w:p>
        </w:tc>
        <w:tc>
          <w:tcPr>
            <w:tcW w:w="140" w:type="dxa"/>
            <w:vAlign w:val="bottom"/>
            <w:shd w:val="clear" w:color="auto" w:fill="CCEEFF"/>
          </w:tcPr>
          <w:p>
            <w:pPr>
              <w:spacing w:after="0"/>
              <w:rPr>
                <w:sz w:val="15"/>
                <w:szCs w:val="15"/>
                <w:color w:val="auto"/>
              </w:rPr>
            </w:pPr>
          </w:p>
        </w:tc>
        <w:tc>
          <w:tcPr>
            <w:tcW w:w="1060" w:type="dxa"/>
            <w:vAlign w:val="bottom"/>
            <w:shd w:val="clear" w:color="auto" w:fill="CCEEFF"/>
          </w:tcPr>
          <w:p>
            <w:pPr>
              <w:jc w:val="right"/>
              <w:spacing w:after="0" w:line="176" w:lineRule="exact"/>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15"/>
                <w:szCs w:val="15"/>
                <w:color w:val="auto"/>
              </w:rPr>
            </w:pPr>
          </w:p>
        </w:tc>
        <w:tc>
          <w:tcPr>
            <w:tcW w:w="3020" w:type="dxa"/>
            <w:vAlign w:val="bottom"/>
            <w:shd w:val="clear" w:color="auto" w:fill="CCEEFF"/>
          </w:tcPr>
          <w:p>
            <w:pPr>
              <w:ind w:left="20"/>
              <w:spacing w:after="0" w:line="176" w:lineRule="exact"/>
              <w:rPr>
                <w:sz w:val="20"/>
                <w:szCs w:val="20"/>
                <w:color w:val="auto"/>
              </w:rPr>
            </w:pPr>
            <w:r>
              <w:rPr>
                <w:rFonts w:ascii="Times New Roman" w:cs="Times New Roman" w:eastAsia="Times New Roman" w:hAnsi="Times New Roman"/>
                <w:sz w:val="18"/>
                <w:szCs w:val="18"/>
                <w:color w:val="auto"/>
              </w:rPr>
              <w:t>Long-term restricted cash and cash</w:t>
            </w:r>
          </w:p>
        </w:tc>
        <w:tc>
          <w:tcPr>
            <w:tcW w:w="0" w:type="dxa"/>
            <w:vAlign w:val="bottom"/>
          </w:tcPr>
          <w:p>
            <w:pPr>
              <w:spacing w:after="0"/>
              <w:rPr>
                <w:sz w:val="1"/>
                <w:szCs w:val="1"/>
                <w:color w:val="auto"/>
              </w:rPr>
            </w:pPr>
          </w:p>
        </w:tc>
      </w:tr>
      <w:tr>
        <w:trPr>
          <w:trHeight w:val="229"/>
        </w:trPr>
        <w:tc>
          <w:tcPr>
            <w:tcW w:w="32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0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0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0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equivalents</w:t>
            </w:r>
          </w:p>
        </w:tc>
        <w:tc>
          <w:tcPr>
            <w:tcW w:w="0" w:type="dxa"/>
            <w:vAlign w:val="bottom"/>
          </w:tcPr>
          <w:p>
            <w:pPr>
              <w:spacing w:after="0"/>
              <w:rPr>
                <w:sz w:val="1"/>
                <w:szCs w:val="1"/>
                <w:color w:val="auto"/>
              </w:rPr>
            </w:pPr>
          </w:p>
        </w:tc>
      </w:tr>
      <w:tr>
        <w:trPr>
          <w:trHeight w:val="229"/>
        </w:trPr>
        <w:tc>
          <w:tcPr>
            <w:tcW w:w="32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Private equity</w:t>
            </w:r>
          </w:p>
        </w:tc>
        <w:tc>
          <w:tcPr>
            <w:tcW w:w="12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2,759</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4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Pr>
          <w:p>
            <w:pPr>
              <w:spacing w:after="0"/>
              <w:rPr>
                <w:sz w:val="19"/>
                <w:szCs w:val="19"/>
                <w:color w:val="auto"/>
              </w:rPr>
            </w:pPr>
          </w:p>
        </w:tc>
        <w:tc>
          <w:tcPr>
            <w:tcW w:w="960" w:type="dxa"/>
            <w:vAlign w:val="bottom"/>
            <w:gridSpan w:val="2"/>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2,759</w:t>
            </w:r>
          </w:p>
        </w:tc>
        <w:tc>
          <w:tcPr>
            <w:tcW w:w="100" w:type="dxa"/>
            <w:vAlign w:val="bottom"/>
          </w:tcPr>
          <w:p>
            <w:pPr>
              <w:spacing w:after="0"/>
              <w:rPr>
                <w:sz w:val="19"/>
                <w:szCs w:val="19"/>
                <w:color w:val="auto"/>
              </w:rPr>
            </w:pPr>
          </w:p>
        </w:tc>
        <w:tc>
          <w:tcPr>
            <w:tcW w:w="30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Other assets</w:t>
            </w:r>
          </w:p>
        </w:tc>
        <w:tc>
          <w:tcPr>
            <w:tcW w:w="0" w:type="dxa"/>
            <w:vAlign w:val="bottom"/>
          </w:tcPr>
          <w:p>
            <w:pPr>
              <w:spacing w:after="0"/>
              <w:rPr>
                <w:sz w:val="1"/>
                <w:szCs w:val="1"/>
                <w:color w:val="auto"/>
              </w:rPr>
            </w:pPr>
          </w:p>
        </w:tc>
      </w:tr>
      <w:tr>
        <w:trPr>
          <w:trHeight w:val="230"/>
        </w:trPr>
        <w:tc>
          <w:tcPr>
            <w:tcW w:w="32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Foreign currency forward contracts</w:t>
            </w:r>
          </w:p>
        </w:tc>
        <w:tc>
          <w:tcPr>
            <w:tcW w:w="12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w:t>
            </w:r>
          </w:p>
        </w:tc>
        <w:tc>
          <w:tcPr>
            <w:tcW w:w="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14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w:t>
            </w: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19"/>
                <w:szCs w:val="19"/>
                <w:color w:val="auto"/>
              </w:rPr>
            </w:pPr>
          </w:p>
        </w:tc>
        <w:tc>
          <w:tcPr>
            <w:tcW w:w="30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Accrued and other current liabilities</w:t>
            </w:r>
          </w:p>
        </w:tc>
        <w:tc>
          <w:tcPr>
            <w:tcW w:w="0" w:type="dxa"/>
            <w:vAlign w:val="bottom"/>
          </w:tcPr>
          <w:p>
            <w:pPr>
              <w:spacing w:after="0"/>
              <w:rPr>
                <w:sz w:val="1"/>
                <w:szCs w:val="1"/>
                <w:color w:val="auto"/>
              </w:rPr>
            </w:pPr>
          </w:p>
        </w:tc>
      </w:tr>
      <w:tr>
        <w:trPr>
          <w:trHeight w:val="155"/>
        </w:trPr>
        <w:tc>
          <w:tcPr>
            <w:tcW w:w="3220" w:type="dxa"/>
            <w:vAlign w:val="bottom"/>
          </w:tcPr>
          <w:p>
            <w:pPr>
              <w:ind w:left="20"/>
              <w:spacing w:after="0" w:line="156" w:lineRule="exact"/>
              <w:rPr>
                <w:sz w:val="20"/>
                <w:szCs w:val="20"/>
                <w:color w:val="auto"/>
              </w:rPr>
            </w:pPr>
            <w:r>
              <w:rPr>
                <w:rFonts w:ascii="Times New Roman" w:cs="Times New Roman" w:eastAsia="Times New Roman" w:hAnsi="Times New Roman"/>
                <w:sz w:val="18"/>
                <w:szCs w:val="18"/>
                <w:color w:val="auto"/>
              </w:rPr>
              <w:t>Total recurring fair value measurements,</w:t>
            </w:r>
          </w:p>
        </w:tc>
        <w:tc>
          <w:tcPr>
            <w:tcW w:w="120" w:type="dxa"/>
            <w:vAlign w:val="bottom"/>
            <w:tcBorders>
              <w:top w:val="single" w:sz="8" w:color="auto"/>
            </w:tcBorders>
            <w:vMerge w:val="restart"/>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80" w:type="dxa"/>
            <w:vAlign w:val="bottom"/>
            <w:tcBorders>
              <w:top w:val="single" w:sz="8" w:color="auto"/>
            </w:tcBorders>
            <w:vMerge w:val="restart"/>
          </w:tcPr>
          <w:p>
            <w:pPr>
              <w:jc w:val="right"/>
              <w:spacing w:after="0"/>
              <w:rPr>
                <w:sz w:val="20"/>
                <w:szCs w:val="20"/>
                <w:color w:val="auto"/>
              </w:rPr>
            </w:pPr>
            <w:r>
              <w:rPr>
                <w:rFonts w:ascii="Times New Roman" w:cs="Times New Roman" w:eastAsia="Times New Roman" w:hAnsi="Times New Roman"/>
                <w:sz w:val="18"/>
                <w:szCs w:val="18"/>
                <w:color w:val="auto"/>
              </w:rPr>
              <w:t>2,212,804</w:t>
            </w:r>
          </w:p>
        </w:tc>
        <w:tc>
          <w:tcPr>
            <w:tcW w:w="120" w:type="dxa"/>
            <w:vAlign w:val="bottom"/>
          </w:tcPr>
          <w:p>
            <w:pPr>
              <w:spacing w:after="0"/>
              <w:rPr>
                <w:sz w:val="13"/>
                <w:szCs w:val="13"/>
                <w:color w:val="auto"/>
              </w:rPr>
            </w:pPr>
          </w:p>
        </w:tc>
        <w:tc>
          <w:tcPr>
            <w:tcW w:w="100" w:type="dxa"/>
            <w:vAlign w:val="bottom"/>
            <w:tcBorders>
              <w:top w:val="single" w:sz="8" w:color="auto"/>
            </w:tcBorders>
            <w:vMerge w:val="restart"/>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20" w:type="dxa"/>
            <w:vAlign w:val="bottom"/>
            <w:tcBorders>
              <w:top w:val="single" w:sz="8" w:color="auto"/>
            </w:tcBorders>
            <w:vMerge w:val="restart"/>
          </w:tcPr>
          <w:p>
            <w:pPr>
              <w:jc w:val="right"/>
              <w:spacing w:after="0"/>
              <w:rPr>
                <w:sz w:val="20"/>
                <w:szCs w:val="20"/>
                <w:color w:val="auto"/>
              </w:rPr>
            </w:pPr>
            <w:r>
              <w:rPr>
                <w:rFonts w:ascii="Times New Roman" w:cs="Times New Roman" w:eastAsia="Times New Roman" w:hAnsi="Times New Roman"/>
                <w:sz w:val="18"/>
                <w:szCs w:val="18"/>
                <w:color w:val="auto"/>
              </w:rPr>
              <w:t>1,669,165</w:t>
            </w:r>
          </w:p>
        </w:tc>
        <w:tc>
          <w:tcPr>
            <w:tcW w:w="120" w:type="dxa"/>
            <w:vAlign w:val="bottom"/>
          </w:tcPr>
          <w:p>
            <w:pPr>
              <w:spacing w:after="0"/>
              <w:rPr>
                <w:sz w:val="13"/>
                <w:szCs w:val="13"/>
                <w:color w:val="auto"/>
              </w:rPr>
            </w:pPr>
          </w:p>
        </w:tc>
        <w:tc>
          <w:tcPr>
            <w:tcW w:w="120" w:type="dxa"/>
            <w:vAlign w:val="bottom"/>
            <w:tcBorders>
              <w:top w:val="single" w:sz="8" w:color="auto"/>
            </w:tcBorders>
            <w:vMerge w:val="restart"/>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Borders>
              <w:top w:val="single" w:sz="8" w:color="auto"/>
            </w:tcBorders>
            <w:vMerge w:val="restart"/>
          </w:tcPr>
          <w:p>
            <w:pPr>
              <w:jc w:val="right"/>
              <w:spacing w:after="0"/>
              <w:rPr>
                <w:sz w:val="20"/>
                <w:szCs w:val="20"/>
                <w:color w:val="auto"/>
              </w:rPr>
            </w:pPr>
            <w:r>
              <w:rPr>
                <w:rFonts w:ascii="Times New Roman" w:cs="Times New Roman" w:eastAsia="Times New Roman" w:hAnsi="Times New Roman"/>
                <w:sz w:val="18"/>
                <w:szCs w:val="18"/>
                <w:color w:val="auto"/>
              </w:rPr>
              <w:t>540,880</w:t>
            </w:r>
          </w:p>
        </w:tc>
        <w:tc>
          <w:tcPr>
            <w:tcW w:w="100" w:type="dxa"/>
            <w:vAlign w:val="bottom"/>
          </w:tcPr>
          <w:p>
            <w:pPr>
              <w:spacing w:after="0"/>
              <w:rPr>
                <w:sz w:val="13"/>
                <w:szCs w:val="13"/>
                <w:color w:val="auto"/>
              </w:rPr>
            </w:pPr>
          </w:p>
        </w:tc>
        <w:tc>
          <w:tcPr>
            <w:tcW w:w="140" w:type="dxa"/>
            <w:vAlign w:val="bottom"/>
            <w:tcBorders>
              <w:top w:val="single" w:sz="8" w:color="auto"/>
            </w:tcBorders>
            <w:vMerge w:val="restart"/>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60" w:type="dxa"/>
            <w:vAlign w:val="bottom"/>
            <w:tcBorders>
              <w:top w:val="single" w:sz="8" w:color="auto"/>
            </w:tcBorders>
            <w:vMerge w:val="restart"/>
          </w:tcPr>
          <w:p>
            <w:pPr>
              <w:jc w:val="right"/>
              <w:spacing w:after="0"/>
              <w:rPr>
                <w:sz w:val="20"/>
                <w:szCs w:val="20"/>
                <w:color w:val="auto"/>
              </w:rPr>
            </w:pPr>
            <w:r>
              <w:rPr>
                <w:rFonts w:ascii="Times New Roman" w:cs="Times New Roman" w:eastAsia="Times New Roman" w:hAnsi="Times New Roman"/>
                <w:sz w:val="18"/>
                <w:szCs w:val="18"/>
                <w:color w:val="auto"/>
              </w:rPr>
              <w:t>2,759</w:t>
            </w:r>
          </w:p>
        </w:tc>
        <w:tc>
          <w:tcPr>
            <w:tcW w:w="100" w:type="dxa"/>
            <w:vAlign w:val="bottom"/>
          </w:tcPr>
          <w:p>
            <w:pPr>
              <w:spacing w:after="0"/>
              <w:rPr>
                <w:sz w:val="13"/>
                <w:szCs w:val="13"/>
                <w:color w:val="auto"/>
              </w:rPr>
            </w:pPr>
          </w:p>
        </w:tc>
        <w:tc>
          <w:tcPr>
            <w:tcW w:w="30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8"/>
        </w:trPr>
        <w:tc>
          <w:tcPr>
            <w:tcW w:w="3220" w:type="dxa"/>
            <w:vAlign w:val="bottom"/>
          </w:tcPr>
          <w:p>
            <w:pPr>
              <w:ind w:left="20"/>
              <w:spacing w:after="0" w:line="202" w:lineRule="exact"/>
              <w:rPr>
                <w:sz w:val="20"/>
                <w:szCs w:val="20"/>
                <w:color w:val="auto"/>
              </w:rPr>
            </w:pPr>
            <w:r>
              <w:rPr>
                <w:rFonts w:ascii="Times New Roman" w:cs="Times New Roman" w:eastAsia="Times New Roman" w:hAnsi="Times New Roman"/>
                <w:sz w:val="18"/>
                <w:szCs w:val="18"/>
                <w:color w:val="auto"/>
              </w:rPr>
              <w:t>net</w:t>
            </w:r>
          </w:p>
        </w:tc>
        <w:tc>
          <w:tcPr>
            <w:tcW w:w="120" w:type="dxa"/>
            <w:vAlign w:val="bottom"/>
            <w:tcBorders>
              <w:bottom w:val="single" w:sz="8" w:color="auto"/>
            </w:tcBorders>
            <w:vMerge w:val="continue"/>
          </w:tcPr>
          <w:p>
            <w:pPr>
              <w:spacing w:after="0"/>
              <w:rPr>
                <w:sz w:val="17"/>
                <w:szCs w:val="17"/>
                <w:color w:val="auto"/>
              </w:rPr>
            </w:pPr>
          </w:p>
        </w:tc>
        <w:tc>
          <w:tcPr>
            <w:tcW w:w="1080" w:type="dxa"/>
            <w:vAlign w:val="bottom"/>
            <w:tcBorders>
              <w:bottom w:val="single" w:sz="8" w:color="auto"/>
            </w:tcBorders>
            <w:vMerge w:val="continue"/>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Borders>
              <w:bottom w:val="single" w:sz="8" w:color="auto"/>
            </w:tcBorders>
            <w:vMerge w:val="continue"/>
          </w:tcPr>
          <w:p>
            <w:pPr>
              <w:spacing w:after="0"/>
              <w:rPr>
                <w:sz w:val="17"/>
                <w:szCs w:val="17"/>
                <w:color w:val="auto"/>
              </w:rPr>
            </w:pPr>
          </w:p>
        </w:tc>
        <w:tc>
          <w:tcPr>
            <w:tcW w:w="1020" w:type="dxa"/>
            <w:vAlign w:val="bottom"/>
            <w:tcBorders>
              <w:bottom w:val="single" w:sz="8" w:color="auto"/>
            </w:tcBorders>
            <w:vMerge w:val="continue"/>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Borders>
              <w:bottom w:val="single" w:sz="8" w:color="auto"/>
            </w:tcBorders>
            <w:vMerge w:val="continue"/>
          </w:tcPr>
          <w:p>
            <w:pPr>
              <w:spacing w:after="0"/>
              <w:rPr>
                <w:sz w:val="17"/>
                <w:szCs w:val="17"/>
                <w:color w:val="auto"/>
              </w:rPr>
            </w:pPr>
          </w:p>
        </w:tc>
        <w:tc>
          <w:tcPr>
            <w:tcW w:w="860" w:type="dxa"/>
            <w:vAlign w:val="bottom"/>
            <w:tcBorders>
              <w:bottom w:val="single" w:sz="8" w:color="auto"/>
            </w:tcBorders>
            <w:vMerge w:val="continue"/>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Borders>
              <w:bottom w:val="single" w:sz="8" w:color="auto"/>
            </w:tcBorders>
            <w:vMerge w:val="continue"/>
          </w:tcPr>
          <w:p>
            <w:pPr>
              <w:spacing w:after="0"/>
              <w:rPr>
                <w:sz w:val="17"/>
                <w:szCs w:val="17"/>
                <w:color w:val="auto"/>
              </w:rPr>
            </w:pPr>
          </w:p>
        </w:tc>
        <w:tc>
          <w:tcPr>
            <w:tcW w:w="1060" w:type="dxa"/>
            <w:vAlign w:val="bottom"/>
            <w:tcBorders>
              <w:bottom w:val="single" w:sz="8" w:color="auto"/>
            </w:tcBorders>
            <w:vMerge w:val="continue"/>
          </w:tcPr>
          <w:p>
            <w:pPr>
              <w:spacing w:after="0"/>
              <w:rPr>
                <w:sz w:val="17"/>
                <w:szCs w:val="17"/>
                <w:color w:val="auto"/>
              </w:rPr>
            </w:pPr>
          </w:p>
        </w:tc>
        <w:tc>
          <w:tcPr>
            <w:tcW w:w="100" w:type="dxa"/>
            <w:vAlign w:val="bottom"/>
          </w:tcPr>
          <w:p>
            <w:pPr>
              <w:spacing w:after="0"/>
              <w:rPr>
                <w:sz w:val="17"/>
                <w:szCs w:val="17"/>
                <w:color w:val="auto"/>
              </w:rPr>
            </w:pPr>
          </w:p>
        </w:tc>
        <w:tc>
          <w:tcPr>
            <w:tcW w:w="30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
        </w:trPr>
        <w:tc>
          <w:tcPr>
            <w:tcW w:w="32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308"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We did not have any transfers between Level 1 and Level 2 fair value measurements, nor did we have any transfers into or out of Level 3 during the nine months ended December 31, 2020.</w:t>
      </w:r>
    </w:p>
    <w:p>
      <w:pPr>
        <w:spacing w:after="0" w:line="9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Nonrecurring fair value measurements</w:t>
      </w:r>
    </w:p>
    <w:p>
      <w:pPr>
        <w:spacing w:after="0" w:line="241" w:lineRule="exact"/>
        <w:rPr>
          <w:sz w:val="20"/>
          <w:szCs w:val="20"/>
          <w:color w:val="auto"/>
        </w:rPr>
      </w:pPr>
    </w:p>
    <w:p>
      <w:pPr>
        <w:jc w:val="both"/>
        <w:ind w:firstLine="648"/>
        <w:spacing w:after="0" w:line="242" w:lineRule="auto"/>
        <w:rPr>
          <w:sz w:val="20"/>
          <w:szCs w:val="20"/>
          <w:color w:val="auto"/>
        </w:rPr>
      </w:pPr>
      <w:r>
        <w:rPr>
          <w:rFonts w:ascii="Times New Roman" w:cs="Times New Roman" w:eastAsia="Times New Roman" w:hAnsi="Times New Roman"/>
          <w:sz w:val="18"/>
          <w:szCs w:val="18"/>
          <w:color w:val="auto"/>
        </w:rPr>
        <w:t xml:space="preserve">We hold equity investments in certain unconsolidated entities without a readily determinable fair value. These strategic investments represent less than a 20% ownership interest in each of the privately-held affiliates, and we do not maintain power over or control of the entities. We have elected the practical expedient in Topic 321, </w:t>
      </w:r>
      <w:r>
        <w:rPr>
          <w:rFonts w:ascii="Times New Roman" w:cs="Times New Roman" w:eastAsia="Times New Roman" w:hAnsi="Times New Roman"/>
          <w:sz w:val="18"/>
          <w:szCs w:val="18"/>
          <w:i w:val="1"/>
          <w:iCs w:val="1"/>
          <w:color w:val="auto"/>
        </w:rPr>
        <w:t>Investments-Equity Securities</w:t>
      </w:r>
      <w:r>
        <w:rPr>
          <w:rFonts w:ascii="Times New Roman" w:cs="Times New Roman" w:eastAsia="Times New Roman" w:hAnsi="Times New Roman"/>
          <w:sz w:val="18"/>
          <w:szCs w:val="18"/>
          <w:color w:val="auto"/>
        </w:rPr>
        <w:t>, to measure these investments at cost less any impairment, adjusted for observable price changes, if any. Based on these considerations, we estimate that the carrying value of the acquired shares represents the fair value of the investment. At December 31, 2020, we held $45,000 of such investments in Other assets within our Condensed Consolidated Balance Sheet.</w:t>
      </w:r>
    </w:p>
    <w:p>
      <w:pPr>
        <w:spacing w:after="0" w:line="212" w:lineRule="exact"/>
        <w:rPr>
          <w:sz w:val="20"/>
          <w:szCs w:val="20"/>
          <w:color w:val="auto"/>
        </w:rPr>
      </w:pPr>
    </w:p>
    <w:p>
      <w:pPr>
        <w:jc w:val="both"/>
        <w:ind w:firstLine="648"/>
        <w:spacing w:after="0" w:line="250" w:lineRule="auto"/>
        <w:rPr>
          <w:sz w:val="20"/>
          <w:szCs w:val="20"/>
          <w:color w:val="auto"/>
        </w:rPr>
      </w:pPr>
      <w:r>
        <w:rPr>
          <w:rFonts w:ascii="Times New Roman" w:cs="Times New Roman" w:eastAsia="Times New Roman" w:hAnsi="Times New Roman"/>
          <w:sz w:val="18"/>
          <w:szCs w:val="18"/>
          <w:color w:val="auto"/>
        </w:rPr>
        <w:t>During the three and nine months ended December 31, 2020, we recognized a gain on the sale of a portion of one of these investments of $19,791 and an unrealized gain based on our sale constituting an observable price change of $20,797 related to the same investment. Both gains are reflected in Gain on long-term investments, net within our Condensed Consolidated Statements of Operations.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4" w:right="339" w:bottom="1440" w:gutter="0" w:footer="0" w:header="0"/>
        </w:sectPr>
      </w:pPr>
    </w:p>
    <w:bookmarkStart w:id="15" w:name="page16"/>
    <w:bookmarkEnd w:id="15"/>
    <w:p>
      <w:pPr>
        <w:spacing w:after="0"/>
        <w:rPr>
          <w:sz w:val="20"/>
          <w:szCs w:val="20"/>
          <w:color w:val="auto"/>
        </w:rPr>
      </w:pPr>
      <w:r>
        <w:rPr>
          <w:rFonts w:ascii="Times New Roman" w:cs="Times New Roman" w:eastAsia="Times New Roman" w:hAnsi="Times New Roman"/>
          <w:sz w:val="18"/>
          <w:szCs w:val="18"/>
          <w:b w:val="1"/>
          <w:bCs w:val="1"/>
          <w:color w:val="auto"/>
        </w:rPr>
        <w:t>5. SHORT-TERM INVESTMENTS</w:t>
      </w:r>
    </w:p>
    <w:p>
      <w:pPr>
        <w:spacing w:after="0" w:line="16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Our Short-term investments consisted of the following:</w:t>
      </w:r>
    </w:p>
    <w:p>
      <w:pPr>
        <w:spacing w:after="0" w:line="232"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40" w:type="dxa"/>
            <w:vAlign w:val="bottom"/>
          </w:tcPr>
          <w:p>
            <w:pPr>
              <w:spacing w:after="0"/>
              <w:rPr>
                <w:sz w:val="16"/>
                <w:szCs w:val="16"/>
                <w:color w:val="auto"/>
              </w:rPr>
            </w:pPr>
          </w:p>
        </w:tc>
        <w:tc>
          <w:tcPr>
            <w:tcW w:w="6640" w:type="dxa"/>
            <w:vAlign w:val="bottom"/>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240" w:type="dxa"/>
            <w:vAlign w:val="bottom"/>
            <w:tcBorders>
              <w:bottom w:val="single" w:sz="8" w:color="auto"/>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680" w:type="dxa"/>
            <w:vAlign w:val="bottom"/>
            <w:tcBorders>
              <w:bottom w:val="single" w:sz="8" w:color="auto"/>
            </w:tcBorders>
            <w:gridSpan w:val="10"/>
          </w:tcPr>
          <w:p>
            <w:pPr>
              <w:jc w:val="center"/>
              <w:ind w:right="480"/>
              <w:spacing w:after="0"/>
              <w:rPr>
                <w:sz w:val="20"/>
                <w:szCs w:val="20"/>
                <w:color w:val="auto"/>
              </w:rPr>
            </w:pPr>
            <w:r>
              <w:rPr>
                <w:rFonts w:ascii="Times New Roman" w:cs="Times New Roman" w:eastAsia="Times New Roman" w:hAnsi="Times New Roman"/>
                <w:sz w:val="14"/>
                <w:szCs w:val="14"/>
                <w:b w:val="1"/>
                <w:bCs w:val="1"/>
                <w:color w:val="auto"/>
              </w:rPr>
              <w:t>December 31, 2020</w:t>
            </w:r>
          </w:p>
        </w:tc>
        <w:tc>
          <w:tcPr>
            <w:tcW w:w="40" w:type="dxa"/>
            <w:vAlign w:val="bottom"/>
            <w:tcBorders>
              <w:bottom w:val="single" w:sz="8" w:color="auto"/>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33"/>
        </w:trPr>
        <w:tc>
          <w:tcPr>
            <w:tcW w:w="40" w:type="dxa"/>
            <w:vAlign w:val="bottom"/>
          </w:tcPr>
          <w:p>
            <w:pPr>
              <w:spacing w:after="0"/>
              <w:rPr>
                <w:sz w:val="11"/>
                <w:szCs w:val="11"/>
                <w:color w:val="auto"/>
              </w:rPr>
            </w:pPr>
          </w:p>
        </w:tc>
        <w:tc>
          <w:tcPr>
            <w:tcW w:w="6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400" w:type="dxa"/>
            <w:vAlign w:val="bottom"/>
            <w:gridSpan w:val="5"/>
          </w:tcPr>
          <w:p>
            <w:pPr>
              <w:jc w:val="center"/>
              <w:spacing w:after="0" w:line="134" w:lineRule="exact"/>
              <w:rPr>
                <w:sz w:val="20"/>
                <w:szCs w:val="20"/>
                <w:color w:val="auto"/>
              </w:rPr>
            </w:pPr>
            <w:r>
              <w:rPr>
                <w:rFonts w:ascii="Times New Roman" w:cs="Times New Roman" w:eastAsia="Times New Roman" w:hAnsi="Times New Roman"/>
                <w:sz w:val="14"/>
                <w:szCs w:val="14"/>
                <w:b w:val="1"/>
                <w:bCs w:val="1"/>
                <w:color w:val="auto"/>
              </w:rPr>
              <w:t>Gross</w:t>
            </w: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89"/>
        </w:trPr>
        <w:tc>
          <w:tcPr>
            <w:tcW w:w="40" w:type="dxa"/>
            <w:vAlign w:val="bottom"/>
          </w:tcPr>
          <w:p>
            <w:pPr>
              <w:spacing w:after="0"/>
              <w:rPr>
                <w:sz w:val="16"/>
                <w:szCs w:val="16"/>
                <w:color w:val="auto"/>
              </w:rPr>
            </w:pPr>
          </w:p>
        </w:tc>
        <w:tc>
          <w:tcPr>
            <w:tcW w:w="66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340" w:type="dxa"/>
            <w:vAlign w:val="bottom"/>
            <w:gridSpan w:val="3"/>
            <w:vMerge w:val="restart"/>
          </w:tcPr>
          <w:p>
            <w:pPr>
              <w:jc w:val="center"/>
              <w:ind w:right="260"/>
              <w:spacing w:after="0"/>
              <w:rPr>
                <w:sz w:val="20"/>
                <w:szCs w:val="20"/>
                <w:color w:val="auto"/>
              </w:rPr>
            </w:pPr>
            <w:r>
              <w:rPr>
                <w:rFonts w:ascii="Times New Roman" w:cs="Times New Roman" w:eastAsia="Times New Roman" w:hAnsi="Times New Roman"/>
                <w:sz w:val="14"/>
                <w:szCs w:val="14"/>
                <w:b w:val="1"/>
                <w:bCs w:val="1"/>
                <w:color w:val="auto"/>
              </w:rPr>
              <w:t>Cost or</w:t>
            </w:r>
          </w:p>
        </w:tc>
        <w:tc>
          <w:tcPr>
            <w:tcW w:w="4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580" w:type="dxa"/>
            <w:vAlign w:val="bottom"/>
            <w:tcBorders>
              <w:bottom w:val="single" w:sz="8" w:color="auto"/>
            </w:tcBorders>
            <w:gridSpan w:val="7"/>
          </w:tcPr>
          <w:p>
            <w:pPr>
              <w:jc w:val="center"/>
              <w:ind w:right="74"/>
              <w:spacing w:after="0"/>
              <w:rPr>
                <w:sz w:val="20"/>
                <w:szCs w:val="20"/>
                <w:color w:val="auto"/>
              </w:rPr>
            </w:pPr>
            <w:r>
              <w:rPr>
                <w:rFonts w:ascii="Times New Roman" w:cs="Times New Roman" w:eastAsia="Times New Roman" w:hAnsi="Times New Roman"/>
                <w:sz w:val="14"/>
                <w:szCs w:val="14"/>
                <w:b w:val="1"/>
                <w:bCs w:val="1"/>
                <w:color w:val="auto"/>
              </w:rPr>
              <w:t>Unrealized</w:t>
            </w:r>
          </w:p>
        </w:tc>
        <w:tc>
          <w:tcPr>
            <w:tcW w:w="100" w:type="dxa"/>
            <w:vAlign w:val="bottom"/>
            <w:gridSpan w:val="3"/>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15"/>
        </w:trPr>
        <w:tc>
          <w:tcPr>
            <w:tcW w:w="40" w:type="dxa"/>
            <w:vAlign w:val="bottom"/>
          </w:tcPr>
          <w:p>
            <w:pPr>
              <w:spacing w:after="0"/>
              <w:rPr>
                <w:sz w:val="10"/>
                <w:szCs w:val="10"/>
                <w:color w:val="auto"/>
              </w:rPr>
            </w:pPr>
          </w:p>
        </w:tc>
        <w:tc>
          <w:tcPr>
            <w:tcW w:w="66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340" w:type="dxa"/>
            <w:vAlign w:val="bottom"/>
            <w:gridSpan w:val="3"/>
            <w:vMerge w:val="continue"/>
          </w:tcPr>
          <w:p>
            <w:pPr>
              <w:spacing w:after="0"/>
              <w:rPr>
                <w:sz w:val="10"/>
                <w:szCs w:val="10"/>
                <w:color w:val="auto"/>
              </w:rPr>
            </w:pPr>
          </w:p>
        </w:tc>
        <w:tc>
          <w:tcPr>
            <w:tcW w:w="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740" w:type="dxa"/>
            <w:vAlign w:val="bottom"/>
            <w:gridSpan w:val="4"/>
            <w:vMerge w:val="restart"/>
          </w:tcPr>
          <w:p>
            <w:pPr>
              <w:jc w:val="center"/>
              <w:ind w:right="260"/>
              <w:spacing w:after="0"/>
              <w:rPr>
                <w:sz w:val="20"/>
                <w:szCs w:val="20"/>
                <w:color w:val="auto"/>
              </w:rPr>
            </w:pPr>
            <w:r>
              <w:rPr>
                <w:rFonts w:ascii="Times New Roman" w:cs="Times New Roman" w:eastAsia="Times New Roman" w:hAnsi="Times New Roman"/>
                <w:sz w:val="14"/>
                <w:szCs w:val="14"/>
                <w:b w:val="1"/>
                <w:bCs w:val="1"/>
                <w:color w:val="auto"/>
              </w:rPr>
              <w:t>Gains</w:t>
            </w:r>
          </w:p>
        </w:tc>
        <w:tc>
          <w:tcPr>
            <w:tcW w:w="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760" w:type="dxa"/>
            <w:vAlign w:val="bottom"/>
            <w:gridSpan w:val="4"/>
            <w:vMerge w:val="restart"/>
          </w:tcPr>
          <w:p>
            <w:pPr>
              <w:ind w:left="40"/>
              <w:spacing w:after="0"/>
              <w:rPr>
                <w:sz w:val="20"/>
                <w:szCs w:val="20"/>
                <w:color w:val="auto"/>
              </w:rPr>
            </w:pPr>
            <w:r>
              <w:rPr>
                <w:rFonts w:ascii="Times New Roman" w:cs="Times New Roman" w:eastAsia="Times New Roman" w:hAnsi="Times New Roman"/>
                <w:sz w:val="14"/>
                <w:szCs w:val="14"/>
                <w:b w:val="1"/>
                <w:bCs w:val="1"/>
                <w:color w:val="auto"/>
              </w:rPr>
              <w:t>Losses</w:t>
            </w:r>
          </w:p>
        </w:tc>
        <w:tc>
          <w:tcPr>
            <w:tcW w:w="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960" w:type="dxa"/>
            <w:vAlign w:val="bottom"/>
            <w:vMerge w:val="restart"/>
          </w:tcPr>
          <w:p>
            <w:pPr>
              <w:jc w:val="right"/>
              <w:ind w:right="174"/>
              <w:spacing w:after="0"/>
              <w:rPr>
                <w:sz w:val="20"/>
                <w:szCs w:val="20"/>
                <w:color w:val="auto"/>
              </w:rPr>
            </w:pPr>
            <w:r>
              <w:rPr>
                <w:rFonts w:ascii="Times New Roman" w:cs="Times New Roman" w:eastAsia="Times New Roman" w:hAnsi="Times New Roman"/>
                <w:sz w:val="14"/>
                <w:szCs w:val="14"/>
                <w:b w:val="1"/>
                <w:bCs w:val="1"/>
                <w:color w:val="auto"/>
              </w:rPr>
              <w:t>Fair Value</w:t>
            </w: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89"/>
        </w:trPr>
        <w:tc>
          <w:tcPr>
            <w:tcW w:w="40" w:type="dxa"/>
            <w:vAlign w:val="bottom"/>
          </w:tcPr>
          <w:p>
            <w:pPr>
              <w:spacing w:after="0"/>
              <w:rPr>
                <w:sz w:val="16"/>
                <w:szCs w:val="16"/>
                <w:color w:val="auto"/>
              </w:rPr>
            </w:pPr>
          </w:p>
        </w:tc>
        <w:tc>
          <w:tcPr>
            <w:tcW w:w="66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340" w:type="dxa"/>
            <w:vAlign w:val="bottom"/>
            <w:gridSpan w:val="3"/>
          </w:tcPr>
          <w:p>
            <w:pPr>
              <w:jc w:val="center"/>
              <w:ind w:right="260"/>
              <w:spacing w:after="0"/>
              <w:rPr>
                <w:sz w:val="20"/>
                <w:szCs w:val="20"/>
                <w:color w:val="auto"/>
              </w:rPr>
            </w:pPr>
            <w:r>
              <w:rPr>
                <w:rFonts w:ascii="Times New Roman" w:cs="Times New Roman" w:eastAsia="Times New Roman" w:hAnsi="Times New Roman"/>
                <w:sz w:val="14"/>
                <w:szCs w:val="14"/>
                <w:b w:val="1"/>
                <w:bCs w:val="1"/>
                <w:color w:val="auto"/>
              </w:rPr>
              <w:t>Amortized Cost</w:t>
            </w:r>
          </w:p>
        </w:tc>
        <w:tc>
          <w:tcPr>
            <w:tcW w:w="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40" w:type="dxa"/>
            <w:vAlign w:val="bottom"/>
            <w:gridSpan w:val="4"/>
            <w:vMerge w:val="continue"/>
          </w:tcPr>
          <w:p>
            <w:pPr>
              <w:spacing w:after="0"/>
              <w:rPr>
                <w:sz w:val="16"/>
                <w:szCs w:val="16"/>
                <w:color w:val="auto"/>
              </w:rPr>
            </w:pPr>
          </w:p>
        </w:tc>
        <w:tc>
          <w:tcPr>
            <w:tcW w:w="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60" w:type="dxa"/>
            <w:vAlign w:val="bottom"/>
            <w:gridSpan w:val="4"/>
            <w:vMerge w:val="continue"/>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960" w:type="dxa"/>
            <w:vAlign w:val="bottom"/>
            <w:vMerge w:val="continue"/>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3"/>
        </w:trPr>
        <w:tc>
          <w:tcPr>
            <w:tcW w:w="6680" w:type="dxa"/>
            <w:vAlign w:val="bottom"/>
            <w:tcBorders>
              <w:top w:val="single" w:sz="8" w:color="CCEEFF"/>
            </w:tcBorders>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Short-term investments</w:t>
            </w:r>
          </w:p>
        </w:tc>
        <w:tc>
          <w:tcPr>
            <w:tcW w:w="20" w:type="dxa"/>
            <w:vAlign w:val="bottom"/>
            <w:tcBorders>
              <w:top w:val="single" w:sz="8" w:color="auto"/>
            </w:tcBorders>
            <w:shd w:val="clear" w:color="auto" w:fill="CCEEFF"/>
          </w:tcPr>
          <w:p>
            <w:pPr>
              <w:spacing w:after="0"/>
              <w:rPr>
                <w:sz w:val="19"/>
                <w:szCs w:val="19"/>
                <w:color w:val="auto"/>
              </w:rPr>
            </w:pPr>
          </w:p>
        </w:tc>
        <w:tc>
          <w:tcPr>
            <w:tcW w:w="140" w:type="dxa"/>
            <w:vAlign w:val="bottom"/>
            <w:tcBorders>
              <w:top w:val="single" w:sz="8" w:color="auto"/>
            </w:tcBorders>
            <w:shd w:val="clear" w:color="auto" w:fill="CCEEFF"/>
          </w:tcPr>
          <w:p>
            <w:pPr>
              <w:spacing w:after="0"/>
              <w:rPr>
                <w:sz w:val="19"/>
                <w:szCs w:val="19"/>
                <w:color w:val="auto"/>
              </w:rPr>
            </w:pPr>
          </w:p>
        </w:tc>
        <w:tc>
          <w:tcPr>
            <w:tcW w:w="1240" w:type="dxa"/>
            <w:vAlign w:val="bottom"/>
            <w:tcBorders>
              <w:top w:val="single" w:sz="8" w:color="auto"/>
            </w:tcBorders>
            <w:shd w:val="clear" w:color="auto" w:fill="CCEEFF"/>
          </w:tcPr>
          <w:p>
            <w:pPr>
              <w:spacing w:after="0"/>
              <w:rPr>
                <w:sz w:val="19"/>
                <w:szCs w:val="19"/>
                <w:color w:val="auto"/>
              </w:rPr>
            </w:pPr>
          </w:p>
        </w:tc>
        <w:tc>
          <w:tcPr>
            <w:tcW w:w="20" w:type="dxa"/>
            <w:vAlign w:val="bottom"/>
            <w:tcBorders>
              <w:top w:val="single" w:sz="8" w:color="CCEEFF"/>
            </w:tcBorders>
            <w:shd w:val="clear" w:color="auto" w:fill="CCEEFF"/>
          </w:tcPr>
          <w:p>
            <w:pPr>
              <w:spacing w:after="0"/>
              <w:rPr>
                <w:sz w:val="19"/>
                <w:szCs w:val="19"/>
                <w:color w:val="auto"/>
              </w:rPr>
            </w:pPr>
          </w:p>
        </w:tc>
        <w:tc>
          <w:tcPr>
            <w:tcW w:w="80" w:type="dxa"/>
            <w:vAlign w:val="bottom"/>
            <w:tcBorders>
              <w:top w:val="single" w:sz="8" w:color="CCEEFF"/>
            </w:tcBorders>
            <w:shd w:val="clear" w:color="auto" w:fill="CCEEFF"/>
          </w:tcPr>
          <w:p>
            <w:pPr>
              <w:spacing w:after="0"/>
              <w:rPr>
                <w:sz w:val="19"/>
                <w:szCs w:val="19"/>
                <w:color w:val="auto"/>
              </w:rPr>
            </w:pPr>
          </w:p>
        </w:tc>
        <w:tc>
          <w:tcPr>
            <w:tcW w:w="40" w:type="dxa"/>
            <w:vAlign w:val="bottom"/>
            <w:tcBorders>
              <w:top w:val="single" w:sz="8" w:color="auto"/>
            </w:tcBorders>
            <w:shd w:val="clear" w:color="auto" w:fill="CCEEFF"/>
          </w:tcPr>
          <w:p>
            <w:pPr>
              <w:spacing w:after="0"/>
              <w:rPr>
                <w:sz w:val="19"/>
                <w:szCs w:val="19"/>
                <w:color w:val="auto"/>
              </w:rPr>
            </w:pPr>
          </w:p>
        </w:tc>
        <w:tc>
          <w:tcPr>
            <w:tcW w:w="120" w:type="dxa"/>
            <w:vAlign w:val="bottom"/>
            <w:tcBorders>
              <w:top w:val="single" w:sz="8" w:color="auto"/>
            </w:tcBorders>
            <w:shd w:val="clear" w:color="auto" w:fill="CCEEFF"/>
          </w:tcPr>
          <w:p>
            <w:pPr>
              <w:spacing w:after="0"/>
              <w:rPr>
                <w:sz w:val="19"/>
                <w:szCs w:val="19"/>
                <w:color w:val="auto"/>
              </w:rPr>
            </w:pPr>
          </w:p>
        </w:tc>
        <w:tc>
          <w:tcPr>
            <w:tcW w:w="520" w:type="dxa"/>
            <w:vAlign w:val="bottom"/>
            <w:tcBorders>
              <w:top w:val="single" w:sz="8" w:color="auto"/>
            </w:tcBorders>
            <w:shd w:val="clear" w:color="auto" w:fill="CCEEFF"/>
          </w:tcPr>
          <w:p>
            <w:pPr>
              <w:spacing w:after="0"/>
              <w:rPr>
                <w:sz w:val="19"/>
                <w:szCs w:val="19"/>
                <w:color w:val="auto"/>
              </w:rPr>
            </w:pPr>
          </w:p>
        </w:tc>
        <w:tc>
          <w:tcPr>
            <w:tcW w:w="120" w:type="dxa"/>
            <w:vAlign w:val="bottom"/>
            <w:tcBorders>
              <w:top w:val="single" w:sz="8" w:color="auto"/>
            </w:tcBorders>
            <w:shd w:val="clear" w:color="auto" w:fill="CCEEFF"/>
          </w:tcPr>
          <w:p>
            <w:pPr>
              <w:spacing w:after="0"/>
              <w:rPr>
                <w:sz w:val="19"/>
                <w:szCs w:val="19"/>
                <w:color w:val="auto"/>
              </w:rPr>
            </w:pPr>
          </w:p>
        </w:tc>
        <w:tc>
          <w:tcPr>
            <w:tcW w:w="20" w:type="dxa"/>
            <w:vAlign w:val="bottom"/>
            <w:tcBorders>
              <w:top w:val="single" w:sz="8" w:color="CCEEFF"/>
            </w:tcBorders>
            <w:shd w:val="clear" w:color="auto" w:fill="CCEEFF"/>
          </w:tcPr>
          <w:p>
            <w:pPr>
              <w:spacing w:after="0"/>
              <w:rPr>
                <w:sz w:val="19"/>
                <w:szCs w:val="19"/>
                <w:color w:val="auto"/>
              </w:rPr>
            </w:pPr>
          </w:p>
        </w:tc>
        <w:tc>
          <w:tcPr>
            <w:tcW w:w="80" w:type="dxa"/>
            <w:vAlign w:val="bottom"/>
            <w:tcBorders>
              <w:top w:val="single" w:sz="8" w:color="CCEEFF"/>
            </w:tcBorders>
            <w:shd w:val="clear" w:color="auto" w:fill="CCEEFF"/>
          </w:tcPr>
          <w:p>
            <w:pPr>
              <w:spacing w:after="0"/>
              <w:rPr>
                <w:sz w:val="19"/>
                <w:szCs w:val="19"/>
                <w:color w:val="auto"/>
              </w:rPr>
            </w:pPr>
          </w:p>
        </w:tc>
        <w:tc>
          <w:tcPr>
            <w:tcW w:w="20" w:type="dxa"/>
            <w:vAlign w:val="bottom"/>
            <w:tcBorders>
              <w:top w:val="single" w:sz="8" w:color="auto"/>
            </w:tcBorders>
            <w:shd w:val="clear" w:color="auto" w:fill="CCEEFF"/>
          </w:tcPr>
          <w:p>
            <w:pPr>
              <w:spacing w:after="0"/>
              <w:rPr>
                <w:sz w:val="19"/>
                <w:szCs w:val="19"/>
                <w:color w:val="auto"/>
              </w:rPr>
            </w:pPr>
          </w:p>
        </w:tc>
        <w:tc>
          <w:tcPr>
            <w:tcW w:w="160" w:type="dxa"/>
            <w:vAlign w:val="bottom"/>
            <w:tcBorders>
              <w:top w:val="single" w:sz="8" w:color="auto"/>
            </w:tcBorders>
            <w:shd w:val="clear" w:color="auto" w:fill="CCEEFF"/>
          </w:tcPr>
          <w:p>
            <w:pPr>
              <w:spacing w:after="0"/>
              <w:rPr>
                <w:sz w:val="19"/>
                <w:szCs w:val="19"/>
                <w:color w:val="auto"/>
              </w:rPr>
            </w:pPr>
          </w:p>
        </w:tc>
        <w:tc>
          <w:tcPr>
            <w:tcW w:w="660" w:type="dxa"/>
            <w:vAlign w:val="bottom"/>
            <w:tcBorders>
              <w:top w:val="single" w:sz="8" w:color="auto"/>
            </w:tcBorders>
            <w:shd w:val="clear" w:color="auto" w:fill="CCEEFF"/>
          </w:tcPr>
          <w:p>
            <w:pPr>
              <w:spacing w:after="0"/>
              <w:rPr>
                <w:sz w:val="19"/>
                <w:szCs w:val="19"/>
                <w:color w:val="auto"/>
              </w:rPr>
            </w:pPr>
          </w:p>
        </w:tc>
        <w:tc>
          <w:tcPr>
            <w:tcW w:w="20" w:type="dxa"/>
            <w:vAlign w:val="bottom"/>
            <w:tcBorders>
              <w:top w:val="single" w:sz="8" w:color="CCEEFF"/>
            </w:tcBorders>
            <w:shd w:val="clear" w:color="auto" w:fill="CCEEFF"/>
          </w:tcPr>
          <w:p>
            <w:pPr>
              <w:spacing w:after="0"/>
              <w:rPr>
                <w:sz w:val="19"/>
                <w:szCs w:val="19"/>
                <w:color w:val="auto"/>
              </w:rPr>
            </w:pPr>
          </w:p>
        </w:tc>
        <w:tc>
          <w:tcPr>
            <w:tcW w:w="40" w:type="dxa"/>
            <w:vAlign w:val="bottom"/>
            <w:tcBorders>
              <w:top w:val="single" w:sz="8" w:color="CCEEFF"/>
            </w:tcBorders>
            <w:shd w:val="clear" w:color="auto" w:fill="CCEEFF"/>
          </w:tcPr>
          <w:p>
            <w:pPr>
              <w:spacing w:after="0"/>
              <w:rPr>
                <w:sz w:val="19"/>
                <w:szCs w:val="19"/>
                <w:color w:val="auto"/>
              </w:rPr>
            </w:pPr>
          </w:p>
        </w:tc>
        <w:tc>
          <w:tcPr>
            <w:tcW w:w="40" w:type="dxa"/>
            <w:vAlign w:val="bottom"/>
            <w:tcBorders>
              <w:top w:val="single" w:sz="8" w:color="CCEEFF"/>
            </w:tcBorders>
            <w:shd w:val="clear" w:color="auto" w:fill="CCEEFF"/>
          </w:tcPr>
          <w:p>
            <w:pPr>
              <w:spacing w:after="0"/>
              <w:rPr>
                <w:sz w:val="19"/>
                <w:szCs w:val="19"/>
                <w:color w:val="auto"/>
              </w:rPr>
            </w:pPr>
          </w:p>
        </w:tc>
        <w:tc>
          <w:tcPr>
            <w:tcW w:w="40" w:type="dxa"/>
            <w:vAlign w:val="bottom"/>
            <w:tcBorders>
              <w:top w:val="single" w:sz="8" w:color="auto"/>
            </w:tcBorders>
            <w:shd w:val="clear" w:color="auto" w:fill="CCEEFF"/>
          </w:tcPr>
          <w:p>
            <w:pPr>
              <w:spacing w:after="0"/>
              <w:rPr>
                <w:sz w:val="19"/>
                <w:szCs w:val="19"/>
                <w:color w:val="auto"/>
              </w:rPr>
            </w:pPr>
          </w:p>
        </w:tc>
        <w:tc>
          <w:tcPr>
            <w:tcW w:w="20" w:type="dxa"/>
            <w:vAlign w:val="bottom"/>
            <w:tcBorders>
              <w:top w:val="single" w:sz="8" w:color="auto"/>
            </w:tcBorders>
            <w:shd w:val="clear" w:color="auto" w:fill="CCEEFF"/>
          </w:tcPr>
          <w:p>
            <w:pPr>
              <w:spacing w:after="0"/>
              <w:rPr>
                <w:sz w:val="19"/>
                <w:szCs w:val="19"/>
                <w:color w:val="auto"/>
              </w:rPr>
            </w:pPr>
          </w:p>
        </w:tc>
        <w:tc>
          <w:tcPr>
            <w:tcW w:w="160" w:type="dxa"/>
            <w:vAlign w:val="bottom"/>
            <w:tcBorders>
              <w:top w:val="single" w:sz="8" w:color="auto"/>
            </w:tcBorders>
            <w:shd w:val="clear" w:color="auto" w:fill="CCEEFF"/>
          </w:tcPr>
          <w:p>
            <w:pPr>
              <w:spacing w:after="0"/>
              <w:rPr>
                <w:sz w:val="19"/>
                <w:szCs w:val="19"/>
                <w:color w:val="auto"/>
              </w:rPr>
            </w:pPr>
          </w:p>
        </w:tc>
        <w:tc>
          <w:tcPr>
            <w:tcW w:w="960" w:type="dxa"/>
            <w:vAlign w:val="bottom"/>
            <w:tcBorders>
              <w:top w:val="single" w:sz="8" w:color="auto"/>
            </w:tcBorders>
            <w:shd w:val="clear" w:color="auto" w:fill="CCEEFF"/>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0" w:type="dxa"/>
            <w:vAlign w:val="bottom"/>
          </w:tcPr>
          <w:p>
            <w:pPr>
              <w:spacing w:after="0"/>
              <w:rPr>
                <w:sz w:val="19"/>
                <w:szCs w:val="19"/>
                <w:color w:val="auto"/>
              </w:rPr>
            </w:pPr>
          </w:p>
        </w:tc>
        <w:tc>
          <w:tcPr>
            <w:tcW w:w="664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Bank time deposits</w:t>
            </w:r>
          </w:p>
        </w:tc>
        <w:tc>
          <w:tcPr>
            <w:tcW w:w="1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118,000</w:t>
            </w: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40" w:type="dxa"/>
            <w:vAlign w:val="bottom"/>
            <w:gridSpan w:val="4"/>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760" w:type="dxa"/>
            <w:vAlign w:val="bottom"/>
            <w:gridSpan w:val="4"/>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gridSpan w:val="3"/>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118,000</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0" w:type="dxa"/>
            <w:vAlign w:val="bottom"/>
            <w:shd w:val="clear" w:color="auto" w:fill="CCEEFF"/>
          </w:tcPr>
          <w:p>
            <w:pPr>
              <w:spacing w:after="0"/>
              <w:rPr>
                <w:sz w:val="19"/>
                <w:szCs w:val="19"/>
                <w:color w:val="auto"/>
              </w:rPr>
            </w:pPr>
          </w:p>
        </w:tc>
        <w:tc>
          <w:tcPr>
            <w:tcW w:w="664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Available-for-sale securities:</w:t>
            </w:r>
          </w:p>
        </w:tc>
        <w:tc>
          <w:tcPr>
            <w:tcW w:w="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24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5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66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960" w:type="dxa"/>
            <w:vAlign w:val="bottom"/>
            <w:shd w:val="clear" w:color="auto" w:fill="CCEEFF"/>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0" w:type="dxa"/>
            <w:vAlign w:val="bottom"/>
          </w:tcPr>
          <w:p>
            <w:pPr>
              <w:spacing w:after="0"/>
              <w:rPr>
                <w:sz w:val="19"/>
                <w:szCs w:val="19"/>
                <w:color w:val="auto"/>
              </w:rPr>
            </w:pPr>
          </w:p>
        </w:tc>
        <w:tc>
          <w:tcPr>
            <w:tcW w:w="6640" w:type="dxa"/>
            <w:vAlign w:val="bottom"/>
          </w:tcPr>
          <w:p>
            <w:pPr>
              <w:ind w:left="520"/>
              <w:spacing w:after="0"/>
              <w:rPr>
                <w:sz w:val="20"/>
                <w:szCs w:val="20"/>
                <w:color w:val="auto"/>
              </w:rPr>
            </w:pPr>
            <w:r>
              <w:rPr>
                <w:rFonts w:ascii="Times New Roman" w:cs="Times New Roman" w:eastAsia="Times New Roman" w:hAnsi="Times New Roman"/>
                <w:sz w:val="18"/>
                <w:szCs w:val="18"/>
                <w:color w:val="auto"/>
              </w:rPr>
              <w:t>Corporate bonds</w:t>
            </w: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508,431</w:t>
            </w: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40" w:type="dxa"/>
            <w:vAlign w:val="bottom"/>
            <w:gridSpan w:val="2"/>
          </w:tcPr>
          <w:p>
            <w:pPr>
              <w:jc w:val="right"/>
              <w:ind w:right="2"/>
              <w:spacing w:after="0"/>
              <w:rPr>
                <w:sz w:val="20"/>
                <w:szCs w:val="20"/>
                <w:color w:val="auto"/>
              </w:rPr>
            </w:pPr>
            <w:r>
              <w:rPr>
                <w:rFonts w:ascii="Times New Roman" w:cs="Times New Roman" w:eastAsia="Times New Roman" w:hAnsi="Times New Roman"/>
                <w:sz w:val="18"/>
                <w:szCs w:val="18"/>
                <w:color w:val="auto"/>
              </w:rPr>
              <w:t>1,617</w:t>
            </w: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(99)</w:t>
            </w:r>
          </w:p>
        </w:tc>
        <w:tc>
          <w:tcPr>
            <w:tcW w:w="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509,949</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0" w:type="dxa"/>
            <w:vAlign w:val="bottom"/>
            <w:shd w:val="clear" w:color="auto" w:fill="CCEEFF"/>
          </w:tcPr>
          <w:p>
            <w:pPr>
              <w:spacing w:after="0"/>
              <w:rPr>
                <w:sz w:val="19"/>
                <w:szCs w:val="19"/>
                <w:color w:val="auto"/>
              </w:rPr>
            </w:pPr>
          </w:p>
        </w:tc>
        <w:tc>
          <w:tcPr>
            <w:tcW w:w="6640" w:type="dxa"/>
            <w:vAlign w:val="bottom"/>
            <w:shd w:val="clear" w:color="auto" w:fill="CCEEFF"/>
          </w:tcPr>
          <w:p>
            <w:pPr>
              <w:ind w:left="520"/>
              <w:spacing w:after="0"/>
              <w:rPr>
                <w:sz w:val="20"/>
                <w:szCs w:val="20"/>
                <w:color w:val="auto"/>
              </w:rPr>
            </w:pPr>
            <w:r>
              <w:rPr>
                <w:rFonts w:ascii="Times New Roman" w:cs="Times New Roman" w:eastAsia="Times New Roman" w:hAnsi="Times New Roman"/>
                <w:sz w:val="18"/>
                <w:szCs w:val="18"/>
                <w:color w:val="auto"/>
              </w:rPr>
              <w:t>US Treasuries</w:t>
            </w:r>
          </w:p>
        </w:tc>
        <w:tc>
          <w:tcPr>
            <w:tcW w:w="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2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44,948</w:t>
            </w:r>
          </w:p>
        </w:tc>
        <w:tc>
          <w:tcPr>
            <w:tcW w:w="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640" w:type="dxa"/>
            <w:vAlign w:val="bottom"/>
            <w:gridSpan w:val="2"/>
            <w:shd w:val="clear" w:color="auto" w:fill="CCEEFF"/>
          </w:tcPr>
          <w:p>
            <w:pPr>
              <w:jc w:val="right"/>
              <w:ind w:right="2"/>
              <w:spacing w:after="0"/>
              <w:rPr>
                <w:sz w:val="20"/>
                <w:szCs w:val="20"/>
                <w:color w:val="auto"/>
              </w:rPr>
            </w:pPr>
            <w:r>
              <w:rPr>
                <w:rFonts w:ascii="Times New Roman" w:cs="Times New Roman" w:eastAsia="Times New Roman" w:hAnsi="Times New Roman"/>
                <w:sz w:val="18"/>
                <w:szCs w:val="18"/>
                <w:color w:val="auto"/>
              </w:rPr>
              <w:t>94</w:t>
            </w:r>
          </w:p>
        </w:tc>
        <w:tc>
          <w:tcPr>
            <w:tcW w:w="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660" w:type="dxa"/>
            <w:vAlign w:val="bottom"/>
            <w:shd w:val="clear" w:color="auto" w:fill="CCEEFF"/>
          </w:tcPr>
          <w:p>
            <w:pPr>
              <w:ind w:left="420"/>
              <w:spacing w:after="0"/>
              <w:rPr>
                <w:sz w:val="20"/>
                <w:szCs w:val="20"/>
                <w:color w:val="auto"/>
              </w:rPr>
            </w:pPr>
            <w:r>
              <w:rPr>
                <w:rFonts w:ascii="Times New Roman" w:cs="Times New Roman" w:eastAsia="Times New Roman" w:hAnsi="Times New Roman"/>
                <w:sz w:val="18"/>
                <w:szCs w:val="18"/>
                <w:color w:val="auto"/>
              </w:rPr>
              <w:t>(1)</w:t>
            </w:r>
          </w:p>
        </w:tc>
        <w:tc>
          <w:tcPr>
            <w:tcW w:w="2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45,041</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0" w:type="dxa"/>
            <w:vAlign w:val="bottom"/>
          </w:tcPr>
          <w:p>
            <w:pPr>
              <w:spacing w:after="0"/>
              <w:rPr>
                <w:sz w:val="19"/>
                <w:szCs w:val="19"/>
                <w:color w:val="auto"/>
              </w:rPr>
            </w:pPr>
          </w:p>
        </w:tc>
        <w:tc>
          <w:tcPr>
            <w:tcW w:w="6640" w:type="dxa"/>
            <w:vAlign w:val="bottom"/>
          </w:tcPr>
          <w:p>
            <w:pPr>
              <w:ind w:left="520"/>
              <w:spacing w:after="0"/>
              <w:rPr>
                <w:sz w:val="20"/>
                <w:szCs w:val="20"/>
                <w:color w:val="auto"/>
              </w:rPr>
            </w:pPr>
            <w:r>
              <w:rPr>
                <w:rFonts w:ascii="Times New Roman" w:cs="Times New Roman" w:eastAsia="Times New Roman" w:hAnsi="Times New Roman"/>
                <w:sz w:val="18"/>
                <w:szCs w:val="18"/>
                <w:color w:val="auto"/>
              </w:rPr>
              <w:t>Asset-backed securities</w:t>
            </w: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697</w:t>
            </w: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40" w:type="dxa"/>
            <w:vAlign w:val="bottom"/>
            <w:gridSpan w:val="2"/>
          </w:tcPr>
          <w:p>
            <w:pPr>
              <w:jc w:val="right"/>
              <w:ind w:right="2"/>
              <w:spacing w:after="0"/>
              <w:rPr>
                <w:sz w:val="20"/>
                <w:szCs w:val="20"/>
                <w:color w:val="auto"/>
              </w:rPr>
            </w:pPr>
            <w:r>
              <w:rPr>
                <w:rFonts w:ascii="Times New Roman" w:cs="Times New Roman" w:eastAsia="Times New Roman" w:hAnsi="Times New Roman"/>
                <w:sz w:val="18"/>
                <w:szCs w:val="18"/>
                <w:color w:val="auto"/>
              </w:rPr>
              <w:t>2</w:t>
            </w: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60" w:type="dxa"/>
            <w:vAlign w:val="bottom"/>
            <w:gridSpan w:val="4"/>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699</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0" w:type="dxa"/>
            <w:vAlign w:val="bottom"/>
            <w:shd w:val="clear" w:color="auto" w:fill="CCEEFF"/>
          </w:tcPr>
          <w:p>
            <w:pPr>
              <w:spacing w:after="0"/>
              <w:rPr>
                <w:sz w:val="19"/>
                <w:szCs w:val="19"/>
                <w:color w:val="auto"/>
              </w:rPr>
            </w:pPr>
          </w:p>
        </w:tc>
        <w:tc>
          <w:tcPr>
            <w:tcW w:w="6640" w:type="dxa"/>
            <w:vAlign w:val="bottom"/>
            <w:shd w:val="clear" w:color="auto" w:fill="CCEEFF"/>
          </w:tcPr>
          <w:p>
            <w:pPr>
              <w:ind w:left="520"/>
              <w:spacing w:after="0"/>
              <w:rPr>
                <w:sz w:val="20"/>
                <w:szCs w:val="20"/>
                <w:color w:val="auto"/>
              </w:rPr>
            </w:pPr>
            <w:r>
              <w:rPr>
                <w:rFonts w:ascii="Times New Roman" w:cs="Times New Roman" w:eastAsia="Times New Roman" w:hAnsi="Times New Roman"/>
                <w:sz w:val="18"/>
                <w:szCs w:val="18"/>
                <w:color w:val="auto"/>
              </w:rPr>
              <w:t>Commercial paper</w:t>
            </w:r>
          </w:p>
        </w:tc>
        <w:tc>
          <w:tcPr>
            <w:tcW w:w="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2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98,994</w:t>
            </w:r>
          </w:p>
        </w:tc>
        <w:tc>
          <w:tcPr>
            <w:tcW w:w="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740" w:type="dxa"/>
            <w:vAlign w:val="bottom"/>
            <w:gridSpan w:val="4"/>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760" w:type="dxa"/>
            <w:vAlign w:val="bottom"/>
            <w:gridSpan w:val="4"/>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4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98,994</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668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Total Short-term investments</w:t>
            </w:r>
          </w:p>
        </w:tc>
        <w:tc>
          <w:tcPr>
            <w:tcW w:w="160" w:type="dxa"/>
            <w:vAlign w:val="bottom"/>
            <w:tcBorders>
              <w:top w:val="single" w:sz="8" w:color="auto"/>
              <w:bottom w:val="single" w:sz="8" w:color="auto"/>
            </w:tcBorders>
            <w:gridSpan w:val="2"/>
          </w:tcPr>
          <w:p>
            <w:pPr>
              <w:jc w:val="right"/>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2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771,070</w:t>
            </w: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60" w:type="dxa"/>
            <w:vAlign w:val="bottom"/>
            <w:tcBorders>
              <w:top w:val="single" w:sz="8" w:color="auto"/>
              <w:bottom w:val="single" w:sz="8" w:color="auto"/>
            </w:tcBorders>
            <w:gridSpan w:val="2"/>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640" w:type="dxa"/>
            <w:vAlign w:val="bottom"/>
            <w:tcBorders>
              <w:top w:val="single" w:sz="8" w:color="auto"/>
              <w:bottom w:val="single" w:sz="8" w:color="auto"/>
            </w:tcBorders>
            <w:gridSpan w:val="2"/>
          </w:tcPr>
          <w:p>
            <w:pPr>
              <w:jc w:val="right"/>
              <w:ind w:right="2"/>
              <w:spacing w:after="0"/>
              <w:rPr>
                <w:sz w:val="20"/>
                <w:szCs w:val="20"/>
                <w:color w:val="auto"/>
              </w:rPr>
            </w:pPr>
            <w:r>
              <w:rPr>
                <w:rFonts w:ascii="Times New Roman" w:cs="Times New Roman" w:eastAsia="Times New Roman" w:hAnsi="Times New Roman"/>
                <w:sz w:val="18"/>
                <w:szCs w:val="18"/>
                <w:b w:val="1"/>
                <w:bCs w:val="1"/>
                <w:color w:val="auto"/>
              </w:rPr>
              <w:t>1,713</w:t>
            </w: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Borders>
              <w:top w:val="single" w:sz="8" w:color="auto"/>
              <w:bottom w:val="single" w:sz="8" w:color="auto"/>
            </w:tcBorders>
            <w:gridSpan w:val="2"/>
          </w:tcPr>
          <w:p>
            <w:pPr>
              <w:jc w:val="right"/>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6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(100)</w:t>
            </w:r>
          </w:p>
        </w:tc>
        <w:tc>
          <w:tcPr>
            <w:tcW w:w="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20" w:type="dxa"/>
            <w:vAlign w:val="bottom"/>
            <w:tcBorders>
              <w:top w:val="single" w:sz="8" w:color="auto"/>
              <w:bottom w:val="single" w:sz="8" w:color="auto"/>
            </w:tcBorders>
            <w:gridSpan w:val="3"/>
          </w:tcPr>
          <w:p>
            <w:pPr>
              <w:jc w:val="right"/>
              <w:ind w:right="10"/>
              <w:spacing w:after="0"/>
              <w:rPr>
                <w:sz w:val="20"/>
                <w:szCs w:val="20"/>
                <w:color w:val="auto"/>
              </w:rPr>
            </w:pPr>
            <w:r>
              <w:rPr>
                <w:rFonts w:ascii="Times New Roman" w:cs="Times New Roman" w:eastAsia="Times New Roman" w:hAnsi="Times New Roman"/>
                <w:sz w:val="18"/>
                <w:szCs w:val="18"/>
                <w:b w:val="1"/>
                <w:bCs w:val="1"/>
                <w:color w:val="auto"/>
              </w:rPr>
              <w:t>$</w:t>
            </w:r>
          </w:p>
        </w:tc>
        <w:tc>
          <w:tcPr>
            <w:tcW w:w="9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772,683</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664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529"/>
        </w:trPr>
        <w:tc>
          <w:tcPr>
            <w:tcW w:w="40" w:type="dxa"/>
            <w:vAlign w:val="bottom"/>
          </w:tcPr>
          <w:p>
            <w:pPr>
              <w:spacing w:after="0"/>
              <w:rPr>
                <w:sz w:val="24"/>
                <w:szCs w:val="24"/>
                <w:color w:val="auto"/>
              </w:rPr>
            </w:pPr>
          </w:p>
        </w:tc>
        <w:tc>
          <w:tcPr>
            <w:tcW w:w="66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24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680" w:type="dxa"/>
            <w:vAlign w:val="bottom"/>
            <w:tcBorders>
              <w:bottom w:val="single" w:sz="8" w:color="auto"/>
            </w:tcBorders>
            <w:gridSpan w:val="10"/>
          </w:tcPr>
          <w:p>
            <w:pPr>
              <w:jc w:val="center"/>
              <w:ind w:right="440"/>
              <w:spacing w:after="0"/>
              <w:rPr>
                <w:sz w:val="20"/>
                <w:szCs w:val="20"/>
                <w:color w:val="auto"/>
              </w:rPr>
            </w:pPr>
            <w:r>
              <w:rPr>
                <w:rFonts w:ascii="Times New Roman" w:cs="Times New Roman" w:eastAsia="Times New Roman" w:hAnsi="Times New Roman"/>
                <w:sz w:val="14"/>
                <w:szCs w:val="14"/>
                <w:b w:val="1"/>
                <w:bCs w:val="1"/>
                <w:color w:val="auto"/>
              </w:rPr>
              <w:t>March 31, 2020</w:t>
            </w:r>
          </w:p>
        </w:tc>
        <w:tc>
          <w:tcPr>
            <w:tcW w:w="4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3"/>
        </w:trPr>
        <w:tc>
          <w:tcPr>
            <w:tcW w:w="40" w:type="dxa"/>
            <w:vAlign w:val="bottom"/>
          </w:tcPr>
          <w:p>
            <w:pPr>
              <w:spacing w:after="0"/>
              <w:rPr>
                <w:sz w:val="11"/>
                <w:szCs w:val="11"/>
                <w:color w:val="auto"/>
              </w:rPr>
            </w:pPr>
          </w:p>
        </w:tc>
        <w:tc>
          <w:tcPr>
            <w:tcW w:w="6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400" w:type="dxa"/>
            <w:vAlign w:val="bottom"/>
            <w:gridSpan w:val="5"/>
          </w:tcPr>
          <w:p>
            <w:pPr>
              <w:jc w:val="center"/>
              <w:spacing w:after="0" w:line="134" w:lineRule="exact"/>
              <w:rPr>
                <w:sz w:val="20"/>
                <w:szCs w:val="20"/>
                <w:color w:val="auto"/>
              </w:rPr>
            </w:pPr>
            <w:r>
              <w:rPr>
                <w:rFonts w:ascii="Times New Roman" w:cs="Times New Roman" w:eastAsia="Times New Roman" w:hAnsi="Times New Roman"/>
                <w:sz w:val="14"/>
                <w:szCs w:val="14"/>
                <w:color w:val="auto"/>
              </w:rPr>
              <w:t>Gross</w:t>
            </w: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88"/>
        </w:trPr>
        <w:tc>
          <w:tcPr>
            <w:tcW w:w="40" w:type="dxa"/>
            <w:vAlign w:val="bottom"/>
          </w:tcPr>
          <w:p>
            <w:pPr>
              <w:spacing w:after="0"/>
              <w:rPr>
                <w:sz w:val="16"/>
                <w:szCs w:val="16"/>
                <w:color w:val="auto"/>
              </w:rPr>
            </w:pPr>
          </w:p>
        </w:tc>
        <w:tc>
          <w:tcPr>
            <w:tcW w:w="66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2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600" w:type="dxa"/>
            <w:vAlign w:val="bottom"/>
            <w:tcBorders>
              <w:bottom w:val="single" w:sz="8" w:color="auto"/>
            </w:tcBorders>
            <w:gridSpan w:val="8"/>
          </w:tcPr>
          <w:p>
            <w:pPr>
              <w:jc w:val="center"/>
              <w:ind w:right="140"/>
              <w:spacing w:after="0"/>
              <w:rPr>
                <w:sz w:val="20"/>
                <w:szCs w:val="20"/>
                <w:color w:val="auto"/>
              </w:rPr>
            </w:pPr>
            <w:r>
              <w:rPr>
                <w:rFonts w:ascii="Times New Roman" w:cs="Times New Roman" w:eastAsia="Times New Roman" w:hAnsi="Times New Roman"/>
                <w:sz w:val="14"/>
                <w:szCs w:val="14"/>
                <w:color w:val="auto"/>
              </w:rPr>
              <w:t>Unrealized</w:t>
            </w:r>
          </w:p>
        </w:tc>
        <w:tc>
          <w:tcPr>
            <w:tcW w:w="80" w:type="dxa"/>
            <w:vAlign w:val="bottom"/>
            <w:gridSpan w:val="2"/>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16"/>
        </w:trPr>
        <w:tc>
          <w:tcPr>
            <w:tcW w:w="40" w:type="dxa"/>
            <w:vAlign w:val="bottom"/>
          </w:tcPr>
          <w:p>
            <w:pPr>
              <w:spacing w:after="0"/>
              <w:rPr>
                <w:sz w:val="10"/>
                <w:szCs w:val="10"/>
                <w:color w:val="auto"/>
              </w:rPr>
            </w:pPr>
          </w:p>
        </w:tc>
        <w:tc>
          <w:tcPr>
            <w:tcW w:w="66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340" w:type="dxa"/>
            <w:vAlign w:val="bottom"/>
            <w:gridSpan w:val="3"/>
          </w:tcPr>
          <w:p>
            <w:pPr>
              <w:jc w:val="center"/>
              <w:ind w:right="240"/>
              <w:spacing w:after="0" w:line="116" w:lineRule="exact"/>
              <w:rPr>
                <w:sz w:val="20"/>
                <w:szCs w:val="20"/>
                <w:color w:val="auto"/>
              </w:rPr>
            </w:pPr>
            <w:r>
              <w:rPr>
                <w:rFonts w:ascii="Times New Roman" w:cs="Times New Roman" w:eastAsia="Times New Roman" w:hAnsi="Times New Roman"/>
                <w:sz w:val="13"/>
                <w:szCs w:val="13"/>
                <w:color w:val="auto"/>
              </w:rPr>
              <w:t>Cost or</w:t>
            </w:r>
          </w:p>
        </w:tc>
        <w:tc>
          <w:tcPr>
            <w:tcW w:w="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740" w:type="dxa"/>
            <w:vAlign w:val="bottom"/>
            <w:gridSpan w:val="4"/>
            <w:vMerge w:val="restart"/>
          </w:tcPr>
          <w:p>
            <w:pPr>
              <w:jc w:val="center"/>
              <w:ind w:right="220"/>
              <w:spacing w:after="0"/>
              <w:rPr>
                <w:sz w:val="20"/>
                <w:szCs w:val="20"/>
                <w:color w:val="auto"/>
              </w:rPr>
            </w:pPr>
            <w:r>
              <w:rPr>
                <w:rFonts w:ascii="Times New Roman" w:cs="Times New Roman" w:eastAsia="Times New Roman" w:hAnsi="Times New Roman"/>
                <w:sz w:val="14"/>
                <w:szCs w:val="14"/>
                <w:color w:val="auto"/>
                <w:w w:val="97"/>
              </w:rPr>
              <w:t>Gains</w:t>
            </w:r>
          </w:p>
        </w:tc>
        <w:tc>
          <w:tcPr>
            <w:tcW w:w="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760" w:type="dxa"/>
            <w:vAlign w:val="bottom"/>
            <w:gridSpan w:val="4"/>
            <w:vMerge w:val="restart"/>
          </w:tcPr>
          <w:p>
            <w:pPr>
              <w:ind w:left="60"/>
              <w:spacing w:after="0"/>
              <w:rPr>
                <w:sz w:val="20"/>
                <w:szCs w:val="20"/>
                <w:color w:val="auto"/>
              </w:rPr>
            </w:pPr>
            <w:r>
              <w:rPr>
                <w:rFonts w:ascii="Times New Roman" w:cs="Times New Roman" w:eastAsia="Times New Roman" w:hAnsi="Times New Roman"/>
                <w:sz w:val="14"/>
                <w:szCs w:val="14"/>
                <w:color w:val="auto"/>
              </w:rPr>
              <w:t>Losses</w:t>
            </w:r>
          </w:p>
        </w:tc>
        <w:tc>
          <w:tcPr>
            <w:tcW w:w="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960" w:type="dxa"/>
            <w:vAlign w:val="bottom"/>
            <w:vMerge w:val="restart"/>
          </w:tcPr>
          <w:p>
            <w:pPr>
              <w:jc w:val="center"/>
              <w:ind w:right="74"/>
              <w:spacing w:after="0"/>
              <w:rPr>
                <w:sz w:val="20"/>
                <w:szCs w:val="20"/>
                <w:color w:val="auto"/>
              </w:rPr>
            </w:pPr>
            <w:r>
              <w:rPr>
                <w:rFonts w:ascii="Times New Roman" w:cs="Times New Roman" w:eastAsia="Times New Roman" w:hAnsi="Times New Roman"/>
                <w:sz w:val="14"/>
                <w:szCs w:val="14"/>
                <w:color w:val="auto"/>
              </w:rPr>
              <w:t>Fair Value</w:t>
            </w: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89"/>
        </w:trPr>
        <w:tc>
          <w:tcPr>
            <w:tcW w:w="40" w:type="dxa"/>
            <w:vAlign w:val="bottom"/>
          </w:tcPr>
          <w:p>
            <w:pPr>
              <w:spacing w:after="0"/>
              <w:rPr>
                <w:sz w:val="16"/>
                <w:szCs w:val="16"/>
                <w:color w:val="auto"/>
              </w:rPr>
            </w:pPr>
          </w:p>
        </w:tc>
        <w:tc>
          <w:tcPr>
            <w:tcW w:w="66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340" w:type="dxa"/>
            <w:vAlign w:val="bottom"/>
            <w:gridSpan w:val="3"/>
          </w:tcPr>
          <w:p>
            <w:pPr>
              <w:jc w:val="center"/>
              <w:ind w:right="220"/>
              <w:spacing w:after="0"/>
              <w:rPr>
                <w:sz w:val="20"/>
                <w:szCs w:val="20"/>
                <w:color w:val="auto"/>
              </w:rPr>
            </w:pPr>
            <w:r>
              <w:rPr>
                <w:rFonts w:ascii="Times New Roman" w:cs="Times New Roman" w:eastAsia="Times New Roman" w:hAnsi="Times New Roman"/>
                <w:sz w:val="14"/>
                <w:szCs w:val="14"/>
                <w:color w:val="auto"/>
              </w:rPr>
              <w:t>Amortized Cost</w:t>
            </w:r>
          </w:p>
        </w:tc>
        <w:tc>
          <w:tcPr>
            <w:tcW w:w="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40" w:type="dxa"/>
            <w:vAlign w:val="bottom"/>
            <w:gridSpan w:val="4"/>
            <w:vMerge w:val="continue"/>
          </w:tcPr>
          <w:p>
            <w:pPr>
              <w:spacing w:after="0"/>
              <w:rPr>
                <w:sz w:val="16"/>
                <w:szCs w:val="16"/>
                <w:color w:val="auto"/>
              </w:rPr>
            </w:pPr>
          </w:p>
        </w:tc>
        <w:tc>
          <w:tcPr>
            <w:tcW w:w="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60" w:type="dxa"/>
            <w:vAlign w:val="bottom"/>
            <w:gridSpan w:val="4"/>
            <w:vMerge w:val="continue"/>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960" w:type="dxa"/>
            <w:vAlign w:val="bottom"/>
            <w:vMerge w:val="continue"/>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3"/>
        </w:trPr>
        <w:tc>
          <w:tcPr>
            <w:tcW w:w="40" w:type="dxa"/>
            <w:vAlign w:val="bottom"/>
          </w:tcPr>
          <w:p>
            <w:pPr>
              <w:spacing w:after="0"/>
              <w:rPr>
                <w:sz w:val="19"/>
                <w:szCs w:val="19"/>
                <w:color w:val="auto"/>
              </w:rPr>
            </w:pPr>
          </w:p>
        </w:tc>
        <w:tc>
          <w:tcPr>
            <w:tcW w:w="6640" w:type="dxa"/>
            <w:vAlign w:val="bottom"/>
            <w:tcBorders>
              <w:top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Short-term investments</w:t>
            </w:r>
          </w:p>
        </w:tc>
        <w:tc>
          <w:tcPr>
            <w:tcW w:w="20" w:type="dxa"/>
            <w:vAlign w:val="bottom"/>
            <w:tcBorders>
              <w:top w:val="single" w:sz="8" w:color="CCEEFF"/>
            </w:tcBorders>
            <w:shd w:val="clear" w:color="auto" w:fill="CCEEFF"/>
          </w:tcPr>
          <w:p>
            <w:pPr>
              <w:spacing w:after="0"/>
              <w:rPr>
                <w:sz w:val="19"/>
                <w:szCs w:val="19"/>
                <w:color w:val="auto"/>
              </w:rPr>
            </w:pPr>
          </w:p>
        </w:tc>
        <w:tc>
          <w:tcPr>
            <w:tcW w:w="140" w:type="dxa"/>
            <w:vAlign w:val="bottom"/>
            <w:tcBorders>
              <w:top w:val="single" w:sz="8" w:color="auto"/>
            </w:tcBorders>
            <w:shd w:val="clear" w:color="auto" w:fill="CCEEFF"/>
          </w:tcPr>
          <w:p>
            <w:pPr>
              <w:spacing w:after="0"/>
              <w:rPr>
                <w:sz w:val="19"/>
                <w:szCs w:val="19"/>
                <w:color w:val="auto"/>
              </w:rPr>
            </w:pPr>
          </w:p>
        </w:tc>
        <w:tc>
          <w:tcPr>
            <w:tcW w:w="1240" w:type="dxa"/>
            <w:vAlign w:val="bottom"/>
            <w:tcBorders>
              <w:top w:val="single" w:sz="8" w:color="auto"/>
            </w:tcBorders>
            <w:shd w:val="clear" w:color="auto" w:fill="CCEEFF"/>
          </w:tcPr>
          <w:p>
            <w:pPr>
              <w:spacing w:after="0"/>
              <w:rPr>
                <w:sz w:val="19"/>
                <w:szCs w:val="19"/>
                <w:color w:val="auto"/>
              </w:rPr>
            </w:pPr>
          </w:p>
        </w:tc>
        <w:tc>
          <w:tcPr>
            <w:tcW w:w="20" w:type="dxa"/>
            <w:vAlign w:val="bottom"/>
            <w:tcBorders>
              <w:top w:val="single" w:sz="8" w:color="auto"/>
            </w:tcBorders>
            <w:shd w:val="clear" w:color="auto" w:fill="CCEEFF"/>
          </w:tcPr>
          <w:p>
            <w:pPr>
              <w:spacing w:after="0"/>
              <w:rPr>
                <w:sz w:val="19"/>
                <w:szCs w:val="19"/>
                <w:color w:val="auto"/>
              </w:rPr>
            </w:pPr>
          </w:p>
        </w:tc>
        <w:tc>
          <w:tcPr>
            <w:tcW w:w="80" w:type="dxa"/>
            <w:vAlign w:val="bottom"/>
            <w:tcBorders>
              <w:top w:val="single" w:sz="8" w:color="CCEEFF"/>
            </w:tcBorders>
            <w:shd w:val="clear" w:color="auto" w:fill="CCEEFF"/>
          </w:tcPr>
          <w:p>
            <w:pPr>
              <w:spacing w:after="0"/>
              <w:rPr>
                <w:sz w:val="19"/>
                <w:szCs w:val="19"/>
                <w:color w:val="auto"/>
              </w:rPr>
            </w:pPr>
          </w:p>
        </w:tc>
        <w:tc>
          <w:tcPr>
            <w:tcW w:w="40" w:type="dxa"/>
            <w:vAlign w:val="bottom"/>
            <w:tcBorders>
              <w:top w:val="single" w:sz="8" w:color="CCEEFF"/>
            </w:tcBorders>
            <w:shd w:val="clear" w:color="auto" w:fill="CCEEFF"/>
          </w:tcPr>
          <w:p>
            <w:pPr>
              <w:spacing w:after="0"/>
              <w:rPr>
                <w:sz w:val="19"/>
                <w:szCs w:val="19"/>
                <w:color w:val="auto"/>
              </w:rPr>
            </w:pPr>
          </w:p>
        </w:tc>
        <w:tc>
          <w:tcPr>
            <w:tcW w:w="120" w:type="dxa"/>
            <w:vAlign w:val="bottom"/>
            <w:tcBorders>
              <w:top w:val="single" w:sz="8" w:color="auto"/>
            </w:tcBorders>
            <w:shd w:val="clear" w:color="auto" w:fill="CCEEFF"/>
          </w:tcPr>
          <w:p>
            <w:pPr>
              <w:spacing w:after="0"/>
              <w:rPr>
                <w:sz w:val="19"/>
                <w:szCs w:val="19"/>
                <w:color w:val="auto"/>
              </w:rPr>
            </w:pPr>
          </w:p>
        </w:tc>
        <w:tc>
          <w:tcPr>
            <w:tcW w:w="520" w:type="dxa"/>
            <w:vAlign w:val="bottom"/>
            <w:tcBorders>
              <w:top w:val="single" w:sz="8" w:color="auto"/>
            </w:tcBorders>
            <w:shd w:val="clear" w:color="auto" w:fill="CCEEFF"/>
          </w:tcPr>
          <w:p>
            <w:pPr>
              <w:spacing w:after="0"/>
              <w:rPr>
                <w:sz w:val="19"/>
                <w:szCs w:val="19"/>
                <w:color w:val="auto"/>
              </w:rPr>
            </w:pPr>
          </w:p>
        </w:tc>
        <w:tc>
          <w:tcPr>
            <w:tcW w:w="120" w:type="dxa"/>
            <w:vAlign w:val="bottom"/>
            <w:tcBorders>
              <w:top w:val="single" w:sz="8" w:color="auto"/>
            </w:tcBorders>
            <w:shd w:val="clear" w:color="auto" w:fill="CCEEFF"/>
          </w:tcPr>
          <w:p>
            <w:pPr>
              <w:spacing w:after="0"/>
              <w:rPr>
                <w:sz w:val="19"/>
                <w:szCs w:val="19"/>
                <w:color w:val="auto"/>
              </w:rPr>
            </w:pPr>
          </w:p>
        </w:tc>
        <w:tc>
          <w:tcPr>
            <w:tcW w:w="20" w:type="dxa"/>
            <w:vAlign w:val="bottom"/>
            <w:tcBorders>
              <w:top w:val="single" w:sz="8" w:color="auto"/>
            </w:tcBorders>
            <w:shd w:val="clear" w:color="auto" w:fill="CCEEFF"/>
          </w:tcPr>
          <w:p>
            <w:pPr>
              <w:spacing w:after="0"/>
              <w:rPr>
                <w:sz w:val="19"/>
                <w:szCs w:val="19"/>
                <w:color w:val="auto"/>
              </w:rPr>
            </w:pPr>
          </w:p>
        </w:tc>
        <w:tc>
          <w:tcPr>
            <w:tcW w:w="80" w:type="dxa"/>
            <w:vAlign w:val="bottom"/>
            <w:tcBorders>
              <w:top w:val="single" w:sz="8" w:color="CCEEFF"/>
            </w:tcBorders>
            <w:shd w:val="clear" w:color="auto" w:fill="CCEEFF"/>
          </w:tcPr>
          <w:p>
            <w:pPr>
              <w:spacing w:after="0"/>
              <w:rPr>
                <w:sz w:val="19"/>
                <w:szCs w:val="19"/>
                <w:color w:val="auto"/>
              </w:rPr>
            </w:pPr>
          </w:p>
        </w:tc>
        <w:tc>
          <w:tcPr>
            <w:tcW w:w="20" w:type="dxa"/>
            <w:vAlign w:val="bottom"/>
            <w:tcBorders>
              <w:top w:val="single" w:sz="8" w:color="CCEEFF"/>
            </w:tcBorders>
            <w:shd w:val="clear" w:color="auto" w:fill="CCEEFF"/>
          </w:tcPr>
          <w:p>
            <w:pPr>
              <w:spacing w:after="0"/>
              <w:rPr>
                <w:sz w:val="19"/>
                <w:szCs w:val="19"/>
                <w:color w:val="auto"/>
              </w:rPr>
            </w:pPr>
          </w:p>
        </w:tc>
        <w:tc>
          <w:tcPr>
            <w:tcW w:w="160" w:type="dxa"/>
            <w:vAlign w:val="bottom"/>
            <w:tcBorders>
              <w:top w:val="single" w:sz="8" w:color="auto"/>
            </w:tcBorders>
            <w:shd w:val="clear" w:color="auto" w:fill="CCEEFF"/>
          </w:tcPr>
          <w:p>
            <w:pPr>
              <w:spacing w:after="0"/>
              <w:rPr>
                <w:sz w:val="19"/>
                <w:szCs w:val="19"/>
                <w:color w:val="auto"/>
              </w:rPr>
            </w:pPr>
          </w:p>
        </w:tc>
        <w:tc>
          <w:tcPr>
            <w:tcW w:w="660" w:type="dxa"/>
            <w:vAlign w:val="bottom"/>
            <w:tcBorders>
              <w:top w:val="single" w:sz="8" w:color="auto"/>
            </w:tcBorders>
            <w:shd w:val="clear" w:color="auto" w:fill="CCEEFF"/>
          </w:tcPr>
          <w:p>
            <w:pPr>
              <w:spacing w:after="0"/>
              <w:rPr>
                <w:sz w:val="19"/>
                <w:szCs w:val="19"/>
                <w:color w:val="auto"/>
              </w:rPr>
            </w:pPr>
          </w:p>
        </w:tc>
        <w:tc>
          <w:tcPr>
            <w:tcW w:w="20" w:type="dxa"/>
            <w:vAlign w:val="bottom"/>
            <w:tcBorders>
              <w:top w:val="single" w:sz="8" w:color="auto"/>
            </w:tcBorders>
            <w:shd w:val="clear" w:color="auto" w:fill="CCEEFF"/>
          </w:tcPr>
          <w:p>
            <w:pPr>
              <w:spacing w:after="0"/>
              <w:rPr>
                <w:sz w:val="19"/>
                <w:szCs w:val="19"/>
                <w:color w:val="auto"/>
              </w:rPr>
            </w:pPr>
          </w:p>
        </w:tc>
        <w:tc>
          <w:tcPr>
            <w:tcW w:w="40" w:type="dxa"/>
            <w:vAlign w:val="bottom"/>
            <w:tcBorders>
              <w:top w:val="single" w:sz="8" w:color="CCEEFF"/>
            </w:tcBorders>
            <w:shd w:val="clear" w:color="auto" w:fill="CCEEFF"/>
          </w:tcPr>
          <w:p>
            <w:pPr>
              <w:spacing w:after="0"/>
              <w:rPr>
                <w:sz w:val="19"/>
                <w:szCs w:val="19"/>
                <w:color w:val="auto"/>
              </w:rPr>
            </w:pPr>
          </w:p>
        </w:tc>
        <w:tc>
          <w:tcPr>
            <w:tcW w:w="40" w:type="dxa"/>
            <w:vAlign w:val="bottom"/>
            <w:tcBorders>
              <w:top w:val="single" w:sz="8" w:color="CCEEFF"/>
            </w:tcBorders>
            <w:shd w:val="clear" w:color="auto" w:fill="CCEEFF"/>
          </w:tcPr>
          <w:p>
            <w:pPr>
              <w:spacing w:after="0"/>
              <w:rPr>
                <w:sz w:val="19"/>
                <w:szCs w:val="19"/>
                <w:color w:val="auto"/>
              </w:rPr>
            </w:pPr>
          </w:p>
        </w:tc>
        <w:tc>
          <w:tcPr>
            <w:tcW w:w="40" w:type="dxa"/>
            <w:vAlign w:val="bottom"/>
            <w:tcBorders>
              <w:top w:val="single" w:sz="8" w:color="CCEEFF"/>
            </w:tcBorders>
            <w:shd w:val="clear" w:color="auto" w:fill="CCEEFF"/>
          </w:tcPr>
          <w:p>
            <w:pPr>
              <w:spacing w:after="0"/>
              <w:rPr>
                <w:sz w:val="19"/>
                <w:szCs w:val="19"/>
                <w:color w:val="auto"/>
              </w:rPr>
            </w:pPr>
          </w:p>
        </w:tc>
        <w:tc>
          <w:tcPr>
            <w:tcW w:w="20" w:type="dxa"/>
            <w:vAlign w:val="bottom"/>
            <w:tcBorders>
              <w:top w:val="single" w:sz="8" w:color="auto"/>
            </w:tcBorders>
            <w:shd w:val="clear" w:color="auto" w:fill="CCEEFF"/>
          </w:tcPr>
          <w:p>
            <w:pPr>
              <w:spacing w:after="0"/>
              <w:rPr>
                <w:sz w:val="19"/>
                <w:szCs w:val="19"/>
                <w:color w:val="auto"/>
              </w:rPr>
            </w:pPr>
          </w:p>
        </w:tc>
        <w:tc>
          <w:tcPr>
            <w:tcW w:w="160" w:type="dxa"/>
            <w:vAlign w:val="bottom"/>
            <w:tcBorders>
              <w:top w:val="single" w:sz="8" w:color="auto"/>
            </w:tcBorders>
            <w:shd w:val="clear" w:color="auto" w:fill="CCEEFF"/>
          </w:tcPr>
          <w:p>
            <w:pPr>
              <w:spacing w:after="0"/>
              <w:rPr>
                <w:sz w:val="19"/>
                <w:szCs w:val="19"/>
                <w:color w:val="auto"/>
              </w:rPr>
            </w:pPr>
          </w:p>
        </w:tc>
        <w:tc>
          <w:tcPr>
            <w:tcW w:w="960" w:type="dxa"/>
            <w:vAlign w:val="bottom"/>
            <w:tcBorders>
              <w:top w:val="single" w:sz="8" w:color="auto"/>
            </w:tcBorders>
            <w:shd w:val="clear" w:color="auto" w:fill="CCEEFF"/>
          </w:tcPr>
          <w:p>
            <w:pPr>
              <w:spacing w:after="0"/>
              <w:rPr>
                <w:sz w:val="19"/>
                <w:szCs w:val="19"/>
                <w:color w:val="auto"/>
              </w:rPr>
            </w:pPr>
          </w:p>
        </w:tc>
        <w:tc>
          <w:tcPr>
            <w:tcW w:w="20" w:type="dxa"/>
            <w:vAlign w:val="bottom"/>
            <w:tcBorders>
              <w:top w:val="single" w:sz="8" w:color="auto"/>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0" w:type="dxa"/>
            <w:vAlign w:val="bottom"/>
          </w:tcPr>
          <w:p>
            <w:pPr>
              <w:spacing w:after="0"/>
              <w:rPr>
                <w:sz w:val="19"/>
                <w:szCs w:val="19"/>
                <w:color w:val="auto"/>
              </w:rPr>
            </w:pPr>
          </w:p>
        </w:tc>
        <w:tc>
          <w:tcPr>
            <w:tcW w:w="664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Bank time deposits</w:t>
            </w:r>
          </w:p>
        </w:tc>
        <w:tc>
          <w:tcPr>
            <w:tcW w:w="1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191,000</w:t>
            </w: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40" w:type="dxa"/>
            <w:vAlign w:val="bottom"/>
            <w:gridSpan w:val="4"/>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1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60" w:type="dxa"/>
            <w:vAlign w:val="bottom"/>
            <w:gridSpan w:val="4"/>
          </w:tcPr>
          <w:p>
            <w:pPr>
              <w:ind w:left="42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gridSpan w:val="3"/>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191,000</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0" w:type="dxa"/>
            <w:vAlign w:val="bottom"/>
          </w:tcPr>
          <w:p>
            <w:pPr>
              <w:spacing w:after="0"/>
              <w:rPr>
                <w:sz w:val="19"/>
                <w:szCs w:val="19"/>
                <w:color w:val="auto"/>
              </w:rPr>
            </w:pPr>
          </w:p>
        </w:tc>
        <w:tc>
          <w:tcPr>
            <w:tcW w:w="664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Available-for-sale securities:</w:t>
            </w:r>
          </w:p>
        </w:tc>
        <w:tc>
          <w:tcPr>
            <w:tcW w:w="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24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5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66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96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0" w:type="dxa"/>
            <w:vAlign w:val="bottom"/>
          </w:tcPr>
          <w:p>
            <w:pPr>
              <w:spacing w:after="0"/>
              <w:rPr>
                <w:sz w:val="19"/>
                <w:szCs w:val="19"/>
                <w:color w:val="auto"/>
              </w:rPr>
            </w:pPr>
          </w:p>
        </w:tc>
        <w:tc>
          <w:tcPr>
            <w:tcW w:w="664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Corporate bonds</w:t>
            </w: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337,752</w:t>
            </w: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307</w:t>
            </w: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(3,428)</w:t>
            </w:r>
          </w:p>
        </w:tc>
        <w:tc>
          <w:tcPr>
            <w:tcW w:w="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334,631</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0" w:type="dxa"/>
            <w:vAlign w:val="bottom"/>
          </w:tcPr>
          <w:p>
            <w:pPr>
              <w:spacing w:after="0"/>
              <w:rPr>
                <w:sz w:val="19"/>
                <w:szCs w:val="19"/>
                <w:color w:val="auto"/>
              </w:rPr>
            </w:pPr>
          </w:p>
        </w:tc>
        <w:tc>
          <w:tcPr>
            <w:tcW w:w="664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US Treasuries</w:t>
            </w:r>
          </w:p>
        </w:tc>
        <w:tc>
          <w:tcPr>
            <w:tcW w:w="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2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30,481</w:t>
            </w:r>
          </w:p>
        </w:tc>
        <w:tc>
          <w:tcPr>
            <w:tcW w:w="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6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338</w:t>
            </w:r>
          </w:p>
        </w:tc>
        <w:tc>
          <w:tcPr>
            <w:tcW w:w="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760" w:type="dxa"/>
            <w:vAlign w:val="bottom"/>
            <w:gridSpan w:val="4"/>
            <w:shd w:val="clear" w:color="auto" w:fill="CCEEFF"/>
          </w:tcPr>
          <w:p>
            <w:pPr>
              <w:ind w:left="420"/>
              <w:spacing w:after="0"/>
              <w:rPr>
                <w:sz w:val="20"/>
                <w:szCs w:val="20"/>
                <w:color w:val="auto"/>
              </w:rPr>
            </w:pPr>
            <w:r>
              <w:rPr>
                <w:rFonts w:ascii="Times New Roman" w:cs="Times New Roman" w:eastAsia="Times New Roman" w:hAnsi="Times New Roman"/>
                <w:sz w:val="18"/>
                <w:szCs w:val="18"/>
                <w:color w:val="auto"/>
              </w:rPr>
              <w:t>—</w:t>
            </w:r>
          </w:p>
        </w:tc>
        <w:tc>
          <w:tcPr>
            <w:tcW w:w="4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30,819</w:t>
            </w:r>
          </w:p>
        </w:tc>
        <w:tc>
          <w:tcPr>
            <w:tcW w:w="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40" w:type="dxa"/>
            <w:vAlign w:val="bottom"/>
          </w:tcPr>
          <w:p>
            <w:pPr>
              <w:spacing w:after="0"/>
              <w:rPr>
                <w:sz w:val="19"/>
                <w:szCs w:val="19"/>
                <w:color w:val="auto"/>
              </w:rPr>
            </w:pPr>
          </w:p>
        </w:tc>
        <w:tc>
          <w:tcPr>
            <w:tcW w:w="664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Commercial paper</w:t>
            </w: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87,553</w:t>
            </w: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40" w:type="dxa"/>
            <w:vAlign w:val="bottom"/>
            <w:gridSpan w:val="4"/>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760" w:type="dxa"/>
            <w:vAlign w:val="bottom"/>
            <w:gridSpan w:val="4"/>
          </w:tcPr>
          <w:p>
            <w:pPr>
              <w:ind w:left="420"/>
              <w:spacing w:after="0"/>
              <w:rPr>
                <w:sz w:val="20"/>
                <w:szCs w:val="20"/>
                <w:color w:val="auto"/>
              </w:rPr>
            </w:pPr>
            <w:r>
              <w:rPr>
                <w:rFonts w:ascii="Times New Roman" w:cs="Times New Roman" w:eastAsia="Times New Roman" w:hAnsi="Times New Roman"/>
                <w:sz w:val="18"/>
                <w:szCs w:val="18"/>
                <w:color w:val="auto"/>
              </w:rPr>
              <w:t>—</w:t>
            </w:r>
          </w:p>
        </w:tc>
        <w:tc>
          <w:tcPr>
            <w:tcW w:w="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87,553</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8"/>
        </w:trPr>
        <w:tc>
          <w:tcPr>
            <w:tcW w:w="40" w:type="dxa"/>
            <w:vAlign w:val="bottom"/>
          </w:tcPr>
          <w:p>
            <w:pPr>
              <w:spacing w:after="0"/>
              <w:rPr>
                <w:sz w:val="21"/>
                <w:szCs w:val="21"/>
                <w:color w:val="auto"/>
              </w:rPr>
            </w:pPr>
          </w:p>
        </w:tc>
        <w:tc>
          <w:tcPr>
            <w:tcW w:w="6640" w:type="dxa"/>
            <w:vAlign w:val="bottom"/>
            <w:tcBorders>
              <w:top w:val="single" w:sz="8" w:color="CCEEFF"/>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Short-term investments</w:t>
            </w:r>
          </w:p>
        </w:tc>
        <w:tc>
          <w:tcPr>
            <w:tcW w:w="2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646,786</w:t>
            </w:r>
          </w:p>
        </w:tc>
        <w:tc>
          <w:tcPr>
            <w:tcW w:w="20" w:type="dxa"/>
            <w:vAlign w:val="bottom"/>
            <w:tcBorders>
              <w:top w:val="single" w:sz="8" w:color="auto"/>
              <w:bottom w:val="single" w:sz="8" w:color="auto"/>
            </w:tcBorders>
            <w:shd w:val="clear" w:color="auto" w:fill="CCEEFF"/>
          </w:tcPr>
          <w:p>
            <w:pPr>
              <w:spacing w:after="0"/>
              <w:rPr>
                <w:sz w:val="21"/>
                <w:szCs w:val="21"/>
                <w:color w:val="auto"/>
              </w:rPr>
            </w:pPr>
          </w:p>
        </w:tc>
        <w:tc>
          <w:tcPr>
            <w:tcW w:w="80" w:type="dxa"/>
            <w:vAlign w:val="bottom"/>
            <w:tcBorders>
              <w:top w:val="single" w:sz="8" w:color="CCEEFF"/>
              <w:bottom w:val="single" w:sz="8" w:color="CCEEFF"/>
            </w:tcBorders>
            <w:shd w:val="clear" w:color="auto" w:fill="CCEEFF"/>
          </w:tcPr>
          <w:p>
            <w:pPr>
              <w:spacing w:after="0"/>
              <w:rPr>
                <w:sz w:val="21"/>
                <w:szCs w:val="21"/>
                <w:color w:val="auto"/>
              </w:rPr>
            </w:pPr>
          </w:p>
        </w:tc>
        <w:tc>
          <w:tcPr>
            <w:tcW w:w="40" w:type="dxa"/>
            <w:vAlign w:val="bottom"/>
            <w:tcBorders>
              <w:top w:val="single" w:sz="8" w:color="CCEEFF"/>
              <w:bottom w:val="single" w:sz="8" w:color="CCEEFF"/>
            </w:tcBorders>
            <w:shd w:val="clear" w:color="auto" w:fill="CCEEFF"/>
          </w:tcPr>
          <w:p>
            <w:pPr>
              <w:spacing w:after="0"/>
              <w:rPr>
                <w:sz w:val="21"/>
                <w:szCs w:val="21"/>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64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645</w:t>
            </w:r>
          </w:p>
        </w:tc>
        <w:tc>
          <w:tcPr>
            <w:tcW w:w="20" w:type="dxa"/>
            <w:vAlign w:val="bottom"/>
            <w:tcBorders>
              <w:top w:val="single" w:sz="8" w:color="auto"/>
              <w:bottom w:val="single" w:sz="8" w:color="auto"/>
            </w:tcBorders>
            <w:shd w:val="clear" w:color="auto" w:fill="CCEEFF"/>
          </w:tcPr>
          <w:p>
            <w:pPr>
              <w:spacing w:after="0"/>
              <w:rPr>
                <w:sz w:val="21"/>
                <w:szCs w:val="21"/>
                <w:color w:val="auto"/>
              </w:rPr>
            </w:pPr>
          </w:p>
        </w:tc>
        <w:tc>
          <w:tcPr>
            <w:tcW w:w="80" w:type="dxa"/>
            <w:vAlign w:val="bottom"/>
            <w:tcBorders>
              <w:top w:val="single" w:sz="8" w:color="CCEEFF"/>
              <w:bottom w:val="single" w:sz="8" w:color="CCEEFF"/>
            </w:tcBorders>
            <w:shd w:val="clear" w:color="auto" w:fill="CCEEFF"/>
          </w:tcPr>
          <w:p>
            <w:pPr>
              <w:spacing w:after="0"/>
              <w:rPr>
                <w:sz w:val="21"/>
                <w:szCs w:val="21"/>
                <w:color w:val="auto"/>
              </w:rPr>
            </w:pPr>
          </w:p>
        </w:tc>
        <w:tc>
          <w:tcPr>
            <w:tcW w:w="2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6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(3,428)</w:t>
            </w:r>
          </w:p>
        </w:tc>
        <w:tc>
          <w:tcPr>
            <w:tcW w:w="20" w:type="dxa"/>
            <w:vAlign w:val="bottom"/>
            <w:tcBorders>
              <w:top w:val="single" w:sz="8" w:color="auto"/>
              <w:bottom w:val="single" w:sz="8" w:color="auto"/>
            </w:tcBorders>
            <w:shd w:val="clear" w:color="auto" w:fill="CCEEFF"/>
          </w:tcPr>
          <w:p>
            <w:pPr>
              <w:spacing w:after="0"/>
              <w:rPr>
                <w:sz w:val="21"/>
                <w:szCs w:val="21"/>
                <w:color w:val="auto"/>
              </w:rPr>
            </w:pPr>
          </w:p>
        </w:tc>
        <w:tc>
          <w:tcPr>
            <w:tcW w:w="40" w:type="dxa"/>
            <w:vAlign w:val="bottom"/>
            <w:tcBorders>
              <w:top w:val="single" w:sz="8" w:color="CCEEFF"/>
              <w:bottom w:val="single" w:sz="8" w:color="CCEEFF"/>
            </w:tcBorders>
            <w:shd w:val="clear" w:color="auto" w:fill="CCEEFF"/>
          </w:tcPr>
          <w:p>
            <w:pPr>
              <w:spacing w:after="0"/>
              <w:rPr>
                <w:sz w:val="21"/>
                <w:szCs w:val="21"/>
                <w:color w:val="auto"/>
              </w:rPr>
            </w:pPr>
          </w:p>
        </w:tc>
        <w:tc>
          <w:tcPr>
            <w:tcW w:w="40" w:type="dxa"/>
            <w:vAlign w:val="bottom"/>
            <w:tcBorders>
              <w:top w:val="single" w:sz="8" w:color="CCEEFF"/>
              <w:bottom w:val="single" w:sz="8" w:color="CCEEFF"/>
            </w:tcBorders>
            <w:shd w:val="clear" w:color="auto" w:fill="CCEEFF"/>
          </w:tcPr>
          <w:p>
            <w:pPr>
              <w:spacing w:after="0"/>
              <w:rPr>
                <w:sz w:val="21"/>
                <w:szCs w:val="21"/>
                <w:color w:val="auto"/>
              </w:rPr>
            </w:pPr>
          </w:p>
        </w:tc>
        <w:tc>
          <w:tcPr>
            <w:tcW w:w="4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644,003</w:t>
            </w:r>
          </w:p>
        </w:tc>
        <w:tc>
          <w:tcPr>
            <w:tcW w:w="20" w:type="dxa"/>
            <w:vAlign w:val="bottom"/>
            <w:tcBorders>
              <w:top w:val="single" w:sz="8" w:color="auto"/>
              <w:bottom w:val="single" w:sz="8" w:color="auto"/>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6660" w:type="dxa"/>
            <w:vAlign w:val="bottom"/>
            <w:tcBorders>
              <w:top w:val="single" w:sz="8" w:color="CCEEFF"/>
            </w:tcBorders>
            <w:gridSpan w:val="2"/>
          </w:tcPr>
          <w:p>
            <w:pPr>
              <w:spacing w:after="0" w:line="20" w:lineRule="exact"/>
              <w:rPr>
                <w:sz w:val="1"/>
                <w:szCs w:val="1"/>
                <w:color w:val="auto"/>
              </w:rPr>
            </w:pPr>
          </w:p>
        </w:tc>
        <w:tc>
          <w:tcPr>
            <w:tcW w:w="1400" w:type="dxa"/>
            <w:vAlign w:val="bottom"/>
            <w:tcBorders>
              <w:top w:val="single" w:sz="8" w:color="CCEEFF"/>
              <w:bottom w:val="single" w:sz="8" w:color="auto"/>
            </w:tcBorders>
            <w:gridSpan w:val="3"/>
          </w:tcPr>
          <w:p>
            <w:pPr>
              <w:spacing w:after="0" w:line="20" w:lineRule="exact"/>
              <w:rPr>
                <w:sz w:val="1"/>
                <w:szCs w:val="1"/>
                <w:color w:val="auto"/>
              </w:rPr>
            </w:pPr>
          </w:p>
        </w:tc>
        <w:tc>
          <w:tcPr>
            <w:tcW w:w="120" w:type="dxa"/>
            <w:vAlign w:val="bottom"/>
            <w:tcBorders>
              <w:top w:val="single" w:sz="8" w:color="CCEEFF"/>
            </w:tcBorders>
            <w:gridSpan w:val="2"/>
          </w:tcPr>
          <w:p>
            <w:pPr>
              <w:spacing w:after="0" w:line="20" w:lineRule="exact"/>
              <w:rPr>
                <w:sz w:val="1"/>
                <w:szCs w:val="1"/>
                <w:color w:val="auto"/>
              </w:rPr>
            </w:pPr>
          </w:p>
        </w:tc>
        <w:tc>
          <w:tcPr>
            <w:tcW w:w="640" w:type="dxa"/>
            <w:vAlign w:val="bottom"/>
            <w:tcBorders>
              <w:top w:val="single" w:sz="8" w:color="CCEEFF"/>
              <w:bottom w:val="single" w:sz="8" w:color="auto"/>
            </w:tcBorders>
            <w:gridSpan w:val="2"/>
          </w:tcPr>
          <w:p>
            <w:pPr>
              <w:spacing w:after="0" w:line="20" w:lineRule="exact"/>
              <w:rPr>
                <w:sz w:val="1"/>
                <w:szCs w:val="1"/>
                <w:color w:val="auto"/>
              </w:rPr>
            </w:pPr>
          </w:p>
        </w:tc>
        <w:tc>
          <w:tcPr>
            <w:tcW w:w="140" w:type="dxa"/>
            <w:vAlign w:val="bottom"/>
            <w:tcBorders>
              <w:top w:val="single" w:sz="8" w:color="CCEEFF"/>
              <w:bottom w:val="single" w:sz="8" w:color="auto"/>
            </w:tcBorders>
            <w:gridSpan w:val="2"/>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660" w:type="dxa"/>
            <w:vAlign w:val="bottom"/>
            <w:tcBorders>
              <w:top w:val="single" w:sz="8" w:color="CCEEFF"/>
              <w:bottom w:val="single" w:sz="8" w:color="auto"/>
            </w:tcBorders>
          </w:tcPr>
          <w:p>
            <w:pPr>
              <w:spacing w:after="0" w:line="20" w:lineRule="exact"/>
              <w:rPr>
                <w:sz w:val="1"/>
                <w:szCs w:val="1"/>
                <w:color w:val="auto"/>
              </w:rPr>
            </w:pPr>
          </w:p>
        </w:tc>
        <w:tc>
          <w:tcPr>
            <w:tcW w:w="20" w:type="dxa"/>
            <w:vAlign w:val="bottom"/>
            <w:tcBorders>
              <w:top w:val="single" w:sz="8" w:color="CCEEFF"/>
              <w:bottom w:val="single" w:sz="8" w:color="auto"/>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bottom w:val="single" w:sz="8" w:color="auto"/>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25"/>
        </w:trPr>
        <w:tc>
          <w:tcPr>
            <w:tcW w:w="40" w:type="dxa"/>
            <w:vAlign w:val="bottom"/>
          </w:tcPr>
          <w:p>
            <w:pPr>
              <w:spacing w:after="0"/>
              <w:rPr>
                <w:sz w:val="24"/>
                <w:szCs w:val="24"/>
                <w:color w:val="auto"/>
              </w:rPr>
            </w:pPr>
          </w:p>
        </w:tc>
        <w:tc>
          <w:tcPr>
            <w:tcW w:w="9040" w:type="dxa"/>
            <w:vAlign w:val="bottom"/>
            <w:gridSpan w:val="12"/>
          </w:tcPr>
          <w:p>
            <w:pPr>
              <w:ind w:left="620"/>
              <w:spacing w:after="0"/>
              <w:rPr>
                <w:sz w:val="20"/>
                <w:szCs w:val="20"/>
                <w:color w:val="auto"/>
              </w:rPr>
            </w:pPr>
            <w:r>
              <w:rPr>
                <w:rFonts w:ascii="Times New Roman" w:cs="Times New Roman" w:eastAsia="Times New Roman" w:hAnsi="Times New Roman"/>
                <w:sz w:val="18"/>
                <w:szCs w:val="18"/>
                <w:color w:val="auto"/>
              </w:rPr>
              <w:t>The following table summarizes the contracted maturities of our short-term investments at December 31, 2020:</w:t>
            </w: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00"/>
        </w:trPr>
        <w:tc>
          <w:tcPr>
            <w:tcW w:w="40" w:type="dxa"/>
            <w:vAlign w:val="bottom"/>
          </w:tcPr>
          <w:p>
            <w:pPr>
              <w:spacing w:after="0"/>
              <w:rPr>
                <w:sz w:val="24"/>
                <w:szCs w:val="24"/>
                <w:color w:val="auto"/>
              </w:rPr>
            </w:pPr>
          </w:p>
        </w:tc>
        <w:tc>
          <w:tcPr>
            <w:tcW w:w="66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940" w:type="dxa"/>
            <w:vAlign w:val="bottom"/>
            <w:tcBorders>
              <w:bottom w:val="single" w:sz="8" w:color="auto"/>
            </w:tcBorders>
            <w:gridSpan w:val="8"/>
          </w:tcPr>
          <w:p>
            <w:pPr>
              <w:jc w:val="right"/>
              <w:ind w:right="514"/>
              <w:spacing w:after="0"/>
              <w:rPr>
                <w:sz w:val="20"/>
                <w:szCs w:val="20"/>
                <w:color w:val="auto"/>
              </w:rPr>
            </w:pPr>
            <w:r>
              <w:rPr>
                <w:rFonts w:ascii="Times New Roman" w:cs="Times New Roman" w:eastAsia="Times New Roman" w:hAnsi="Times New Roman"/>
                <w:sz w:val="14"/>
                <w:szCs w:val="14"/>
                <w:b w:val="1"/>
                <w:bCs w:val="1"/>
                <w:color w:val="auto"/>
              </w:rPr>
              <w:t>December 31, 2020</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4"/>
        </w:trPr>
        <w:tc>
          <w:tcPr>
            <w:tcW w:w="40" w:type="dxa"/>
            <w:vAlign w:val="bottom"/>
          </w:tcPr>
          <w:p>
            <w:pPr>
              <w:spacing w:after="0"/>
              <w:rPr>
                <w:sz w:val="11"/>
                <w:szCs w:val="11"/>
                <w:color w:val="auto"/>
              </w:rPr>
            </w:pPr>
          </w:p>
        </w:tc>
        <w:tc>
          <w:tcPr>
            <w:tcW w:w="66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940" w:type="dxa"/>
            <w:vAlign w:val="bottom"/>
            <w:gridSpan w:val="6"/>
          </w:tcPr>
          <w:p>
            <w:pPr>
              <w:spacing w:after="0" w:line="134" w:lineRule="exact"/>
              <w:rPr>
                <w:sz w:val="20"/>
                <w:szCs w:val="20"/>
                <w:color w:val="auto"/>
              </w:rPr>
            </w:pPr>
            <w:r>
              <w:rPr>
                <w:rFonts w:ascii="Times New Roman" w:cs="Times New Roman" w:eastAsia="Times New Roman" w:hAnsi="Times New Roman"/>
                <w:sz w:val="14"/>
                <w:szCs w:val="14"/>
                <w:b w:val="1"/>
                <w:bCs w:val="1"/>
                <w:color w:val="auto"/>
              </w:rPr>
              <w:t>Amortized</w:t>
            </w:r>
          </w:p>
        </w:tc>
        <w:tc>
          <w:tcPr>
            <w:tcW w:w="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60" w:type="dxa"/>
            <w:vAlign w:val="bottom"/>
          </w:tcPr>
          <w:p>
            <w:pPr>
              <w:jc w:val="center"/>
              <w:ind w:right="74"/>
              <w:spacing w:after="0" w:line="134" w:lineRule="exact"/>
              <w:rPr>
                <w:sz w:val="20"/>
                <w:szCs w:val="20"/>
                <w:color w:val="auto"/>
              </w:rPr>
            </w:pPr>
            <w:r>
              <w:rPr>
                <w:rFonts w:ascii="Times New Roman" w:cs="Times New Roman" w:eastAsia="Times New Roman" w:hAnsi="Times New Roman"/>
                <w:sz w:val="14"/>
                <w:szCs w:val="14"/>
                <w:b w:val="1"/>
                <w:bCs w:val="1"/>
                <w:color w:val="auto"/>
              </w:rPr>
              <w:t>Fair</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89"/>
        </w:trPr>
        <w:tc>
          <w:tcPr>
            <w:tcW w:w="40" w:type="dxa"/>
            <w:vAlign w:val="bottom"/>
          </w:tcPr>
          <w:p>
            <w:pPr>
              <w:spacing w:after="0"/>
              <w:rPr>
                <w:sz w:val="16"/>
                <w:szCs w:val="16"/>
                <w:color w:val="auto"/>
              </w:rPr>
            </w:pPr>
          </w:p>
        </w:tc>
        <w:tc>
          <w:tcPr>
            <w:tcW w:w="66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2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60" w:type="dxa"/>
            <w:vAlign w:val="bottom"/>
            <w:gridSpan w:val="4"/>
          </w:tcPr>
          <w:p>
            <w:pPr>
              <w:ind w:left="20"/>
              <w:spacing w:after="0"/>
              <w:rPr>
                <w:sz w:val="20"/>
                <w:szCs w:val="20"/>
                <w:color w:val="auto"/>
              </w:rPr>
            </w:pPr>
            <w:r>
              <w:rPr>
                <w:rFonts w:ascii="Times New Roman" w:cs="Times New Roman" w:eastAsia="Times New Roman" w:hAnsi="Times New Roman"/>
                <w:sz w:val="14"/>
                <w:szCs w:val="14"/>
                <w:b w:val="1"/>
                <w:bCs w:val="1"/>
                <w:color w:val="auto"/>
              </w:rPr>
              <w:t>Cost</w:t>
            </w: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960" w:type="dxa"/>
            <w:vAlign w:val="bottom"/>
          </w:tcPr>
          <w:p>
            <w:pPr>
              <w:jc w:val="center"/>
              <w:ind w:right="74"/>
              <w:spacing w:after="0"/>
              <w:rPr>
                <w:sz w:val="20"/>
                <w:szCs w:val="20"/>
                <w:color w:val="auto"/>
              </w:rPr>
            </w:pPr>
            <w:r>
              <w:rPr>
                <w:rFonts w:ascii="Times New Roman" w:cs="Times New Roman" w:eastAsia="Times New Roman" w:hAnsi="Times New Roman"/>
                <w:sz w:val="14"/>
                <w:szCs w:val="14"/>
                <w:b w:val="1"/>
                <w:bCs w:val="1"/>
                <w:color w:val="auto"/>
              </w:rPr>
              <w:t>Value</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3"/>
        </w:trPr>
        <w:tc>
          <w:tcPr>
            <w:tcW w:w="6680" w:type="dxa"/>
            <w:vAlign w:val="bottom"/>
            <w:tcBorders>
              <w:top w:val="single" w:sz="8" w:color="CCEEFF"/>
            </w:tcBorders>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Short-term investments</w:t>
            </w:r>
          </w:p>
        </w:tc>
        <w:tc>
          <w:tcPr>
            <w:tcW w:w="20" w:type="dxa"/>
            <w:vAlign w:val="bottom"/>
            <w:tcBorders>
              <w:top w:val="single" w:sz="8" w:color="CCEEFF"/>
            </w:tcBorders>
            <w:shd w:val="clear" w:color="auto" w:fill="CCEEFF"/>
          </w:tcPr>
          <w:p>
            <w:pPr>
              <w:spacing w:after="0"/>
              <w:rPr>
                <w:sz w:val="19"/>
                <w:szCs w:val="19"/>
                <w:color w:val="auto"/>
              </w:rPr>
            </w:pPr>
          </w:p>
        </w:tc>
        <w:tc>
          <w:tcPr>
            <w:tcW w:w="140" w:type="dxa"/>
            <w:vAlign w:val="bottom"/>
            <w:tcBorders>
              <w:top w:val="single" w:sz="8" w:color="CCEEFF"/>
            </w:tcBorders>
            <w:shd w:val="clear" w:color="auto" w:fill="CCEEFF"/>
          </w:tcPr>
          <w:p>
            <w:pPr>
              <w:spacing w:after="0"/>
              <w:rPr>
                <w:sz w:val="19"/>
                <w:szCs w:val="19"/>
                <w:color w:val="auto"/>
              </w:rPr>
            </w:pPr>
          </w:p>
        </w:tc>
        <w:tc>
          <w:tcPr>
            <w:tcW w:w="1240" w:type="dxa"/>
            <w:vAlign w:val="bottom"/>
            <w:tcBorders>
              <w:top w:val="single" w:sz="8" w:color="CCEEFF"/>
            </w:tcBorders>
            <w:shd w:val="clear" w:color="auto" w:fill="CCEEFF"/>
          </w:tcPr>
          <w:p>
            <w:pPr>
              <w:spacing w:after="0"/>
              <w:rPr>
                <w:sz w:val="19"/>
                <w:szCs w:val="19"/>
                <w:color w:val="auto"/>
              </w:rPr>
            </w:pPr>
          </w:p>
        </w:tc>
        <w:tc>
          <w:tcPr>
            <w:tcW w:w="20" w:type="dxa"/>
            <w:vAlign w:val="bottom"/>
            <w:tcBorders>
              <w:top w:val="single" w:sz="8" w:color="CCEEFF"/>
            </w:tcBorders>
            <w:shd w:val="clear" w:color="auto" w:fill="CCEEFF"/>
          </w:tcPr>
          <w:p>
            <w:pPr>
              <w:spacing w:after="0"/>
              <w:rPr>
                <w:sz w:val="19"/>
                <w:szCs w:val="19"/>
                <w:color w:val="auto"/>
              </w:rPr>
            </w:pPr>
          </w:p>
        </w:tc>
        <w:tc>
          <w:tcPr>
            <w:tcW w:w="80" w:type="dxa"/>
            <w:vAlign w:val="bottom"/>
            <w:tcBorders>
              <w:top w:val="single" w:sz="8" w:color="CCEEFF"/>
            </w:tcBorders>
            <w:shd w:val="clear" w:color="auto" w:fill="CCEEFF"/>
          </w:tcPr>
          <w:p>
            <w:pPr>
              <w:spacing w:after="0"/>
              <w:rPr>
                <w:sz w:val="19"/>
                <w:szCs w:val="19"/>
                <w:color w:val="auto"/>
              </w:rPr>
            </w:pPr>
          </w:p>
        </w:tc>
        <w:tc>
          <w:tcPr>
            <w:tcW w:w="40" w:type="dxa"/>
            <w:vAlign w:val="bottom"/>
            <w:tcBorders>
              <w:top w:val="single" w:sz="8" w:color="CCEEFF"/>
            </w:tcBorders>
            <w:shd w:val="clear" w:color="auto" w:fill="CCEEFF"/>
          </w:tcPr>
          <w:p>
            <w:pPr>
              <w:spacing w:after="0"/>
              <w:rPr>
                <w:sz w:val="19"/>
                <w:szCs w:val="19"/>
                <w:color w:val="auto"/>
              </w:rPr>
            </w:pPr>
          </w:p>
        </w:tc>
        <w:tc>
          <w:tcPr>
            <w:tcW w:w="120" w:type="dxa"/>
            <w:vAlign w:val="bottom"/>
            <w:tcBorders>
              <w:top w:val="single" w:sz="8" w:color="CCEEFF"/>
            </w:tcBorders>
            <w:shd w:val="clear" w:color="auto" w:fill="CCEEFF"/>
          </w:tcPr>
          <w:p>
            <w:pPr>
              <w:spacing w:after="0"/>
              <w:rPr>
                <w:sz w:val="19"/>
                <w:szCs w:val="19"/>
                <w:color w:val="auto"/>
              </w:rPr>
            </w:pPr>
          </w:p>
        </w:tc>
        <w:tc>
          <w:tcPr>
            <w:tcW w:w="520" w:type="dxa"/>
            <w:vAlign w:val="bottom"/>
            <w:tcBorders>
              <w:top w:val="single" w:sz="8" w:color="CCEEFF"/>
            </w:tcBorders>
            <w:shd w:val="clear" w:color="auto" w:fill="CCEEFF"/>
          </w:tcPr>
          <w:p>
            <w:pPr>
              <w:spacing w:after="0"/>
              <w:rPr>
                <w:sz w:val="19"/>
                <w:szCs w:val="19"/>
                <w:color w:val="auto"/>
              </w:rPr>
            </w:pPr>
          </w:p>
        </w:tc>
        <w:tc>
          <w:tcPr>
            <w:tcW w:w="120" w:type="dxa"/>
            <w:vAlign w:val="bottom"/>
            <w:tcBorders>
              <w:top w:val="single" w:sz="8" w:color="auto"/>
            </w:tcBorders>
            <w:shd w:val="clear" w:color="auto" w:fill="CCEEFF"/>
          </w:tcPr>
          <w:p>
            <w:pPr>
              <w:spacing w:after="0"/>
              <w:rPr>
                <w:sz w:val="19"/>
                <w:szCs w:val="19"/>
                <w:color w:val="auto"/>
              </w:rPr>
            </w:pPr>
          </w:p>
        </w:tc>
        <w:tc>
          <w:tcPr>
            <w:tcW w:w="20" w:type="dxa"/>
            <w:vAlign w:val="bottom"/>
            <w:tcBorders>
              <w:top w:val="single" w:sz="8" w:color="auto"/>
            </w:tcBorders>
            <w:shd w:val="clear" w:color="auto" w:fill="CCEEFF"/>
          </w:tcPr>
          <w:p>
            <w:pPr>
              <w:spacing w:after="0"/>
              <w:rPr>
                <w:sz w:val="19"/>
                <w:szCs w:val="19"/>
                <w:color w:val="auto"/>
              </w:rPr>
            </w:pPr>
          </w:p>
        </w:tc>
        <w:tc>
          <w:tcPr>
            <w:tcW w:w="80" w:type="dxa"/>
            <w:vAlign w:val="bottom"/>
            <w:tcBorders>
              <w:top w:val="single" w:sz="8" w:color="auto"/>
            </w:tcBorders>
            <w:shd w:val="clear" w:color="auto" w:fill="CCEEFF"/>
          </w:tcPr>
          <w:p>
            <w:pPr>
              <w:spacing w:after="0"/>
              <w:rPr>
                <w:sz w:val="19"/>
                <w:szCs w:val="19"/>
                <w:color w:val="auto"/>
              </w:rPr>
            </w:pPr>
          </w:p>
        </w:tc>
        <w:tc>
          <w:tcPr>
            <w:tcW w:w="20" w:type="dxa"/>
            <w:vAlign w:val="bottom"/>
            <w:tcBorders>
              <w:top w:val="single" w:sz="8" w:color="auto"/>
            </w:tcBorders>
            <w:shd w:val="clear" w:color="auto" w:fill="CCEEFF"/>
          </w:tcPr>
          <w:p>
            <w:pPr>
              <w:spacing w:after="0"/>
              <w:rPr>
                <w:sz w:val="19"/>
                <w:szCs w:val="19"/>
                <w:color w:val="auto"/>
              </w:rPr>
            </w:pPr>
          </w:p>
        </w:tc>
        <w:tc>
          <w:tcPr>
            <w:tcW w:w="160" w:type="dxa"/>
            <w:vAlign w:val="bottom"/>
            <w:tcBorders>
              <w:top w:val="single" w:sz="8" w:color="auto"/>
            </w:tcBorders>
            <w:shd w:val="clear" w:color="auto" w:fill="CCEEFF"/>
          </w:tcPr>
          <w:p>
            <w:pPr>
              <w:spacing w:after="0"/>
              <w:rPr>
                <w:sz w:val="19"/>
                <w:szCs w:val="19"/>
                <w:color w:val="auto"/>
              </w:rPr>
            </w:pPr>
          </w:p>
        </w:tc>
        <w:tc>
          <w:tcPr>
            <w:tcW w:w="660" w:type="dxa"/>
            <w:vAlign w:val="bottom"/>
            <w:tcBorders>
              <w:top w:val="single" w:sz="8" w:color="auto"/>
            </w:tcBorders>
            <w:shd w:val="clear" w:color="auto" w:fill="CCEEFF"/>
          </w:tcPr>
          <w:p>
            <w:pPr>
              <w:spacing w:after="0"/>
              <w:rPr>
                <w:sz w:val="19"/>
                <w:szCs w:val="19"/>
                <w:color w:val="auto"/>
              </w:rPr>
            </w:pPr>
          </w:p>
        </w:tc>
        <w:tc>
          <w:tcPr>
            <w:tcW w:w="20" w:type="dxa"/>
            <w:vAlign w:val="bottom"/>
            <w:tcBorders>
              <w:top w:val="single" w:sz="8" w:color="auto"/>
            </w:tcBorders>
            <w:shd w:val="clear" w:color="auto" w:fill="CCEEFF"/>
          </w:tcPr>
          <w:p>
            <w:pPr>
              <w:spacing w:after="0"/>
              <w:rPr>
                <w:sz w:val="19"/>
                <w:szCs w:val="19"/>
                <w:color w:val="auto"/>
              </w:rPr>
            </w:pPr>
          </w:p>
        </w:tc>
        <w:tc>
          <w:tcPr>
            <w:tcW w:w="40" w:type="dxa"/>
            <w:vAlign w:val="bottom"/>
            <w:tcBorders>
              <w:top w:val="single" w:sz="8" w:color="auto"/>
            </w:tcBorders>
            <w:shd w:val="clear" w:color="auto" w:fill="CCEEFF"/>
          </w:tcPr>
          <w:p>
            <w:pPr>
              <w:spacing w:after="0"/>
              <w:rPr>
                <w:sz w:val="19"/>
                <w:szCs w:val="19"/>
                <w:color w:val="auto"/>
              </w:rPr>
            </w:pPr>
          </w:p>
        </w:tc>
        <w:tc>
          <w:tcPr>
            <w:tcW w:w="40" w:type="dxa"/>
            <w:vAlign w:val="bottom"/>
            <w:tcBorders>
              <w:top w:val="single" w:sz="8" w:color="CCEEFF"/>
            </w:tcBorders>
            <w:shd w:val="clear" w:color="auto" w:fill="CCEEFF"/>
          </w:tcPr>
          <w:p>
            <w:pPr>
              <w:spacing w:after="0"/>
              <w:rPr>
                <w:sz w:val="19"/>
                <w:szCs w:val="19"/>
                <w:color w:val="auto"/>
              </w:rPr>
            </w:pPr>
          </w:p>
        </w:tc>
        <w:tc>
          <w:tcPr>
            <w:tcW w:w="40" w:type="dxa"/>
            <w:vAlign w:val="bottom"/>
            <w:tcBorders>
              <w:top w:val="single" w:sz="8" w:color="CCEEFF"/>
            </w:tcBorders>
            <w:shd w:val="clear" w:color="auto" w:fill="CCEEFF"/>
          </w:tcPr>
          <w:p>
            <w:pPr>
              <w:spacing w:after="0"/>
              <w:rPr>
                <w:sz w:val="19"/>
                <w:szCs w:val="19"/>
                <w:color w:val="auto"/>
              </w:rPr>
            </w:pPr>
          </w:p>
        </w:tc>
        <w:tc>
          <w:tcPr>
            <w:tcW w:w="20" w:type="dxa"/>
            <w:vAlign w:val="bottom"/>
            <w:tcBorders>
              <w:top w:val="single" w:sz="8" w:color="CCEEFF"/>
            </w:tcBorders>
            <w:shd w:val="clear" w:color="auto" w:fill="CCEEFF"/>
          </w:tcPr>
          <w:p>
            <w:pPr>
              <w:spacing w:after="0"/>
              <w:rPr>
                <w:sz w:val="19"/>
                <w:szCs w:val="19"/>
                <w:color w:val="auto"/>
              </w:rPr>
            </w:pPr>
          </w:p>
        </w:tc>
        <w:tc>
          <w:tcPr>
            <w:tcW w:w="160" w:type="dxa"/>
            <w:vAlign w:val="bottom"/>
            <w:tcBorders>
              <w:top w:val="single" w:sz="8" w:color="auto"/>
            </w:tcBorders>
            <w:shd w:val="clear" w:color="auto" w:fill="CCEEFF"/>
          </w:tcPr>
          <w:p>
            <w:pPr>
              <w:spacing w:after="0"/>
              <w:rPr>
                <w:sz w:val="19"/>
                <w:szCs w:val="19"/>
                <w:color w:val="auto"/>
              </w:rPr>
            </w:pPr>
          </w:p>
        </w:tc>
        <w:tc>
          <w:tcPr>
            <w:tcW w:w="960" w:type="dxa"/>
            <w:vAlign w:val="bottom"/>
            <w:tcBorders>
              <w:top w:val="single" w:sz="8" w:color="auto"/>
            </w:tcBorders>
            <w:shd w:val="clear" w:color="auto" w:fill="CCEEFF"/>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0" w:type="dxa"/>
            <w:vAlign w:val="bottom"/>
          </w:tcPr>
          <w:p>
            <w:pPr>
              <w:spacing w:after="0"/>
              <w:rPr>
                <w:sz w:val="19"/>
                <w:szCs w:val="19"/>
                <w:color w:val="auto"/>
              </w:rPr>
            </w:pPr>
          </w:p>
        </w:tc>
        <w:tc>
          <w:tcPr>
            <w:tcW w:w="664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Due in 1 year or less</w:t>
            </w: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573,013</w:t>
            </w:r>
          </w:p>
        </w:tc>
        <w:tc>
          <w:tcPr>
            <w:tcW w:w="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20" w:type="dxa"/>
            <w:vAlign w:val="bottom"/>
            <w:gridSpan w:val="3"/>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574,084</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0" w:type="dxa"/>
            <w:vAlign w:val="bottom"/>
            <w:shd w:val="clear" w:color="auto" w:fill="CCEEFF"/>
          </w:tcPr>
          <w:p>
            <w:pPr>
              <w:spacing w:after="0"/>
              <w:rPr>
                <w:sz w:val="19"/>
                <w:szCs w:val="19"/>
                <w:color w:val="auto"/>
              </w:rPr>
            </w:pPr>
          </w:p>
        </w:tc>
        <w:tc>
          <w:tcPr>
            <w:tcW w:w="664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Due in 1 - 2 years</w:t>
            </w:r>
          </w:p>
        </w:tc>
        <w:tc>
          <w:tcPr>
            <w:tcW w:w="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24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5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197,361</w:t>
            </w:r>
          </w:p>
        </w:tc>
        <w:tc>
          <w:tcPr>
            <w:tcW w:w="2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4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197,900</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0" w:type="dxa"/>
            <w:vAlign w:val="bottom"/>
          </w:tcPr>
          <w:p>
            <w:pPr>
              <w:spacing w:after="0"/>
              <w:rPr>
                <w:sz w:val="19"/>
                <w:szCs w:val="19"/>
                <w:color w:val="auto"/>
              </w:rPr>
            </w:pPr>
          </w:p>
        </w:tc>
        <w:tc>
          <w:tcPr>
            <w:tcW w:w="664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Due in 2 - 3 years</w:t>
            </w: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6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696</w:t>
            </w:r>
          </w:p>
        </w:tc>
        <w:tc>
          <w:tcPr>
            <w:tcW w:w="20" w:type="dxa"/>
            <w:vAlign w:val="bottom"/>
            <w:tcBorders>
              <w:bottom w:val="single" w:sz="8" w:color="auto"/>
            </w:tcBorders>
          </w:tcPr>
          <w:p>
            <w:pPr>
              <w:spacing w:after="0"/>
              <w:rPr>
                <w:sz w:val="19"/>
                <w:szCs w:val="19"/>
                <w:color w:val="auto"/>
              </w:rPr>
            </w:pPr>
          </w:p>
        </w:tc>
        <w:tc>
          <w:tcPr>
            <w:tcW w:w="40" w:type="dxa"/>
            <w:vAlign w:val="bottom"/>
            <w:tcBorders>
              <w:bottom w:val="single" w:sz="8" w:color="auto"/>
            </w:tcBorders>
          </w:tcPr>
          <w:p>
            <w:pPr>
              <w:spacing w:after="0"/>
              <w:rPr>
                <w:sz w:val="19"/>
                <w:szCs w:val="19"/>
                <w:color w:val="auto"/>
              </w:rPr>
            </w:pPr>
          </w:p>
        </w:tc>
        <w:tc>
          <w:tcPr>
            <w:tcW w:w="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699</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668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Total Short-term investments</w:t>
            </w: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20" w:type="dxa"/>
            <w:vAlign w:val="bottom"/>
            <w:tcBorders>
              <w:bottom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6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771,070</w:t>
            </w:r>
          </w:p>
        </w:tc>
        <w:tc>
          <w:tcPr>
            <w:tcW w:w="20" w:type="dxa"/>
            <w:vAlign w:val="bottom"/>
            <w:tcBorders>
              <w:bottom w:val="single" w:sz="8" w:color="auto"/>
            </w:tcBorders>
          </w:tcPr>
          <w:p>
            <w:pPr>
              <w:spacing w:after="0"/>
              <w:rPr>
                <w:sz w:val="19"/>
                <w:szCs w:val="19"/>
                <w:color w:val="auto"/>
              </w:rPr>
            </w:pPr>
          </w:p>
        </w:tc>
        <w:tc>
          <w:tcPr>
            <w:tcW w:w="40" w:type="dxa"/>
            <w:vAlign w:val="bottom"/>
            <w:tcBorders>
              <w:bottom w:val="single" w:sz="8" w:color="auto"/>
            </w:tcBorders>
          </w:tcPr>
          <w:p>
            <w:pPr>
              <w:spacing w:after="0"/>
              <w:rPr>
                <w:sz w:val="19"/>
                <w:szCs w:val="19"/>
                <w:color w:val="auto"/>
              </w:rPr>
            </w:pPr>
          </w:p>
        </w:tc>
        <w:tc>
          <w:tcPr>
            <w:tcW w:w="40" w:type="dxa"/>
            <w:vAlign w:val="bottom"/>
          </w:tcPr>
          <w:p>
            <w:pPr>
              <w:spacing w:after="0"/>
              <w:rPr>
                <w:sz w:val="19"/>
                <w:szCs w:val="19"/>
                <w:color w:val="auto"/>
              </w:rPr>
            </w:pPr>
          </w:p>
        </w:tc>
        <w:tc>
          <w:tcPr>
            <w:tcW w:w="60" w:type="dxa"/>
            <w:vAlign w:val="bottom"/>
            <w:gridSpan w:val="2"/>
          </w:tcPr>
          <w:p>
            <w:pPr>
              <w:spacing w:after="0"/>
              <w:rPr>
                <w:sz w:val="19"/>
                <w:szCs w:val="19"/>
                <w:color w:val="auto"/>
              </w:rPr>
            </w:pP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772,683</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66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7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6. DERIVATIVE INSTRUMENTS AND HEDGING ACTIVITIES</w:t>
      </w:r>
    </w:p>
    <w:p>
      <w:pPr>
        <w:spacing w:after="0" w:line="148"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Our risk management strategy includes the use of derivative financial instruments to reduce the volatility of earnings and cash flows associated with changes in foreign currency exchange rates. We do not enter into derivative financial contracts for speculative or trading purposes. We recognize derivative instruments as either assets or liabilities on our Consolidated Balance Sheets, and we measure those instruments at fair value. We classify cash flows from derivative transactions as cash flows from operating activities in our Consolidated Statements of Cash Flows.</w:t>
      </w:r>
    </w:p>
    <w:p>
      <w:pPr>
        <w:spacing w:after="0" w:line="11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Foreign currency forward contracts</w:t>
      </w:r>
    </w:p>
    <w:p>
      <w:pPr>
        <w:spacing w:after="0" w:line="160"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following table shows the gross notional amounts of foreign currency forward contracts:</w:t>
      </w:r>
    </w:p>
    <w:p>
      <w:pPr>
        <w:spacing w:after="0" w:line="178"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81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540" w:type="dxa"/>
            <w:vAlign w:val="bottom"/>
            <w:gridSpan w:val="2"/>
          </w:tcPr>
          <w:p>
            <w:pPr>
              <w:ind w:left="60"/>
              <w:spacing w:after="0"/>
              <w:rPr>
                <w:sz w:val="20"/>
                <w:szCs w:val="20"/>
                <w:color w:val="auto"/>
              </w:rPr>
            </w:pPr>
            <w:r>
              <w:rPr>
                <w:rFonts w:ascii="Times New Roman" w:cs="Times New Roman" w:eastAsia="Times New Roman" w:hAnsi="Times New Roman"/>
                <w:sz w:val="14"/>
                <w:szCs w:val="14"/>
                <w:b w:val="1"/>
                <w:bCs w:val="1"/>
                <w:color w:val="auto"/>
              </w:rPr>
              <w:t>December 31, 2020</w:t>
            </w:r>
          </w:p>
        </w:tc>
        <w:tc>
          <w:tcPr>
            <w:tcW w:w="160" w:type="dxa"/>
            <w:vAlign w:val="bottom"/>
          </w:tcPr>
          <w:p>
            <w:pPr>
              <w:spacing w:after="0"/>
              <w:rPr>
                <w:sz w:val="16"/>
                <w:szCs w:val="16"/>
                <w:color w:val="auto"/>
              </w:rPr>
            </w:pPr>
          </w:p>
        </w:tc>
        <w:tc>
          <w:tcPr>
            <w:tcW w:w="1180" w:type="dxa"/>
            <w:vAlign w:val="bottom"/>
          </w:tcPr>
          <w:p>
            <w:pPr>
              <w:jc w:val="right"/>
              <w:ind w:right="116"/>
              <w:spacing w:after="0"/>
              <w:rPr>
                <w:sz w:val="20"/>
                <w:szCs w:val="20"/>
                <w:color w:val="auto"/>
              </w:rPr>
            </w:pPr>
            <w:r>
              <w:rPr>
                <w:rFonts w:ascii="Times New Roman" w:cs="Times New Roman" w:eastAsia="Times New Roman" w:hAnsi="Times New Roman"/>
                <w:sz w:val="14"/>
                <w:szCs w:val="14"/>
                <w:b w:val="1"/>
                <w:bCs w:val="1"/>
                <w:color w:val="auto"/>
              </w:rPr>
              <w:t>March 31, 2020</w:t>
            </w:r>
          </w:p>
        </w:tc>
      </w:tr>
      <w:tr>
        <w:trPr>
          <w:trHeight w:val="228"/>
        </w:trPr>
        <w:tc>
          <w:tcPr>
            <w:tcW w:w="816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Forward contracts to sell foreign currencies</w:t>
            </w:r>
          </w:p>
        </w:tc>
        <w:tc>
          <w:tcPr>
            <w:tcW w:w="1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14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114,105</w:t>
            </w:r>
          </w:p>
        </w:tc>
        <w:tc>
          <w:tcPr>
            <w:tcW w:w="100" w:type="dxa"/>
            <w:vAlign w:val="bottom"/>
            <w:tcBorders>
              <w:top w:val="single" w:sz="8" w:color="CCEEFF"/>
            </w:tcBorders>
            <w:shd w:val="clear" w:color="auto" w:fill="CCEEFF"/>
          </w:tcPr>
          <w:p>
            <w:pPr>
              <w:spacing w:after="0"/>
              <w:rPr>
                <w:sz w:val="19"/>
                <w:szCs w:val="19"/>
                <w:color w:val="auto"/>
              </w:rPr>
            </w:pPr>
          </w:p>
        </w:tc>
        <w:tc>
          <w:tcPr>
            <w:tcW w:w="1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122,024</w:t>
            </w:r>
          </w:p>
        </w:tc>
      </w:tr>
      <w:tr>
        <w:trPr>
          <w:trHeight w:val="238"/>
        </w:trPr>
        <w:tc>
          <w:tcPr>
            <w:tcW w:w="81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Forward contracts to purchase foreign currencies</w:t>
            </w:r>
          </w:p>
        </w:tc>
        <w:tc>
          <w:tcPr>
            <w:tcW w:w="160" w:type="dxa"/>
            <w:vAlign w:val="bottom"/>
          </w:tcPr>
          <w:p>
            <w:pPr>
              <w:spacing w:after="0"/>
              <w:rPr>
                <w:sz w:val="20"/>
                <w:szCs w:val="20"/>
                <w:color w:val="auto"/>
              </w:rPr>
            </w:pPr>
          </w:p>
        </w:tc>
        <w:tc>
          <w:tcPr>
            <w:tcW w:w="14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81,050</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52,596</w:t>
            </w:r>
          </w:p>
        </w:tc>
      </w:tr>
    </w:tbl>
    <w:p>
      <w:pPr>
        <w:spacing w:after="0" w:line="200" w:lineRule="exact"/>
        <w:rPr>
          <w:sz w:val="20"/>
          <w:szCs w:val="20"/>
          <w:color w:val="auto"/>
        </w:rPr>
      </w:pPr>
    </w:p>
    <w:p>
      <w:pPr>
        <w:sectPr>
          <w:pgSz w:w="11900" w:h="16838" w:orient="portrait"/>
          <w:cols w:equalWidth="0" w:num="1">
            <w:col w:w="11240"/>
          </w:cols>
          <w:pgMar w:left="320" w:top="1170" w:right="339" w:bottom="1440" w:gutter="0" w:footer="0" w:header="0"/>
        </w:sectPr>
      </w:pPr>
    </w:p>
    <w:p>
      <w:pPr>
        <w:spacing w:after="0" w:line="200" w:lineRule="exact"/>
        <w:rPr>
          <w:sz w:val="20"/>
          <w:szCs w:val="20"/>
          <w:color w:val="auto"/>
        </w:rPr>
      </w:pPr>
    </w:p>
    <w:p>
      <w:pPr>
        <w:spacing w:after="0" w:line="23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70" w:right="339" w:bottom="1440" w:gutter="0" w:footer="0" w:header="0"/>
          <w:type w:val="continuous"/>
        </w:sectPr>
      </w:pPr>
    </w:p>
    <w:bookmarkStart w:id="16" w:name="page17"/>
    <w:bookmarkEnd w:id="16"/>
    <w:p>
      <w:pPr>
        <w:spacing w:after="0"/>
        <w:rPr>
          <w:rFonts w:ascii="Times New Roman" w:cs="Times New Roman" w:eastAsia="Times New Roman" w:hAnsi="Times New Roman"/>
          <w:sz w:val="18"/>
          <w:szCs w:val="18"/>
          <w:u w:val="single" w:color="auto"/>
          <w:color w:val="0000FF"/>
        </w:rPr>
      </w:pPr>
      <w:hyperlink w:anchor="page1">
        <w:r>
          <w:rPr>
            <w:rFonts w:ascii="Times New Roman" w:cs="Times New Roman" w:eastAsia="Times New Roman" w:hAnsi="Times New Roman"/>
            <w:sz w:val="18"/>
            <w:szCs w:val="18"/>
            <w:u w:val="single" w:color="auto"/>
            <w:color w:val="0000FF"/>
          </w:rPr>
          <w:t>Table of Contents</w:t>
        </w:r>
      </w:hyperlink>
    </w:p>
    <w:p>
      <w:pPr>
        <w:spacing w:after="0" w:line="200" w:lineRule="exact"/>
        <w:rPr>
          <w:sz w:val="20"/>
          <w:szCs w:val="20"/>
          <w:color w:val="auto"/>
        </w:rPr>
      </w:pPr>
    </w:p>
    <w:p>
      <w:pPr>
        <w:spacing w:after="0" w:line="268"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For the three months ended December 31, 2020 and 2019, we recorded a loss of $5,832 and a loss of $556, respectively, and for the nine months ended December 31, 2020 and 2019 we recorded a loss of $9,518 and a loss of $1,643, respectively, related to foreign currency forward contracts in Interest and other, net in our Condensed Consolidated Statements of Operations. Our foreign currency exchange forward contracts are not designated as hedging instruments under hedge accounting and are used to reduce the impact of foreign currency on certain balance sheet exposures and certain revenue and expense. These instruments are generally short-term in nature, with typical maturities of less than one year, and are subject to fluctuations in foreign exchange rates.</w:t>
      </w:r>
    </w:p>
    <w:p>
      <w:pPr>
        <w:spacing w:after="0" w:line="10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Cross-currency swap</w:t>
      </w:r>
    </w:p>
    <w:p>
      <w:pPr>
        <w:spacing w:after="0" w:line="160"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In August 2017, we entered into a cross-currency swap agreement related to an intercompany loan that has been designated and accounted for as a cash flow hedge of foreign currency exchange risk. During the three months ended June 30, 2020, we settled the intercompany loan and cross-currency swap, thereby discontinuing the cash flow hedge. As a result, we reclassified $3,109 from Accumulated other comprehensive income (loss) to earnings as an increase to Interest and other, net on our Condensed Consolidated Statement of Operations. We also received $7,420 in cash to settle our corresponding derivative asset.</w:t>
      </w:r>
    </w:p>
    <w:p>
      <w:pPr>
        <w:spacing w:after="0" w:line="11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7. INVENTORY</w:t>
      </w:r>
    </w:p>
    <w:p>
      <w:pPr>
        <w:spacing w:after="0" w:line="148"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Inventory balances by category were as follows:</w:t>
      </w:r>
    </w:p>
    <w:p>
      <w:pPr>
        <w:spacing w:after="0" w:line="232"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81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540" w:type="dxa"/>
            <w:vAlign w:val="bottom"/>
            <w:gridSpan w:val="2"/>
          </w:tcPr>
          <w:p>
            <w:pPr>
              <w:ind w:left="60"/>
              <w:spacing w:after="0"/>
              <w:rPr>
                <w:sz w:val="20"/>
                <w:szCs w:val="20"/>
                <w:color w:val="auto"/>
              </w:rPr>
            </w:pPr>
            <w:r>
              <w:rPr>
                <w:rFonts w:ascii="Times New Roman" w:cs="Times New Roman" w:eastAsia="Times New Roman" w:hAnsi="Times New Roman"/>
                <w:sz w:val="14"/>
                <w:szCs w:val="14"/>
                <w:b w:val="1"/>
                <w:bCs w:val="1"/>
                <w:color w:val="auto"/>
              </w:rPr>
              <w:t>December 31, 2020</w:t>
            </w:r>
          </w:p>
        </w:tc>
        <w:tc>
          <w:tcPr>
            <w:tcW w:w="140" w:type="dxa"/>
            <w:vAlign w:val="bottom"/>
          </w:tcPr>
          <w:p>
            <w:pPr>
              <w:spacing w:after="0"/>
              <w:rPr>
                <w:sz w:val="16"/>
                <w:szCs w:val="16"/>
                <w:color w:val="auto"/>
              </w:rPr>
            </w:pPr>
          </w:p>
        </w:tc>
        <w:tc>
          <w:tcPr>
            <w:tcW w:w="1180" w:type="dxa"/>
            <w:vAlign w:val="bottom"/>
          </w:tcPr>
          <w:p>
            <w:pPr>
              <w:jc w:val="right"/>
              <w:ind w:right="95"/>
              <w:spacing w:after="0"/>
              <w:rPr>
                <w:sz w:val="20"/>
                <w:szCs w:val="20"/>
                <w:color w:val="auto"/>
              </w:rPr>
            </w:pPr>
            <w:r>
              <w:rPr>
                <w:rFonts w:ascii="Times New Roman" w:cs="Times New Roman" w:eastAsia="Times New Roman" w:hAnsi="Times New Roman"/>
                <w:sz w:val="14"/>
                <w:szCs w:val="14"/>
                <w:b w:val="1"/>
                <w:bCs w:val="1"/>
                <w:color w:val="auto"/>
              </w:rPr>
              <w:t>March 31, 2020</w:t>
            </w:r>
          </w:p>
        </w:tc>
      </w:tr>
      <w:tr>
        <w:trPr>
          <w:trHeight w:val="228"/>
        </w:trPr>
        <w:tc>
          <w:tcPr>
            <w:tcW w:w="818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Finished products</w:t>
            </w:r>
          </w:p>
        </w:tc>
        <w:tc>
          <w:tcPr>
            <w:tcW w:w="1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4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21,848</w:t>
            </w:r>
          </w:p>
        </w:tc>
        <w:tc>
          <w:tcPr>
            <w:tcW w:w="120" w:type="dxa"/>
            <w:vAlign w:val="bottom"/>
            <w:tcBorders>
              <w:top w:val="single" w:sz="8" w:color="CCEEFF"/>
            </w:tcBorders>
            <w:shd w:val="clear" w:color="auto" w:fill="CCEEFF"/>
          </w:tcPr>
          <w:p>
            <w:pPr>
              <w:spacing w:after="0"/>
              <w:rPr>
                <w:sz w:val="19"/>
                <w:szCs w:val="19"/>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17,984</w:t>
            </w:r>
          </w:p>
        </w:tc>
      </w:tr>
      <w:tr>
        <w:trPr>
          <w:trHeight w:val="230"/>
        </w:trPr>
        <w:tc>
          <w:tcPr>
            <w:tcW w:w="818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Parts and supplies</w:t>
            </w:r>
          </w:p>
        </w:tc>
        <w:tc>
          <w:tcPr>
            <w:tcW w:w="160" w:type="dxa"/>
            <w:vAlign w:val="bottom"/>
            <w:tcBorders>
              <w:bottom w:val="single" w:sz="8" w:color="auto"/>
            </w:tcBorders>
          </w:tcPr>
          <w:p>
            <w:pPr>
              <w:spacing w:after="0"/>
              <w:rPr>
                <w:sz w:val="19"/>
                <w:szCs w:val="19"/>
                <w:color w:val="auto"/>
              </w:rPr>
            </w:pPr>
          </w:p>
        </w:tc>
        <w:tc>
          <w:tcPr>
            <w:tcW w:w="14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4,885</w:t>
            </w:r>
          </w:p>
        </w:tc>
        <w:tc>
          <w:tcPr>
            <w:tcW w:w="120" w:type="dxa"/>
            <w:vAlign w:val="bottom"/>
            <w:tcBorders>
              <w:bottom w:val="single" w:sz="8" w:color="CCEEFF"/>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1,124</w:t>
            </w:r>
          </w:p>
        </w:tc>
      </w:tr>
      <w:tr>
        <w:trPr>
          <w:trHeight w:val="248"/>
        </w:trPr>
        <w:tc>
          <w:tcPr>
            <w:tcW w:w="818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Inventory</w:t>
            </w:r>
          </w:p>
        </w:tc>
        <w:tc>
          <w:tcPr>
            <w:tcW w:w="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4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26,733</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19,108</w:t>
            </w:r>
          </w:p>
        </w:tc>
      </w:tr>
      <w:tr>
        <w:trPr>
          <w:trHeight w:val="20"/>
        </w:trPr>
        <w:tc>
          <w:tcPr>
            <w:tcW w:w="818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4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180" w:type="dxa"/>
            <w:vAlign w:val="bottom"/>
            <w:tcBorders>
              <w:top w:val="single" w:sz="8" w:color="CCEEFF"/>
              <w:bottom w:val="single" w:sz="8" w:color="auto"/>
            </w:tcBorders>
          </w:tcPr>
          <w:p>
            <w:pPr>
              <w:spacing w:after="0" w:line="20" w:lineRule="exact"/>
              <w:rPr>
                <w:sz w:val="1"/>
                <w:szCs w:val="1"/>
                <w:color w:val="auto"/>
              </w:rPr>
            </w:pPr>
          </w:p>
        </w:tc>
      </w:tr>
    </w:tbl>
    <w:p>
      <w:pPr>
        <w:spacing w:after="0" w:line="130"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Estimated product returns included in inventory at December 31, 2020 and March 31, 2020 were $367 and $506, respectively.</w:t>
      </w:r>
    </w:p>
    <w:p>
      <w:pPr>
        <w:spacing w:after="0" w:line="200" w:lineRule="exact"/>
        <w:rPr>
          <w:sz w:val="20"/>
          <w:szCs w:val="20"/>
          <w:color w:val="auto"/>
        </w:rPr>
      </w:pPr>
    </w:p>
    <w:p>
      <w:pPr>
        <w:spacing w:after="0" w:line="33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8. SOFTWARE DEVELOPMENT COSTS AND LICENSES</w:t>
      </w:r>
    </w:p>
    <w:p>
      <w:pPr>
        <w:spacing w:after="0" w:line="16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Details of our capitalized software development costs and licenses were as follows:</w:t>
      </w: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510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2680" w:type="dxa"/>
            <w:vAlign w:val="bottom"/>
            <w:tcBorders>
              <w:bottom w:val="single" w:sz="8" w:color="auto"/>
            </w:tcBorders>
            <w:gridSpan w:val="4"/>
          </w:tcPr>
          <w:p>
            <w:pPr>
              <w:jc w:val="right"/>
              <w:ind w:right="814"/>
              <w:spacing w:after="0"/>
              <w:rPr>
                <w:sz w:val="20"/>
                <w:szCs w:val="20"/>
                <w:color w:val="auto"/>
              </w:rPr>
            </w:pPr>
            <w:r>
              <w:rPr>
                <w:rFonts w:ascii="Times New Roman" w:cs="Times New Roman" w:eastAsia="Times New Roman" w:hAnsi="Times New Roman"/>
                <w:sz w:val="14"/>
                <w:szCs w:val="14"/>
                <w:b w:val="1"/>
                <w:bCs w:val="1"/>
                <w:color w:val="auto"/>
              </w:rPr>
              <w:t>December 31, 2020</w:t>
            </w:r>
          </w:p>
        </w:tc>
        <w:tc>
          <w:tcPr>
            <w:tcW w:w="10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2700" w:type="dxa"/>
            <w:vAlign w:val="bottom"/>
            <w:tcBorders>
              <w:bottom w:val="single" w:sz="8" w:color="auto"/>
            </w:tcBorders>
            <w:gridSpan w:val="4"/>
          </w:tcPr>
          <w:p>
            <w:pPr>
              <w:jc w:val="right"/>
              <w:ind w:right="934"/>
              <w:spacing w:after="0"/>
              <w:rPr>
                <w:sz w:val="20"/>
                <w:szCs w:val="20"/>
                <w:color w:val="auto"/>
              </w:rPr>
            </w:pPr>
            <w:r>
              <w:rPr>
                <w:rFonts w:ascii="Times New Roman" w:cs="Times New Roman" w:eastAsia="Times New Roman" w:hAnsi="Times New Roman"/>
                <w:sz w:val="14"/>
                <w:szCs w:val="14"/>
                <w:b w:val="1"/>
                <w:bCs w:val="1"/>
                <w:color w:val="auto"/>
              </w:rPr>
              <w:t>March 31, 2020</w:t>
            </w:r>
          </w:p>
        </w:tc>
      </w:tr>
      <w:tr>
        <w:trPr>
          <w:trHeight w:val="209"/>
        </w:trPr>
        <w:tc>
          <w:tcPr>
            <w:tcW w:w="5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40" w:type="dxa"/>
            <w:vAlign w:val="bottom"/>
            <w:gridSpan w:val="2"/>
          </w:tcPr>
          <w:p>
            <w:pPr>
              <w:ind w:left="180"/>
              <w:spacing w:after="0"/>
              <w:rPr>
                <w:sz w:val="20"/>
                <w:szCs w:val="20"/>
                <w:color w:val="auto"/>
              </w:rPr>
            </w:pPr>
            <w:r>
              <w:rPr>
                <w:rFonts w:ascii="Times New Roman" w:cs="Times New Roman" w:eastAsia="Times New Roman" w:hAnsi="Times New Roman"/>
                <w:sz w:val="14"/>
                <w:szCs w:val="14"/>
                <w:b w:val="1"/>
                <w:bCs w:val="1"/>
                <w:color w:val="auto"/>
              </w:rPr>
              <w:t>Current</w:t>
            </w:r>
          </w:p>
        </w:tc>
        <w:tc>
          <w:tcPr>
            <w:tcW w:w="220" w:type="dxa"/>
            <w:vAlign w:val="bottom"/>
          </w:tcPr>
          <w:p>
            <w:pPr>
              <w:spacing w:after="0"/>
              <w:rPr>
                <w:sz w:val="18"/>
                <w:szCs w:val="18"/>
                <w:color w:val="auto"/>
              </w:rPr>
            </w:pPr>
          </w:p>
        </w:tc>
        <w:tc>
          <w:tcPr>
            <w:tcW w:w="1320" w:type="dxa"/>
            <w:vAlign w:val="bottom"/>
            <w:gridSpan w:val="2"/>
          </w:tcPr>
          <w:p>
            <w:pPr>
              <w:ind w:left="120"/>
              <w:spacing w:after="0"/>
              <w:rPr>
                <w:sz w:val="20"/>
                <w:szCs w:val="20"/>
                <w:color w:val="auto"/>
              </w:rPr>
            </w:pPr>
            <w:r>
              <w:rPr>
                <w:rFonts w:ascii="Times New Roman" w:cs="Times New Roman" w:eastAsia="Times New Roman" w:hAnsi="Times New Roman"/>
                <w:sz w:val="14"/>
                <w:szCs w:val="14"/>
                <w:b w:val="1"/>
                <w:bCs w:val="1"/>
                <w:color w:val="auto"/>
              </w:rPr>
              <w:t>Non-current</w:t>
            </w:r>
          </w:p>
        </w:tc>
        <w:tc>
          <w:tcPr>
            <w:tcW w:w="280" w:type="dxa"/>
            <w:vAlign w:val="bottom"/>
          </w:tcPr>
          <w:p>
            <w:pPr>
              <w:spacing w:after="0"/>
              <w:rPr>
                <w:sz w:val="18"/>
                <w:szCs w:val="18"/>
                <w:color w:val="auto"/>
              </w:rPr>
            </w:pPr>
          </w:p>
        </w:tc>
        <w:tc>
          <w:tcPr>
            <w:tcW w:w="1260" w:type="dxa"/>
            <w:vAlign w:val="bottom"/>
            <w:gridSpan w:val="2"/>
          </w:tcPr>
          <w:p>
            <w:pPr>
              <w:ind w:left="180"/>
              <w:spacing w:after="0"/>
              <w:rPr>
                <w:sz w:val="20"/>
                <w:szCs w:val="20"/>
                <w:color w:val="auto"/>
              </w:rPr>
            </w:pPr>
            <w:r>
              <w:rPr>
                <w:rFonts w:ascii="Times New Roman" w:cs="Times New Roman" w:eastAsia="Times New Roman" w:hAnsi="Times New Roman"/>
                <w:sz w:val="14"/>
                <w:szCs w:val="14"/>
                <w:b w:val="1"/>
                <w:bCs w:val="1"/>
                <w:color w:val="auto"/>
              </w:rPr>
              <w:t>Current</w:t>
            </w:r>
          </w:p>
        </w:tc>
        <w:tc>
          <w:tcPr>
            <w:tcW w:w="220" w:type="dxa"/>
            <w:vAlign w:val="bottom"/>
          </w:tcPr>
          <w:p>
            <w:pPr>
              <w:spacing w:after="0"/>
              <w:rPr>
                <w:sz w:val="18"/>
                <w:szCs w:val="18"/>
                <w:color w:val="auto"/>
              </w:rPr>
            </w:pPr>
          </w:p>
        </w:tc>
        <w:tc>
          <w:tcPr>
            <w:tcW w:w="1220" w:type="dxa"/>
            <w:vAlign w:val="bottom"/>
          </w:tcPr>
          <w:p>
            <w:pPr>
              <w:jc w:val="right"/>
              <w:ind w:right="254"/>
              <w:spacing w:after="0"/>
              <w:rPr>
                <w:sz w:val="20"/>
                <w:szCs w:val="20"/>
                <w:color w:val="auto"/>
              </w:rPr>
            </w:pPr>
            <w:r>
              <w:rPr>
                <w:rFonts w:ascii="Times New Roman" w:cs="Times New Roman" w:eastAsia="Times New Roman" w:hAnsi="Times New Roman"/>
                <w:sz w:val="14"/>
                <w:szCs w:val="14"/>
                <w:b w:val="1"/>
                <w:bCs w:val="1"/>
                <w:color w:val="auto"/>
              </w:rPr>
              <w:t>Non-current</w:t>
            </w:r>
          </w:p>
        </w:tc>
      </w:tr>
      <w:tr>
        <w:trPr>
          <w:trHeight w:val="228"/>
        </w:trPr>
        <w:tc>
          <w:tcPr>
            <w:tcW w:w="510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Software development costs, internally developed</w:t>
            </w:r>
          </w:p>
        </w:tc>
        <w:tc>
          <w:tcPr>
            <w:tcW w:w="280" w:type="dxa"/>
            <w:vAlign w:val="bottom"/>
            <w:tcBorders>
              <w:top w:val="single" w:sz="8" w:color="auto"/>
            </w:tcBorders>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1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35,506</w:t>
            </w:r>
          </w:p>
        </w:tc>
        <w:tc>
          <w:tcPr>
            <w:tcW w:w="100" w:type="dxa"/>
            <w:vAlign w:val="bottom"/>
            <w:tcBorders>
              <w:top w:val="single" w:sz="8" w:color="CCEEFF"/>
            </w:tcBorders>
            <w:shd w:val="clear" w:color="auto" w:fill="CCEEFF"/>
          </w:tcPr>
          <w:p>
            <w:pPr>
              <w:spacing w:after="0"/>
              <w:rPr>
                <w:sz w:val="19"/>
                <w:szCs w:val="19"/>
                <w:color w:val="auto"/>
              </w:rPr>
            </w:pPr>
          </w:p>
        </w:tc>
        <w:tc>
          <w:tcPr>
            <w:tcW w:w="220" w:type="dxa"/>
            <w:vAlign w:val="bottom"/>
            <w:tcBorders>
              <w:top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b w:val="1"/>
                <w:bCs w:val="1"/>
                <w:color w:val="auto"/>
              </w:rPr>
              <w:t>$</w:t>
            </w:r>
          </w:p>
        </w:tc>
        <w:tc>
          <w:tcPr>
            <w:tcW w:w="12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353,982</w:t>
            </w:r>
          </w:p>
        </w:tc>
        <w:tc>
          <w:tcPr>
            <w:tcW w:w="100" w:type="dxa"/>
            <w:vAlign w:val="bottom"/>
            <w:tcBorders>
              <w:top w:val="single" w:sz="8" w:color="CCEEFF"/>
            </w:tcBorders>
            <w:shd w:val="clear" w:color="auto" w:fill="CCEEFF"/>
          </w:tcPr>
          <w:p>
            <w:pPr>
              <w:spacing w:after="0"/>
              <w:rPr>
                <w:sz w:val="19"/>
                <w:szCs w:val="19"/>
                <w:color w:val="auto"/>
              </w:rPr>
            </w:pPr>
          </w:p>
        </w:tc>
        <w:tc>
          <w:tcPr>
            <w:tcW w:w="280" w:type="dxa"/>
            <w:vAlign w:val="bottom"/>
            <w:tcBorders>
              <w:top w:val="single" w:sz="8" w:color="auto"/>
            </w:tcBorders>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17,367</w:t>
            </w:r>
          </w:p>
        </w:tc>
        <w:tc>
          <w:tcPr>
            <w:tcW w:w="100" w:type="dxa"/>
            <w:vAlign w:val="bottom"/>
            <w:tcBorders>
              <w:top w:val="single" w:sz="8" w:color="CCEEFF"/>
            </w:tcBorders>
            <w:shd w:val="clear" w:color="auto" w:fill="CCEEFF"/>
          </w:tcPr>
          <w:p>
            <w:pPr>
              <w:spacing w:after="0"/>
              <w:rPr>
                <w:sz w:val="19"/>
                <w:szCs w:val="19"/>
                <w:color w:val="auto"/>
              </w:rPr>
            </w:pPr>
          </w:p>
        </w:tc>
        <w:tc>
          <w:tcPr>
            <w:tcW w:w="220" w:type="dxa"/>
            <w:vAlign w:val="bottom"/>
            <w:tcBorders>
              <w:top w:val="single" w:sz="8" w:color="auto"/>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12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305,970</w:t>
            </w:r>
          </w:p>
        </w:tc>
      </w:tr>
      <w:tr>
        <w:trPr>
          <w:trHeight w:val="230"/>
        </w:trPr>
        <w:tc>
          <w:tcPr>
            <w:tcW w:w="51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Software development costs, externally developed</w:t>
            </w:r>
          </w:p>
        </w:tc>
        <w:tc>
          <w:tcPr>
            <w:tcW w:w="28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8,592</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65,445</w:t>
            </w: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10,971</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92,908</w:t>
            </w:r>
          </w:p>
        </w:tc>
      </w:tr>
      <w:tr>
        <w:trPr>
          <w:trHeight w:val="230"/>
        </w:trPr>
        <w:tc>
          <w:tcPr>
            <w:tcW w:w="51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Licenses</w:t>
            </w:r>
          </w:p>
        </w:tc>
        <w:tc>
          <w:tcPr>
            <w:tcW w:w="280" w:type="dxa"/>
            <w:vAlign w:val="bottom"/>
            <w:tcBorders>
              <w:bottom w:val="single" w:sz="8" w:color="auto"/>
            </w:tcBorders>
            <w:shd w:val="clear" w:color="auto" w:fill="CCEEFF"/>
          </w:tcPr>
          <w:p>
            <w:pPr>
              <w:spacing w:after="0"/>
              <w:rPr>
                <w:sz w:val="19"/>
                <w:szCs w:val="19"/>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4,686</w:t>
            </w:r>
          </w:p>
        </w:tc>
        <w:tc>
          <w:tcPr>
            <w:tcW w:w="100" w:type="dxa"/>
            <w:vAlign w:val="bottom"/>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spacing w:after="0"/>
              <w:rPr>
                <w:sz w:val="19"/>
                <w:szCs w:val="19"/>
                <w:color w:val="auto"/>
              </w:rPr>
            </w:pPr>
          </w:p>
        </w:tc>
        <w:tc>
          <w:tcPr>
            <w:tcW w:w="12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17,275</w:t>
            </w:r>
          </w:p>
        </w:tc>
        <w:tc>
          <w:tcPr>
            <w:tcW w:w="100" w:type="dxa"/>
            <w:vAlign w:val="bottom"/>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spacing w:after="0"/>
              <w:rPr>
                <w:sz w:val="19"/>
                <w:szCs w:val="19"/>
                <w:color w:val="auto"/>
              </w:rPr>
            </w:pPr>
          </w:p>
        </w:tc>
        <w:tc>
          <w:tcPr>
            <w:tcW w:w="1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11,978</w:t>
            </w:r>
          </w:p>
        </w:tc>
        <w:tc>
          <w:tcPr>
            <w:tcW w:w="100" w:type="dxa"/>
            <w:vAlign w:val="bottom"/>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spacing w:after="0"/>
              <w:rPr>
                <w:sz w:val="19"/>
                <w:szCs w:val="19"/>
                <w:color w:val="auto"/>
              </w:rPr>
            </w:pPr>
          </w:p>
        </w:tc>
        <w:tc>
          <w:tcPr>
            <w:tcW w:w="12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2,900</w:t>
            </w:r>
          </w:p>
        </w:tc>
      </w:tr>
      <w:tr>
        <w:trPr>
          <w:trHeight w:val="223"/>
        </w:trPr>
        <w:tc>
          <w:tcPr>
            <w:tcW w:w="51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Software development costs and licenses</w:t>
            </w:r>
          </w:p>
        </w:tc>
        <w:tc>
          <w:tcPr>
            <w:tcW w:w="280" w:type="dxa"/>
            <w:vAlign w:val="bottom"/>
            <w:tcBorders>
              <w:bottom w:val="single" w:sz="8" w:color="auto"/>
            </w:tcBorders>
          </w:tcPr>
          <w:p>
            <w:pPr>
              <w:jc w:val="right"/>
              <w:ind w:right="9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48,784</w:t>
            </w:r>
          </w:p>
        </w:tc>
        <w:tc>
          <w:tcPr>
            <w:tcW w:w="100" w:type="dxa"/>
            <w:vAlign w:val="bottom"/>
          </w:tcPr>
          <w:p>
            <w:pPr>
              <w:spacing w:after="0"/>
              <w:rPr>
                <w:sz w:val="19"/>
                <w:szCs w:val="19"/>
                <w:color w:val="auto"/>
              </w:rPr>
            </w:pPr>
          </w:p>
        </w:tc>
        <w:tc>
          <w:tcPr>
            <w:tcW w:w="22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b w:val="1"/>
                <w:bCs w:val="1"/>
                <w:color w:val="auto"/>
              </w:rPr>
              <w:t>$</w:t>
            </w:r>
          </w:p>
        </w:tc>
        <w:tc>
          <w:tcPr>
            <w:tcW w:w="12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436,702</w:t>
            </w:r>
          </w:p>
        </w:tc>
        <w:tc>
          <w:tcPr>
            <w:tcW w:w="100" w:type="dxa"/>
            <w:vAlign w:val="bottom"/>
          </w:tcPr>
          <w:p>
            <w:pPr>
              <w:spacing w:after="0"/>
              <w:rPr>
                <w:sz w:val="19"/>
                <w:szCs w:val="19"/>
                <w:color w:val="auto"/>
              </w:rPr>
            </w:pPr>
          </w:p>
        </w:tc>
        <w:tc>
          <w:tcPr>
            <w:tcW w:w="280" w:type="dxa"/>
            <w:vAlign w:val="bottom"/>
            <w:tcBorders>
              <w:bottom w:val="single" w:sz="8" w:color="auto"/>
            </w:tcBorders>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40,316</w:t>
            </w:r>
          </w:p>
        </w:tc>
        <w:tc>
          <w:tcPr>
            <w:tcW w:w="100" w:type="dxa"/>
            <w:vAlign w:val="bottom"/>
          </w:tcPr>
          <w:p>
            <w:pPr>
              <w:spacing w:after="0"/>
              <w:rPr>
                <w:sz w:val="19"/>
                <w:szCs w:val="19"/>
                <w:color w:val="auto"/>
              </w:rPr>
            </w:pPr>
          </w:p>
        </w:tc>
        <w:tc>
          <w:tcPr>
            <w:tcW w:w="220" w:type="dxa"/>
            <w:vAlign w:val="bottom"/>
            <w:tcBorders>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12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401,778</w:t>
            </w:r>
          </w:p>
        </w:tc>
      </w:tr>
      <w:tr>
        <w:trPr>
          <w:trHeight w:val="20"/>
        </w:trPr>
        <w:tc>
          <w:tcPr>
            <w:tcW w:w="5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r>
    </w:tbl>
    <w:p>
      <w:pPr>
        <w:spacing w:after="0" w:line="130"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During the three months ended December 31, 2020 and 2019, we recorded $5,532 and $0, respectively, of software development impairment charges (a component of Cost of goods sold). During the nine months ended December 31, 2020 and 2019, we recorded $25,227 and $0, respectively, of software development impairment charges (a component of Cost of goods sold). The impairment charge recorded during the three months ended December 31, 2020 related to a decision not to proceed with further development of certain interactive entertainment software. The additional impairment charge recorded during the nine months ended December 31, 2020 related to unamortized capitalized costs for the development of a title, which were anticipated to exceed the net realizable value of the asset at the time they were impaired.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4" w:right="339" w:bottom="1440" w:gutter="0" w:footer="0" w:header="0"/>
        </w:sectPr>
      </w:pPr>
    </w:p>
    <w:bookmarkStart w:id="17" w:name="page18"/>
    <w:bookmarkEnd w:id="17"/>
    <w:p>
      <w:pPr>
        <w:ind w:left="660" w:right="5320" w:hanging="652"/>
        <w:spacing w:after="0" w:line="495" w:lineRule="auto"/>
        <w:tabs>
          <w:tab w:leader="none" w:pos="192" w:val="left"/>
        </w:tabs>
        <w:numPr>
          <w:ilvl w:val="0"/>
          <w:numId w:val="5"/>
        </w:numPr>
        <w:rPr>
          <w:rFonts w:ascii="Times New Roman" w:cs="Times New Roman" w:eastAsia="Times New Roman" w:hAnsi="Times New Roman"/>
          <w:sz w:val="17"/>
          <w:szCs w:val="17"/>
          <w:b w:val="1"/>
          <w:bCs w:val="1"/>
          <w:color w:val="auto"/>
        </w:rPr>
      </w:pPr>
      <w:r>
        <w:rPr>
          <w:rFonts w:ascii="Times New Roman" w:cs="Times New Roman" w:eastAsia="Times New Roman" w:hAnsi="Times New Roman"/>
          <w:sz w:val="17"/>
          <w:szCs w:val="17"/>
          <w:b w:val="1"/>
          <w:bCs w:val="1"/>
          <w:color w:val="auto"/>
        </w:rPr>
        <w:t xml:space="preserve">ACCRUED EXPENSES AND OTHER CURRENT LIABILITIES </w:t>
      </w:r>
      <w:r>
        <w:rPr>
          <w:rFonts w:ascii="Times New Roman" w:cs="Times New Roman" w:eastAsia="Times New Roman" w:hAnsi="Times New Roman"/>
          <w:sz w:val="17"/>
          <w:szCs w:val="17"/>
          <w:color w:val="auto"/>
        </w:rPr>
        <w:t>Accrued expenses and other current liabilities consisted of the following:</w:t>
      </w:r>
    </w:p>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81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580" w:type="dxa"/>
            <w:vAlign w:val="bottom"/>
            <w:gridSpan w:val="2"/>
          </w:tcPr>
          <w:p>
            <w:pPr>
              <w:ind w:left="60"/>
              <w:spacing w:after="0"/>
              <w:rPr>
                <w:sz w:val="20"/>
                <w:szCs w:val="20"/>
                <w:color w:val="auto"/>
              </w:rPr>
            </w:pPr>
            <w:r>
              <w:rPr>
                <w:rFonts w:ascii="Times New Roman" w:cs="Times New Roman" w:eastAsia="Times New Roman" w:hAnsi="Times New Roman"/>
                <w:sz w:val="14"/>
                <w:szCs w:val="14"/>
                <w:b w:val="1"/>
                <w:bCs w:val="1"/>
                <w:color w:val="auto"/>
              </w:rPr>
              <w:t>December 31, 2020</w:t>
            </w:r>
          </w:p>
        </w:tc>
        <w:tc>
          <w:tcPr>
            <w:tcW w:w="140" w:type="dxa"/>
            <w:vAlign w:val="bottom"/>
          </w:tcPr>
          <w:p>
            <w:pPr>
              <w:spacing w:after="0"/>
              <w:rPr>
                <w:sz w:val="16"/>
                <w:szCs w:val="16"/>
                <w:color w:val="auto"/>
              </w:rPr>
            </w:pPr>
          </w:p>
        </w:tc>
        <w:tc>
          <w:tcPr>
            <w:tcW w:w="1160" w:type="dxa"/>
            <w:vAlign w:val="bottom"/>
          </w:tcPr>
          <w:p>
            <w:pPr>
              <w:jc w:val="right"/>
              <w:ind w:right="92"/>
              <w:spacing w:after="0"/>
              <w:rPr>
                <w:sz w:val="20"/>
                <w:szCs w:val="20"/>
                <w:color w:val="auto"/>
              </w:rPr>
            </w:pPr>
            <w:r>
              <w:rPr>
                <w:rFonts w:ascii="Times New Roman" w:cs="Times New Roman" w:eastAsia="Times New Roman" w:hAnsi="Times New Roman"/>
                <w:sz w:val="14"/>
                <w:szCs w:val="14"/>
                <w:b w:val="1"/>
                <w:bCs w:val="1"/>
                <w:color w:val="auto"/>
              </w:rPr>
              <w:t>March 31, 2020</w:t>
            </w:r>
          </w:p>
        </w:tc>
      </w:tr>
      <w:tr>
        <w:trPr>
          <w:trHeight w:val="228"/>
        </w:trPr>
        <w:tc>
          <w:tcPr>
            <w:tcW w:w="818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Software development royalties</w:t>
            </w:r>
          </w:p>
        </w:tc>
        <w:tc>
          <w:tcPr>
            <w:tcW w:w="1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14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680,428</w:t>
            </w:r>
          </w:p>
        </w:tc>
        <w:tc>
          <w:tcPr>
            <w:tcW w:w="140" w:type="dxa"/>
            <w:vAlign w:val="bottom"/>
            <w:tcBorders>
              <w:top w:val="single" w:sz="8" w:color="CCEEFF"/>
            </w:tcBorders>
            <w:shd w:val="clear" w:color="auto" w:fill="CCEEFF"/>
          </w:tcPr>
          <w:p>
            <w:pPr>
              <w:spacing w:after="0"/>
              <w:rPr>
                <w:sz w:val="19"/>
                <w:szCs w:val="19"/>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822,416</w:t>
            </w:r>
          </w:p>
        </w:tc>
      </w:tr>
      <w:tr>
        <w:trPr>
          <w:trHeight w:val="230"/>
        </w:trPr>
        <w:tc>
          <w:tcPr>
            <w:tcW w:w="81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Compensation and benefits</w:t>
            </w:r>
          </w:p>
        </w:tc>
        <w:tc>
          <w:tcPr>
            <w:tcW w:w="180" w:type="dxa"/>
            <w:vAlign w:val="bottom"/>
          </w:tcPr>
          <w:p>
            <w:pPr>
              <w:spacing w:after="0"/>
              <w:rPr>
                <w:sz w:val="19"/>
                <w:szCs w:val="19"/>
                <w:color w:val="auto"/>
              </w:rPr>
            </w:pPr>
          </w:p>
        </w:tc>
        <w:tc>
          <w:tcPr>
            <w:tcW w:w="14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170,780</w:t>
            </w:r>
          </w:p>
        </w:tc>
        <w:tc>
          <w:tcPr>
            <w:tcW w:w="1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81,791</w:t>
            </w:r>
          </w:p>
        </w:tc>
      </w:tr>
      <w:tr>
        <w:trPr>
          <w:trHeight w:val="229"/>
        </w:trPr>
        <w:tc>
          <w:tcPr>
            <w:tcW w:w="81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Licenses</w:t>
            </w:r>
          </w:p>
        </w:tc>
        <w:tc>
          <w:tcPr>
            <w:tcW w:w="180" w:type="dxa"/>
            <w:vAlign w:val="bottom"/>
            <w:shd w:val="clear" w:color="auto" w:fill="CCEEFF"/>
          </w:tcPr>
          <w:p>
            <w:pPr>
              <w:spacing w:after="0"/>
              <w:rPr>
                <w:sz w:val="19"/>
                <w:szCs w:val="19"/>
                <w:color w:val="auto"/>
              </w:rPr>
            </w:pPr>
          </w:p>
        </w:tc>
        <w:tc>
          <w:tcPr>
            <w:tcW w:w="14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118,664</w:t>
            </w:r>
          </w:p>
        </w:tc>
        <w:tc>
          <w:tcPr>
            <w:tcW w:w="14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57,651</w:t>
            </w:r>
          </w:p>
        </w:tc>
      </w:tr>
      <w:tr>
        <w:trPr>
          <w:trHeight w:val="229"/>
        </w:trPr>
        <w:tc>
          <w:tcPr>
            <w:tcW w:w="81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Refund liability</w:t>
            </w:r>
          </w:p>
        </w:tc>
        <w:tc>
          <w:tcPr>
            <w:tcW w:w="180" w:type="dxa"/>
            <w:vAlign w:val="bottom"/>
          </w:tcPr>
          <w:p>
            <w:pPr>
              <w:spacing w:after="0"/>
              <w:rPr>
                <w:sz w:val="19"/>
                <w:szCs w:val="19"/>
                <w:color w:val="auto"/>
              </w:rPr>
            </w:pPr>
          </w:p>
        </w:tc>
        <w:tc>
          <w:tcPr>
            <w:tcW w:w="14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72,795</w:t>
            </w:r>
          </w:p>
        </w:tc>
        <w:tc>
          <w:tcPr>
            <w:tcW w:w="1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77,829</w:t>
            </w:r>
          </w:p>
        </w:tc>
      </w:tr>
      <w:tr>
        <w:trPr>
          <w:trHeight w:val="230"/>
        </w:trPr>
        <w:tc>
          <w:tcPr>
            <w:tcW w:w="81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Marketing and promotions</w:t>
            </w:r>
          </w:p>
        </w:tc>
        <w:tc>
          <w:tcPr>
            <w:tcW w:w="180" w:type="dxa"/>
            <w:vAlign w:val="bottom"/>
            <w:shd w:val="clear" w:color="auto" w:fill="CCEEFF"/>
          </w:tcPr>
          <w:p>
            <w:pPr>
              <w:spacing w:after="0"/>
              <w:rPr>
                <w:sz w:val="19"/>
                <w:szCs w:val="19"/>
                <w:color w:val="auto"/>
              </w:rPr>
            </w:pPr>
          </w:p>
        </w:tc>
        <w:tc>
          <w:tcPr>
            <w:tcW w:w="14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62,664</w:t>
            </w:r>
          </w:p>
        </w:tc>
        <w:tc>
          <w:tcPr>
            <w:tcW w:w="14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40,797</w:t>
            </w:r>
          </w:p>
        </w:tc>
      </w:tr>
      <w:tr>
        <w:trPr>
          <w:trHeight w:val="229"/>
        </w:trPr>
        <w:tc>
          <w:tcPr>
            <w:tcW w:w="818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Other</w:t>
            </w:r>
          </w:p>
        </w:tc>
        <w:tc>
          <w:tcPr>
            <w:tcW w:w="180" w:type="dxa"/>
            <w:vAlign w:val="bottom"/>
            <w:tcBorders>
              <w:bottom w:val="single" w:sz="8" w:color="auto"/>
            </w:tcBorders>
          </w:tcPr>
          <w:p>
            <w:pPr>
              <w:spacing w:after="0"/>
              <w:rPr>
                <w:sz w:val="19"/>
                <w:szCs w:val="19"/>
                <w:color w:val="auto"/>
              </w:rPr>
            </w:pPr>
          </w:p>
        </w:tc>
        <w:tc>
          <w:tcPr>
            <w:tcW w:w="14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114,283</w:t>
            </w:r>
          </w:p>
        </w:tc>
        <w:tc>
          <w:tcPr>
            <w:tcW w:w="140" w:type="dxa"/>
            <w:vAlign w:val="bottom"/>
            <w:tcBorders>
              <w:bottom w:val="single" w:sz="8" w:color="CCEEFF"/>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89,400</w:t>
            </w:r>
          </w:p>
        </w:tc>
      </w:tr>
      <w:tr>
        <w:trPr>
          <w:trHeight w:val="248"/>
        </w:trPr>
        <w:tc>
          <w:tcPr>
            <w:tcW w:w="818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Accrued expenses and other current liabilities</w:t>
            </w:r>
          </w:p>
        </w:tc>
        <w:tc>
          <w:tcPr>
            <w:tcW w:w="1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14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1,219,614</w:t>
            </w:r>
          </w:p>
        </w:tc>
        <w:tc>
          <w:tcPr>
            <w:tcW w:w="14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1,169,884</w:t>
            </w:r>
          </w:p>
        </w:tc>
      </w:tr>
      <w:tr>
        <w:trPr>
          <w:trHeight w:val="20"/>
        </w:trPr>
        <w:tc>
          <w:tcPr>
            <w:tcW w:w="818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144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160" w:type="dxa"/>
            <w:vAlign w:val="bottom"/>
            <w:tcBorders>
              <w:top w:val="single" w:sz="8" w:color="CCEEFF"/>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30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10. DEBT</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Credit Agreement</w:t>
      </w:r>
    </w:p>
    <w:p>
      <w:pPr>
        <w:spacing w:after="0" w:line="148"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On February 8, 2019, we entered into an unsecured Credit Agreement (the “Credit Agreement”) that runs through February 8, 2024. The Credit Agreement provides for an unsecured five-year revolving credit facility with commitments of $200,000, including sublimits for (i) the issuance of letters of credit in an aggregate face amount of up to $25,000 and (ii) borrowings and letters of credit denominated in Pounds Sterling, Euros, and Canadian Dollars in an aggregate principal amount of up to $25,000. In addition, the Credit Agreement contains uncommitted incremental capacity permitting the incurrence of up to an additional $250,000 in term loans or revolving credit facilities.</w:t>
      </w:r>
    </w:p>
    <w:p>
      <w:pPr>
        <w:spacing w:after="0" w:line="116"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Loans under the Credit Agreement will bear interest at a rate of (a) 0.250% to 0.750% above a certain base rate (3.25% at December 31, 2020) or</w:t>
      </w:r>
    </w:p>
    <w:p>
      <w:pPr>
        <w:spacing w:after="0" w:line="27" w:lineRule="exact"/>
        <w:rPr>
          <w:sz w:val="20"/>
          <w:szCs w:val="20"/>
          <w:color w:val="auto"/>
        </w:rPr>
      </w:pPr>
    </w:p>
    <w:p>
      <w:pPr>
        <w:ind w:firstLine="8"/>
        <w:spacing w:after="0" w:line="260" w:lineRule="auto"/>
        <w:tabs>
          <w:tab w:leader="none" w:pos="264"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1.125% to 1.750% above LIBOR (approximately 1.44% at December 31, 2020), which rates are determined by reference to our consolidated total net leverage ratio. We had no outstanding borrowings at December 31, 2020.</w:t>
      </w:r>
    </w:p>
    <w:p>
      <w:pPr>
        <w:spacing w:after="0" w:line="114"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Information related to availability on our Credit Agreement was as follows:</w:t>
      </w:r>
    </w:p>
    <w:p>
      <w:pPr>
        <w:spacing w:after="0" w:line="178"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81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540" w:type="dxa"/>
            <w:vAlign w:val="bottom"/>
            <w:gridSpan w:val="2"/>
          </w:tcPr>
          <w:p>
            <w:pPr>
              <w:ind w:left="60"/>
              <w:spacing w:after="0"/>
              <w:rPr>
                <w:sz w:val="20"/>
                <w:szCs w:val="20"/>
                <w:color w:val="auto"/>
              </w:rPr>
            </w:pPr>
            <w:r>
              <w:rPr>
                <w:rFonts w:ascii="Times New Roman" w:cs="Times New Roman" w:eastAsia="Times New Roman" w:hAnsi="Times New Roman"/>
                <w:sz w:val="14"/>
                <w:szCs w:val="14"/>
                <w:b w:val="1"/>
                <w:bCs w:val="1"/>
                <w:color w:val="auto"/>
              </w:rPr>
              <w:t>December 31, 2020</w:t>
            </w:r>
          </w:p>
        </w:tc>
        <w:tc>
          <w:tcPr>
            <w:tcW w:w="140" w:type="dxa"/>
            <w:vAlign w:val="bottom"/>
          </w:tcPr>
          <w:p>
            <w:pPr>
              <w:spacing w:after="0"/>
              <w:rPr>
                <w:sz w:val="16"/>
                <w:szCs w:val="16"/>
                <w:color w:val="auto"/>
              </w:rPr>
            </w:pPr>
          </w:p>
        </w:tc>
        <w:tc>
          <w:tcPr>
            <w:tcW w:w="1180" w:type="dxa"/>
            <w:vAlign w:val="bottom"/>
          </w:tcPr>
          <w:p>
            <w:pPr>
              <w:jc w:val="right"/>
              <w:ind w:right="96"/>
              <w:spacing w:after="0"/>
              <w:rPr>
                <w:sz w:val="20"/>
                <w:szCs w:val="20"/>
                <w:color w:val="auto"/>
              </w:rPr>
            </w:pPr>
            <w:r>
              <w:rPr>
                <w:rFonts w:ascii="Times New Roman" w:cs="Times New Roman" w:eastAsia="Times New Roman" w:hAnsi="Times New Roman"/>
                <w:sz w:val="14"/>
                <w:szCs w:val="14"/>
                <w:b w:val="1"/>
                <w:bCs w:val="1"/>
                <w:color w:val="auto"/>
              </w:rPr>
              <w:t>March 31, 2020</w:t>
            </w:r>
          </w:p>
        </w:tc>
      </w:tr>
      <w:tr>
        <w:trPr>
          <w:trHeight w:val="228"/>
        </w:trPr>
        <w:tc>
          <w:tcPr>
            <w:tcW w:w="818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Available borrowings</w:t>
            </w:r>
          </w:p>
        </w:tc>
        <w:tc>
          <w:tcPr>
            <w:tcW w:w="1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4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197,874</w:t>
            </w:r>
          </w:p>
        </w:tc>
        <w:tc>
          <w:tcPr>
            <w:tcW w:w="120" w:type="dxa"/>
            <w:vAlign w:val="bottom"/>
            <w:tcBorders>
              <w:top w:val="single" w:sz="8" w:color="CCEEFF"/>
            </w:tcBorders>
            <w:shd w:val="clear" w:color="auto" w:fill="CCEEFF"/>
          </w:tcPr>
          <w:p>
            <w:pPr>
              <w:spacing w:after="0"/>
              <w:rPr>
                <w:sz w:val="19"/>
                <w:szCs w:val="19"/>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198,336</w:t>
            </w:r>
          </w:p>
        </w:tc>
      </w:tr>
      <w:tr>
        <w:trPr>
          <w:trHeight w:val="238"/>
        </w:trPr>
        <w:tc>
          <w:tcPr>
            <w:tcW w:w="81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Outstanding letters of credit</w:t>
            </w:r>
          </w:p>
        </w:tc>
        <w:tc>
          <w:tcPr>
            <w:tcW w:w="160" w:type="dxa"/>
            <w:vAlign w:val="bottom"/>
          </w:tcPr>
          <w:p>
            <w:pPr>
              <w:spacing w:after="0"/>
              <w:rPr>
                <w:sz w:val="20"/>
                <w:szCs w:val="20"/>
                <w:color w:val="auto"/>
              </w:rPr>
            </w:pPr>
          </w:p>
        </w:tc>
        <w:tc>
          <w:tcPr>
            <w:tcW w:w="14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2,126</w:t>
            </w: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1,664</w:t>
            </w:r>
          </w:p>
        </w:tc>
      </w:tr>
    </w:tbl>
    <w:p>
      <w:pPr>
        <w:spacing w:after="0" w:line="121"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We recorded interest expense and fees related to the Credit Agreement of $141 and $82 for the three months ended December 31, 2020 and 2019, respectively, and $305 and $248 for the nine months ended December 31, 2020 and 2019, respectively. The Credit Agreement also includes, among other terms and conditions, maximum leverage ratio, minimum cash reserves and, in certain circumstances, minimum interest coverage ratio financial covenants, as well as limitations on us and each of our subsidiaries’ ability to: create, incur, assume or be liable for indebtedness; dispose of assets outside the ordinary course; acquire, merge or consolidate with or into another person or entity; create, incur or allow any lien on any of its property; make investments; or pay dividends or make distributions, in each case subject to certain exceptions. In addition, the Credit Agreement provides for certain events of default such as nonpayment of principal and interest when due thereunder, breaches of representations and warranties, noncompliance with covenants, acts of insolvency and default on indebtedness held by third parties (subject to certain limitations and cure periods).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70" w:right="339" w:bottom="1440" w:gutter="0" w:footer="0" w:header="0"/>
        </w:sectPr>
      </w:pPr>
    </w:p>
    <w:bookmarkStart w:id="18" w:name="page19"/>
    <w:bookmarkEnd w:id="18"/>
    <w:p>
      <w:pPr>
        <w:spacing w:after="0"/>
        <w:rPr>
          <w:sz w:val="20"/>
          <w:szCs w:val="20"/>
          <w:color w:val="auto"/>
        </w:rPr>
      </w:pPr>
      <w:r>
        <w:rPr>
          <w:rFonts w:ascii="Times New Roman" w:cs="Times New Roman" w:eastAsia="Times New Roman" w:hAnsi="Times New Roman"/>
          <w:sz w:val="18"/>
          <w:szCs w:val="18"/>
          <w:b w:val="1"/>
          <w:bCs w:val="1"/>
          <w:color w:val="auto"/>
        </w:rPr>
        <w:t>11. EARNINGS PER SHARE ("EPS")</w:t>
      </w:r>
    </w:p>
    <w:p>
      <w:pPr>
        <w:spacing w:after="0" w:line="16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following table sets forth the computation of basic and diluted earnings per share:</w:t>
      </w:r>
    </w:p>
    <w:p>
      <w:pPr>
        <w:spacing w:after="0" w:line="232"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63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440" w:type="dxa"/>
            <w:vAlign w:val="bottom"/>
            <w:gridSpan w:val="5"/>
          </w:tcPr>
          <w:p>
            <w:pPr>
              <w:ind w:left="20"/>
              <w:spacing w:after="0"/>
              <w:rPr>
                <w:sz w:val="20"/>
                <w:szCs w:val="20"/>
                <w:color w:val="auto"/>
              </w:rPr>
            </w:pPr>
            <w:r>
              <w:rPr>
                <w:rFonts w:ascii="Times New Roman" w:cs="Times New Roman" w:eastAsia="Times New Roman" w:hAnsi="Times New Roman"/>
                <w:sz w:val="14"/>
                <w:szCs w:val="14"/>
                <w:b w:val="1"/>
                <w:bCs w:val="1"/>
                <w:color w:val="auto"/>
              </w:rPr>
              <w:t>Three Months Ended December 31,</w:t>
            </w:r>
          </w:p>
        </w:tc>
        <w:tc>
          <w:tcPr>
            <w:tcW w:w="2300" w:type="dxa"/>
            <w:vAlign w:val="bottom"/>
            <w:gridSpan w:val="5"/>
          </w:tcPr>
          <w:p>
            <w:pPr>
              <w:jc w:val="right"/>
              <w:ind w:right="12"/>
              <w:spacing w:after="0"/>
              <w:rPr>
                <w:sz w:val="20"/>
                <w:szCs w:val="20"/>
                <w:color w:val="auto"/>
              </w:rPr>
            </w:pPr>
            <w:r>
              <w:rPr>
                <w:rFonts w:ascii="Times New Roman" w:cs="Times New Roman" w:eastAsia="Times New Roman" w:hAnsi="Times New Roman"/>
                <w:sz w:val="14"/>
                <w:szCs w:val="14"/>
                <w:b w:val="1"/>
                <w:bCs w:val="1"/>
                <w:color w:val="auto"/>
              </w:rPr>
              <w:t>Nine Months Ended December 31,</w:t>
            </w:r>
          </w:p>
        </w:tc>
      </w:tr>
      <w:tr>
        <w:trPr>
          <w:trHeight w:val="209"/>
        </w:trPr>
        <w:tc>
          <w:tcPr>
            <w:tcW w:w="6380" w:type="dxa"/>
            <w:vAlign w:val="bottom"/>
            <w:tcBorders>
              <w:bottom w:val="single" w:sz="8" w:color="CCEEFF"/>
            </w:tcBorders>
          </w:tcPr>
          <w:p>
            <w:pPr>
              <w:spacing w:after="0"/>
              <w:rPr>
                <w:sz w:val="18"/>
                <w:szCs w:val="18"/>
                <w:color w:val="auto"/>
              </w:rPr>
            </w:pPr>
          </w:p>
        </w:tc>
        <w:tc>
          <w:tcPr>
            <w:tcW w:w="120" w:type="dxa"/>
            <w:vAlign w:val="bottom"/>
            <w:tcBorders>
              <w:top w:val="single" w:sz="8" w:color="auto"/>
              <w:bottom w:val="single" w:sz="8" w:color="auto"/>
            </w:tcBorders>
          </w:tcPr>
          <w:p>
            <w:pPr>
              <w:spacing w:after="0"/>
              <w:rPr>
                <w:sz w:val="18"/>
                <w:szCs w:val="18"/>
                <w:color w:val="auto"/>
              </w:rPr>
            </w:pPr>
          </w:p>
        </w:tc>
        <w:tc>
          <w:tcPr>
            <w:tcW w:w="1060" w:type="dxa"/>
            <w:vAlign w:val="bottom"/>
            <w:tcBorders>
              <w:top w:val="single" w:sz="8" w:color="auto"/>
              <w:bottom w:val="single" w:sz="8" w:color="auto"/>
            </w:tcBorders>
          </w:tcPr>
          <w:p>
            <w:pPr>
              <w:jc w:val="right"/>
              <w:ind w:right="354"/>
              <w:spacing w:after="0"/>
              <w:rPr>
                <w:sz w:val="20"/>
                <w:szCs w:val="20"/>
                <w:color w:val="auto"/>
              </w:rPr>
            </w:pPr>
            <w:r>
              <w:rPr>
                <w:rFonts w:ascii="Times New Roman" w:cs="Times New Roman" w:eastAsia="Times New Roman" w:hAnsi="Times New Roman"/>
                <w:sz w:val="14"/>
                <w:szCs w:val="14"/>
                <w:b w:val="1"/>
                <w:bCs w:val="1"/>
                <w:color w:val="auto"/>
              </w:rPr>
              <w:t>2020</w:t>
            </w:r>
          </w:p>
        </w:tc>
        <w:tc>
          <w:tcPr>
            <w:tcW w:w="100" w:type="dxa"/>
            <w:vAlign w:val="bottom"/>
            <w:tcBorders>
              <w:top w:val="single" w:sz="8" w:color="auto"/>
              <w:bottom w:val="single" w:sz="8" w:color="CCEEFF"/>
            </w:tcBorders>
          </w:tcPr>
          <w:p>
            <w:pPr>
              <w:spacing w:after="0"/>
              <w:rPr>
                <w:sz w:val="18"/>
                <w:szCs w:val="18"/>
                <w:color w:val="auto"/>
              </w:rPr>
            </w:pPr>
          </w:p>
        </w:tc>
        <w:tc>
          <w:tcPr>
            <w:tcW w:w="280" w:type="dxa"/>
            <w:vAlign w:val="bottom"/>
            <w:tcBorders>
              <w:top w:val="single" w:sz="8" w:color="auto"/>
              <w:bottom w:val="single" w:sz="8" w:color="auto"/>
            </w:tcBorders>
          </w:tcPr>
          <w:p>
            <w:pPr>
              <w:spacing w:after="0"/>
              <w:rPr>
                <w:sz w:val="18"/>
                <w:szCs w:val="18"/>
                <w:color w:val="auto"/>
              </w:rPr>
            </w:pPr>
          </w:p>
        </w:tc>
        <w:tc>
          <w:tcPr>
            <w:tcW w:w="900" w:type="dxa"/>
            <w:vAlign w:val="bottom"/>
            <w:tcBorders>
              <w:top w:val="single" w:sz="8" w:color="auto"/>
              <w:bottom w:val="single" w:sz="8" w:color="auto"/>
            </w:tcBorders>
          </w:tcPr>
          <w:p>
            <w:pPr>
              <w:jc w:val="right"/>
              <w:ind w:right="352"/>
              <w:spacing w:after="0"/>
              <w:rPr>
                <w:sz w:val="20"/>
                <w:szCs w:val="20"/>
                <w:color w:val="auto"/>
              </w:rPr>
            </w:pPr>
            <w:r>
              <w:rPr>
                <w:rFonts w:ascii="Times New Roman" w:cs="Times New Roman" w:eastAsia="Times New Roman" w:hAnsi="Times New Roman"/>
                <w:sz w:val="14"/>
                <w:szCs w:val="14"/>
                <w:b w:val="1"/>
                <w:bCs w:val="1"/>
                <w:color w:val="auto"/>
              </w:rPr>
              <w:t>2019</w:t>
            </w:r>
          </w:p>
        </w:tc>
        <w:tc>
          <w:tcPr>
            <w:tcW w:w="100" w:type="dxa"/>
            <w:vAlign w:val="bottom"/>
            <w:tcBorders>
              <w:bottom w:val="single" w:sz="8" w:color="CCEEFF"/>
            </w:tcBorders>
          </w:tcPr>
          <w:p>
            <w:pPr>
              <w:spacing w:after="0"/>
              <w:rPr>
                <w:sz w:val="18"/>
                <w:szCs w:val="18"/>
                <w:color w:val="auto"/>
              </w:rPr>
            </w:pPr>
          </w:p>
        </w:tc>
        <w:tc>
          <w:tcPr>
            <w:tcW w:w="260" w:type="dxa"/>
            <w:vAlign w:val="bottom"/>
            <w:tcBorders>
              <w:top w:val="single" w:sz="8" w:color="auto"/>
              <w:bottom w:val="single" w:sz="8" w:color="auto"/>
            </w:tcBorders>
          </w:tcPr>
          <w:p>
            <w:pPr>
              <w:spacing w:after="0"/>
              <w:rPr>
                <w:sz w:val="18"/>
                <w:szCs w:val="18"/>
                <w:color w:val="auto"/>
              </w:rPr>
            </w:pPr>
          </w:p>
        </w:tc>
        <w:tc>
          <w:tcPr>
            <w:tcW w:w="820" w:type="dxa"/>
            <w:vAlign w:val="bottom"/>
            <w:tcBorders>
              <w:top w:val="single" w:sz="8" w:color="auto"/>
              <w:bottom w:val="single" w:sz="8" w:color="auto"/>
            </w:tcBorders>
          </w:tcPr>
          <w:p>
            <w:pPr>
              <w:jc w:val="right"/>
              <w:ind w:right="312"/>
              <w:spacing w:after="0"/>
              <w:rPr>
                <w:sz w:val="20"/>
                <w:szCs w:val="20"/>
                <w:color w:val="auto"/>
              </w:rPr>
            </w:pPr>
            <w:r>
              <w:rPr>
                <w:rFonts w:ascii="Times New Roman" w:cs="Times New Roman" w:eastAsia="Times New Roman" w:hAnsi="Times New Roman"/>
                <w:sz w:val="14"/>
                <w:szCs w:val="14"/>
                <w:b w:val="1"/>
                <w:bCs w:val="1"/>
                <w:color w:val="auto"/>
              </w:rPr>
              <w:t>2020</w:t>
            </w:r>
          </w:p>
        </w:tc>
        <w:tc>
          <w:tcPr>
            <w:tcW w:w="100" w:type="dxa"/>
            <w:vAlign w:val="bottom"/>
            <w:tcBorders>
              <w:top w:val="single" w:sz="8" w:color="auto"/>
              <w:bottom w:val="single" w:sz="8" w:color="CCEEFF"/>
            </w:tcBorders>
          </w:tcPr>
          <w:p>
            <w:pPr>
              <w:spacing w:after="0"/>
              <w:rPr>
                <w:sz w:val="18"/>
                <w:szCs w:val="18"/>
                <w:color w:val="auto"/>
              </w:rPr>
            </w:pPr>
          </w:p>
        </w:tc>
        <w:tc>
          <w:tcPr>
            <w:tcW w:w="260" w:type="dxa"/>
            <w:vAlign w:val="bottom"/>
            <w:tcBorders>
              <w:top w:val="single" w:sz="8" w:color="auto"/>
              <w:bottom w:val="single" w:sz="8" w:color="auto"/>
            </w:tcBorders>
          </w:tcPr>
          <w:p>
            <w:pPr>
              <w:spacing w:after="0"/>
              <w:rPr>
                <w:sz w:val="18"/>
                <w:szCs w:val="18"/>
                <w:color w:val="auto"/>
              </w:rPr>
            </w:pPr>
          </w:p>
        </w:tc>
        <w:tc>
          <w:tcPr>
            <w:tcW w:w="860" w:type="dxa"/>
            <w:vAlign w:val="bottom"/>
            <w:tcBorders>
              <w:top w:val="single" w:sz="8" w:color="auto"/>
              <w:bottom w:val="single" w:sz="8" w:color="auto"/>
            </w:tcBorders>
          </w:tcPr>
          <w:p>
            <w:pPr>
              <w:jc w:val="right"/>
              <w:ind w:right="332"/>
              <w:spacing w:after="0"/>
              <w:rPr>
                <w:sz w:val="20"/>
                <w:szCs w:val="20"/>
                <w:color w:val="auto"/>
              </w:rPr>
            </w:pPr>
            <w:r>
              <w:rPr>
                <w:rFonts w:ascii="Times New Roman" w:cs="Times New Roman" w:eastAsia="Times New Roman" w:hAnsi="Times New Roman"/>
                <w:sz w:val="14"/>
                <w:szCs w:val="14"/>
                <w:b w:val="1"/>
                <w:bCs w:val="1"/>
                <w:color w:val="auto"/>
              </w:rPr>
              <w:t>2019</w:t>
            </w:r>
          </w:p>
        </w:tc>
      </w:tr>
      <w:tr>
        <w:trPr>
          <w:trHeight w:val="228"/>
        </w:trPr>
        <w:tc>
          <w:tcPr>
            <w:tcW w:w="63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b w:val="1"/>
                <w:bCs w:val="1"/>
                <w:color w:val="auto"/>
              </w:rPr>
              <w:t>Computation of Basic earnings per share:</w:t>
            </w:r>
          </w:p>
        </w:tc>
        <w:tc>
          <w:tcPr>
            <w:tcW w:w="120" w:type="dxa"/>
            <w:vAlign w:val="bottom"/>
            <w:shd w:val="clear" w:color="auto" w:fill="CCEEFF"/>
          </w:tcPr>
          <w:p>
            <w:pPr>
              <w:spacing w:after="0"/>
              <w:rPr>
                <w:sz w:val="19"/>
                <w:szCs w:val="19"/>
                <w:color w:val="auto"/>
              </w:rPr>
            </w:pPr>
          </w:p>
        </w:tc>
        <w:tc>
          <w:tcPr>
            <w:tcW w:w="10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r>
      <w:tr>
        <w:trPr>
          <w:trHeight w:val="229"/>
        </w:trPr>
        <w:tc>
          <w:tcPr>
            <w:tcW w:w="638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Net income</w:t>
            </w:r>
          </w:p>
        </w:tc>
        <w:tc>
          <w:tcPr>
            <w:tcW w:w="1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182,248</w:t>
            </w:r>
          </w:p>
        </w:tc>
        <w:tc>
          <w:tcPr>
            <w:tcW w:w="100" w:type="dxa"/>
            <w:vAlign w:val="bottom"/>
          </w:tcPr>
          <w:p>
            <w:pPr>
              <w:spacing w:after="0"/>
              <w:rPr>
                <w:sz w:val="19"/>
                <w:szCs w:val="19"/>
                <w:color w:val="auto"/>
              </w:rPr>
            </w:pPr>
          </w:p>
        </w:tc>
        <w:tc>
          <w:tcPr>
            <w:tcW w:w="28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163,642</w:t>
            </w:r>
          </w:p>
        </w:tc>
        <w:tc>
          <w:tcPr>
            <w:tcW w:w="100" w:type="dxa"/>
            <w:vAlign w:val="bottom"/>
          </w:tcPr>
          <w:p>
            <w:pPr>
              <w:spacing w:after="0"/>
              <w:rPr>
                <w:sz w:val="19"/>
                <w:szCs w:val="19"/>
                <w:color w:val="auto"/>
              </w:rPr>
            </w:pPr>
          </w:p>
        </w:tc>
        <w:tc>
          <w:tcPr>
            <w:tcW w:w="260" w:type="dxa"/>
            <w:vAlign w:val="bottom"/>
          </w:tcPr>
          <w:p>
            <w:pPr>
              <w:jc w:val="right"/>
              <w:ind w:right="54"/>
              <w:spacing w:after="0"/>
              <w:rPr>
                <w:sz w:val="20"/>
                <w:szCs w:val="20"/>
                <w:color w:val="auto"/>
              </w:rPr>
            </w:pPr>
            <w:r>
              <w:rPr>
                <w:rFonts w:ascii="Times New Roman" w:cs="Times New Roman" w:eastAsia="Times New Roman" w:hAnsi="Times New Roman"/>
                <w:sz w:val="18"/>
                <w:szCs w:val="18"/>
                <w:b w:val="1"/>
                <w:bCs w:val="1"/>
                <w:color w:val="auto"/>
              </w:rPr>
              <w:t>$</w:t>
            </w: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370,074</w:t>
            </w:r>
          </w:p>
        </w:tc>
        <w:tc>
          <w:tcPr>
            <w:tcW w:w="100" w:type="dxa"/>
            <w:vAlign w:val="bottom"/>
          </w:tcPr>
          <w:p>
            <w:pPr>
              <w:spacing w:after="0"/>
              <w:rPr>
                <w:sz w:val="19"/>
                <w:szCs w:val="19"/>
                <w:color w:val="auto"/>
              </w:rPr>
            </w:pPr>
          </w:p>
        </w:tc>
        <w:tc>
          <w:tcPr>
            <w:tcW w:w="2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281,737</w:t>
            </w:r>
          </w:p>
        </w:tc>
      </w:tr>
      <w:tr>
        <w:trPr>
          <w:trHeight w:val="229"/>
        </w:trPr>
        <w:tc>
          <w:tcPr>
            <w:tcW w:w="638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Weighted average shares outstanding—basic</w:t>
            </w:r>
          </w:p>
        </w:tc>
        <w:tc>
          <w:tcPr>
            <w:tcW w:w="12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115,004</w:t>
            </w: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113,251</w:t>
            </w: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114,436</w:t>
            </w: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112,996</w:t>
            </w:r>
          </w:p>
        </w:tc>
      </w:tr>
      <w:tr>
        <w:trPr>
          <w:trHeight w:val="230"/>
        </w:trPr>
        <w:tc>
          <w:tcPr>
            <w:tcW w:w="638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Basic earnings per share</w:t>
            </w:r>
          </w:p>
        </w:tc>
        <w:tc>
          <w:tcPr>
            <w:tcW w:w="1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1.58</w:t>
            </w:r>
          </w:p>
        </w:tc>
        <w:tc>
          <w:tcPr>
            <w:tcW w:w="100" w:type="dxa"/>
            <w:vAlign w:val="bottom"/>
          </w:tcPr>
          <w:p>
            <w:pPr>
              <w:spacing w:after="0"/>
              <w:rPr>
                <w:sz w:val="19"/>
                <w:szCs w:val="19"/>
                <w:color w:val="auto"/>
              </w:rPr>
            </w:pPr>
          </w:p>
        </w:tc>
        <w:tc>
          <w:tcPr>
            <w:tcW w:w="28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1.44</w:t>
            </w:r>
          </w:p>
        </w:tc>
        <w:tc>
          <w:tcPr>
            <w:tcW w:w="100" w:type="dxa"/>
            <w:vAlign w:val="bottom"/>
          </w:tcPr>
          <w:p>
            <w:pPr>
              <w:spacing w:after="0"/>
              <w:rPr>
                <w:sz w:val="19"/>
                <w:szCs w:val="19"/>
                <w:color w:val="auto"/>
              </w:rPr>
            </w:pPr>
          </w:p>
        </w:tc>
        <w:tc>
          <w:tcPr>
            <w:tcW w:w="260" w:type="dxa"/>
            <w:vAlign w:val="bottom"/>
          </w:tcPr>
          <w:p>
            <w:pPr>
              <w:jc w:val="right"/>
              <w:ind w:right="54"/>
              <w:spacing w:after="0"/>
              <w:rPr>
                <w:sz w:val="20"/>
                <w:szCs w:val="20"/>
                <w:color w:val="auto"/>
              </w:rPr>
            </w:pPr>
            <w:r>
              <w:rPr>
                <w:rFonts w:ascii="Times New Roman" w:cs="Times New Roman" w:eastAsia="Times New Roman" w:hAnsi="Times New Roman"/>
                <w:sz w:val="18"/>
                <w:szCs w:val="18"/>
                <w:b w:val="1"/>
                <w:bCs w:val="1"/>
                <w:color w:val="auto"/>
              </w:rPr>
              <w:t>$</w:t>
            </w: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3.23</w:t>
            </w:r>
          </w:p>
        </w:tc>
        <w:tc>
          <w:tcPr>
            <w:tcW w:w="100" w:type="dxa"/>
            <w:vAlign w:val="bottom"/>
          </w:tcPr>
          <w:p>
            <w:pPr>
              <w:spacing w:after="0"/>
              <w:rPr>
                <w:sz w:val="19"/>
                <w:szCs w:val="19"/>
                <w:color w:val="auto"/>
              </w:rPr>
            </w:pPr>
          </w:p>
        </w:tc>
        <w:tc>
          <w:tcPr>
            <w:tcW w:w="260" w:type="dxa"/>
            <w:vAlign w:val="bottom"/>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2.49</w:t>
            </w:r>
          </w:p>
        </w:tc>
      </w:tr>
      <w:tr>
        <w:trPr>
          <w:trHeight w:val="270"/>
        </w:trPr>
        <w:tc>
          <w:tcPr>
            <w:tcW w:w="638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06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80" w:type="dxa"/>
            <w:vAlign w:val="bottom"/>
            <w:shd w:val="clear" w:color="auto" w:fill="CCEEFF"/>
          </w:tcPr>
          <w:p>
            <w:pPr>
              <w:spacing w:after="0"/>
              <w:rPr>
                <w:sz w:val="23"/>
                <w:szCs w:val="23"/>
                <w:color w:val="auto"/>
              </w:rPr>
            </w:pPr>
          </w:p>
        </w:tc>
        <w:tc>
          <w:tcPr>
            <w:tcW w:w="9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60" w:type="dxa"/>
            <w:vAlign w:val="bottom"/>
            <w:shd w:val="clear" w:color="auto" w:fill="CCEEFF"/>
          </w:tcPr>
          <w:p>
            <w:pPr>
              <w:spacing w:after="0"/>
              <w:rPr>
                <w:sz w:val="23"/>
                <w:szCs w:val="23"/>
                <w:color w:val="auto"/>
              </w:rPr>
            </w:pPr>
          </w:p>
        </w:tc>
        <w:tc>
          <w:tcPr>
            <w:tcW w:w="8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60" w:type="dxa"/>
            <w:vAlign w:val="bottom"/>
            <w:shd w:val="clear" w:color="auto" w:fill="CCEEFF"/>
          </w:tcPr>
          <w:p>
            <w:pPr>
              <w:spacing w:after="0"/>
              <w:rPr>
                <w:sz w:val="23"/>
                <w:szCs w:val="23"/>
                <w:color w:val="auto"/>
              </w:rPr>
            </w:pPr>
          </w:p>
        </w:tc>
        <w:tc>
          <w:tcPr>
            <w:tcW w:w="860" w:type="dxa"/>
            <w:vAlign w:val="bottom"/>
            <w:shd w:val="clear" w:color="auto" w:fill="CCEEFF"/>
          </w:tcPr>
          <w:p>
            <w:pPr>
              <w:spacing w:after="0"/>
              <w:rPr>
                <w:sz w:val="23"/>
                <w:szCs w:val="23"/>
                <w:color w:val="auto"/>
              </w:rPr>
            </w:pPr>
          </w:p>
        </w:tc>
      </w:tr>
      <w:tr>
        <w:trPr>
          <w:trHeight w:val="229"/>
        </w:trPr>
        <w:tc>
          <w:tcPr>
            <w:tcW w:w="6380" w:type="dxa"/>
            <w:vAlign w:val="bottom"/>
          </w:tcPr>
          <w:p>
            <w:pPr>
              <w:ind w:left="140"/>
              <w:spacing w:after="0"/>
              <w:rPr>
                <w:sz w:val="20"/>
                <w:szCs w:val="20"/>
                <w:color w:val="auto"/>
              </w:rPr>
            </w:pPr>
            <w:r>
              <w:rPr>
                <w:rFonts w:ascii="Times New Roman" w:cs="Times New Roman" w:eastAsia="Times New Roman" w:hAnsi="Times New Roman"/>
                <w:sz w:val="18"/>
                <w:szCs w:val="18"/>
                <w:b w:val="1"/>
                <w:bCs w:val="1"/>
                <w:color w:val="auto"/>
              </w:rPr>
              <w:t>Computation of Diluted earnings per share:</w:t>
            </w:r>
          </w:p>
        </w:tc>
        <w:tc>
          <w:tcPr>
            <w:tcW w:w="12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60" w:type="dxa"/>
            <w:vAlign w:val="bottom"/>
          </w:tcPr>
          <w:p>
            <w:pPr>
              <w:spacing w:after="0"/>
              <w:rPr>
                <w:sz w:val="19"/>
                <w:szCs w:val="19"/>
                <w:color w:val="auto"/>
              </w:rPr>
            </w:pPr>
          </w:p>
        </w:tc>
      </w:tr>
      <w:tr>
        <w:trPr>
          <w:trHeight w:val="229"/>
        </w:trPr>
        <w:tc>
          <w:tcPr>
            <w:tcW w:w="638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Net income</w:t>
            </w: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0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182,248</w:t>
            </w: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163,642</w:t>
            </w: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jc w:val="right"/>
              <w:ind w:right="54"/>
              <w:spacing w:after="0"/>
              <w:rPr>
                <w:sz w:val="20"/>
                <w:szCs w:val="20"/>
                <w:color w:val="auto"/>
              </w:rPr>
            </w:pPr>
            <w:r>
              <w:rPr>
                <w:rFonts w:ascii="Times New Roman" w:cs="Times New Roman" w:eastAsia="Times New Roman" w:hAnsi="Times New Roman"/>
                <w:sz w:val="18"/>
                <w:szCs w:val="18"/>
                <w:b w:val="1"/>
                <w:bCs w:val="1"/>
                <w:color w:val="auto"/>
              </w:rPr>
              <w:t>$</w:t>
            </w:r>
          </w:p>
        </w:tc>
        <w:tc>
          <w:tcPr>
            <w:tcW w:w="8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370,074</w:t>
            </w: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281,737</w:t>
            </w:r>
          </w:p>
        </w:tc>
      </w:tr>
      <w:tr>
        <w:trPr>
          <w:trHeight w:val="270"/>
        </w:trPr>
        <w:tc>
          <w:tcPr>
            <w:tcW w:w="63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6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9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8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860" w:type="dxa"/>
            <w:vAlign w:val="bottom"/>
          </w:tcPr>
          <w:p>
            <w:pPr>
              <w:spacing w:after="0"/>
              <w:rPr>
                <w:sz w:val="23"/>
                <w:szCs w:val="23"/>
                <w:color w:val="auto"/>
              </w:rPr>
            </w:pPr>
          </w:p>
        </w:tc>
      </w:tr>
      <w:tr>
        <w:trPr>
          <w:trHeight w:val="230"/>
        </w:trPr>
        <w:tc>
          <w:tcPr>
            <w:tcW w:w="638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Weighted average shares outstanding—basic</w:t>
            </w:r>
          </w:p>
        </w:tc>
        <w:tc>
          <w:tcPr>
            <w:tcW w:w="12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115,004</w:t>
            </w: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113,251</w:t>
            </w: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114,436</w:t>
            </w: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112,996</w:t>
            </w:r>
          </w:p>
        </w:tc>
      </w:tr>
      <w:tr>
        <w:trPr>
          <w:trHeight w:val="229"/>
        </w:trPr>
        <w:tc>
          <w:tcPr>
            <w:tcW w:w="6380" w:type="dxa"/>
            <w:vAlign w:val="bottom"/>
            <w:tcBorders>
              <w:bottom w:val="single" w:sz="8" w:color="CCEEFF"/>
            </w:tcBorders>
          </w:tcPr>
          <w:p>
            <w:pPr>
              <w:ind w:left="140"/>
              <w:spacing w:after="0"/>
              <w:rPr>
                <w:sz w:val="20"/>
                <w:szCs w:val="20"/>
                <w:color w:val="auto"/>
              </w:rPr>
            </w:pPr>
            <w:r>
              <w:rPr>
                <w:rFonts w:ascii="Times New Roman" w:cs="Times New Roman" w:eastAsia="Times New Roman" w:hAnsi="Times New Roman"/>
                <w:sz w:val="18"/>
                <w:szCs w:val="18"/>
                <w:color w:val="auto"/>
              </w:rPr>
              <w:t>Add: dilutive effect of common stock equivalents</w:t>
            </w:r>
          </w:p>
        </w:tc>
        <w:tc>
          <w:tcPr>
            <w:tcW w:w="12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1,113</w:t>
            </w:r>
          </w:p>
        </w:tc>
        <w:tc>
          <w:tcPr>
            <w:tcW w:w="100" w:type="dxa"/>
            <w:vAlign w:val="bottom"/>
            <w:tcBorders>
              <w:bottom w:val="single" w:sz="8" w:color="CCEEFF"/>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1,003</w:t>
            </w:r>
          </w:p>
        </w:tc>
        <w:tc>
          <w:tcPr>
            <w:tcW w:w="100" w:type="dxa"/>
            <w:vAlign w:val="bottom"/>
            <w:tcBorders>
              <w:bottom w:val="single" w:sz="8" w:color="CCEEFF"/>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1,137</w:t>
            </w:r>
          </w:p>
        </w:tc>
        <w:tc>
          <w:tcPr>
            <w:tcW w:w="100" w:type="dxa"/>
            <w:vAlign w:val="bottom"/>
            <w:tcBorders>
              <w:bottom w:val="single" w:sz="8" w:color="CCEEFF"/>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1,013</w:t>
            </w:r>
          </w:p>
        </w:tc>
      </w:tr>
      <w:tr>
        <w:trPr>
          <w:trHeight w:val="223"/>
        </w:trPr>
        <w:tc>
          <w:tcPr>
            <w:tcW w:w="638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Weighted average common shares outstanding—diluted</w:t>
            </w:r>
          </w:p>
        </w:tc>
        <w:tc>
          <w:tcPr>
            <w:tcW w:w="12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116,117</w:t>
            </w: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114,254</w:t>
            </w: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115,573</w:t>
            </w: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114,009</w:t>
            </w:r>
          </w:p>
        </w:tc>
      </w:tr>
      <w:tr>
        <w:trPr>
          <w:trHeight w:val="216"/>
        </w:trPr>
        <w:tc>
          <w:tcPr>
            <w:tcW w:w="63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60" w:type="dxa"/>
            <w:vAlign w:val="bottom"/>
          </w:tcPr>
          <w:p>
            <w:pPr>
              <w:spacing w:after="0"/>
              <w:rPr>
                <w:sz w:val="18"/>
                <w:szCs w:val="18"/>
                <w:color w:val="auto"/>
              </w:rPr>
            </w:pPr>
          </w:p>
        </w:tc>
      </w:tr>
      <w:tr>
        <w:trPr>
          <w:trHeight w:val="229"/>
        </w:trPr>
        <w:tc>
          <w:tcPr>
            <w:tcW w:w="638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Diluted earnings per share</w:t>
            </w: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0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1.57</w:t>
            </w: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1.43</w:t>
            </w: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jc w:val="right"/>
              <w:ind w:right="54"/>
              <w:spacing w:after="0"/>
              <w:rPr>
                <w:sz w:val="20"/>
                <w:szCs w:val="20"/>
                <w:color w:val="auto"/>
              </w:rPr>
            </w:pPr>
            <w:r>
              <w:rPr>
                <w:rFonts w:ascii="Times New Roman" w:cs="Times New Roman" w:eastAsia="Times New Roman" w:hAnsi="Times New Roman"/>
                <w:sz w:val="18"/>
                <w:szCs w:val="18"/>
                <w:b w:val="1"/>
                <w:bCs w:val="1"/>
                <w:color w:val="auto"/>
              </w:rPr>
              <w:t>$</w:t>
            </w:r>
          </w:p>
        </w:tc>
        <w:tc>
          <w:tcPr>
            <w:tcW w:w="8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3.20</w:t>
            </w: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2.47</w:t>
            </w:r>
          </w:p>
        </w:tc>
      </w:tr>
    </w:tbl>
    <w:p>
      <w:pPr>
        <w:spacing w:after="0" w:line="117"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During the nine months ended December 31, 2020, 1,235 restricted stock awards vested, we granted 872 unvested restricted stock awards, and 29 unvested restricted stock awards were forfeited.</w:t>
      </w:r>
    </w:p>
    <w:p>
      <w:pPr>
        <w:spacing w:after="0" w:line="200" w:lineRule="exact"/>
        <w:rPr>
          <w:sz w:val="20"/>
          <w:szCs w:val="20"/>
          <w:color w:val="auto"/>
        </w:rPr>
      </w:pPr>
    </w:p>
    <w:p>
      <w:pPr>
        <w:spacing w:after="0" w:line="28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12. ACCUMULATED OTHER COMPREHENSIVE LOSS</w:t>
      </w:r>
    </w:p>
    <w:p>
      <w:pPr>
        <w:spacing w:after="0" w:line="148"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following table provides the components of accumulated other comprehensive loss:</w:t>
      </w:r>
    </w:p>
    <w:p>
      <w:pPr>
        <w:spacing w:after="0" w:line="232"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48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60" w:type="dxa"/>
            <w:vAlign w:val="bottom"/>
            <w:tcBorders>
              <w:bottom w:val="single" w:sz="8" w:color="auto"/>
            </w:tcBorders>
          </w:tcPr>
          <w:p>
            <w:pPr>
              <w:spacing w:after="0"/>
              <w:rPr>
                <w:sz w:val="16"/>
                <w:szCs w:val="16"/>
                <w:color w:val="auto"/>
              </w:rPr>
            </w:pPr>
          </w:p>
        </w:tc>
        <w:tc>
          <w:tcPr>
            <w:tcW w:w="6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3680" w:type="dxa"/>
            <w:vAlign w:val="bottom"/>
            <w:tcBorders>
              <w:bottom w:val="single" w:sz="8" w:color="auto"/>
            </w:tcBorders>
            <w:gridSpan w:val="10"/>
          </w:tcPr>
          <w:p>
            <w:pPr>
              <w:ind w:left="580"/>
              <w:spacing w:after="0"/>
              <w:rPr>
                <w:sz w:val="20"/>
                <w:szCs w:val="20"/>
                <w:color w:val="auto"/>
              </w:rPr>
            </w:pPr>
            <w:r>
              <w:rPr>
                <w:rFonts w:ascii="Times New Roman" w:cs="Times New Roman" w:eastAsia="Times New Roman" w:hAnsi="Times New Roman"/>
                <w:sz w:val="14"/>
                <w:szCs w:val="14"/>
                <w:b w:val="1"/>
                <w:bCs w:val="1"/>
                <w:color w:val="auto"/>
              </w:rPr>
              <w:t>Nine Months Ended December 31, 2020</w:t>
            </w:r>
          </w:p>
        </w:tc>
        <w:tc>
          <w:tcPr>
            <w:tcW w:w="8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33"/>
        </w:trPr>
        <w:tc>
          <w:tcPr>
            <w:tcW w:w="48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20" w:type="dxa"/>
            <w:vAlign w:val="bottom"/>
            <w:gridSpan w:val="2"/>
            <w:vMerge w:val="restart"/>
          </w:tcPr>
          <w:p>
            <w:pPr>
              <w:jc w:val="center"/>
              <w:ind w:right="120"/>
              <w:spacing w:after="0"/>
              <w:rPr>
                <w:sz w:val="20"/>
                <w:szCs w:val="20"/>
                <w:color w:val="auto"/>
              </w:rPr>
            </w:pPr>
            <w:r>
              <w:rPr>
                <w:rFonts w:ascii="Times New Roman" w:cs="Times New Roman" w:eastAsia="Times New Roman" w:hAnsi="Times New Roman"/>
                <w:sz w:val="14"/>
                <w:szCs w:val="14"/>
                <w:b w:val="1"/>
                <w:bCs w:val="1"/>
                <w:color w:val="auto"/>
              </w:rPr>
              <w:t>Foreign</w:t>
            </w: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20" w:type="dxa"/>
            <w:vAlign w:val="bottom"/>
            <w:gridSpan w:val="3"/>
            <w:vMerge w:val="restart"/>
          </w:tcPr>
          <w:p>
            <w:pPr>
              <w:jc w:val="center"/>
              <w:ind w:right="220"/>
              <w:spacing w:after="0"/>
              <w:rPr>
                <w:sz w:val="20"/>
                <w:szCs w:val="20"/>
                <w:color w:val="auto"/>
              </w:rPr>
            </w:pPr>
            <w:r>
              <w:rPr>
                <w:rFonts w:ascii="Times New Roman" w:cs="Times New Roman" w:eastAsia="Times New Roman" w:hAnsi="Times New Roman"/>
                <w:sz w:val="14"/>
                <w:szCs w:val="14"/>
                <w:b w:val="1"/>
                <w:bCs w:val="1"/>
                <w:color w:val="auto"/>
              </w:rPr>
              <w:t>Unrealized</w:t>
            </w: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40" w:type="dxa"/>
            <w:vAlign w:val="bottom"/>
            <w:vMerge w:val="restart"/>
          </w:tcPr>
          <w:p>
            <w:pPr>
              <w:jc w:val="center"/>
              <w:ind w:right="159"/>
              <w:spacing w:after="0"/>
              <w:rPr>
                <w:sz w:val="20"/>
                <w:szCs w:val="20"/>
                <w:color w:val="auto"/>
              </w:rPr>
            </w:pPr>
            <w:r>
              <w:rPr>
                <w:rFonts w:ascii="Times New Roman" w:cs="Times New Roman" w:eastAsia="Times New Roman" w:hAnsi="Times New Roman"/>
                <w:sz w:val="14"/>
                <w:szCs w:val="14"/>
                <w:b w:val="1"/>
                <w:bCs w:val="1"/>
                <w:color w:val="auto"/>
              </w:rPr>
              <w:t>Unrealized</w:t>
            </w:r>
          </w:p>
        </w:tc>
        <w:tc>
          <w:tcPr>
            <w:tcW w:w="220" w:type="dxa"/>
            <w:vAlign w:val="bottom"/>
          </w:tcPr>
          <w:p>
            <w:pPr>
              <w:spacing w:after="0"/>
              <w:rPr>
                <w:sz w:val="11"/>
                <w:szCs w:val="11"/>
                <w:color w:val="auto"/>
              </w:rPr>
            </w:pPr>
          </w:p>
        </w:tc>
        <w:tc>
          <w:tcPr>
            <w:tcW w:w="1160" w:type="dxa"/>
            <w:vAlign w:val="bottom"/>
            <w:gridSpan w:val="3"/>
          </w:tcPr>
          <w:p>
            <w:pPr>
              <w:jc w:val="center"/>
              <w:ind w:right="320"/>
              <w:spacing w:after="0" w:line="134" w:lineRule="exact"/>
              <w:rPr>
                <w:sz w:val="20"/>
                <w:szCs w:val="20"/>
                <w:color w:val="auto"/>
              </w:rPr>
            </w:pPr>
            <w:r>
              <w:rPr>
                <w:rFonts w:ascii="Times New Roman" w:cs="Times New Roman" w:eastAsia="Times New Roman" w:hAnsi="Times New Roman"/>
                <w:sz w:val="14"/>
                <w:szCs w:val="14"/>
                <w:b w:val="1"/>
                <w:bCs w:val="1"/>
                <w:color w:val="auto"/>
              </w:rPr>
              <w:t>Unrealized</w:t>
            </w: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48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20" w:type="dxa"/>
            <w:vAlign w:val="bottom"/>
            <w:gridSpan w:val="2"/>
            <w:vMerge w:val="continue"/>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20" w:type="dxa"/>
            <w:vAlign w:val="bottom"/>
            <w:gridSpan w:val="3"/>
            <w:vMerge w:val="continue"/>
          </w:tcPr>
          <w:p>
            <w:pPr>
              <w:spacing w:after="0"/>
              <w:rPr>
                <w:sz w:val="11"/>
                <w:szCs w:val="11"/>
                <w:color w:val="auto"/>
              </w:rPr>
            </w:pP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40" w:type="dxa"/>
            <w:vAlign w:val="bottom"/>
            <w:vMerge w:val="continue"/>
          </w:tcPr>
          <w:p>
            <w:pPr>
              <w:spacing w:after="0"/>
              <w:rPr>
                <w:sz w:val="11"/>
                <w:szCs w:val="11"/>
                <w:color w:val="auto"/>
              </w:rPr>
            </w:pPr>
          </w:p>
        </w:tc>
        <w:tc>
          <w:tcPr>
            <w:tcW w:w="220" w:type="dxa"/>
            <w:vAlign w:val="bottom"/>
          </w:tcPr>
          <w:p>
            <w:pPr>
              <w:spacing w:after="0"/>
              <w:rPr>
                <w:sz w:val="11"/>
                <w:szCs w:val="11"/>
                <w:color w:val="auto"/>
              </w:rPr>
            </w:pPr>
          </w:p>
        </w:tc>
        <w:tc>
          <w:tcPr>
            <w:tcW w:w="1160" w:type="dxa"/>
            <w:vAlign w:val="bottom"/>
            <w:gridSpan w:val="3"/>
          </w:tcPr>
          <w:p>
            <w:pPr>
              <w:jc w:val="center"/>
              <w:ind w:right="320"/>
              <w:spacing w:after="0" w:line="135" w:lineRule="exact"/>
              <w:rPr>
                <w:sz w:val="20"/>
                <w:szCs w:val="20"/>
                <w:color w:val="auto"/>
              </w:rPr>
            </w:pPr>
            <w:r>
              <w:rPr>
                <w:rFonts w:ascii="Times New Roman" w:cs="Times New Roman" w:eastAsia="Times New Roman" w:hAnsi="Times New Roman"/>
                <w:sz w:val="14"/>
                <w:szCs w:val="14"/>
                <w:b w:val="1"/>
                <w:bCs w:val="1"/>
                <w:color w:val="auto"/>
              </w:rPr>
              <w:t>gain (loss) on</w:t>
            </w: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48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20" w:type="dxa"/>
            <w:vAlign w:val="bottom"/>
            <w:gridSpan w:val="2"/>
          </w:tcPr>
          <w:p>
            <w:pPr>
              <w:jc w:val="center"/>
              <w:ind w:right="120"/>
              <w:spacing w:after="0" w:line="135" w:lineRule="exact"/>
              <w:rPr>
                <w:sz w:val="20"/>
                <w:szCs w:val="20"/>
                <w:color w:val="auto"/>
              </w:rPr>
            </w:pPr>
            <w:r>
              <w:rPr>
                <w:rFonts w:ascii="Times New Roman" w:cs="Times New Roman" w:eastAsia="Times New Roman" w:hAnsi="Times New Roman"/>
                <w:sz w:val="14"/>
                <w:szCs w:val="14"/>
                <w:b w:val="1"/>
                <w:bCs w:val="1"/>
                <w:color w:val="auto"/>
              </w:rPr>
              <w:t>currency</w:t>
            </w: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20" w:type="dxa"/>
            <w:vAlign w:val="bottom"/>
            <w:gridSpan w:val="3"/>
          </w:tcPr>
          <w:p>
            <w:pPr>
              <w:spacing w:after="0" w:line="135" w:lineRule="exact"/>
              <w:rPr>
                <w:sz w:val="20"/>
                <w:szCs w:val="20"/>
                <w:color w:val="auto"/>
              </w:rPr>
            </w:pPr>
            <w:r>
              <w:rPr>
                <w:rFonts w:ascii="Times New Roman" w:cs="Times New Roman" w:eastAsia="Times New Roman" w:hAnsi="Times New Roman"/>
                <w:sz w:val="14"/>
                <w:szCs w:val="14"/>
                <w:b w:val="1"/>
                <w:bCs w:val="1"/>
                <w:color w:val="auto"/>
              </w:rPr>
              <w:t>gain (loss) on</w:t>
            </w: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40" w:type="dxa"/>
            <w:vAlign w:val="bottom"/>
          </w:tcPr>
          <w:p>
            <w:pPr>
              <w:jc w:val="center"/>
              <w:ind w:right="159"/>
              <w:spacing w:after="0" w:line="135" w:lineRule="exact"/>
              <w:rPr>
                <w:sz w:val="20"/>
                <w:szCs w:val="20"/>
                <w:color w:val="auto"/>
              </w:rPr>
            </w:pPr>
            <w:r>
              <w:rPr>
                <w:rFonts w:ascii="Times New Roman" w:cs="Times New Roman" w:eastAsia="Times New Roman" w:hAnsi="Times New Roman"/>
                <w:sz w:val="14"/>
                <w:szCs w:val="14"/>
                <w:b w:val="1"/>
                <w:bCs w:val="1"/>
                <w:color w:val="auto"/>
              </w:rPr>
              <w:t>gain (loss) on</w:t>
            </w:r>
          </w:p>
        </w:tc>
        <w:tc>
          <w:tcPr>
            <w:tcW w:w="220" w:type="dxa"/>
            <w:vAlign w:val="bottom"/>
          </w:tcPr>
          <w:p>
            <w:pPr>
              <w:spacing w:after="0"/>
              <w:rPr>
                <w:sz w:val="11"/>
                <w:szCs w:val="11"/>
                <w:color w:val="auto"/>
              </w:rPr>
            </w:pPr>
          </w:p>
        </w:tc>
        <w:tc>
          <w:tcPr>
            <w:tcW w:w="1160" w:type="dxa"/>
            <w:vAlign w:val="bottom"/>
            <w:gridSpan w:val="3"/>
          </w:tcPr>
          <w:p>
            <w:pPr>
              <w:jc w:val="center"/>
              <w:ind w:right="340"/>
              <w:spacing w:after="0" w:line="135" w:lineRule="exact"/>
              <w:rPr>
                <w:sz w:val="20"/>
                <w:szCs w:val="20"/>
                <w:color w:val="auto"/>
              </w:rPr>
            </w:pPr>
            <w:r>
              <w:rPr>
                <w:rFonts w:ascii="Times New Roman" w:cs="Times New Roman" w:eastAsia="Times New Roman" w:hAnsi="Times New Roman"/>
                <w:sz w:val="14"/>
                <w:szCs w:val="14"/>
                <w:b w:val="1"/>
                <w:bCs w:val="1"/>
                <w:color w:val="auto"/>
              </w:rPr>
              <w:t>available-for-</w:t>
            </w: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48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20" w:type="dxa"/>
            <w:vAlign w:val="bottom"/>
            <w:gridSpan w:val="2"/>
          </w:tcPr>
          <w:p>
            <w:pPr>
              <w:jc w:val="center"/>
              <w:ind w:right="120"/>
              <w:spacing w:after="0" w:line="135" w:lineRule="exact"/>
              <w:rPr>
                <w:sz w:val="20"/>
                <w:szCs w:val="20"/>
                <w:color w:val="auto"/>
              </w:rPr>
            </w:pPr>
            <w:r>
              <w:rPr>
                <w:rFonts w:ascii="Times New Roman" w:cs="Times New Roman" w:eastAsia="Times New Roman" w:hAnsi="Times New Roman"/>
                <w:sz w:val="14"/>
                <w:szCs w:val="14"/>
                <w:b w:val="1"/>
                <w:bCs w:val="1"/>
                <w:color w:val="auto"/>
              </w:rPr>
              <w:t>translation</w:t>
            </w: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20" w:type="dxa"/>
            <w:vAlign w:val="bottom"/>
            <w:gridSpan w:val="3"/>
          </w:tcPr>
          <w:p>
            <w:pPr>
              <w:jc w:val="center"/>
              <w:ind w:right="240"/>
              <w:spacing w:after="0" w:line="135" w:lineRule="exact"/>
              <w:rPr>
                <w:sz w:val="20"/>
                <w:szCs w:val="20"/>
                <w:color w:val="auto"/>
              </w:rPr>
            </w:pPr>
            <w:r>
              <w:rPr>
                <w:rFonts w:ascii="Times New Roman" w:cs="Times New Roman" w:eastAsia="Times New Roman" w:hAnsi="Times New Roman"/>
                <w:sz w:val="14"/>
                <w:szCs w:val="14"/>
                <w:b w:val="1"/>
                <w:bCs w:val="1"/>
                <w:color w:val="auto"/>
              </w:rPr>
              <w:t>forward</w:t>
            </w: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40" w:type="dxa"/>
            <w:vAlign w:val="bottom"/>
          </w:tcPr>
          <w:p>
            <w:pPr>
              <w:jc w:val="center"/>
              <w:ind w:right="159"/>
              <w:spacing w:after="0" w:line="135" w:lineRule="exact"/>
              <w:rPr>
                <w:sz w:val="20"/>
                <w:szCs w:val="20"/>
                <w:color w:val="auto"/>
              </w:rPr>
            </w:pPr>
            <w:r>
              <w:rPr>
                <w:rFonts w:ascii="Times New Roman" w:cs="Times New Roman" w:eastAsia="Times New Roman" w:hAnsi="Times New Roman"/>
                <w:sz w:val="14"/>
                <w:szCs w:val="14"/>
                <w:b w:val="1"/>
                <w:bCs w:val="1"/>
                <w:color w:val="auto"/>
              </w:rPr>
              <w:t>cross-currency</w:t>
            </w:r>
          </w:p>
        </w:tc>
        <w:tc>
          <w:tcPr>
            <w:tcW w:w="220" w:type="dxa"/>
            <w:vAlign w:val="bottom"/>
          </w:tcPr>
          <w:p>
            <w:pPr>
              <w:spacing w:after="0"/>
              <w:rPr>
                <w:sz w:val="11"/>
                <w:szCs w:val="11"/>
                <w:color w:val="auto"/>
              </w:rPr>
            </w:pPr>
          </w:p>
        </w:tc>
        <w:tc>
          <w:tcPr>
            <w:tcW w:w="1160" w:type="dxa"/>
            <w:vAlign w:val="bottom"/>
            <w:gridSpan w:val="3"/>
          </w:tcPr>
          <w:p>
            <w:pPr>
              <w:jc w:val="center"/>
              <w:ind w:right="320"/>
              <w:spacing w:after="0" w:line="135" w:lineRule="exact"/>
              <w:rPr>
                <w:sz w:val="20"/>
                <w:szCs w:val="20"/>
                <w:color w:val="auto"/>
              </w:rPr>
            </w:pPr>
            <w:r>
              <w:rPr>
                <w:rFonts w:ascii="Times New Roman" w:cs="Times New Roman" w:eastAsia="Times New Roman" w:hAnsi="Times New Roman"/>
                <w:sz w:val="14"/>
                <w:szCs w:val="14"/>
                <w:b w:val="1"/>
                <w:bCs w:val="1"/>
                <w:color w:val="auto"/>
                <w:w w:val="99"/>
              </w:rPr>
              <w:t>sales</w:t>
            </w: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80" w:type="dxa"/>
            <w:vAlign w:val="bottom"/>
            <w:vMerge w:val="restart"/>
          </w:tcPr>
          <w:p>
            <w:pPr>
              <w:jc w:val="right"/>
              <w:ind w:right="354"/>
              <w:spacing w:after="0"/>
              <w:rPr>
                <w:sz w:val="20"/>
                <w:szCs w:val="20"/>
                <w:color w:val="auto"/>
              </w:rPr>
            </w:pPr>
            <w:r>
              <w:rPr>
                <w:rFonts w:ascii="Times New Roman" w:cs="Times New Roman" w:eastAsia="Times New Roman" w:hAnsi="Times New Roman"/>
                <w:sz w:val="14"/>
                <w:szCs w:val="14"/>
                <w:b w:val="1"/>
                <w:bCs w:val="1"/>
                <w:color w:val="auto"/>
              </w:rPr>
              <w:t>Total</w:t>
            </w:r>
          </w:p>
        </w:tc>
        <w:tc>
          <w:tcPr>
            <w:tcW w:w="0" w:type="dxa"/>
            <w:vAlign w:val="bottom"/>
          </w:tcPr>
          <w:p>
            <w:pPr>
              <w:spacing w:after="0"/>
              <w:rPr>
                <w:sz w:val="1"/>
                <w:szCs w:val="1"/>
                <w:color w:val="auto"/>
              </w:rPr>
            </w:pPr>
          </w:p>
        </w:tc>
      </w:tr>
      <w:tr>
        <w:trPr>
          <w:trHeight w:val="189"/>
        </w:trPr>
        <w:tc>
          <w:tcPr>
            <w:tcW w:w="48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20" w:type="dxa"/>
            <w:vAlign w:val="bottom"/>
            <w:gridSpan w:val="2"/>
          </w:tcPr>
          <w:p>
            <w:pPr>
              <w:jc w:val="center"/>
              <w:ind w:right="120"/>
              <w:spacing w:after="0"/>
              <w:rPr>
                <w:sz w:val="20"/>
                <w:szCs w:val="20"/>
                <w:color w:val="auto"/>
              </w:rPr>
            </w:pPr>
            <w:r>
              <w:rPr>
                <w:rFonts w:ascii="Times New Roman" w:cs="Times New Roman" w:eastAsia="Times New Roman" w:hAnsi="Times New Roman"/>
                <w:sz w:val="14"/>
                <w:szCs w:val="14"/>
                <w:b w:val="1"/>
                <w:bCs w:val="1"/>
                <w:color w:val="auto"/>
              </w:rPr>
              <w:t>adjustments</w:t>
            </w:r>
          </w:p>
        </w:tc>
        <w:tc>
          <w:tcPr>
            <w:tcW w:w="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20" w:type="dxa"/>
            <w:vAlign w:val="bottom"/>
            <w:gridSpan w:val="3"/>
          </w:tcPr>
          <w:p>
            <w:pPr>
              <w:jc w:val="center"/>
              <w:ind w:right="220"/>
              <w:spacing w:after="0"/>
              <w:rPr>
                <w:sz w:val="20"/>
                <w:szCs w:val="20"/>
                <w:color w:val="auto"/>
              </w:rPr>
            </w:pPr>
            <w:r>
              <w:rPr>
                <w:rFonts w:ascii="Times New Roman" w:cs="Times New Roman" w:eastAsia="Times New Roman" w:hAnsi="Times New Roman"/>
                <w:sz w:val="14"/>
                <w:szCs w:val="14"/>
                <w:b w:val="1"/>
                <w:bCs w:val="1"/>
                <w:color w:val="auto"/>
              </w:rPr>
              <w:t>contracts</w:t>
            </w:r>
          </w:p>
        </w:tc>
        <w:tc>
          <w:tcPr>
            <w:tcW w:w="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140" w:type="dxa"/>
            <w:vAlign w:val="bottom"/>
          </w:tcPr>
          <w:p>
            <w:pPr>
              <w:jc w:val="center"/>
              <w:ind w:right="159"/>
              <w:spacing w:after="0"/>
              <w:rPr>
                <w:sz w:val="20"/>
                <w:szCs w:val="20"/>
                <w:color w:val="auto"/>
              </w:rPr>
            </w:pPr>
            <w:r>
              <w:rPr>
                <w:rFonts w:ascii="Times New Roman" w:cs="Times New Roman" w:eastAsia="Times New Roman" w:hAnsi="Times New Roman"/>
                <w:sz w:val="14"/>
                <w:szCs w:val="14"/>
                <w:b w:val="1"/>
                <w:bCs w:val="1"/>
                <w:color w:val="auto"/>
                <w:w w:val="98"/>
              </w:rPr>
              <w:t>swap</w:t>
            </w:r>
          </w:p>
        </w:tc>
        <w:tc>
          <w:tcPr>
            <w:tcW w:w="220" w:type="dxa"/>
            <w:vAlign w:val="bottom"/>
          </w:tcPr>
          <w:p>
            <w:pPr>
              <w:spacing w:after="0"/>
              <w:rPr>
                <w:sz w:val="16"/>
                <w:szCs w:val="16"/>
                <w:color w:val="auto"/>
              </w:rPr>
            </w:pPr>
          </w:p>
        </w:tc>
        <w:tc>
          <w:tcPr>
            <w:tcW w:w="1160" w:type="dxa"/>
            <w:vAlign w:val="bottom"/>
            <w:gridSpan w:val="3"/>
          </w:tcPr>
          <w:p>
            <w:pPr>
              <w:jc w:val="center"/>
              <w:ind w:right="340"/>
              <w:spacing w:after="0"/>
              <w:rPr>
                <w:sz w:val="20"/>
                <w:szCs w:val="20"/>
                <w:color w:val="auto"/>
              </w:rPr>
            </w:pPr>
            <w:r>
              <w:rPr>
                <w:rFonts w:ascii="Times New Roman" w:cs="Times New Roman" w:eastAsia="Times New Roman" w:hAnsi="Times New Roman"/>
                <w:sz w:val="14"/>
                <w:szCs w:val="14"/>
                <w:b w:val="1"/>
                <w:bCs w:val="1"/>
                <w:color w:val="auto"/>
              </w:rPr>
              <w:t>securities</w:t>
            </w:r>
          </w:p>
        </w:tc>
        <w:tc>
          <w:tcPr>
            <w:tcW w:w="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8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23"/>
        </w:trPr>
        <w:tc>
          <w:tcPr>
            <w:tcW w:w="4900" w:type="dxa"/>
            <w:vAlign w:val="bottom"/>
            <w:tcBorders>
              <w:top w:val="single" w:sz="8" w:color="CCEEFF"/>
            </w:tcBorders>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Balance at March 31, 2020</w:t>
            </w:r>
          </w:p>
        </w:tc>
        <w:tc>
          <w:tcPr>
            <w:tcW w:w="160" w:type="dxa"/>
            <w:vAlign w:val="bottom"/>
            <w:tcBorders>
              <w:top w:val="single" w:sz="8" w:color="CCEEFF"/>
            </w:tcBorders>
            <w:shd w:val="clear" w:color="auto" w:fill="CCEEFF"/>
          </w:tcPr>
          <w:p>
            <w:pPr>
              <w:spacing w:after="0"/>
              <w:rPr>
                <w:sz w:val="19"/>
                <w:szCs w:val="19"/>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tcBorders>
              <w:top w:val="single" w:sz="8" w:color="auto"/>
            </w:tcBorders>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(60,535)</w:t>
            </w:r>
          </w:p>
        </w:tc>
        <w:tc>
          <w:tcPr>
            <w:tcW w:w="60" w:type="dxa"/>
            <w:vAlign w:val="bottom"/>
            <w:tcBorders>
              <w:top w:val="single" w:sz="8" w:color="CCEEFF"/>
            </w:tcBorders>
            <w:shd w:val="clear" w:color="auto" w:fill="CCEEFF"/>
          </w:tcPr>
          <w:p>
            <w:pPr>
              <w:spacing w:after="0"/>
              <w:rPr>
                <w:sz w:val="19"/>
                <w:szCs w:val="19"/>
                <w:color w:val="auto"/>
              </w:rPr>
            </w:pPr>
          </w:p>
        </w:tc>
        <w:tc>
          <w:tcPr>
            <w:tcW w:w="60" w:type="dxa"/>
            <w:vAlign w:val="bottom"/>
            <w:tcBorders>
              <w:top w:val="single" w:sz="8" w:color="CCEEFF"/>
            </w:tcBorders>
            <w:shd w:val="clear" w:color="auto" w:fill="CCEEFF"/>
          </w:tcPr>
          <w:p>
            <w:pPr>
              <w:spacing w:after="0"/>
              <w:rPr>
                <w:sz w:val="19"/>
                <w:szCs w:val="19"/>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600</w:t>
            </w:r>
          </w:p>
        </w:tc>
        <w:tc>
          <w:tcPr>
            <w:tcW w:w="20" w:type="dxa"/>
            <w:vAlign w:val="bottom"/>
            <w:tcBorders>
              <w:top w:val="single" w:sz="8" w:color="CCEEFF"/>
            </w:tcBorders>
            <w:shd w:val="clear" w:color="auto" w:fill="CCEEFF"/>
          </w:tcPr>
          <w:p>
            <w:pPr>
              <w:spacing w:after="0"/>
              <w:rPr>
                <w:sz w:val="19"/>
                <w:szCs w:val="19"/>
                <w:color w:val="auto"/>
              </w:rPr>
            </w:pPr>
          </w:p>
        </w:tc>
        <w:tc>
          <w:tcPr>
            <w:tcW w:w="80" w:type="dxa"/>
            <w:vAlign w:val="bottom"/>
            <w:tcBorders>
              <w:top w:val="single" w:sz="8" w:color="CCEEFF"/>
            </w:tcBorders>
            <w:shd w:val="clear" w:color="auto" w:fill="CCEEFF"/>
          </w:tcPr>
          <w:p>
            <w:pPr>
              <w:spacing w:after="0"/>
              <w:rPr>
                <w:sz w:val="19"/>
                <w:szCs w:val="19"/>
                <w:color w:val="auto"/>
              </w:rPr>
            </w:pPr>
          </w:p>
        </w:tc>
        <w:tc>
          <w:tcPr>
            <w:tcW w:w="140" w:type="dxa"/>
            <w:vAlign w:val="bottom"/>
            <w:tcBorders>
              <w:top w:val="single" w:sz="8" w:color="auto"/>
            </w:tcBorders>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40" w:type="dxa"/>
            <w:vAlign w:val="bottom"/>
            <w:tcBorders>
              <w:top w:val="single" w:sz="8" w:color="auto"/>
            </w:tcBorders>
            <w:shd w:val="clear" w:color="auto" w:fill="CCEEFF"/>
          </w:tcPr>
          <w:p>
            <w:pPr>
              <w:ind w:left="560"/>
              <w:spacing w:after="0"/>
              <w:rPr>
                <w:sz w:val="20"/>
                <w:szCs w:val="20"/>
                <w:color w:val="auto"/>
              </w:rPr>
            </w:pPr>
            <w:r>
              <w:rPr>
                <w:rFonts w:ascii="Times New Roman" w:cs="Times New Roman" w:eastAsia="Times New Roman" w:hAnsi="Times New Roman"/>
                <w:sz w:val="18"/>
                <w:szCs w:val="18"/>
                <w:color w:val="auto"/>
              </w:rPr>
              <w:t>4,305</w:t>
            </w:r>
          </w:p>
        </w:tc>
        <w:tc>
          <w:tcPr>
            <w:tcW w:w="220" w:type="dxa"/>
            <w:vAlign w:val="bottom"/>
            <w:tcBorders>
              <w:top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(2,746)</w:t>
            </w:r>
          </w:p>
        </w:tc>
        <w:tc>
          <w:tcPr>
            <w:tcW w:w="80" w:type="dxa"/>
            <w:vAlign w:val="bottom"/>
            <w:tcBorders>
              <w:top w:val="single" w:sz="8" w:color="CCEEFF"/>
            </w:tcBorders>
            <w:shd w:val="clear" w:color="auto" w:fill="CCEEFF"/>
          </w:tcPr>
          <w:p>
            <w:pPr>
              <w:spacing w:after="0"/>
              <w:rPr>
                <w:sz w:val="19"/>
                <w:szCs w:val="19"/>
                <w:color w:val="auto"/>
              </w:rPr>
            </w:pPr>
          </w:p>
        </w:tc>
        <w:tc>
          <w:tcPr>
            <w:tcW w:w="40" w:type="dxa"/>
            <w:vAlign w:val="bottom"/>
            <w:tcBorders>
              <w:top w:val="single" w:sz="8" w:color="CCEEFF"/>
            </w:tcBorders>
            <w:shd w:val="clear" w:color="auto" w:fill="CCEEFF"/>
          </w:tcPr>
          <w:p>
            <w:pPr>
              <w:spacing w:after="0"/>
              <w:rPr>
                <w:sz w:val="19"/>
                <w:szCs w:val="19"/>
                <w:color w:val="auto"/>
              </w:rPr>
            </w:pPr>
          </w:p>
        </w:tc>
        <w:tc>
          <w:tcPr>
            <w:tcW w:w="300" w:type="dxa"/>
            <w:vAlign w:val="bottom"/>
            <w:tcBorders>
              <w:top w:val="single" w:sz="8" w:color="auto"/>
            </w:tcBorders>
            <w:gridSpan w:val="2"/>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(58,376)</w:t>
            </w:r>
          </w:p>
        </w:tc>
        <w:tc>
          <w:tcPr>
            <w:tcW w:w="0" w:type="dxa"/>
            <w:vAlign w:val="bottom"/>
          </w:tcPr>
          <w:p>
            <w:pPr>
              <w:spacing w:after="0"/>
              <w:rPr>
                <w:sz w:val="1"/>
                <w:szCs w:val="1"/>
                <w:color w:val="auto"/>
              </w:rPr>
            </w:pPr>
          </w:p>
        </w:tc>
      </w:tr>
      <w:tr>
        <w:trPr>
          <w:trHeight w:val="230"/>
        </w:trPr>
        <w:tc>
          <w:tcPr>
            <w:tcW w:w="4900" w:type="dxa"/>
            <w:vAlign w:val="bottom"/>
            <w:gridSpan w:val="2"/>
          </w:tcPr>
          <w:p>
            <w:pPr>
              <w:ind w:left="140"/>
              <w:spacing w:after="0"/>
              <w:rPr>
                <w:sz w:val="20"/>
                <w:szCs w:val="20"/>
                <w:color w:val="auto"/>
              </w:rPr>
            </w:pPr>
            <w:r>
              <w:rPr>
                <w:rFonts w:ascii="Times New Roman" w:cs="Times New Roman" w:eastAsia="Times New Roman" w:hAnsi="Times New Roman"/>
                <w:sz w:val="18"/>
                <w:szCs w:val="18"/>
                <w:color w:val="auto"/>
              </w:rPr>
              <w:t>Other comprehensive income (loss) before reclassifications</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53,697</w:t>
            </w:r>
          </w:p>
        </w:tc>
        <w:tc>
          <w:tcPr>
            <w:tcW w:w="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20" w:type="dxa"/>
            <w:vAlign w:val="bottom"/>
            <w:gridSpan w:val="3"/>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40" w:type="dxa"/>
            <w:vAlign w:val="bottom"/>
          </w:tcPr>
          <w:p>
            <w:pPr>
              <w:ind w:left="480"/>
              <w:spacing w:after="0"/>
              <w:rPr>
                <w:sz w:val="20"/>
                <w:szCs w:val="20"/>
                <w:color w:val="auto"/>
              </w:rPr>
            </w:pPr>
            <w:r>
              <w:rPr>
                <w:rFonts w:ascii="Times New Roman" w:cs="Times New Roman" w:eastAsia="Times New Roman" w:hAnsi="Times New Roman"/>
                <w:sz w:val="18"/>
                <w:szCs w:val="18"/>
                <w:color w:val="auto"/>
              </w:rPr>
              <w:t>(2,972)</w:t>
            </w:r>
          </w:p>
        </w:tc>
        <w:tc>
          <w:tcPr>
            <w:tcW w:w="22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4,000</w:t>
            </w: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54,725</w:t>
            </w:r>
          </w:p>
        </w:tc>
        <w:tc>
          <w:tcPr>
            <w:tcW w:w="0" w:type="dxa"/>
            <w:vAlign w:val="bottom"/>
          </w:tcPr>
          <w:p>
            <w:pPr>
              <w:spacing w:after="0"/>
              <w:rPr>
                <w:sz w:val="1"/>
                <w:szCs w:val="1"/>
                <w:color w:val="auto"/>
              </w:rPr>
            </w:pPr>
          </w:p>
        </w:tc>
      </w:tr>
      <w:tr>
        <w:trPr>
          <w:trHeight w:val="229"/>
        </w:trPr>
        <w:tc>
          <w:tcPr>
            <w:tcW w:w="4900" w:type="dxa"/>
            <w:vAlign w:val="bottom"/>
            <w:gridSpan w:val="2"/>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w w:val="99"/>
              </w:rPr>
              <w:t>Amounts reclassified from accumulated other comprehensive loss</w:t>
            </w:r>
          </w:p>
        </w:tc>
        <w:tc>
          <w:tcPr>
            <w:tcW w:w="1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92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w:t>
            </w:r>
          </w:p>
        </w:tc>
        <w:tc>
          <w:tcPr>
            <w:tcW w:w="6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(600)</w:t>
            </w:r>
          </w:p>
        </w:tc>
        <w:tc>
          <w:tcPr>
            <w:tcW w:w="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140" w:type="dxa"/>
            <w:vAlign w:val="bottom"/>
            <w:shd w:val="clear" w:color="auto" w:fill="CCEEFF"/>
          </w:tcPr>
          <w:p>
            <w:pPr>
              <w:ind w:left="480"/>
              <w:spacing w:after="0"/>
              <w:rPr>
                <w:sz w:val="20"/>
                <w:szCs w:val="20"/>
                <w:color w:val="auto"/>
              </w:rPr>
            </w:pPr>
            <w:r>
              <w:rPr>
                <w:rFonts w:ascii="Times New Roman" w:cs="Times New Roman" w:eastAsia="Times New Roman" w:hAnsi="Times New Roman"/>
                <w:sz w:val="18"/>
                <w:szCs w:val="18"/>
                <w:color w:val="auto"/>
              </w:rPr>
              <w:t>(1,333)</w:t>
            </w:r>
          </w:p>
        </w:tc>
        <w:tc>
          <w:tcPr>
            <w:tcW w:w="220" w:type="dxa"/>
            <w:vAlign w:val="bottom"/>
            <w:shd w:val="clear" w:color="auto" w:fill="CCEEFF"/>
          </w:tcPr>
          <w:p>
            <w:pPr>
              <w:spacing w:after="0"/>
              <w:rPr>
                <w:sz w:val="19"/>
                <w:szCs w:val="19"/>
                <w:color w:val="auto"/>
              </w:rPr>
            </w:pPr>
          </w:p>
        </w:tc>
        <w:tc>
          <w:tcPr>
            <w:tcW w:w="1160" w:type="dxa"/>
            <w:vAlign w:val="bottom"/>
            <w:gridSpan w:val="3"/>
            <w:shd w:val="clear" w:color="auto" w:fill="CCEEFF"/>
          </w:tcPr>
          <w:p>
            <w:pPr>
              <w:jc w:val="right"/>
              <w:ind w:right="18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(1,933)</w:t>
            </w:r>
          </w:p>
        </w:tc>
        <w:tc>
          <w:tcPr>
            <w:tcW w:w="0" w:type="dxa"/>
            <w:vAlign w:val="bottom"/>
          </w:tcPr>
          <w:p>
            <w:pPr>
              <w:spacing w:after="0"/>
              <w:rPr>
                <w:sz w:val="1"/>
                <w:szCs w:val="1"/>
                <w:color w:val="auto"/>
              </w:rPr>
            </w:pPr>
          </w:p>
        </w:tc>
      </w:tr>
      <w:tr>
        <w:trPr>
          <w:trHeight w:val="223"/>
        </w:trPr>
        <w:tc>
          <w:tcPr>
            <w:tcW w:w="49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Balance at December 31, 2020</w:t>
            </w:r>
          </w:p>
        </w:tc>
        <w:tc>
          <w:tcPr>
            <w:tcW w:w="160" w:type="dxa"/>
            <w:vAlign w:val="bottom"/>
          </w:tcPr>
          <w:p>
            <w:pPr>
              <w:spacing w:after="0"/>
              <w:rPr>
                <w:sz w:val="19"/>
                <w:szCs w:val="19"/>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920" w:type="dxa"/>
            <w:vAlign w:val="bottom"/>
            <w:tcBorders>
              <w:top w:val="single" w:sz="8" w:color="auto"/>
              <w:bottom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18"/>
                <w:szCs w:val="18"/>
                <w:b w:val="1"/>
                <w:bCs w:val="1"/>
                <w:color w:val="auto"/>
              </w:rPr>
              <w:t>(6,838)</w:t>
            </w:r>
          </w:p>
        </w:tc>
        <w:tc>
          <w:tcPr>
            <w:tcW w:w="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9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40" w:type="dxa"/>
            <w:vAlign w:val="bottom"/>
            <w:tcBorders>
              <w:top w:val="single" w:sz="8" w:color="auto"/>
              <w:bottom w:val="single" w:sz="8" w:color="auto"/>
            </w:tcBorders>
            <w:gridSpan w:val="2"/>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1140" w:type="dxa"/>
            <w:vAlign w:val="bottom"/>
            <w:tcBorders>
              <w:top w:val="single" w:sz="8" w:color="auto"/>
              <w:bottom w:val="single" w:sz="8" w:color="auto"/>
            </w:tcBorders>
          </w:tcPr>
          <w:p>
            <w:pPr>
              <w:ind w:left="780"/>
              <w:spacing w:after="0"/>
              <w:rPr>
                <w:sz w:val="20"/>
                <w:szCs w:val="20"/>
                <w:color w:val="auto"/>
              </w:rPr>
            </w:pPr>
            <w:r>
              <w:rPr>
                <w:rFonts w:ascii="Times New Roman" w:cs="Times New Roman" w:eastAsia="Times New Roman" w:hAnsi="Times New Roman"/>
                <w:sz w:val="18"/>
                <w:szCs w:val="18"/>
                <w:b w:val="1"/>
                <w:bCs w:val="1"/>
                <w:color w:val="auto"/>
              </w:rPr>
              <w:t>—</w:t>
            </w:r>
          </w:p>
        </w:tc>
        <w:tc>
          <w:tcPr>
            <w:tcW w:w="220" w:type="dxa"/>
            <w:vAlign w:val="bottom"/>
            <w:tcBorders>
              <w:top w:val="single" w:sz="8" w:color="auto"/>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b w:val="1"/>
                <w:bCs w:val="1"/>
                <w:color w:val="auto"/>
              </w:rPr>
              <w:t>$</w:t>
            </w:r>
          </w:p>
        </w:tc>
        <w:tc>
          <w:tcPr>
            <w:tcW w:w="10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1,254</w:t>
            </w: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300" w:type="dxa"/>
            <w:vAlign w:val="bottom"/>
            <w:tcBorders>
              <w:top w:val="single" w:sz="8" w:color="auto"/>
              <w:bottom w:val="single" w:sz="8" w:color="auto"/>
            </w:tcBorders>
            <w:gridSpan w:val="2"/>
          </w:tcPr>
          <w:p>
            <w:pPr>
              <w:jc w:val="right"/>
              <w:ind w:right="11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8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(5,584)</w:t>
            </w:r>
          </w:p>
        </w:tc>
        <w:tc>
          <w:tcPr>
            <w:tcW w:w="0" w:type="dxa"/>
            <w:vAlign w:val="bottom"/>
          </w:tcPr>
          <w:p>
            <w:pPr>
              <w:spacing w:after="0"/>
              <w:rPr>
                <w:sz w:val="1"/>
                <w:szCs w:val="1"/>
                <w:color w:val="auto"/>
              </w:rPr>
            </w:pPr>
          </w:p>
        </w:tc>
      </w:tr>
      <w:tr>
        <w:trPr>
          <w:trHeight w:val="20"/>
        </w:trPr>
        <w:tc>
          <w:tcPr>
            <w:tcW w:w="48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520" w:type="dxa"/>
            <w:vAlign w:val="bottom"/>
            <w:tcBorders>
              <w:bottom w:val="single" w:sz="8" w:color="auto"/>
            </w:tcBorders>
            <w:gridSpan w:val="4"/>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596"/>
        </w:trPr>
        <w:tc>
          <w:tcPr>
            <w:tcW w:w="4880" w:type="dxa"/>
            <w:vAlign w:val="bottom"/>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3680" w:type="dxa"/>
            <w:vAlign w:val="bottom"/>
            <w:tcBorders>
              <w:bottom w:val="single" w:sz="8" w:color="auto"/>
            </w:tcBorders>
            <w:gridSpan w:val="10"/>
          </w:tcPr>
          <w:p>
            <w:pPr>
              <w:ind w:left="480"/>
              <w:spacing w:after="0"/>
              <w:rPr>
                <w:sz w:val="20"/>
                <w:szCs w:val="20"/>
                <w:color w:val="auto"/>
              </w:rPr>
            </w:pPr>
            <w:r>
              <w:rPr>
                <w:rFonts w:ascii="Times New Roman" w:cs="Times New Roman" w:eastAsia="Times New Roman" w:hAnsi="Times New Roman"/>
                <w:sz w:val="14"/>
                <w:szCs w:val="14"/>
                <w:b w:val="1"/>
                <w:bCs w:val="1"/>
                <w:color w:val="auto"/>
              </w:rPr>
              <w:t>Nine Months Ended December 31, 2019</w:t>
            </w:r>
          </w:p>
        </w:tc>
        <w:tc>
          <w:tcPr>
            <w:tcW w:w="8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3"/>
        </w:trPr>
        <w:tc>
          <w:tcPr>
            <w:tcW w:w="48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20" w:type="dxa"/>
            <w:vAlign w:val="bottom"/>
            <w:gridSpan w:val="2"/>
            <w:vMerge w:val="restart"/>
          </w:tcPr>
          <w:p>
            <w:pPr>
              <w:jc w:val="center"/>
              <w:ind w:right="340"/>
              <w:spacing w:after="0"/>
              <w:rPr>
                <w:sz w:val="20"/>
                <w:szCs w:val="20"/>
                <w:color w:val="auto"/>
              </w:rPr>
            </w:pPr>
            <w:r>
              <w:rPr>
                <w:rFonts w:ascii="Times New Roman" w:cs="Times New Roman" w:eastAsia="Times New Roman" w:hAnsi="Times New Roman"/>
                <w:sz w:val="14"/>
                <w:szCs w:val="14"/>
                <w:b w:val="1"/>
                <w:bCs w:val="1"/>
                <w:color w:val="auto"/>
                <w:w w:val="98"/>
              </w:rPr>
              <w:t>Foreign</w:t>
            </w: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20" w:type="dxa"/>
            <w:vAlign w:val="bottom"/>
            <w:gridSpan w:val="3"/>
            <w:vMerge w:val="restart"/>
          </w:tcPr>
          <w:p>
            <w:pPr>
              <w:jc w:val="center"/>
              <w:ind w:right="260"/>
              <w:spacing w:after="0"/>
              <w:rPr>
                <w:sz w:val="20"/>
                <w:szCs w:val="20"/>
                <w:color w:val="auto"/>
              </w:rPr>
            </w:pPr>
            <w:r>
              <w:rPr>
                <w:rFonts w:ascii="Times New Roman" w:cs="Times New Roman" w:eastAsia="Times New Roman" w:hAnsi="Times New Roman"/>
                <w:sz w:val="14"/>
                <w:szCs w:val="14"/>
                <w:b w:val="1"/>
                <w:bCs w:val="1"/>
                <w:color w:val="auto"/>
              </w:rPr>
              <w:t>Unrealized</w:t>
            </w: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40" w:type="dxa"/>
            <w:vAlign w:val="bottom"/>
            <w:vMerge w:val="restart"/>
          </w:tcPr>
          <w:p>
            <w:pPr>
              <w:jc w:val="center"/>
              <w:ind w:right="59"/>
              <w:spacing w:after="0"/>
              <w:rPr>
                <w:sz w:val="20"/>
                <w:szCs w:val="20"/>
                <w:color w:val="auto"/>
              </w:rPr>
            </w:pPr>
            <w:r>
              <w:rPr>
                <w:rFonts w:ascii="Times New Roman" w:cs="Times New Roman" w:eastAsia="Times New Roman" w:hAnsi="Times New Roman"/>
                <w:sz w:val="14"/>
                <w:szCs w:val="14"/>
                <w:b w:val="1"/>
                <w:bCs w:val="1"/>
                <w:color w:val="auto"/>
              </w:rPr>
              <w:t>Unrealized</w:t>
            </w:r>
          </w:p>
        </w:tc>
        <w:tc>
          <w:tcPr>
            <w:tcW w:w="220" w:type="dxa"/>
            <w:vAlign w:val="bottom"/>
          </w:tcPr>
          <w:p>
            <w:pPr>
              <w:spacing w:after="0"/>
              <w:rPr>
                <w:sz w:val="11"/>
                <w:szCs w:val="11"/>
                <w:color w:val="auto"/>
              </w:rPr>
            </w:pPr>
          </w:p>
        </w:tc>
        <w:tc>
          <w:tcPr>
            <w:tcW w:w="1160" w:type="dxa"/>
            <w:vAlign w:val="bottom"/>
            <w:gridSpan w:val="3"/>
          </w:tcPr>
          <w:p>
            <w:pPr>
              <w:jc w:val="center"/>
              <w:ind w:right="160"/>
              <w:spacing w:after="0" w:line="134" w:lineRule="exact"/>
              <w:rPr>
                <w:sz w:val="20"/>
                <w:szCs w:val="20"/>
                <w:color w:val="auto"/>
              </w:rPr>
            </w:pPr>
            <w:r>
              <w:rPr>
                <w:rFonts w:ascii="Times New Roman" w:cs="Times New Roman" w:eastAsia="Times New Roman" w:hAnsi="Times New Roman"/>
                <w:sz w:val="14"/>
                <w:szCs w:val="14"/>
                <w:b w:val="1"/>
                <w:bCs w:val="1"/>
                <w:color w:val="auto"/>
              </w:rPr>
              <w:t>Unrealized</w:t>
            </w: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48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20" w:type="dxa"/>
            <w:vAlign w:val="bottom"/>
            <w:gridSpan w:val="2"/>
            <w:vMerge w:val="continue"/>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20" w:type="dxa"/>
            <w:vAlign w:val="bottom"/>
            <w:gridSpan w:val="3"/>
            <w:vMerge w:val="continue"/>
          </w:tcPr>
          <w:p>
            <w:pPr>
              <w:spacing w:after="0"/>
              <w:rPr>
                <w:sz w:val="11"/>
                <w:szCs w:val="11"/>
                <w:color w:val="auto"/>
              </w:rPr>
            </w:pP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40" w:type="dxa"/>
            <w:vAlign w:val="bottom"/>
            <w:vMerge w:val="continue"/>
          </w:tcPr>
          <w:p>
            <w:pPr>
              <w:spacing w:after="0"/>
              <w:rPr>
                <w:sz w:val="11"/>
                <w:szCs w:val="11"/>
                <w:color w:val="auto"/>
              </w:rPr>
            </w:pPr>
          </w:p>
        </w:tc>
        <w:tc>
          <w:tcPr>
            <w:tcW w:w="220" w:type="dxa"/>
            <w:vAlign w:val="bottom"/>
          </w:tcPr>
          <w:p>
            <w:pPr>
              <w:spacing w:after="0"/>
              <w:rPr>
                <w:sz w:val="11"/>
                <w:szCs w:val="11"/>
                <w:color w:val="auto"/>
              </w:rPr>
            </w:pPr>
          </w:p>
        </w:tc>
        <w:tc>
          <w:tcPr>
            <w:tcW w:w="1160" w:type="dxa"/>
            <w:vAlign w:val="bottom"/>
            <w:gridSpan w:val="3"/>
          </w:tcPr>
          <w:p>
            <w:pPr>
              <w:jc w:val="center"/>
              <w:ind w:right="160"/>
              <w:spacing w:after="0" w:line="135" w:lineRule="exact"/>
              <w:rPr>
                <w:sz w:val="20"/>
                <w:szCs w:val="20"/>
                <w:color w:val="auto"/>
              </w:rPr>
            </w:pPr>
            <w:r>
              <w:rPr>
                <w:rFonts w:ascii="Times New Roman" w:cs="Times New Roman" w:eastAsia="Times New Roman" w:hAnsi="Times New Roman"/>
                <w:sz w:val="14"/>
                <w:szCs w:val="14"/>
                <w:b w:val="1"/>
                <w:bCs w:val="1"/>
                <w:color w:val="auto"/>
              </w:rPr>
              <w:t>gain (loss) on</w:t>
            </w: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48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20" w:type="dxa"/>
            <w:vAlign w:val="bottom"/>
            <w:gridSpan w:val="2"/>
          </w:tcPr>
          <w:p>
            <w:pPr>
              <w:jc w:val="center"/>
              <w:ind w:right="340"/>
              <w:spacing w:after="0" w:line="135" w:lineRule="exact"/>
              <w:rPr>
                <w:sz w:val="20"/>
                <w:szCs w:val="20"/>
                <w:color w:val="auto"/>
              </w:rPr>
            </w:pPr>
            <w:r>
              <w:rPr>
                <w:rFonts w:ascii="Times New Roman" w:cs="Times New Roman" w:eastAsia="Times New Roman" w:hAnsi="Times New Roman"/>
                <w:sz w:val="14"/>
                <w:szCs w:val="14"/>
                <w:b w:val="1"/>
                <w:bCs w:val="1"/>
                <w:color w:val="auto"/>
              </w:rPr>
              <w:t>currency</w:t>
            </w: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140" w:type="dxa"/>
            <w:vAlign w:val="bottom"/>
            <w:gridSpan w:val="4"/>
          </w:tcPr>
          <w:p>
            <w:pPr>
              <w:jc w:val="center"/>
              <w:ind w:right="140"/>
              <w:spacing w:after="0" w:line="135" w:lineRule="exact"/>
              <w:rPr>
                <w:sz w:val="20"/>
                <w:szCs w:val="20"/>
                <w:color w:val="auto"/>
              </w:rPr>
            </w:pPr>
            <w:r>
              <w:rPr>
                <w:rFonts w:ascii="Times New Roman" w:cs="Times New Roman" w:eastAsia="Times New Roman" w:hAnsi="Times New Roman"/>
                <w:sz w:val="14"/>
                <w:szCs w:val="14"/>
                <w:b w:val="1"/>
                <w:bCs w:val="1"/>
                <w:color w:val="auto"/>
              </w:rPr>
              <w:t>gain (loss) on</w:t>
            </w: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40" w:type="dxa"/>
            <w:vAlign w:val="bottom"/>
          </w:tcPr>
          <w:p>
            <w:pPr>
              <w:jc w:val="center"/>
              <w:ind w:right="59"/>
              <w:spacing w:after="0" w:line="135" w:lineRule="exact"/>
              <w:rPr>
                <w:sz w:val="20"/>
                <w:szCs w:val="20"/>
                <w:color w:val="auto"/>
              </w:rPr>
            </w:pPr>
            <w:r>
              <w:rPr>
                <w:rFonts w:ascii="Times New Roman" w:cs="Times New Roman" w:eastAsia="Times New Roman" w:hAnsi="Times New Roman"/>
                <w:sz w:val="14"/>
                <w:szCs w:val="14"/>
                <w:b w:val="1"/>
                <w:bCs w:val="1"/>
                <w:color w:val="auto"/>
              </w:rPr>
              <w:t>gain (loss) on</w:t>
            </w:r>
          </w:p>
        </w:tc>
        <w:tc>
          <w:tcPr>
            <w:tcW w:w="220" w:type="dxa"/>
            <w:vAlign w:val="bottom"/>
          </w:tcPr>
          <w:p>
            <w:pPr>
              <w:spacing w:after="0"/>
              <w:rPr>
                <w:sz w:val="11"/>
                <w:szCs w:val="11"/>
                <w:color w:val="auto"/>
              </w:rPr>
            </w:pPr>
          </w:p>
        </w:tc>
        <w:tc>
          <w:tcPr>
            <w:tcW w:w="1160" w:type="dxa"/>
            <w:vAlign w:val="bottom"/>
            <w:gridSpan w:val="3"/>
          </w:tcPr>
          <w:p>
            <w:pPr>
              <w:jc w:val="center"/>
              <w:ind w:right="180"/>
              <w:spacing w:after="0" w:line="135" w:lineRule="exact"/>
              <w:rPr>
                <w:sz w:val="20"/>
                <w:szCs w:val="20"/>
                <w:color w:val="auto"/>
              </w:rPr>
            </w:pPr>
            <w:r>
              <w:rPr>
                <w:rFonts w:ascii="Times New Roman" w:cs="Times New Roman" w:eastAsia="Times New Roman" w:hAnsi="Times New Roman"/>
                <w:sz w:val="14"/>
                <w:szCs w:val="14"/>
                <w:b w:val="1"/>
                <w:bCs w:val="1"/>
                <w:color w:val="auto"/>
              </w:rPr>
              <w:t>available-for-</w:t>
            </w: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48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40" w:type="dxa"/>
            <w:vAlign w:val="bottom"/>
            <w:gridSpan w:val="3"/>
          </w:tcPr>
          <w:p>
            <w:pPr>
              <w:jc w:val="center"/>
              <w:ind w:right="220"/>
              <w:spacing w:after="0" w:line="135" w:lineRule="exact"/>
              <w:rPr>
                <w:sz w:val="20"/>
                <w:szCs w:val="20"/>
                <w:color w:val="auto"/>
              </w:rPr>
            </w:pPr>
            <w:r>
              <w:rPr>
                <w:rFonts w:ascii="Times New Roman" w:cs="Times New Roman" w:eastAsia="Times New Roman" w:hAnsi="Times New Roman"/>
                <w:sz w:val="14"/>
                <w:szCs w:val="14"/>
                <w:b w:val="1"/>
                <w:bCs w:val="1"/>
                <w:color w:val="auto"/>
              </w:rPr>
              <w:t>translation</w:t>
            </w: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20" w:type="dxa"/>
            <w:vAlign w:val="bottom"/>
            <w:gridSpan w:val="3"/>
          </w:tcPr>
          <w:p>
            <w:pPr>
              <w:jc w:val="center"/>
              <w:ind w:right="260"/>
              <w:spacing w:after="0" w:line="135" w:lineRule="exact"/>
              <w:rPr>
                <w:sz w:val="20"/>
                <w:szCs w:val="20"/>
                <w:color w:val="auto"/>
              </w:rPr>
            </w:pPr>
            <w:r>
              <w:rPr>
                <w:rFonts w:ascii="Times New Roman" w:cs="Times New Roman" w:eastAsia="Times New Roman" w:hAnsi="Times New Roman"/>
                <w:sz w:val="14"/>
                <w:szCs w:val="14"/>
                <w:b w:val="1"/>
                <w:bCs w:val="1"/>
                <w:color w:val="auto"/>
              </w:rPr>
              <w:t>derivative</w:t>
            </w: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40" w:type="dxa"/>
            <w:vAlign w:val="bottom"/>
          </w:tcPr>
          <w:p>
            <w:pPr>
              <w:jc w:val="center"/>
              <w:ind w:right="59"/>
              <w:spacing w:after="0" w:line="135" w:lineRule="exact"/>
              <w:rPr>
                <w:sz w:val="20"/>
                <w:szCs w:val="20"/>
                <w:color w:val="auto"/>
              </w:rPr>
            </w:pPr>
            <w:r>
              <w:rPr>
                <w:rFonts w:ascii="Times New Roman" w:cs="Times New Roman" w:eastAsia="Times New Roman" w:hAnsi="Times New Roman"/>
                <w:sz w:val="14"/>
                <w:szCs w:val="14"/>
                <w:b w:val="1"/>
                <w:bCs w:val="1"/>
                <w:color w:val="auto"/>
              </w:rPr>
              <w:t>cross-currency</w:t>
            </w:r>
          </w:p>
        </w:tc>
        <w:tc>
          <w:tcPr>
            <w:tcW w:w="220" w:type="dxa"/>
            <w:vAlign w:val="bottom"/>
          </w:tcPr>
          <w:p>
            <w:pPr>
              <w:spacing w:after="0"/>
              <w:rPr>
                <w:sz w:val="11"/>
                <w:szCs w:val="11"/>
                <w:color w:val="auto"/>
              </w:rPr>
            </w:pPr>
          </w:p>
        </w:tc>
        <w:tc>
          <w:tcPr>
            <w:tcW w:w="1160" w:type="dxa"/>
            <w:vAlign w:val="bottom"/>
            <w:gridSpan w:val="3"/>
          </w:tcPr>
          <w:p>
            <w:pPr>
              <w:jc w:val="center"/>
              <w:ind w:right="160"/>
              <w:spacing w:after="0" w:line="135" w:lineRule="exact"/>
              <w:rPr>
                <w:sz w:val="20"/>
                <w:szCs w:val="20"/>
                <w:color w:val="auto"/>
              </w:rPr>
            </w:pPr>
            <w:r>
              <w:rPr>
                <w:rFonts w:ascii="Times New Roman" w:cs="Times New Roman" w:eastAsia="Times New Roman" w:hAnsi="Times New Roman"/>
                <w:sz w:val="14"/>
                <w:szCs w:val="14"/>
                <w:b w:val="1"/>
                <w:bCs w:val="1"/>
                <w:color w:val="auto"/>
                <w:w w:val="99"/>
              </w:rPr>
              <w:t>sales</w:t>
            </w: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80" w:type="dxa"/>
            <w:vAlign w:val="bottom"/>
            <w:vMerge w:val="restart"/>
          </w:tcPr>
          <w:p>
            <w:pPr>
              <w:jc w:val="right"/>
              <w:ind w:right="314"/>
              <w:spacing w:after="0"/>
              <w:rPr>
                <w:sz w:val="20"/>
                <w:szCs w:val="20"/>
                <w:color w:val="auto"/>
              </w:rPr>
            </w:pPr>
            <w:r>
              <w:rPr>
                <w:rFonts w:ascii="Times New Roman" w:cs="Times New Roman" w:eastAsia="Times New Roman" w:hAnsi="Times New Roman"/>
                <w:sz w:val="14"/>
                <w:szCs w:val="14"/>
                <w:b w:val="1"/>
                <w:bCs w:val="1"/>
                <w:color w:val="auto"/>
              </w:rPr>
              <w:t>Total</w:t>
            </w:r>
          </w:p>
        </w:tc>
        <w:tc>
          <w:tcPr>
            <w:tcW w:w="0" w:type="dxa"/>
            <w:vAlign w:val="bottom"/>
          </w:tcPr>
          <w:p>
            <w:pPr>
              <w:spacing w:after="0"/>
              <w:rPr>
                <w:sz w:val="1"/>
                <w:szCs w:val="1"/>
                <w:color w:val="auto"/>
              </w:rPr>
            </w:pPr>
          </w:p>
        </w:tc>
      </w:tr>
      <w:tr>
        <w:trPr>
          <w:trHeight w:val="189"/>
        </w:trPr>
        <w:tc>
          <w:tcPr>
            <w:tcW w:w="48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40" w:type="dxa"/>
            <w:vAlign w:val="bottom"/>
            <w:gridSpan w:val="3"/>
          </w:tcPr>
          <w:p>
            <w:pPr>
              <w:jc w:val="center"/>
              <w:ind w:right="220"/>
              <w:spacing w:after="0"/>
              <w:rPr>
                <w:sz w:val="20"/>
                <w:szCs w:val="20"/>
                <w:color w:val="auto"/>
              </w:rPr>
            </w:pPr>
            <w:r>
              <w:rPr>
                <w:rFonts w:ascii="Times New Roman" w:cs="Times New Roman" w:eastAsia="Times New Roman" w:hAnsi="Times New Roman"/>
                <w:sz w:val="14"/>
                <w:szCs w:val="14"/>
                <w:b w:val="1"/>
                <w:bCs w:val="1"/>
                <w:color w:val="auto"/>
              </w:rPr>
              <w:t>adjustments</w:t>
            </w:r>
          </w:p>
        </w:tc>
        <w:tc>
          <w:tcPr>
            <w:tcW w:w="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20" w:type="dxa"/>
            <w:vAlign w:val="bottom"/>
            <w:gridSpan w:val="3"/>
          </w:tcPr>
          <w:p>
            <w:pPr>
              <w:jc w:val="center"/>
              <w:ind w:right="280"/>
              <w:spacing w:after="0"/>
              <w:rPr>
                <w:sz w:val="20"/>
                <w:szCs w:val="20"/>
                <w:color w:val="auto"/>
              </w:rPr>
            </w:pPr>
            <w:r>
              <w:rPr>
                <w:rFonts w:ascii="Times New Roman" w:cs="Times New Roman" w:eastAsia="Times New Roman" w:hAnsi="Times New Roman"/>
                <w:sz w:val="14"/>
                <w:szCs w:val="14"/>
                <w:b w:val="1"/>
                <w:bCs w:val="1"/>
                <w:color w:val="auto"/>
              </w:rPr>
              <w:t>instruments</w:t>
            </w:r>
          </w:p>
        </w:tc>
        <w:tc>
          <w:tcPr>
            <w:tcW w:w="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140" w:type="dxa"/>
            <w:vAlign w:val="bottom"/>
          </w:tcPr>
          <w:p>
            <w:pPr>
              <w:jc w:val="center"/>
              <w:ind w:right="59"/>
              <w:spacing w:after="0"/>
              <w:rPr>
                <w:sz w:val="20"/>
                <w:szCs w:val="20"/>
                <w:color w:val="auto"/>
              </w:rPr>
            </w:pPr>
            <w:r>
              <w:rPr>
                <w:rFonts w:ascii="Times New Roman" w:cs="Times New Roman" w:eastAsia="Times New Roman" w:hAnsi="Times New Roman"/>
                <w:sz w:val="14"/>
                <w:szCs w:val="14"/>
                <w:b w:val="1"/>
                <w:bCs w:val="1"/>
                <w:color w:val="auto"/>
              </w:rPr>
              <w:t>swap</w:t>
            </w:r>
          </w:p>
        </w:tc>
        <w:tc>
          <w:tcPr>
            <w:tcW w:w="220" w:type="dxa"/>
            <w:vAlign w:val="bottom"/>
          </w:tcPr>
          <w:p>
            <w:pPr>
              <w:spacing w:after="0"/>
              <w:rPr>
                <w:sz w:val="16"/>
                <w:szCs w:val="16"/>
                <w:color w:val="auto"/>
              </w:rPr>
            </w:pPr>
          </w:p>
        </w:tc>
        <w:tc>
          <w:tcPr>
            <w:tcW w:w="1160" w:type="dxa"/>
            <w:vAlign w:val="bottom"/>
            <w:gridSpan w:val="3"/>
          </w:tcPr>
          <w:p>
            <w:pPr>
              <w:jc w:val="center"/>
              <w:ind w:right="180"/>
              <w:spacing w:after="0"/>
              <w:rPr>
                <w:sz w:val="20"/>
                <w:szCs w:val="20"/>
                <w:color w:val="auto"/>
              </w:rPr>
            </w:pPr>
            <w:r>
              <w:rPr>
                <w:rFonts w:ascii="Times New Roman" w:cs="Times New Roman" w:eastAsia="Times New Roman" w:hAnsi="Times New Roman"/>
                <w:sz w:val="14"/>
                <w:szCs w:val="14"/>
                <w:b w:val="1"/>
                <w:bCs w:val="1"/>
                <w:color w:val="auto"/>
              </w:rPr>
              <w:t>securities</w:t>
            </w:r>
          </w:p>
        </w:tc>
        <w:tc>
          <w:tcPr>
            <w:tcW w:w="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8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23"/>
        </w:trPr>
        <w:tc>
          <w:tcPr>
            <w:tcW w:w="488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Balance at March 31, 2019</w:t>
            </w:r>
          </w:p>
        </w:tc>
        <w:tc>
          <w:tcPr>
            <w:tcW w:w="20" w:type="dxa"/>
            <w:vAlign w:val="bottom"/>
            <w:tcBorders>
              <w:top w:val="single" w:sz="8" w:color="auto"/>
            </w:tcBorders>
            <w:shd w:val="clear" w:color="auto" w:fill="CCEEFF"/>
          </w:tcPr>
          <w:p>
            <w:pPr>
              <w:spacing w:after="0"/>
              <w:rPr>
                <w:sz w:val="19"/>
                <w:szCs w:val="19"/>
                <w:color w:val="auto"/>
              </w:rPr>
            </w:pPr>
          </w:p>
        </w:tc>
        <w:tc>
          <w:tcPr>
            <w:tcW w:w="1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20" w:type="dxa"/>
            <w:vAlign w:val="bottom"/>
            <w:tcBorders>
              <w:top w:val="single" w:sz="8" w:color="auto"/>
            </w:tcBorders>
            <w:shd w:val="clear" w:color="auto" w:fill="CCEEFF"/>
          </w:tcPr>
          <w:p>
            <w:pPr>
              <w:spacing w:after="0"/>
              <w:rPr>
                <w:sz w:val="19"/>
                <w:szCs w:val="19"/>
                <w:color w:val="auto"/>
              </w:rPr>
            </w:pPr>
          </w:p>
        </w:tc>
        <w:tc>
          <w:tcPr>
            <w:tcW w:w="8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(33,090)</w:t>
            </w:r>
          </w:p>
        </w:tc>
        <w:tc>
          <w:tcPr>
            <w:tcW w:w="40" w:type="dxa"/>
            <w:vAlign w:val="bottom"/>
            <w:tcBorders>
              <w:top w:val="single" w:sz="8" w:color="CCEEFF"/>
            </w:tcBorders>
            <w:shd w:val="clear" w:color="auto" w:fill="CCEEFF"/>
          </w:tcPr>
          <w:p>
            <w:pPr>
              <w:spacing w:after="0"/>
              <w:rPr>
                <w:sz w:val="19"/>
                <w:szCs w:val="19"/>
                <w:color w:val="auto"/>
              </w:rPr>
            </w:pPr>
          </w:p>
        </w:tc>
        <w:tc>
          <w:tcPr>
            <w:tcW w:w="60" w:type="dxa"/>
            <w:vAlign w:val="bottom"/>
            <w:tcBorders>
              <w:top w:val="single" w:sz="8" w:color="CCEEFF"/>
            </w:tcBorders>
            <w:shd w:val="clear" w:color="auto" w:fill="CCEEFF"/>
          </w:tcPr>
          <w:p>
            <w:pPr>
              <w:spacing w:after="0"/>
              <w:rPr>
                <w:sz w:val="19"/>
                <w:szCs w:val="19"/>
                <w:color w:val="auto"/>
              </w:rPr>
            </w:pPr>
          </w:p>
        </w:tc>
        <w:tc>
          <w:tcPr>
            <w:tcW w:w="180" w:type="dxa"/>
            <w:vAlign w:val="bottom"/>
            <w:tcBorders>
              <w:top w:val="single" w:sz="8" w:color="auto"/>
            </w:tcBorders>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600</w:t>
            </w:r>
          </w:p>
        </w:tc>
        <w:tc>
          <w:tcPr>
            <w:tcW w:w="20" w:type="dxa"/>
            <w:vAlign w:val="bottom"/>
            <w:tcBorders>
              <w:top w:val="single" w:sz="8" w:color="auto"/>
            </w:tcBorders>
            <w:shd w:val="clear" w:color="auto" w:fill="CCEEFF"/>
          </w:tcPr>
          <w:p>
            <w:pPr>
              <w:spacing w:after="0"/>
              <w:rPr>
                <w:sz w:val="19"/>
                <w:szCs w:val="19"/>
                <w:color w:val="auto"/>
              </w:rPr>
            </w:pPr>
          </w:p>
        </w:tc>
        <w:tc>
          <w:tcPr>
            <w:tcW w:w="80" w:type="dxa"/>
            <w:vAlign w:val="bottom"/>
            <w:tcBorders>
              <w:top w:val="single" w:sz="8" w:color="CCEEFF"/>
            </w:tcBorders>
            <w:shd w:val="clear" w:color="auto" w:fill="CCEEFF"/>
          </w:tcPr>
          <w:p>
            <w:pPr>
              <w:spacing w:after="0"/>
              <w:rPr>
                <w:sz w:val="19"/>
                <w:szCs w:val="19"/>
                <w:color w:val="auto"/>
              </w:rPr>
            </w:pPr>
          </w:p>
        </w:tc>
        <w:tc>
          <w:tcPr>
            <w:tcW w:w="20" w:type="dxa"/>
            <w:vAlign w:val="bottom"/>
            <w:tcBorders>
              <w:top w:val="single" w:sz="8" w:color="CCEEFF"/>
            </w:tcBorders>
            <w:shd w:val="clear" w:color="auto" w:fill="CCEEFF"/>
          </w:tcPr>
          <w:p>
            <w:pPr>
              <w:spacing w:after="0"/>
              <w:rPr>
                <w:sz w:val="19"/>
                <w:szCs w:val="19"/>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tcBorders>
              <w:top w:val="single" w:sz="8" w:color="auto"/>
            </w:tcBorders>
            <w:shd w:val="clear" w:color="auto" w:fill="CCEEFF"/>
          </w:tcPr>
          <w:p>
            <w:pPr>
              <w:ind w:left="560"/>
              <w:spacing w:after="0"/>
              <w:rPr>
                <w:sz w:val="20"/>
                <w:szCs w:val="20"/>
                <w:color w:val="auto"/>
              </w:rPr>
            </w:pPr>
            <w:r>
              <w:rPr>
                <w:rFonts w:ascii="Times New Roman" w:cs="Times New Roman" w:eastAsia="Times New Roman" w:hAnsi="Times New Roman"/>
                <w:sz w:val="18"/>
                <w:szCs w:val="18"/>
                <w:color w:val="auto"/>
              </w:rPr>
              <w:t>(5,285)</w:t>
            </w:r>
          </w:p>
        </w:tc>
        <w:tc>
          <w:tcPr>
            <w:tcW w:w="2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tcBorders>
              <w:top w:val="single" w:sz="8" w:color="auto"/>
            </w:tcBorders>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586</w:t>
            </w:r>
          </w:p>
        </w:tc>
        <w:tc>
          <w:tcPr>
            <w:tcW w:w="40" w:type="dxa"/>
            <w:vAlign w:val="bottom"/>
            <w:tcBorders>
              <w:top w:val="single" w:sz="8" w:color="CCEEFF"/>
            </w:tcBorders>
            <w:shd w:val="clear" w:color="auto" w:fill="CCEEFF"/>
          </w:tcPr>
          <w:p>
            <w:pPr>
              <w:spacing w:after="0"/>
              <w:rPr>
                <w:sz w:val="19"/>
                <w:szCs w:val="19"/>
                <w:color w:val="auto"/>
              </w:rPr>
            </w:pPr>
          </w:p>
        </w:tc>
        <w:tc>
          <w:tcPr>
            <w:tcW w:w="80" w:type="dxa"/>
            <w:vAlign w:val="bottom"/>
            <w:tcBorders>
              <w:top w:val="single" w:sz="8" w:color="CCEEFF"/>
            </w:tcBorders>
            <w:shd w:val="clear" w:color="auto" w:fill="CCEEFF"/>
          </w:tcPr>
          <w:p>
            <w:pPr>
              <w:spacing w:after="0"/>
              <w:rPr>
                <w:sz w:val="19"/>
                <w:szCs w:val="19"/>
                <w:color w:val="auto"/>
              </w:rPr>
            </w:pPr>
          </w:p>
        </w:tc>
        <w:tc>
          <w:tcPr>
            <w:tcW w:w="220" w:type="dxa"/>
            <w:vAlign w:val="bottom"/>
            <w:tcBorders>
              <w:top w:val="single" w:sz="8" w:color="auto"/>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(37,189)</w:t>
            </w:r>
          </w:p>
        </w:tc>
        <w:tc>
          <w:tcPr>
            <w:tcW w:w="0" w:type="dxa"/>
            <w:vAlign w:val="bottom"/>
          </w:tcPr>
          <w:p>
            <w:pPr>
              <w:spacing w:after="0"/>
              <w:rPr>
                <w:sz w:val="1"/>
                <w:szCs w:val="1"/>
                <w:color w:val="auto"/>
              </w:rPr>
            </w:pPr>
          </w:p>
        </w:tc>
      </w:tr>
      <w:tr>
        <w:trPr>
          <w:trHeight w:val="230"/>
        </w:trPr>
        <w:tc>
          <w:tcPr>
            <w:tcW w:w="4900" w:type="dxa"/>
            <w:vAlign w:val="bottom"/>
            <w:gridSpan w:val="2"/>
          </w:tcPr>
          <w:p>
            <w:pPr>
              <w:ind w:left="140"/>
              <w:spacing w:after="0"/>
              <w:rPr>
                <w:sz w:val="20"/>
                <w:szCs w:val="20"/>
                <w:color w:val="auto"/>
              </w:rPr>
            </w:pPr>
            <w:r>
              <w:rPr>
                <w:rFonts w:ascii="Times New Roman" w:cs="Times New Roman" w:eastAsia="Times New Roman" w:hAnsi="Times New Roman"/>
                <w:sz w:val="18"/>
                <w:szCs w:val="18"/>
                <w:color w:val="auto"/>
              </w:rPr>
              <w:t>Other comprehensive income (loss) before reclassifications</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(3,192)</w:t>
            </w:r>
          </w:p>
        </w:tc>
        <w:tc>
          <w:tcPr>
            <w:tcW w:w="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20" w:type="dxa"/>
            <w:vAlign w:val="bottom"/>
            <w:gridSpan w:val="3"/>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40" w:type="dxa"/>
            <w:vAlign w:val="bottom"/>
          </w:tcPr>
          <w:p>
            <w:pPr>
              <w:ind w:left="640"/>
              <w:spacing w:after="0"/>
              <w:rPr>
                <w:sz w:val="20"/>
                <w:szCs w:val="20"/>
                <w:color w:val="auto"/>
              </w:rPr>
            </w:pPr>
            <w:r>
              <w:rPr>
                <w:rFonts w:ascii="Times New Roman" w:cs="Times New Roman" w:eastAsia="Times New Roman" w:hAnsi="Times New Roman"/>
                <w:sz w:val="18"/>
                <w:szCs w:val="18"/>
                <w:color w:val="auto"/>
              </w:rPr>
              <w:t>2,598</w:t>
            </w:r>
          </w:p>
        </w:tc>
        <w:tc>
          <w:tcPr>
            <w:tcW w:w="220" w:type="dxa"/>
            <w:vAlign w:val="bottom"/>
          </w:tcPr>
          <w:p>
            <w:pPr>
              <w:spacing w:after="0"/>
              <w:rPr>
                <w:sz w:val="19"/>
                <w:szCs w:val="19"/>
                <w:color w:val="auto"/>
              </w:rPr>
            </w:pPr>
          </w:p>
        </w:tc>
        <w:tc>
          <w:tcPr>
            <w:tcW w:w="112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453</w:t>
            </w:r>
          </w:p>
        </w:tc>
        <w:tc>
          <w:tcPr>
            <w:tcW w:w="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(141)</w:t>
            </w:r>
          </w:p>
        </w:tc>
        <w:tc>
          <w:tcPr>
            <w:tcW w:w="0" w:type="dxa"/>
            <w:vAlign w:val="bottom"/>
          </w:tcPr>
          <w:p>
            <w:pPr>
              <w:spacing w:after="0"/>
              <w:rPr>
                <w:sz w:val="1"/>
                <w:szCs w:val="1"/>
                <w:color w:val="auto"/>
              </w:rPr>
            </w:pPr>
          </w:p>
        </w:tc>
      </w:tr>
      <w:tr>
        <w:trPr>
          <w:trHeight w:val="175"/>
        </w:trPr>
        <w:tc>
          <w:tcPr>
            <w:tcW w:w="4900" w:type="dxa"/>
            <w:vAlign w:val="bottom"/>
            <w:gridSpan w:val="2"/>
            <w:shd w:val="clear" w:color="auto" w:fill="CCEEFF"/>
          </w:tcPr>
          <w:p>
            <w:pPr>
              <w:ind w:left="140"/>
              <w:spacing w:after="0" w:line="176" w:lineRule="exact"/>
              <w:rPr>
                <w:sz w:val="20"/>
                <w:szCs w:val="20"/>
                <w:color w:val="auto"/>
              </w:rPr>
            </w:pPr>
            <w:r>
              <w:rPr>
                <w:rFonts w:ascii="Times New Roman" w:cs="Times New Roman" w:eastAsia="Times New Roman" w:hAnsi="Times New Roman"/>
                <w:sz w:val="18"/>
                <w:szCs w:val="18"/>
                <w:color w:val="auto"/>
              </w:rPr>
              <w:t>Amounts reclassified from accumulated other comprehensive</w:t>
            </w:r>
          </w:p>
        </w:tc>
        <w:tc>
          <w:tcPr>
            <w:tcW w:w="16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88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40" w:type="dxa"/>
            <w:vAlign w:val="bottom"/>
            <w:vMerge w:val="restart"/>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940" w:type="dxa"/>
            <w:vAlign w:val="bottom"/>
            <w:gridSpan w:val="2"/>
            <w:vMerge w:val="restart"/>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w:t>
            </w:r>
          </w:p>
        </w:tc>
        <w:tc>
          <w:tcPr>
            <w:tcW w:w="80" w:type="dxa"/>
            <w:vAlign w:val="bottom"/>
            <w:vMerge w:val="restart"/>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140" w:type="dxa"/>
            <w:vAlign w:val="bottom"/>
            <w:vMerge w:val="restart"/>
            <w:shd w:val="clear" w:color="auto" w:fill="CCEEFF"/>
          </w:tcPr>
          <w:p>
            <w:pPr>
              <w:ind w:left="560"/>
              <w:spacing w:after="0"/>
              <w:rPr>
                <w:sz w:val="20"/>
                <w:szCs w:val="20"/>
                <w:color w:val="auto"/>
              </w:rPr>
            </w:pPr>
            <w:r>
              <w:rPr>
                <w:rFonts w:ascii="Times New Roman" w:cs="Times New Roman" w:eastAsia="Times New Roman" w:hAnsi="Times New Roman"/>
                <w:sz w:val="18"/>
                <w:szCs w:val="18"/>
                <w:color w:val="auto"/>
              </w:rPr>
              <w:t>(1,157)</w:t>
            </w:r>
          </w:p>
        </w:tc>
        <w:tc>
          <w:tcPr>
            <w:tcW w:w="220" w:type="dxa"/>
            <w:vAlign w:val="bottom"/>
            <w:shd w:val="clear" w:color="auto" w:fill="CCEEFF"/>
          </w:tcPr>
          <w:p>
            <w:pPr>
              <w:spacing w:after="0"/>
              <w:rPr>
                <w:sz w:val="15"/>
                <w:szCs w:val="15"/>
                <w:color w:val="auto"/>
              </w:rPr>
            </w:pPr>
          </w:p>
        </w:tc>
        <w:tc>
          <w:tcPr>
            <w:tcW w:w="1120" w:type="dxa"/>
            <w:vAlign w:val="bottom"/>
            <w:gridSpan w:val="2"/>
            <w:vMerge w:val="restart"/>
            <w:shd w:val="clear" w:color="auto" w:fill="CCEEFF"/>
          </w:tcPr>
          <w:p>
            <w:pPr>
              <w:jc w:val="right"/>
              <w:ind w:right="60"/>
              <w:spacing w:after="0"/>
              <w:rPr>
                <w:sz w:val="20"/>
                <w:szCs w:val="20"/>
                <w:color w:val="auto"/>
              </w:rPr>
            </w:pPr>
            <w:r>
              <w:rPr>
                <w:rFonts w:ascii="Times New Roman" w:cs="Times New Roman" w:eastAsia="Times New Roman" w:hAnsi="Times New Roman"/>
                <w:sz w:val="18"/>
                <w:szCs w:val="18"/>
                <w:color w:val="auto"/>
              </w:rPr>
              <w:t>—</w:t>
            </w:r>
          </w:p>
        </w:tc>
        <w:tc>
          <w:tcPr>
            <w:tcW w:w="40" w:type="dxa"/>
            <w:vAlign w:val="bottom"/>
            <w:vMerge w:val="restart"/>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88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(1,157)</w:t>
            </w:r>
          </w:p>
        </w:tc>
        <w:tc>
          <w:tcPr>
            <w:tcW w:w="0" w:type="dxa"/>
            <w:vAlign w:val="bottom"/>
          </w:tcPr>
          <w:p>
            <w:pPr>
              <w:spacing w:after="0"/>
              <w:rPr>
                <w:sz w:val="1"/>
                <w:szCs w:val="1"/>
                <w:color w:val="auto"/>
              </w:rPr>
            </w:pPr>
          </w:p>
        </w:tc>
      </w:tr>
      <w:tr>
        <w:trPr>
          <w:trHeight w:val="230"/>
        </w:trPr>
        <w:tc>
          <w:tcPr>
            <w:tcW w:w="488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loss</w:t>
            </w:r>
          </w:p>
        </w:tc>
        <w:tc>
          <w:tcPr>
            <w:tcW w:w="20" w:type="dxa"/>
            <w:vAlign w:val="bottom"/>
            <w:tcBorders>
              <w:bottom w:val="single" w:sz="8" w:color="auto"/>
            </w:tcBorders>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880" w:type="dxa"/>
            <w:vAlign w:val="bottom"/>
            <w:tcBorders>
              <w:bottom w:val="single" w:sz="8" w:color="auto"/>
            </w:tcBorders>
            <w:vMerge w:val="continue"/>
            <w:shd w:val="clear" w:color="auto" w:fill="CCEEFF"/>
          </w:tcPr>
          <w:p>
            <w:pPr>
              <w:spacing w:after="0"/>
              <w:rPr>
                <w:sz w:val="19"/>
                <w:szCs w:val="19"/>
                <w:color w:val="auto"/>
              </w:rPr>
            </w:pPr>
          </w:p>
        </w:tc>
        <w:tc>
          <w:tcPr>
            <w:tcW w:w="40" w:type="dxa"/>
            <w:vAlign w:val="bottom"/>
            <w:vMerge w:val="continue"/>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60" w:type="dxa"/>
            <w:vAlign w:val="bottom"/>
            <w:tcBorders>
              <w:bottom w:val="single" w:sz="8" w:color="auto"/>
            </w:tcBorders>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940" w:type="dxa"/>
            <w:vAlign w:val="bottom"/>
            <w:tcBorders>
              <w:bottom w:val="single" w:sz="8" w:color="auto"/>
            </w:tcBorders>
            <w:gridSpan w:val="2"/>
            <w:vMerge w:val="continue"/>
            <w:shd w:val="clear" w:color="auto" w:fill="CCEEFF"/>
          </w:tcPr>
          <w:p>
            <w:pPr>
              <w:spacing w:after="0"/>
              <w:rPr>
                <w:sz w:val="19"/>
                <w:szCs w:val="19"/>
                <w:color w:val="auto"/>
              </w:rPr>
            </w:pPr>
          </w:p>
        </w:tc>
        <w:tc>
          <w:tcPr>
            <w:tcW w:w="80" w:type="dxa"/>
            <w:vAlign w:val="bottom"/>
            <w:vMerge w:val="continue"/>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1140" w:type="dxa"/>
            <w:vAlign w:val="bottom"/>
            <w:tcBorders>
              <w:bottom w:val="single" w:sz="8" w:color="auto"/>
            </w:tcBorders>
            <w:vMerge w:val="continue"/>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spacing w:after="0"/>
              <w:rPr>
                <w:sz w:val="19"/>
                <w:szCs w:val="19"/>
                <w:color w:val="auto"/>
              </w:rPr>
            </w:pPr>
          </w:p>
        </w:tc>
        <w:tc>
          <w:tcPr>
            <w:tcW w:w="1120" w:type="dxa"/>
            <w:vAlign w:val="bottom"/>
            <w:tcBorders>
              <w:bottom w:val="single" w:sz="8" w:color="auto"/>
            </w:tcBorders>
            <w:gridSpan w:val="2"/>
            <w:vMerge w:val="continue"/>
            <w:shd w:val="clear" w:color="auto" w:fill="CCEEFF"/>
          </w:tcPr>
          <w:p>
            <w:pPr>
              <w:spacing w:after="0"/>
              <w:rPr>
                <w:sz w:val="19"/>
                <w:szCs w:val="19"/>
                <w:color w:val="auto"/>
              </w:rPr>
            </w:pPr>
          </w:p>
        </w:tc>
        <w:tc>
          <w:tcPr>
            <w:tcW w:w="40" w:type="dxa"/>
            <w:vAlign w:val="bottom"/>
            <w:vMerge w:val="continue"/>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spacing w:after="0"/>
              <w:rPr>
                <w:sz w:val="19"/>
                <w:szCs w:val="19"/>
                <w:color w:val="auto"/>
              </w:rPr>
            </w:pPr>
          </w:p>
        </w:tc>
        <w:tc>
          <w:tcPr>
            <w:tcW w:w="880" w:type="dxa"/>
            <w:vAlign w:val="bottom"/>
            <w:tcBorders>
              <w:bottom w:val="single" w:sz="8" w:color="auto"/>
            </w:tcBorders>
            <w:vMerge w:val="continue"/>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490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Balance at December 31, 2019</w:t>
            </w:r>
          </w:p>
        </w:tc>
        <w:tc>
          <w:tcPr>
            <w:tcW w:w="16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2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(36,282)</w:t>
            </w:r>
          </w:p>
        </w:tc>
        <w:tc>
          <w:tcPr>
            <w:tcW w:w="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600</w:t>
            </w: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140" w:type="dxa"/>
            <w:vAlign w:val="bottom"/>
          </w:tcPr>
          <w:p>
            <w:pPr>
              <w:ind w:left="560"/>
              <w:spacing w:after="0"/>
              <w:rPr>
                <w:sz w:val="20"/>
                <w:szCs w:val="20"/>
                <w:color w:val="auto"/>
              </w:rPr>
            </w:pPr>
            <w:r>
              <w:rPr>
                <w:rFonts w:ascii="Times New Roman" w:cs="Times New Roman" w:eastAsia="Times New Roman" w:hAnsi="Times New Roman"/>
                <w:sz w:val="18"/>
                <w:szCs w:val="18"/>
                <w:color w:val="auto"/>
              </w:rPr>
              <w:t>(3,844)</w:t>
            </w:r>
          </w:p>
        </w:tc>
        <w:tc>
          <w:tcPr>
            <w:tcW w:w="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2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1,039</w:t>
            </w:r>
          </w:p>
        </w:tc>
        <w:tc>
          <w:tcPr>
            <w:tcW w:w="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(38,487)</w:t>
            </w:r>
          </w:p>
        </w:tc>
        <w:tc>
          <w:tcPr>
            <w:tcW w:w="0" w:type="dxa"/>
            <w:vAlign w:val="bottom"/>
          </w:tcPr>
          <w:p>
            <w:pPr>
              <w:spacing w:after="0"/>
              <w:rPr>
                <w:sz w:val="1"/>
                <w:szCs w:val="1"/>
                <w:color w:val="auto"/>
              </w:rPr>
            </w:pPr>
          </w:p>
        </w:tc>
      </w:tr>
      <w:tr>
        <w:trPr>
          <w:trHeight w:val="20"/>
        </w:trPr>
        <w:tc>
          <w:tcPr>
            <w:tcW w:w="488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70" w:right="339" w:bottom="1440" w:gutter="0" w:footer="0" w:header="0"/>
        </w:sectPr>
      </w:pPr>
    </w:p>
    <w:bookmarkStart w:id="19" w:name="page20"/>
    <w:bookmarkEnd w:id="19"/>
    <w:p>
      <w:pPr>
        <w:spacing w:after="0"/>
        <w:rPr>
          <w:rFonts w:ascii="Times New Roman" w:cs="Times New Roman" w:eastAsia="Times New Roman" w:hAnsi="Times New Roman"/>
          <w:sz w:val="18"/>
          <w:szCs w:val="18"/>
          <w:u w:val="single" w:color="auto"/>
          <w:color w:val="0000FF"/>
        </w:rPr>
      </w:pPr>
      <w:hyperlink w:anchor="page1">
        <w:r>
          <w:rPr>
            <w:rFonts w:ascii="Times New Roman" w:cs="Times New Roman" w:eastAsia="Times New Roman" w:hAnsi="Times New Roman"/>
            <w:sz w:val="18"/>
            <w:szCs w:val="18"/>
            <w:u w:val="single" w:color="auto"/>
            <w:color w:val="0000FF"/>
          </w:rPr>
          <w:t>Table of Contents</w:t>
        </w:r>
      </w:hyperlink>
    </w:p>
    <w:p>
      <w:pPr>
        <w:spacing w:after="0" w:line="200" w:lineRule="exact"/>
        <w:rPr>
          <w:sz w:val="20"/>
          <w:szCs w:val="20"/>
          <w:color w:val="auto"/>
        </w:rPr>
      </w:pPr>
    </w:p>
    <w:p>
      <w:pPr>
        <w:spacing w:after="0" w:line="26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13. COMMITMENTS AND CONTINGENCIES</w:t>
      </w:r>
    </w:p>
    <w:p>
      <w:pPr>
        <w:spacing w:after="0" w:line="148"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We have entered into various agreements in the ordinary course of business that require substantial cash commitments over the next several years. Other than agreements entered into in the ordinary course of business and in addition to the agreements requiring known cash commitments as reported in Part II, Item 7 of our Annual Report on Form 10-K for the fiscal year ended March 31, 2020, we did not have any significant changes to our commitments since March 31, 2020.</w:t>
      </w:r>
    </w:p>
    <w:p>
      <w:pPr>
        <w:spacing w:after="0" w:line="112"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Included in our Restricted cash as of December 31, 2020, was the cash portion of our offer to acquire Codemasters Group Holdings PLC, a UK-based game publisher and developer. As of January 13, 2021, the offer lapsed, and the cash was no longer restricted.</w:t>
      </w:r>
    </w:p>
    <w:p>
      <w:pPr>
        <w:spacing w:after="0" w:line="9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Legal and Other Proceedings</w:t>
      </w:r>
    </w:p>
    <w:p>
      <w:pPr>
        <w:spacing w:after="0" w:line="148"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We are, or may become, subject to demands and claims (including intellectual property and employment related claims) and are involved in routine litigation in the ordinary course of business which we do not believe to be material to our business or financial condition or results of operations. We have appropriately accrued amounts related to certain of these claims and legal and other proceedings. While it is reasonably possible that a loss may be incurred in excess of the amounts accrued in our financial statements, we believe that such losses, unless otherwise disclosed, would not be material.</w:t>
      </w:r>
    </w:p>
    <w:p>
      <w:pPr>
        <w:spacing w:after="0" w:line="10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14. BUSINESS REORGANIZATION</w:t>
      </w:r>
    </w:p>
    <w:p>
      <w:pPr>
        <w:spacing w:after="0" w:line="162"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In the first quarter of fiscal year 2018, we announced and initiated actions to implement a strategic reorganization at one of our labels (the "2018 Plan"). In connection with this initiative, we recorded a benefit of $377 and $246 for business reorganization during the three months ended December 31, 2020 and 2019, respectively, and a benefit of $138 and expense of $467 during the nine months ended December 31, 2020 and 2019, respectively, due to updating estimates for employee separation costs. During the nine months ended December 31, 2020, we made payments of $3,500 related to these reorganization activities. As of December 31, 2020, $1,166 remained accrued in Accrued expenses and other current liabilities and $1,550 in Other non-current liabilities. Although we may record additional expense or benefit in future periods to true-up estimates, we do not expect to incur additional reorganization costs in connection with the 2018 Plan.</w:t>
      </w:r>
    </w:p>
    <w:p>
      <w:pPr>
        <w:spacing w:after="0" w:line="10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15. INCOME TAXES</w:t>
      </w:r>
    </w:p>
    <w:p>
      <w:pPr>
        <w:spacing w:after="0" w:line="162"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The provision for income taxes for the three months ended December 31, 2020 is based on our projected annual effective tax rate for fiscal year 2021, adjusted for specific items that are required to be recognized in the period in which they are incurred. The provision for income taxes was $34,198 for the three months ended December 31, 2020 as compared to $25,134 for the prior year period.</w:t>
      </w:r>
    </w:p>
    <w:p>
      <w:pPr>
        <w:spacing w:after="0" w:line="108" w:lineRule="exact"/>
        <w:rPr>
          <w:sz w:val="20"/>
          <w:szCs w:val="20"/>
          <w:color w:val="auto"/>
        </w:rPr>
      </w:pPr>
    </w:p>
    <w:p>
      <w:pPr>
        <w:jc w:val="both"/>
        <w:ind w:right="20" w:firstLine="648"/>
        <w:spacing w:after="0" w:line="282" w:lineRule="auto"/>
        <w:rPr>
          <w:sz w:val="20"/>
          <w:szCs w:val="20"/>
          <w:color w:val="auto"/>
        </w:rPr>
      </w:pPr>
      <w:r>
        <w:rPr>
          <w:rFonts w:ascii="Times New Roman" w:cs="Times New Roman" w:eastAsia="Times New Roman" w:hAnsi="Times New Roman"/>
          <w:sz w:val="18"/>
          <w:szCs w:val="18"/>
          <w:color w:val="auto"/>
        </w:rPr>
        <w:t>When compared to the statutory rate of 21%, the effective tax rate of 15.8% for the three months ended December 31, 2020 was due primarily to a tax benefit of $7,116 due to tax credits, excess tax benefits of $3,392 from employee stock-based compensation and the geographic mix of earnings.</w:t>
      </w:r>
    </w:p>
    <w:p>
      <w:pPr>
        <w:spacing w:after="0" w:line="81"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The provision for income taxes for the nine months ended December 31, 2020 is based on our projected annual effective tax rate for fiscal year 2021, adjusted for specific items that are required to be recognized in the period in which they are incurred. The provision for income taxes was $54,151 for the nine months ended December 31, 2020 as compared to $52,068 for the prior year period.</w:t>
      </w:r>
    </w:p>
    <w:p>
      <w:pPr>
        <w:spacing w:after="0" w:line="108"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When compared to the statutory rate of 21%, the effective tax rate of 12.8% for the nine months ended December 31, 2020 was due primarily to a tax benefit of $17,778 due to tax credits and excess tax benefits of $13,580 from employee stock-based compensation and geographic mix of earnings.</w:t>
      </w:r>
    </w:p>
    <w:p>
      <w:pPr>
        <w:spacing w:after="0" w:line="94"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We are regularly examined by domestic and foreign taxing authorities. Examinations may result in tax assessments in excess of amounts claimed and the payment of additional taxes. We believe our tax positions comply with applicable tax law, and that we have adequately provided for reasonably foreseeable tax assessments. It is possible that settlement of audits or the expiration of the statute of limitations may have an impact on our effective tax rate in future periods.</w:t>
      </w:r>
    </w:p>
    <w:p>
      <w:pPr>
        <w:spacing w:after="0" w:line="9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16. ACQUISITIONS</w:t>
      </w:r>
    </w:p>
    <w:p>
      <w:pPr>
        <w:spacing w:after="0" w:line="162"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On September 4, 2020, we completed the acquisition of privately-held Playdots, Inc. ("Playdots"), a New York City based free-to-play mobile game developer, for consideration of $97,846 in cash and 604 shares of our common stock. The cash portion was funded from our cash on hand. Of the cash consideration, $13,440 was contractually deferred and accrued for within Accrued expenses and other current liabilities within our Condensed Consolidated Balance Sheet at acquisition. During the three months ended December 31, 2020, we paid out $3,840. As of December 31, 2020, $9,600 remained accrued within Accrued expenses and other current liabilities within our Condensed Consolidated Balance Sheet at acquisition.</w:t>
      </w:r>
    </w:p>
    <w:p>
      <w:pPr>
        <w:spacing w:after="0" w:line="200" w:lineRule="exact"/>
        <w:rPr>
          <w:sz w:val="20"/>
          <w:szCs w:val="20"/>
          <w:color w:val="auto"/>
        </w:rPr>
      </w:pPr>
    </w:p>
    <w:p>
      <w:pPr>
        <w:spacing w:after="0" w:line="3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4" w:right="339" w:bottom="1440" w:gutter="0" w:footer="0" w:header="0"/>
        </w:sectPr>
      </w:pPr>
    </w:p>
    <w:bookmarkStart w:id="20" w:name="page21"/>
    <w:bookmarkEnd w:id="20"/>
    <w:p>
      <w:pPr>
        <w:spacing w:after="0"/>
        <w:rPr>
          <w:rFonts w:ascii="Times New Roman" w:cs="Times New Roman" w:eastAsia="Times New Roman" w:hAnsi="Times New Roman"/>
          <w:sz w:val="18"/>
          <w:szCs w:val="18"/>
          <w:u w:val="single" w:color="auto"/>
          <w:color w:val="0000FF"/>
        </w:rPr>
      </w:pPr>
      <w:hyperlink w:anchor="page1">
        <w:r>
          <w:rPr>
            <w:rFonts w:ascii="Times New Roman" w:cs="Times New Roman" w:eastAsia="Times New Roman" w:hAnsi="Times New Roman"/>
            <w:sz w:val="18"/>
            <w:szCs w:val="18"/>
            <w:u w:val="single" w:color="auto"/>
            <w:color w:val="0000FF"/>
          </w:rPr>
          <w:t>Table of Contents</w:t>
        </w:r>
      </w:hyperlink>
    </w:p>
    <w:p>
      <w:pPr>
        <w:spacing w:after="0" w:line="200" w:lineRule="exact"/>
        <w:rPr>
          <w:sz w:val="20"/>
          <w:szCs w:val="20"/>
          <w:color w:val="auto"/>
        </w:rPr>
      </w:pPr>
    </w:p>
    <w:p>
      <w:pPr>
        <w:spacing w:after="0" w:line="363" w:lineRule="exact"/>
        <w:rPr>
          <w:sz w:val="20"/>
          <w:szCs w:val="20"/>
          <w:color w:val="auto"/>
        </w:rPr>
      </w:pPr>
    </w:p>
    <w:p>
      <w:pPr>
        <w:ind w:right="560" w:firstLine="648"/>
        <w:spacing w:after="0" w:line="266" w:lineRule="auto"/>
        <w:rPr>
          <w:sz w:val="20"/>
          <w:szCs w:val="20"/>
          <w:color w:val="auto"/>
        </w:rPr>
      </w:pPr>
      <w:r>
        <w:rPr>
          <w:rFonts w:ascii="Times New Roman" w:cs="Times New Roman" w:eastAsia="Times New Roman" w:hAnsi="Times New Roman"/>
          <w:sz w:val="18"/>
          <w:szCs w:val="18"/>
          <w:color w:val="auto"/>
        </w:rPr>
        <w:t>We acquired Playdots as part of our ongoing strategy to expand selectively our portfolio of owned intellectual property and to diversify and strengthen further our mobile offerings.</w:t>
      </w:r>
    </w:p>
    <w:p>
      <w:pPr>
        <w:spacing w:after="0" w:line="18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acquisition-date fair value of the consideration totaled $195,493, which consisted of the following:</w:t>
      </w:r>
    </w:p>
    <w:p>
      <w:pPr>
        <w:spacing w:after="0" w:line="200" w:lineRule="exact"/>
        <w:rPr>
          <w:sz w:val="20"/>
          <w:szCs w:val="20"/>
          <w:color w:val="auto"/>
        </w:rPr>
      </w:pPr>
    </w:p>
    <w:p>
      <w:pPr>
        <w:spacing w:after="0" w:line="309"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9380" w:type="dxa"/>
            <w:vAlign w:val="bottom"/>
          </w:tcPr>
          <w:p>
            <w:pPr>
              <w:spacing w:after="0"/>
              <w:rPr>
                <w:sz w:val="17"/>
                <w:szCs w:val="17"/>
                <w:color w:val="auto"/>
              </w:rPr>
            </w:pPr>
          </w:p>
        </w:tc>
        <w:tc>
          <w:tcPr>
            <w:tcW w:w="1860" w:type="dxa"/>
            <w:vAlign w:val="bottom"/>
            <w:gridSpan w:val="2"/>
          </w:tcPr>
          <w:p>
            <w:pPr>
              <w:jc w:val="right"/>
              <w:spacing w:after="0"/>
              <w:rPr>
                <w:sz w:val="20"/>
                <w:szCs w:val="20"/>
                <w:color w:val="auto"/>
              </w:rPr>
            </w:pPr>
            <w:r>
              <w:rPr>
                <w:rFonts w:ascii="Times New Roman" w:cs="Times New Roman" w:eastAsia="Times New Roman" w:hAnsi="Times New Roman"/>
                <w:sz w:val="18"/>
                <w:szCs w:val="18"/>
                <w:b w:val="1"/>
                <w:bCs w:val="1"/>
                <w:color w:val="auto"/>
              </w:rPr>
              <w:t>Fair value of purchase</w:t>
            </w:r>
          </w:p>
        </w:tc>
      </w:tr>
      <w:tr>
        <w:trPr>
          <w:trHeight w:val="230"/>
        </w:trPr>
        <w:tc>
          <w:tcPr>
            <w:tcW w:w="9380" w:type="dxa"/>
            <w:vAlign w:val="bottom"/>
            <w:tcBorders>
              <w:bottom w:val="single" w:sz="8" w:color="CCEEFF"/>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600" w:type="dxa"/>
            <w:vAlign w:val="bottom"/>
            <w:tcBorders>
              <w:bottom w:val="single" w:sz="8" w:color="auto"/>
            </w:tcBorders>
          </w:tcPr>
          <w:p>
            <w:pPr>
              <w:jc w:val="right"/>
              <w:ind w:right="330"/>
              <w:spacing w:after="0"/>
              <w:rPr>
                <w:sz w:val="20"/>
                <w:szCs w:val="20"/>
                <w:color w:val="auto"/>
              </w:rPr>
            </w:pPr>
            <w:r>
              <w:rPr>
                <w:rFonts w:ascii="Times New Roman" w:cs="Times New Roman" w:eastAsia="Times New Roman" w:hAnsi="Times New Roman"/>
                <w:sz w:val="18"/>
                <w:szCs w:val="18"/>
                <w:b w:val="1"/>
                <w:bCs w:val="1"/>
                <w:color w:val="auto"/>
              </w:rPr>
              <w:t>consideration</w:t>
            </w:r>
          </w:p>
        </w:tc>
      </w:tr>
      <w:tr>
        <w:trPr>
          <w:trHeight w:val="223"/>
        </w:trPr>
        <w:tc>
          <w:tcPr>
            <w:tcW w:w="93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Cash</w:t>
            </w:r>
          </w:p>
        </w:tc>
        <w:tc>
          <w:tcPr>
            <w:tcW w:w="260" w:type="dxa"/>
            <w:vAlign w:val="bottom"/>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16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97,846</w:t>
            </w:r>
          </w:p>
        </w:tc>
      </w:tr>
      <w:tr>
        <w:trPr>
          <w:trHeight w:val="230"/>
        </w:trPr>
        <w:tc>
          <w:tcPr>
            <w:tcW w:w="938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Common stock (604 shares)</w:t>
            </w:r>
          </w:p>
        </w:tc>
        <w:tc>
          <w:tcPr>
            <w:tcW w:w="260" w:type="dxa"/>
            <w:vAlign w:val="bottom"/>
            <w:tcBorders>
              <w:bottom w:val="single" w:sz="8" w:color="auto"/>
            </w:tcBorders>
          </w:tcPr>
          <w:p>
            <w:pPr>
              <w:spacing w:after="0"/>
              <w:rPr>
                <w:sz w:val="19"/>
                <w:szCs w:val="19"/>
                <w:color w:val="auto"/>
              </w:rPr>
            </w:pPr>
          </w:p>
        </w:tc>
        <w:tc>
          <w:tcPr>
            <w:tcW w:w="16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97,647</w:t>
            </w:r>
          </w:p>
        </w:tc>
      </w:tr>
      <w:tr>
        <w:trPr>
          <w:trHeight w:val="248"/>
        </w:trPr>
        <w:tc>
          <w:tcPr>
            <w:tcW w:w="938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Total</w:t>
            </w:r>
          </w:p>
        </w:tc>
        <w:tc>
          <w:tcPr>
            <w:tcW w:w="260" w:type="dxa"/>
            <w:vAlign w:val="bottom"/>
            <w:tcBorders>
              <w:bottom w:val="single" w:sz="8" w:color="auto"/>
            </w:tcBorders>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16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195,493</w:t>
            </w:r>
          </w:p>
        </w:tc>
      </w:tr>
      <w:tr>
        <w:trPr>
          <w:trHeight w:val="20"/>
        </w:trPr>
        <w:tc>
          <w:tcPr>
            <w:tcW w:w="938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1600" w:type="dxa"/>
            <w:vAlign w:val="bottom"/>
            <w:tcBorders>
              <w:top w:val="single" w:sz="8" w:color="CCEEFF"/>
              <w:bottom w:val="single" w:sz="8" w:color="auto"/>
            </w:tcBorders>
          </w:tcPr>
          <w:p>
            <w:pPr>
              <w:spacing w:after="0" w:line="20" w:lineRule="exact"/>
              <w:rPr>
                <w:sz w:val="1"/>
                <w:szCs w:val="1"/>
                <w:color w:val="auto"/>
              </w:rPr>
            </w:pPr>
          </w:p>
        </w:tc>
      </w:tr>
    </w:tbl>
    <w:p>
      <w:pPr>
        <w:spacing w:after="0" w:line="333"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We used the acquisition method of accounting and recognized assets at their fair value as of the date of acquisition, with the excess recorded to goodwill. The preliminary fair values of net tangible and intangible assets are management’s estimates based on the information available at the acquisition date and may change over the measurement period, which will end no later than one year from the acquisition date, as additional information is received. The following table summarizes the preliminary acquisition date fair value of net tangible and intangible assets acquired, net of liabilities assumed from Playdots:</w:t>
      </w:r>
    </w:p>
    <w:p>
      <w:pPr>
        <w:spacing w:after="0" w:line="224"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78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20" w:type="dxa"/>
            <w:vAlign w:val="bottom"/>
            <w:vMerge w:val="restart"/>
          </w:tcPr>
          <w:p>
            <w:pPr>
              <w:jc w:val="right"/>
              <w:ind w:right="210"/>
              <w:spacing w:after="0"/>
              <w:rPr>
                <w:sz w:val="20"/>
                <w:szCs w:val="20"/>
                <w:color w:val="auto"/>
              </w:rPr>
            </w:pPr>
            <w:r>
              <w:rPr>
                <w:rFonts w:ascii="Times New Roman" w:cs="Times New Roman" w:eastAsia="Times New Roman" w:hAnsi="Times New Roman"/>
                <w:sz w:val="18"/>
                <w:szCs w:val="18"/>
                <w:b w:val="1"/>
                <w:bCs w:val="1"/>
                <w:color w:val="auto"/>
              </w:rPr>
              <w:t>Fair Value</w:t>
            </w:r>
          </w:p>
        </w:tc>
        <w:tc>
          <w:tcPr>
            <w:tcW w:w="196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Weighted average useful</w:t>
            </w:r>
          </w:p>
        </w:tc>
        <w:tc>
          <w:tcPr>
            <w:tcW w:w="0" w:type="dxa"/>
            <w:vAlign w:val="bottom"/>
          </w:tcPr>
          <w:p>
            <w:pPr>
              <w:spacing w:after="0"/>
              <w:rPr>
                <w:sz w:val="1"/>
                <w:szCs w:val="1"/>
                <w:color w:val="auto"/>
              </w:rPr>
            </w:pPr>
          </w:p>
        </w:tc>
      </w:tr>
      <w:tr>
        <w:trPr>
          <w:trHeight w:val="229"/>
        </w:trPr>
        <w:tc>
          <w:tcPr>
            <w:tcW w:w="7860" w:type="dxa"/>
            <w:vAlign w:val="bottom"/>
            <w:tcBorders>
              <w:bottom w:val="single" w:sz="8" w:color="CCEEFF"/>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vMerge w:val="continue"/>
          </w:tcPr>
          <w:p>
            <w:pPr>
              <w:spacing w:after="0"/>
              <w:rPr>
                <w:sz w:val="19"/>
                <w:szCs w:val="19"/>
                <w:color w:val="auto"/>
              </w:rPr>
            </w:pPr>
          </w:p>
        </w:tc>
        <w:tc>
          <w:tcPr>
            <w:tcW w:w="19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life</w:t>
            </w:r>
          </w:p>
        </w:tc>
        <w:tc>
          <w:tcPr>
            <w:tcW w:w="0" w:type="dxa"/>
            <w:vAlign w:val="bottom"/>
          </w:tcPr>
          <w:p>
            <w:pPr>
              <w:spacing w:after="0"/>
              <w:rPr>
                <w:sz w:val="1"/>
                <w:szCs w:val="1"/>
                <w:color w:val="auto"/>
              </w:rPr>
            </w:pPr>
          </w:p>
        </w:tc>
      </w:tr>
      <w:tr>
        <w:trPr>
          <w:trHeight w:val="223"/>
        </w:trPr>
        <w:tc>
          <w:tcPr>
            <w:tcW w:w="78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Cash acquired</w:t>
            </w:r>
          </w:p>
        </w:tc>
        <w:tc>
          <w:tcPr>
            <w:tcW w:w="20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12,098</w:t>
            </w:r>
          </w:p>
        </w:tc>
        <w:tc>
          <w:tcPr>
            <w:tcW w:w="196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rPr>
              <w:t>N/A</w:t>
            </w:r>
          </w:p>
        </w:tc>
        <w:tc>
          <w:tcPr>
            <w:tcW w:w="0" w:type="dxa"/>
            <w:vAlign w:val="bottom"/>
          </w:tcPr>
          <w:p>
            <w:pPr>
              <w:spacing w:after="0"/>
              <w:rPr>
                <w:sz w:val="1"/>
                <w:szCs w:val="1"/>
                <w:color w:val="auto"/>
              </w:rPr>
            </w:pPr>
          </w:p>
        </w:tc>
      </w:tr>
      <w:tr>
        <w:trPr>
          <w:trHeight w:val="229"/>
        </w:trPr>
        <w:tc>
          <w:tcPr>
            <w:tcW w:w="78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Other tangible net assets</w:t>
            </w:r>
          </w:p>
        </w:tc>
        <w:tc>
          <w:tcPr>
            <w:tcW w:w="20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8,206</w:t>
            </w:r>
          </w:p>
        </w:tc>
        <w:tc>
          <w:tcPr>
            <w:tcW w:w="196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N/A</w:t>
            </w:r>
          </w:p>
        </w:tc>
        <w:tc>
          <w:tcPr>
            <w:tcW w:w="0" w:type="dxa"/>
            <w:vAlign w:val="bottom"/>
          </w:tcPr>
          <w:p>
            <w:pPr>
              <w:spacing w:after="0"/>
              <w:rPr>
                <w:sz w:val="1"/>
                <w:szCs w:val="1"/>
                <w:color w:val="auto"/>
              </w:rPr>
            </w:pPr>
          </w:p>
        </w:tc>
      </w:tr>
      <w:tr>
        <w:trPr>
          <w:trHeight w:val="230"/>
        </w:trPr>
        <w:tc>
          <w:tcPr>
            <w:tcW w:w="78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Other liabilities assumed</w:t>
            </w:r>
          </w:p>
        </w:tc>
        <w:tc>
          <w:tcPr>
            <w:tcW w:w="200" w:type="dxa"/>
            <w:vAlign w:val="bottom"/>
            <w:shd w:val="clear" w:color="auto" w:fill="CCEEFF"/>
          </w:tcPr>
          <w:p>
            <w:pPr>
              <w:spacing w:after="0"/>
              <w:rPr>
                <w:sz w:val="19"/>
                <w:szCs w:val="19"/>
                <w:color w:val="auto"/>
              </w:rPr>
            </w:pP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(24,680)</w:t>
            </w:r>
          </w:p>
        </w:tc>
        <w:tc>
          <w:tcPr>
            <w:tcW w:w="196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rPr>
              <w:t>N/A</w:t>
            </w:r>
          </w:p>
        </w:tc>
        <w:tc>
          <w:tcPr>
            <w:tcW w:w="0" w:type="dxa"/>
            <w:vAlign w:val="bottom"/>
          </w:tcPr>
          <w:p>
            <w:pPr>
              <w:spacing w:after="0"/>
              <w:rPr>
                <w:sz w:val="1"/>
                <w:szCs w:val="1"/>
                <w:color w:val="auto"/>
              </w:rPr>
            </w:pPr>
          </w:p>
        </w:tc>
      </w:tr>
      <w:tr>
        <w:trPr>
          <w:trHeight w:val="229"/>
        </w:trPr>
        <w:tc>
          <w:tcPr>
            <w:tcW w:w="78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Intangible Assets</w:t>
            </w:r>
          </w:p>
        </w:tc>
        <w:tc>
          <w:tcPr>
            <w:tcW w:w="2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9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86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Developed game technology</w:t>
            </w:r>
          </w:p>
        </w:tc>
        <w:tc>
          <w:tcPr>
            <w:tcW w:w="200" w:type="dxa"/>
            <w:vAlign w:val="bottom"/>
            <w:shd w:val="clear" w:color="auto" w:fill="CCEEFF"/>
          </w:tcPr>
          <w:p>
            <w:pPr>
              <w:spacing w:after="0"/>
              <w:rPr>
                <w:sz w:val="19"/>
                <w:szCs w:val="19"/>
                <w:color w:val="auto"/>
              </w:rPr>
            </w:pP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69,000</w:t>
            </w:r>
          </w:p>
        </w:tc>
        <w:tc>
          <w:tcPr>
            <w:tcW w:w="196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88"/>
              </w:rPr>
              <w:t>6</w:t>
            </w:r>
          </w:p>
        </w:tc>
        <w:tc>
          <w:tcPr>
            <w:tcW w:w="0" w:type="dxa"/>
            <w:vAlign w:val="bottom"/>
          </w:tcPr>
          <w:p>
            <w:pPr>
              <w:spacing w:after="0"/>
              <w:rPr>
                <w:sz w:val="1"/>
                <w:szCs w:val="1"/>
                <w:color w:val="auto"/>
              </w:rPr>
            </w:pPr>
          </w:p>
        </w:tc>
      </w:tr>
      <w:tr>
        <w:trPr>
          <w:trHeight w:val="229"/>
        </w:trPr>
        <w:tc>
          <w:tcPr>
            <w:tcW w:w="786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User base</w:t>
            </w:r>
          </w:p>
        </w:tc>
        <w:tc>
          <w:tcPr>
            <w:tcW w:w="20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6,200</w:t>
            </w:r>
          </w:p>
        </w:tc>
        <w:tc>
          <w:tcPr>
            <w:tcW w:w="196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88"/>
              </w:rPr>
              <w:t>1</w:t>
            </w:r>
          </w:p>
        </w:tc>
        <w:tc>
          <w:tcPr>
            <w:tcW w:w="0" w:type="dxa"/>
            <w:vAlign w:val="bottom"/>
          </w:tcPr>
          <w:p>
            <w:pPr>
              <w:spacing w:after="0"/>
              <w:rPr>
                <w:sz w:val="1"/>
                <w:szCs w:val="1"/>
                <w:color w:val="auto"/>
              </w:rPr>
            </w:pPr>
          </w:p>
        </w:tc>
      </w:tr>
      <w:tr>
        <w:trPr>
          <w:trHeight w:val="230"/>
        </w:trPr>
        <w:tc>
          <w:tcPr>
            <w:tcW w:w="786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Branding and trade names</w:t>
            </w:r>
          </w:p>
        </w:tc>
        <w:tc>
          <w:tcPr>
            <w:tcW w:w="200" w:type="dxa"/>
            <w:vAlign w:val="bottom"/>
            <w:shd w:val="clear" w:color="auto" w:fill="CCEEFF"/>
          </w:tcPr>
          <w:p>
            <w:pPr>
              <w:spacing w:after="0"/>
              <w:rPr>
                <w:sz w:val="19"/>
                <w:szCs w:val="19"/>
                <w:color w:val="auto"/>
              </w:rPr>
            </w:pP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3,400</w:t>
            </w:r>
          </w:p>
        </w:tc>
        <w:tc>
          <w:tcPr>
            <w:tcW w:w="196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88"/>
              </w:rPr>
              <w:t>8</w:t>
            </w:r>
          </w:p>
        </w:tc>
        <w:tc>
          <w:tcPr>
            <w:tcW w:w="0" w:type="dxa"/>
            <w:vAlign w:val="bottom"/>
          </w:tcPr>
          <w:p>
            <w:pPr>
              <w:spacing w:after="0"/>
              <w:rPr>
                <w:sz w:val="1"/>
                <w:szCs w:val="1"/>
                <w:color w:val="auto"/>
              </w:rPr>
            </w:pPr>
          </w:p>
        </w:tc>
      </w:tr>
      <w:tr>
        <w:trPr>
          <w:trHeight w:val="230"/>
        </w:trPr>
        <w:tc>
          <w:tcPr>
            <w:tcW w:w="786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Game engine technology</w:t>
            </w:r>
          </w:p>
        </w:tc>
        <w:tc>
          <w:tcPr>
            <w:tcW w:w="20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2,200</w:t>
            </w:r>
          </w:p>
        </w:tc>
        <w:tc>
          <w:tcPr>
            <w:tcW w:w="196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88"/>
              </w:rPr>
              <w:t>4</w:t>
            </w:r>
          </w:p>
        </w:tc>
        <w:tc>
          <w:tcPr>
            <w:tcW w:w="0" w:type="dxa"/>
            <w:vAlign w:val="bottom"/>
          </w:tcPr>
          <w:p>
            <w:pPr>
              <w:spacing w:after="0"/>
              <w:rPr>
                <w:sz w:val="1"/>
                <w:szCs w:val="1"/>
                <w:color w:val="auto"/>
              </w:rPr>
            </w:pPr>
          </w:p>
        </w:tc>
      </w:tr>
      <w:tr>
        <w:trPr>
          <w:trHeight w:val="230"/>
        </w:trPr>
        <w:tc>
          <w:tcPr>
            <w:tcW w:w="786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8"/>
                <w:szCs w:val="18"/>
                <w:color w:val="auto"/>
              </w:rPr>
              <w:t>Goodwill</w:t>
            </w:r>
          </w:p>
        </w:tc>
        <w:tc>
          <w:tcPr>
            <w:tcW w:w="200" w:type="dxa"/>
            <w:vAlign w:val="bottom"/>
            <w:tcBorders>
              <w:bottom w:val="single" w:sz="8" w:color="auto"/>
            </w:tcBorders>
            <w:shd w:val="clear" w:color="auto" w:fill="CCEEFF"/>
          </w:tcPr>
          <w:p>
            <w:pPr>
              <w:spacing w:after="0"/>
              <w:rPr>
                <w:sz w:val="19"/>
                <w:szCs w:val="19"/>
                <w:color w:val="auto"/>
              </w:rPr>
            </w:pPr>
          </w:p>
        </w:tc>
        <w:tc>
          <w:tcPr>
            <w:tcW w:w="12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119,069</w:t>
            </w:r>
          </w:p>
        </w:tc>
        <w:tc>
          <w:tcPr>
            <w:tcW w:w="196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rPr>
              <w:t>N/A</w:t>
            </w:r>
          </w:p>
        </w:tc>
        <w:tc>
          <w:tcPr>
            <w:tcW w:w="0" w:type="dxa"/>
            <w:vAlign w:val="bottom"/>
          </w:tcPr>
          <w:p>
            <w:pPr>
              <w:spacing w:after="0"/>
              <w:rPr>
                <w:sz w:val="1"/>
                <w:szCs w:val="1"/>
                <w:color w:val="auto"/>
              </w:rPr>
            </w:pPr>
          </w:p>
        </w:tc>
      </w:tr>
      <w:tr>
        <w:trPr>
          <w:trHeight w:val="223"/>
        </w:trPr>
        <w:tc>
          <w:tcPr>
            <w:tcW w:w="78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Total</w:t>
            </w:r>
          </w:p>
        </w:tc>
        <w:tc>
          <w:tcPr>
            <w:tcW w:w="20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12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195,493</w:t>
            </w:r>
          </w:p>
        </w:tc>
        <w:tc>
          <w:tcPr>
            <w:tcW w:w="19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8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96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333"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Goodwill, which is not deductible for U.S. income tax purposes, is primarily attributable to the assembled workforce of the acquired business and expected synergies at the time of the acquisition.</w:t>
      </w:r>
    </w:p>
    <w:p>
      <w:pPr>
        <w:spacing w:after="0" w:line="189"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The amounts of revenue and earnings of Playdots included in our Consolidated Statement of Operations from the acquisition date to the period ending December 31, 2020 are as follows:</w:t>
      </w: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6620" w:type="dxa"/>
            <w:vAlign w:val="bottom"/>
          </w:tcPr>
          <w:p>
            <w:pPr>
              <w:spacing w:after="0"/>
              <w:rPr>
                <w:sz w:val="18"/>
                <w:szCs w:val="18"/>
                <w:color w:val="auto"/>
              </w:rPr>
            </w:pPr>
          </w:p>
        </w:tc>
        <w:tc>
          <w:tcPr>
            <w:tcW w:w="2500" w:type="dxa"/>
            <w:vAlign w:val="bottom"/>
          </w:tcPr>
          <w:p>
            <w:pPr>
              <w:jc w:val="center"/>
              <w:ind w:right="90"/>
              <w:spacing w:after="0"/>
              <w:rPr>
                <w:sz w:val="20"/>
                <w:szCs w:val="20"/>
                <w:color w:val="auto"/>
              </w:rPr>
            </w:pPr>
            <w:r>
              <w:rPr>
                <w:rFonts w:ascii="Times New Roman" w:cs="Times New Roman" w:eastAsia="Times New Roman" w:hAnsi="Times New Roman"/>
                <w:sz w:val="18"/>
                <w:szCs w:val="18"/>
                <w:b w:val="1"/>
                <w:bCs w:val="1"/>
                <w:color w:val="auto"/>
                <w:w w:val="99"/>
              </w:rPr>
              <w:t>Three Months Ended</w:t>
            </w:r>
          </w:p>
        </w:tc>
        <w:tc>
          <w:tcPr>
            <w:tcW w:w="2120" w:type="dxa"/>
            <w:vAlign w:val="bottom"/>
          </w:tcPr>
          <w:p>
            <w:pPr>
              <w:jc w:val="center"/>
              <w:ind w:right="90"/>
              <w:spacing w:after="0"/>
              <w:rPr>
                <w:sz w:val="20"/>
                <w:szCs w:val="20"/>
                <w:color w:val="auto"/>
              </w:rPr>
            </w:pPr>
            <w:r>
              <w:rPr>
                <w:rFonts w:ascii="Times New Roman" w:cs="Times New Roman" w:eastAsia="Times New Roman" w:hAnsi="Times New Roman"/>
                <w:sz w:val="18"/>
                <w:szCs w:val="18"/>
                <w:b w:val="1"/>
                <w:bCs w:val="1"/>
                <w:color w:val="auto"/>
                <w:w w:val="99"/>
              </w:rPr>
              <w:t>Nine Months Ended</w:t>
            </w:r>
          </w:p>
        </w:tc>
      </w:tr>
      <w:tr>
        <w:trPr>
          <w:trHeight w:val="230"/>
        </w:trPr>
        <w:tc>
          <w:tcPr>
            <w:tcW w:w="6620" w:type="dxa"/>
            <w:vAlign w:val="bottom"/>
            <w:tcBorders>
              <w:bottom w:val="single" w:sz="8" w:color="CCEEFF"/>
            </w:tcBorders>
          </w:tcPr>
          <w:p>
            <w:pPr>
              <w:spacing w:after="0"/>
              <w:rPr>
                <w:sz w:val="19"/>
                <w:szCs w:val="19"/>
                <w:color w:val="auto"/>
              </w:rPr>
            </w:pPr>
          </w:p>
        </w:tc>
        <w:tc>
          <w:tcPr>
            <w:tcW w:w="2500" w:type="dxa"/>
            <w:vAlign w:val="bottom"/>
            <w:tcBorders>
              <w:bottom w:val="single" w:sz="8" w:color="auto"/>
            </w:tcBorders>
          </w:tcPr>
          <w:p>
            <w:pPr>
              <w:jc w:val="center"/>
              <w:ind w:right="90"/>
              <w:spacing w:after="0"/>
              <w:rPr>
                <w:sz w:val="20"/>
                <w:szCs w:val="20"/>
                <w:color w:val="auto"/>
              </w:rPr>
            </w:pPr>
            <w:r>
              <w:rPr>
                <w:rFonts w:ascii="Times New Roman" w:cs="Times New Roman" w:eastAsia="Times New Roman" w:hAnsi="Times New Roman"/>
                <w:sz w:val="18"/>
                <w:szCs w:val="18"/>
                <w:b w:val="1"/>
                <w:bCs w:val="1"/>
                <w:color w:val="auto"/>
                <w:w w:val="98"/>
              </w:rPr>
              <w:t>December 31, 2020</w:t>
            </w:r>
          </w:p>
        </w:tc>
        <w:tc>
          <w:tcPr>
            <w:tcW w:w="2120" w:type="dxa"/>
            <w:vAlign w:val="bottom"/>
            <w:tcBorders>
              <w:bottom w:val="single" w:sz="8" w:color="auto"/>
            </w:tcBorders>
          </w:tcPr>
          <w:p>
            <w:pPr>
              <w:jc w:val="center"/>
              <w:ind w:right="90"/>
              <w:spacing w:after="0"/>
              <w:rPr>
                <w:sz w:val="20"/>
                <w:szCs w:val="20"/>
                <w:color w:val="auto"/>
              </w:rPr>
            </w:pPr>
            <w:r>
              <w:rPr>
                <w:rFonts w:ascii="Times New Roman" w:cs="Times New Roman" w:eastAsia="Times New Roman" w:hAnsi="Times New Roman"/>
                <w:sz w:val="18"/>
                <w:szCs w:val="18"/>
                <w:b w:val="1"/>
                <w:bCs w:val="1"/>
                <w:color w:val="auto"/>
              </w:rPr>
              <w:t>December 31, 2020</w:t>
            </w:r>
          </w:p>
        </w:tc>
      </w:tr>
      <w:tr>
        <w:trPr>
          <w:trHeight w:val="223"/>
        </w:trPr>
        <w:tc>
          <w:tcPr>
            <w:tcW w:w="66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Net revenue</w:t>
            </w:r>
          </w:p>
        </w:tc>
        <w:tc>
          <w:tcPr>
            <w:tcW w:w="2500" w:type="dxa"/>
            <w:vAlign w:val="bottom"/>
            <w:shd w:val="clear" w:color="auto" w:fill="CCEEFF"/>
          </w:tcPr>
          <w:p>
            <w:pPr>
              <w:jc w:val="right"/>
              <w:ind w:right="170"/>
              <w:spacing w:after="0"/>
              <w:rPr>
                <w:sz w:val="20"/>
                <w:szCs w:val="20"/>
                <w:color w:val="auto"/>
              </w:rPr>
            </w:pPr>
            <w:r>
              <w:rPr>
                <w:rFonts w:ascii="Times New Roman" w:cs="Times New Roman" w:eastAsia="Times New Roman" w:hAnsi="Times New Roman"/>
                <w:sz w:val="18"/>
                <w:szCs w:val="18"/>
                <w:color w:val="auto"/>
              </w:rPr>
              <w:t>7,269</w:t>
            </w:r>
          </w:p>
        </w:tc>
        <w:tc>
          <w:tcPr>
            <w:tcW w:w="2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8,503</w:t>
            </w:r>
          </w:p>
        </w:tc>
      </w:tr>
      <w:tr>
        <w:trPr>
          <w:trHeight w:val="234"/>
        </w:trPr>
        <w:tc>
          <w:tcPr>
            <w:tcW w:w="66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Net income (loss)</w:t>
            </w:r>
          </w:p>
        </w:tc>
        <w:tc>
          <w:tcPr>
            <w:tcW w:w="2500" w:type="dxa"/>
            <w:vAlign w:val="bottom"/>
          </w:tcPr>
          <w:p>
            <w:pPr>
              <w:jc w:val="right"/>
              <w:ind w:right="130"/>
              <w:spacing w:after="0"/>
              <w:rPr>
                <w:sz w:val="20"/>
                <w:szCs w:val="20"/>
                <w:color w:val="auto"/>
              </w:rPr>
            </w:pPr>
            <w:r>
              <w:rPr>
                <w:rFonts w:ascii="Times New Roman" w:cs="Times New Roman" w:eastAsia="Times New Roman" w:hAnsi="Times New Roman"/>
                <w:sz w:val="18"/>
                <w:szCs w:val="18"/>
                <w:color w:val="auto"/>
              </w:rPr>
              <w:t>(12,368)</w:t>
            </w:r>
          </w:p>
        </w:tc>
        <w:tc>
          <w:tcPr>
            <w:tcW w:w="21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(18,417)</w:t>
            </w:r>
          </w:p>
        </w:tc>
      </w:tr>
    </w:tbl>
    <w:p>
      <w:pPr>
        <w:spacing w:after="0" w:line="328"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The following table summarizes the pro-forma consolidated results of operations (unaudited) for the three and nine months ended December 31, 2020 and 2019, as though the acquisition had occurred on April 1, 2019, the beginning of Fiscal 2020, and Playdots had been included in our consolidated results for the entire periods subsequent to that date.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4" w:right="339" w:bottom="1440" w:gutter="0" w:footer="0" w:header="0"/>
        </w:sectPr>
      </w:pPr>
    </w:p>
    <w:bookmarkStart w:id="21" w:name="page22"/>
    <w:bookmarkEnd w:id="21"/>
    <w:tbl>
      <w:tblPr>
        <w:tblLayout w:type="fixed"/>
        <w:tblInd w:w="0" w:type="dxa"/>
        <w:tblCellMar>
          <w:top w:w="0" w:type="dxa"/>
          <w:left w:w="0" w:type="dxa"/>
          <w:bottom w:w="0" w:type="dxa"/>
          <w:right w:w="0" w:type="dxa"/>
        </w:tblCellMar>
      </w:tblPr>
      <w:tr>
        <w:trPr>
          <w:trHeight w:val="234"/>
        </w:trPr>
        <w:tc>
          <w:tcPr>
            <w:tcW w:w="3580" w:type="dxa"/>
            <w:vAlign w:val="bottom"/>
          </w:tcPr>
          <w:p>
            <w:pPr>
              <w:spacing w:after="0"/>
              <w:rPr>
                <w:rFonts w:ascii="Times New Roman" w:cs="Times New Roman" w:eastAsia="Times New Roman" w:hAnsi="Times New Roman"/>
                <w:sz w:val="18"/>
                <w:szCs w:val="18"/>
                <w:u w:val="single" w:color="auto"/>
                <w:color w:val="0000FF"/>
              </w:rPr>
            </w:pPr>
            <w:hyperlink w:anchor="page1">
              <w:r>
                <w:rPr>
                  <w:rFonts w:ascii="Times New Roman" w:cs="Times New Roman" w:eastAsia="Times New Roman" w:hAnsi="Times New Roman"/>
                  <w:sz w:val="18"/>
                  <w:szCs w:val="18"/>
                  <w:u w:val="single" w:color="auto"/>
                  <w:color w:val="0000FF"/>
                </w:rPr>
                <w:t>Table of Contents</w:t>
              </w:r>
            </w:hyperlink>
          </w:p>
        </w:tc>
        <w:tc>
          <w:tcPr>
            <w:tcW w:w="11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56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4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80" w:type="dxa"/>
            <w:vAlign w:val="bottom"/>
          </w:tcPr>
          <w:p>
            <w:pPr>
              <w:spacing w:after="0"/>
              <w:rPr>
                <w:sz w:val="20"/>
                <w:szCs w:val="20"/>
                <w:color w:val="auto"/>
              </w:rPr>
            </w:pPr>
          </w:p>
        </w:tc>
      </w:tr>
      <w:tr>
        <w:trPr>
          <w:trHeight w:val="558"/>
        </w:trPr>
        <w:tc>
          <w:tcPr>
            <w:tcW w:w="3580" w:type="dxa"/>
            <w:vAlign w:val="bottom"/>
          </w:tcPr>
          <w:p>
            <w:pPr>
              <w:spacing w:after="0"/>
              <w:rPr>
                <w:sz w:val="24"/>
                <w:szCs w:val="24"/>
                <w:color w:val="auto"/>
              </w:rPr>
            </w:pPr>
          </w:p>
        </w:tc>
        <w:tc>
          <w:tcPr>
            <w:tcW w:w="3460" w:type="dxa"/>
            <w:vAlign w:val="bottom"/>
            <w:gridSpan w:val="4"/>
          </w:tcPr>
          <w:p>
            <w:pPr>
              <w:jc w:val="right"/>
              <w:spacing w:after="0"/>
              <w:rPr>
                <w:sz w:val="20"/>
                <w:szCs w:val="20"/>
                <w:color w:val="auto"/>
              </w:rPr>
            </w:pPr>
            <w:r>
              <w:rPr>
                <w:rFonts w:ascii="Times New Roman" w:cs="Times New Roman" w:eastAsia="Times New Roman" w:hAnsi="Times New Roman"/>
                <w:sz w:val="18"/>
                <w:szCs w:val="18"/>
                <w:b w:val="1"/>
                <w:bCs w:val="1"/>
                <w:color w:val="auto"/>
              </w:rPr>
              <w:t>Three Months Ended December 31,</w:t>
            </w:r>
          </w:p>
        </w:tc>
        <w:tc>
          <w:tcPr>
            <w:tcW w:w="6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180" w:type="dxa"/>
            <w:vAlign w:val="bottom"/>
            <w:gridSpan w:val="4"/>
          </w:tcPr>
          <w:p>
            <w:pPr>
              <w:jc w:val="right"/>
              <w:ind w:right="310"/>
              <w:spacing w:after="0"/>
              <w:rPr>
                <w:sz w:val="20"/>
                <w:szCs w:val="20"/>
                <w:color w:val="auto"/>
              </w:rPr>
            </w:pPr>
            <w:r>
              <w:rPr>
                <w:rFonts w:ascii="Times New Roman" w:cs="Times New Roman" w:eastAsia="Times New Roman" w:hAnsi="Times New Roman"/>
                <w:sz w:val="18"/>
                <w:szCs w:val="18"/>
                <w:b w:val="1"/>
                <w:bCs w:val="1"/>
                <w:color w:val="auto"/>
              </w:rPr>
              <w:t>Nine Months Ended December 31,</w:t>
            </w:r>
          </w:p>
        </w:tc>
      </w:tr>
      <w:tr>
        <w:trPr>
          <w:trHeight w:val="238"/>
        </w:trPr>
        <w:tc>
          <w:tcPr>
            <w:tcW w:w="3580" w:type="dxa"/>
            <w:vAlign w:val="bottom"/>
            <w:tcBorders>
              <w:bottom w:val="single" w:sz="8" w:color="CCEEFF"/>
            </w:tcBorders>
          </w:tcPr>
          <w:p>
            <w:pPr>
              <w:spacing w:after="0"/>
              <w:rPr>
                <w:sz w:val="20"/>
                <w:szCs w:val="20"/>
                <w:color w:val="auto"/>
              </w:rPr>
            </w:pPr>
          </w:p>
        </w:tc>
        <w:tc>
          <w:tcPr>
            <w:tcW w:w="1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2020</w:t>
            </w:r>
          </w:p>
        </w:tc>
        <w:tc>
          <w:tcPr>
            <w:tcW w:w="700" w:type="dxa"/>
            <w:vAlign w:val="bottom"/>
            <w:tcBorders>
              <w:bottom w:val="single" w:sz="8" w:color="auto"/>
            </w:tcBorders>
          </w:tcPr>
          <w:p>
            <w:pPr>
              <w:spacing w:after="0"/>
              <w:rPr>
                <w:sz w:val="20"/>
                <w:szCs w:val="20"/>
                <w:color w:val="auto"/>
              </w:rPr>
            </w:pPr>
          </w:p>
        </w:tc>
        <w:tc>
          <w:tcPr>
            <w:tcW w:w="80" w:type="dxa"/>
            <w:vAlign w:val="bottom"/>
            <w:tcBorders>
              <w:bottom w:val="single" w:sz="8" w:color="CCEEFF"/>
            </w:tcBorders>
          </w:tcPr>
          <w:p>
            <w:pPr>
              <w:spacing w:after="0"/>
              <w:rPr>
                <w:sz w:val="20"/>
                <w:szCs w:val="20"/>
                <w:color w:val="auto"/>
              </w:rPr>
            </w:pPr>
          </w:p>
        </w:tc>
        <w:tc>
          <w:tcPr>
            <w:tcW w:w="1560" w:type="dxa"/>
            <w:vAlign w:val="bottom"/>
            <w:tcBorders>
              <w:bottom w:val="single" w:sz="8" w:color="auto"/>
            </w:tcBorders>
          </w:tcPr>
          <w:p>
            <w:pPr>
              <w:jc w:val="right"/>
              <w:ind w:right="170"/>
              <w:spacing w:after="0"/>
              <w:rPr>
                <w:sz w:val="20"/>
                <w:szCs w:val="20"/>
                <w:color w:val="auto"/>
              </w:rPr>
            </w:pPr>
            <w:r>
              <w:rPr>
                <w:rFonts w:ascii="Times New Roman" w:cs="Times New Roman" w:eastAsia="Times New Roman" w:hAnsi="Times New Roman"/>
                <w:sz w:val="18"/>
                <w:szCs w:val="18"/>
                <w:b w:val="1"/>
                <w:bCs w:val="1"/>
                <w:color w:val="auto"/>
              </w:rPr>
              <w:t>2019</w:t>
            </w:r>
          </w:p>
        </w:tc>
        <w:tc>
          <w:tcPr>
            <w:tcW w:w="680" w:type="dxa"/>
            <w:vAlign w:val="bottom"/>
            <w:tcBorders>
              <w:bottom w:val="single" w:sz="8" w:color="auto"/>
            </w:tcBorders>
          </w:tcPr>
          <w:p>
            <w:pPr>
              <w:spacing w:after="0"/>
              <w:rPr>
                <w:sz w:val="20"/>
                <w:szCs w:val="20"/>
                <w:color w:val="auto"/>
              </w:rPr>
            </w:pPr>
          </w:p>
        </w:tc>
        <w:tc>
          <w:tcPr>
            <w:tcW w:w="100" w:type="dxa"/>
            <w:vAlign w:val="bottom"/>
            <w:tcBorders>
              <w:bottom w:val="single" w:sz="8" w:color="CCEEFF"/>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400" w:type="dxa"/>
            <w:vAlign w:val="bottom"/>
            <w:tcBorders>
              <w:bottom w:val="single" w:sz="8" w:color="auto"/>
            </w:tcBorders>
          </w:tcPr>
          <w:p>
            <w:pPr>
              <w:jc w:val="right"/>
              <w:ind w:right="550"/>
              <w:spacing w:after="0"/>
              <w:rPr>
                <w:sz w:val="20"/>
                <w:szCs w:val="20"/>
                <w:color w:val="auto"/>
              </w:rPr>
            </w:pPr>
            <w:r>
              <w:rPr>
                <w:rFonts w:ascii="Times New Roman" w:cs="Times New Roman" w:eastAsia="Times New Roman" w:hAnsi="Times New Roman"/>
                <w:sz w:val="18"/>
                <w:szCs w:val="18"/>
                <w:b w:val="1"/>
                <w:bCs w:val="1"/>
                <w:color w:val="auto"/>
              </w:rPr>
              <w:t>2020</w:t>
            </w:r>
          </w:p>
        </w:tc>
        <w:tc>
          <w:tcPr>
            <w:tcW w:w="140" w:type="dxa"/>
            <w:vAlign w:val="bottom"/>
            <w:tcBorders>
              <w:bottom w:val="single" w:sz="8" w:color="CCEEFF"/>
            </w:tcBorders>
          </w:tcPr>
          <w:p>
            <w:pPr>
              <w:spacing w:after="0"/>
              <w:rPr>
                <w:sz w:val="20"/>
                <w:szCs w:val="20"/>
                <w:color w:val="auto"/>
              </w:rPr>
            </w:pPr>
          </w:p>
        </w:tc>
        <w:tc>
          <w:tcPr>
            <w:tcW w:w="360" w:type="dxa"/>
            <w:vAlign w:val="bottom"/>
            <w:tcBorders>
              <w:bottom w:val="single" w:sz="8" w:color="auto"/>
            </w:tcBorders>
          </w:tcPr>
          <w:p>
            <w:pPr>
              <w:spacing w:after="0"/>
              <w:rPr>
                <w:sz w:val="20"/>
                <w:szCs w:val="20"/>
                <w:color w:val="auto"/>
              </w:rPr>
            </w:pPr>
          </w:p>
        </w:tc>
        <w:tc>
          <w:tcPr>
            <w:tcW w:w="1280" w:type="dxa"/>
            <w:vAlign w:val="bottom"/>
            <w:tcBorders>
              <w:bottom w:val="single" w:sz="8" w:color="auto"/>
            </w:tcBorders>
          </w:tcPr>
          <w:p>
            <w:pPr>
              <w:jc w:val="right"/>
              <w:ind w:right="550"/>
              <w:spacing w:after="0"/>
              <w:rPr>
                <w:sz w:val="20"/>
                <w:szCs w:val="20"/>
                <w:color w:val="auto"/>
              </w:rPr>
            </w:pPr>
            <w:r>
              <w:rPr>
                <w:rFonts w:ascii="Times New Roman" w:cs="Times New Roman" w:eastAsia="Times New Roman" w:hAnsi="Times New Roman"/>
                <w:sz w:val="18"/>
                <w:szCs w:val="18"/>
                <w:b w:val="1"/>
                <w:bCs w:val="1"/>
                <w:color w:val="auto"/>
              </w:rPr>
              <w:t>2019</w:t>
            </w:r>
          </w:p>
        </w:tc>
      </w:tr>
      <w:tr>
        <w:trPr>
          <w:trHeight w:val="223"/>
        </w:trPr>
        <w:tc>
          <w:tcPr>
            <w:tcW w:w="35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Pro-forma Net revenue</w:t>
            </w:r>
          </w:p>
        </w:tc>
        <w:tc>
          <w:tcPr>
            <w:tcW w:w="1120" w:type="dxa"/>
            <w:vAlign w:val="bottom"/>
            <w:shd w:val="clear" w:color="auto" w:fill="CCEEFF"/>
          </w:tcPr>
          <w:p>
            <w:pPr>
              <w:jc w:val="right"/>
              <w:ind w:right="910"/>
              <w:spacing w:after="0"/>
              <w:rPr>
                <w:sz w:val="20"/>
                <w:szCs w:val="20"/>
                <w:color w:val="auto"/>
              </w:rPr>
            </w:pPr>
            <w:r>
              <w:rPr>
                <w:rFonts w:ascii="Times New Roman" w:cs="Times New Roman" w:eastAsia="Times New Roman" w:hAnsi="Times New Roman"/>
                <w:sz w:val="18"/>
                <w:szCs w:val="18"/>
                <w:b w:val="1"/>
                <w:bCs w:val="1"/>
                <w:color w:val="auto"/>
              </w:rPr>
              <w:t>$</w:t>
            </w: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860,000</w:t>
            </w:r>
          </w:p>
        </w:tc>
        <w:tc>
          <w:tcPr>
            <w:tcW w:w="80" w:type="dxa"/>
            <w:vAlign w:val="bottom"/>
            <w:shd w:val="clear" w:color="auto" w:fill="CCEEFF"/>
          </w:tcPr>
          <w:p>
            <w:pPr>
              <w:spacing w:after="0"/>
              <w:rPr>
                <w:sz w:val="19"/>
                <w:szCs w:val="19"/>
                <w:color w:val="auto"/>
              </w:rPr>
            </w:pPr>
          </w:p>
        </w:tc>
        <w:tc>
          <w:tcPr>
            <w:tcW w:w="1560" w:type="dxa"/>
            <w:vAlign w:val="bottom"/>
            <w:shd w:val="clear" w:color="auto" w:fill="CCEEFF"/>
          </w:tcPr>
          <w:p>
            <w:pPr>
              <w:jc w:val="right"/>
              <w:ind w:right="1350"/>
              <w:spacing w:after="0"/>
              <w:rPr>
                <w:sz w:val="20"/>
                <w:szCs w:val="20"/>
                <w:color w:val="auto"/>
              </w:rPr>
            </w:pPr>
            <w:r>
              <w:rPr>
                <w:rFonts w:ascii="Times New Roman" w:cs="Times New Roman" w:eastAsia="Times New Roman" w:hAnsi="Times New Roman"/>
                <w:sz w:val="18"/>
                <w:szCs w:val="18"/>
                <w:color w:val="auto"/>
              </w:rPr>
              <w:t>$</w:t>
            </w: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9"/>
              </w:rPr>
              <w:t>937,690</w:t>
            </w: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4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2,553,352</w:t>
            </w:r>
          </w:p>
        </w:tc>
        <w:tc>
          <w:tcPr>
            <w:tcW w:w="140" w:type="dxa"/>
            <w:vAlign w:val="bottom"/>
            <w:shd w:val="clear" w:color="auto" w:fill="CCEEFF"/>
          </w:tcPr>
          <w:p>
            <w:pPr>
              <w:spacing w:after="0"/>
              <w:rPr>
                <w:sz w:val="19"/>
                <w:szCs w:val="19"/>
                <w:color w:val="auto"/>
              </w:rPr>
            </w:pPr>
          </w:p>
        </w:tc>
        <w:tc>
          <w:tcPr>
            <w:tcW w:w="360" w:type="dxa"/>
            <w:vAlign w:val="bottom"/>
            <w:shd w:val="clear" w:color="auto" w:fill="CCEEFF"/>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12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2,341,580</w:t>
            </w:r>
          </w:p>
        </w:tc>
      </w:tr>
      <w:tr>
        <w:trPr>
          <w:trHeight w:val="238"/>
        </w:trPr>
        <w:tc>
          <w:tcPr>
            <w:tcW w:w="35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Pro-forma Net income</w:t>
            </w:r>
          </w:p>
        </w:tc>
        <w:tc>
          <w:tcPr>
            <w:tcW w:w="1120" w:type="dxa"/>
            <w:vAlign w:val="bottom"/>
          </w:tcPr>
          <w:p>
            <w:pPr>
              <w:jc w:val="right"/>
              <w:ind w:right="910"/>
              <w:spacing w:after="0"/>
              <w:rPr>
                <w:sz w:val="20"/>
                <w:szCs w:val="20"/>
                <w:color w:val="auto"/>
              </w:rPr>
            </w:pPr>
            <w:r>
              <w:rPr>
                <w:rFonts w:ascii="Times New Roman" w:cs="Times New Roman" w:eastAsia="Times New Roman" w:hAnsi="Times New Roman"/>
                <w:sz w:val="18"/>
                <w:szCs w:val="18"/>
                <w:b w:val="1"/>
                <w:bCs w:val="1"/>
                <w:color w:val="auto"/>
              </w:rPr>
              <w:t>$</w:t>
            </w: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182,951</w:t>
            </w:r>
          </w:p>
        </w:tc>
        <w:tc>
          <w:tcPr>
            <w:tcW w:w="80" w:type="dxa"/>
            <w:vAlign w:val="bottom"/>
          </w:tcPr>
          <w:p>
            <w:pPr>
              <w:spacing w:after="0"/>
              <w:rPr>
                <w:sz w:val="20"/>
                <w:szCs w:val="20"/>
                <w:color w:val="auto"/>
              </w:rPr>
            </w:pPr>
          </w:p>
        </w:tc>
        <w:tc>
          <w:tcPr>
            <w:tcW w:w="1560" w:type="dxa"/>
            <w:vAlign w:val="bottom"/>
          </w:tcPr>
          <w:p>
            <w:pPr>
              <w:jc w:val="right"/>
              <w:ind w:right="1350"/>
              <w:spacing w:after="0"/>
              <w:rPr>
                <w:sz w:val="20"/>
                <w:szCs w:val="20"/>
                <w:color w:val="auto"/>
              </w:rPr>
            </w:pPr>
            <w:r>
              <w:rPr>
                <w:rFonts w:ascii="Times New Roman" w:cs="Times New Roman" w:eastAsia="Times New Roman" w:hAnsi="Times New Roman"/>
                <w:sz w:val="18"/>
                <w:szCs w:val="18"/>
                <w:color w:val="auto"/>
              </w:rPr>
              <w:t>$</w:t>
            </w: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9"/>
              </w:rPr>
              <w:t>153,691</w:t>
            </w:r>
          </w:p>
        </w:tc>
        <w:tc>
          <w:tcPr>
            <w:tcW w:w="100" w:type="dxa"/>
            <w:vAlign w:val="bottom"/>
          </w:tcPr>
          <w:p>
            <w:pPr>
              <w:spacing w:after="0"/>
              <w:rPr>
                <w:sz w:val="20"/>
                <w:szCs w:val="20"/>
                <w:color w:val="auto"/>
              </w:rPr>
            </w:pPr>
          </w:p>
        </w:tc>
        <w:tc>
          <w:tcPr>
            <w:tcW w:w="240" w:type="dxa"/>
            <w:vAlign w:val="bottom"/>
          </w:tcPr>
          <w:p>
            <w:pPr>
              <w:jc w:val="right"/>
              <w:ind w:right="5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4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360,201</w:t>
            </w:r>
          </w:p>
        </w:tc>
        <w:tc>
          <w:tcPr>
            <w:tcW w:w="140" w:type="dxa"/>
            <w:vAlign w:val="bottom"/>
          </w:tcPr>
          <w:p>
            <w:pPr>
              <w:spacing w:after="0"/>
              <w:rPr>
                <w:sz w:val="20"/>
                <w:szCs w:val="20"/>
                <w:color w:val="auto"/>
              </w:rPr>
            </w:pPr>
          </w:p>
        </w:tc>
        <w:tc>
          <w:tcPr>
            <w:tcW w:w="360" w:type="dxa"/>
            <w:vAlign w:val="bottom"/>
          </w:tcPr>
          <w:p>
            <w:pPr>
              <w:jc w:val="right"/>
              <w:ind w:right="170"/>
              <w:spacing w:after="0"/>
              <w:rPr>
                <w:sz w:val="20"/>
                <w:szCs w:val="20"/>
                <w:color w:val="auto"/>
              </w:rPr>
            </w:pPr>
            <w:r>
              <w:rPr>
                <w:rFonts w:ascii="Times New Roman" w:cs="Times New Roman" w:eastAsia="Times New Roman" w:hAnsi="Times New Roman"/>
                <w:sz w:val="18"/>
                <w:szCs w:val="18"/>
                <w:color w:val="auto"/>
                <w:w w:val="88"/>
              </w:rPr>
              <w:t>$</w:t>
            </w:r>
          </w:p>
        </w:tc>
        <w:tc>
          <w:tcPr>
            <w:tcW w:w="12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247,406</w:t>
            </w:r>
          </w:p>
        </w:tc>
      </w:tr>
    </w:tbl>
    <w:p>
      <w:pPr>
        <w:spacing w:after="0" w:line="324"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The unaudited pro-forma consolidated results above are based on the historical financial statements of the Company and Playdots and not necessarily indicative of the results of operations that would have been achieved if the acquisition was completed at the beginning of Fiscal 2020 and are not indicative of the future operating results of the combined company. The financial information for Playdots prior to the acquisition has been included in the pro-forma results of operations and includes certain adjustments to the historical consolidated financial statements of Playdots to align with our accounting policies. The pro-forma consolidated results of operations also include the business combination accounting effects resulting from the acquisition, including amortization expense related to finite-lived intangible assets acquired and the related tax effects assuming that the business combination occurred on April 1, 2019.</w:t>
      </w:r>
    </w:p>
    <w:p>
      <w:pPr>
        <w:spacing w:after="0" w:line="216"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Transaction costs of $41 and $2,553 for the three and nine months ended December 31, 2020, respectively, which have been recorded within General and administrative expense in our Condensed Consolidated Statements of Operations, have been excluded from the above pro-forma consolidated results of operations due to their non-recurring nature.</w:t>
      </w:r>
    </w:p>
    <w:p>
      <w:pPr>
        <w:spacing w:after="0" w:line="200" w:lineRule="exact"/>
        <w:rPr>
          <w:sz w:val="20"/>
          <w:szCs w:val="20"/>
          <w:color w:val="auto"/>
        </w:rPr>
      </w:pPr>
    </w:p>
    <w:p>
      <w:pPr>
        <w:spacing w:after="0" w:line="31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4" w:right="339" w:bottom="1440" w:gutter="0" w:footer="0" w:header="0"/>
        </w:sectPr>
      </w:pPr>
    </w:p>
    <w:bookmarkStart w:id="22" w:name="page23"/>
    <w:bookmarkEnd w:id="22"/>
    <w:p>
      <w:pPr>
        <w:spacing w:after="0"/>
        <w:rPr>
          <w:rFonts w:ascii="Times New Roman" w:cs="Times New Roman" w:eastAsia="Times New Roman" w:hAnsi="Times New Roman"/>
          <w:sz w:val="18"/>
          <w:szCs w:val="18"/>
          <w:u w:val="single" w:color="auto"/>
          <w:color w:val="0000FF"/>
        </w:rPr>
      </w:pPr>
      <w:hyperlink w:anchor="page1">
        <w:r>
          <w:rPr>
            <w:rFonts w:ascii="Times New Roman" w:cs="Times New Roman" w:eastAsia="Times New Roman" w:hAnsi="Times New Roman"/>
            <w:sz w:val="18"/>
            <w:szCs w:val="18"/>
            <w:u w:val="single" w:color="auto"/>
            <w:color w:val="0000FF"/>
          </w:rPr>
          <w:t>Table of Contents</w:t>
        </w:r>
      </w:hyperlink>
    </w:p>
    <w:p>
      <w:pPr>
        <w:spacing w:after="0" w:line="200" w:lineRule="exact"/>
        <w:rPr>
          <w:sz w:val="20"/>
          <w:szCs w:val="20"/>
          <w:color w:val="auto"/>
        </w:rPr>
      </w:pPr>
    </w:p>
    <w:p>
      <w:pPr>
        <w:spacing w:after="0" w:line="264" w:lineRule="exact"/>
        <w:rPr>
          <w:sz w:val="20"/>
          <w:szCs w:val="20"/>
          <w:color w:val="auto"/>
        </w:rPr>
      </w:pPr>
    </w:p>
    <w:p>
      <w:pPr>
        <w:ind w:right="3680"/>
        <w:spacing w:after="0" w:line="415" w:lineRule="auto"/>
        <w:rPr>
          <w:sz w:val="20"/>
          <w:szCs w:val="20"/>
          <w:color w:val="auto"/>
        </w:rPr>
      </w:pPr>
      <w:r>
        <w:rPr>
          <w:rFonts w:ascii="Times New Roman" w:cs="Times New Roman" w:eastAsia="Times New Roman" w:hAnsi="Times New Roman"/>
          <w:sz w:val="18"/>
          <w:szCs w:val="18"/>
          <w:b w:val="1"/>
          <w:bCs w:val="1"/>
          <w:color w:val="auto"/>
        </w:rPr>
        <w:t>Item 2. Management's Discussion and Analysis of Financial Condition and Results of Operations CAUTIONARY NOTE ABOUT FORWARD-LOOKING STATEMENTS</w:t>
      </w:r>
    </w:p>
    <w:p>
      <w:pPr>
        <w:spacing w:after="0" w:line="2" w:lineRule="exact"/>
        <w:rPr>
          <w:sz w:val="20"/>
          <w:szCs w:val="20"/>
          <w:color w:val="auto"/>
        </w:rPr>
      </w:pPr>
    </w:p>
    <w:p>
      <w:pPr>
        <w:jc w:val="both"/>
        <w:ind w:firstLine="648"/>
        <w:spacing w:after="0" w:line="252" w:lineRule="auto"/>
        <w:rPr>
          <w:sz w:val="20"/>
          <w:szCs w:val="20"/>
          <w:color w:val="auto"/>
        </w:rPr>
      </w:pPr>
      <w:r>
        <w:rPr>
          <w:rFonts w:ascii="Times New Roman" w:cs="Times New Roman" w:eastAsia="Times New Roman" w:hAnsi="Times New Roman"/>
          <w:sz w:val="18"/>
          <w:szCs w:val="18"/>
          <w:i w:val="1"/>
          <w:iCs w:val="1"/>
          <w:color w:val="auto"/>
        </w:rPr>
        <w:t>The statements contained herein, which are not historical facts, are considered forward-looking statements under federal securities laws and may be identified by words such as "anticipates," "believes," "estimates," "expects," "intends," "plans," "potential," "predicts," "projects," "seeks," "should," "will," or words of similar meaning and include, but are not limited to, statements regarding the outlook for our future business and financial performance. Such forward-looking statements are based on the current beliefs of our management as well as assumptions made by and information currently available to them, which are subject to inherent uncertainties, risks, and changes in circumstances that are difficult to predict. Actual outcomes and results may vary materially from these forward-looking statements based on a variety of risks and uncertainties including the uncertainty of the impact of the COVID-19 pandemic and measures taken in response thereto; the effect that measures taken to mitigate the COVID-19 pandemic have on our operations, including our ability to timely deliver our titles and other products, and on the operations of our counterparties, including retailers, including digital storefronts and platform partners, and distributors; the effects of the COVID-19 pandemic on consumer demand and the discretionary spending patterns of our customers; the impact of reductions in interest rates by the Federal Reserve and other central banks, including on our short-term investment portfolio; the impact of potential inflation; volatility in foreign currency exchange rates; other risks included herein; as well as, but not limited to, the risks and uncertainties discussed under the heading "Risk Factors" included in Part I, Item 1A of our Annual Report on Form 10-K for the fiscal year ended March 31, 2020; and our other periodic filings with the Securities and Exchange Commission. All forward-looking statements are qualified by these cautionary statements and speak only as of the date they are made. We undertake no obligation to update any forward-looking statement, whether as a result of new information, future events, or otherwise.</w:t>
      </w:r>
    </w:p>
    <w:p>
      <w:pPr>
        <w:spacing w:after="0" w:line="130"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Our Management's Discussion and Analysis of Financial Condition and Results of Operations ("MD&amp;A") is provided in addition to the accompanying Condensed Consolidated Financial Statements and notes to assist readers in understanding our results of operations, financial condition and cash flows. The following discussion should be read in conjunction with the MD&amp;A and our annual consolidated financial statements and the notes thereto, included in our Annual Report on Form 10-K for the fiscal year ended March 31, 2020.</w:t>
      </w:r>
    </w:p>
    <w:p>
      <w:pPr>
        <w:spacing w:after="0" w:line="9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Overview</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Our Business</w:t>
      </w:r>
    </w:p>
    <w:p>
      <w:pPr>
        <w:spacing w:after="0" w:line="162" w:lineRule="exact"/>
        <w:rPr>
          <w:sz w:val="20"/>
          <w:szCs w:val="20"/>
          <w:color w:val="auto"/>
        </w:rPr>
      </w:pPr>
    </w:p>
    <w:p>
      <w:pPr>
        <w:jc w:val="both"/>
        <w:ind w:firstLine="648"/>
        <w:spacing w:after="0" w:line="242" w:lineRule="auto"/>
        <w:rPr>
          <w:sz w:val="20"/>
          <w:szCs w:val="20"/>
          <w:color w:val="auto"/>
        </w:rPr>
      </w:pPr>
      <w:r>
        <w:rPr>
          <w:rFonts w:ascii="Times New Roman" w:cs="Times New Roman" w:eastAsia="Times New Roman" w:hAnsi="Times New Roman"/>
          <w:sz w:val="18"/>
          <w:szCs w:val="18"/>
          <w:color w:val="auto"/>
        </w:rPr>
        <w:t>We are a leading developer, publisher, and marketer of interactive entertainment for consumers around the globe. We develop and publish products principally through Rockstar Games, 2K, Private Division, Social Point, and Playdots. Our products are currently designed for console gaming systems, such as Sony's PlayStation®4 ("PS4") and PlayStation 5 ("PS5"), Microsoft's Xbox One® ("Xbox One") and Xbox Series X ("Xbox Series X"), and Nintendo's Switch™ ("Switch"), and personal computers ("PC"), including smartphones and tablets. We deliver our products through physical retail, digital download, online platforms, and cloud streaming services.</w:t>
      </w:r>
    </w:p>
    <w:p>
      <w:pPr>
        <w:spacing w:after="0" w:line="104"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We endeavor to be the most creative, innovative, and efficient company in our industry. Our core strategy is to capitalize on the popularity of video games by developing and publishing high-quality interactive entertainment experiences across a range of genres. We focus on building compelling entertainment franchises by publishing a select number of titles for which we can create sequels and incremental revenue opportunities through virtual currency, add-on content, and in-game purchases. Most of our intellectual property is internally owned and developed, which we believe best positions us financially and competitively. We have established a portfolio of proprietary software content for the major hardware platforms in a wide range of genres, including action, adventure, family/casual, racing, role-playing, shooter, sports, and strategy, which we distribute worldwide. We believe that our commitment to creativity and innovation is a distinguishing strength, enabling us to differentiate our products in the marketplace by combining advanced technology with compelling storylines and characters that provide unique gameplay experiences for consumers. We have created, acquired, or licensed a group of highly recognizable brands to match the broad consumer demographics that we serve, ranging from adults to children and game enthusiasts to casual gamers. Another cornerstone of our strategy is to support the success of our products in the marketplace through innovative marketing programs and global distribution on platforms and through channels that are relevant to our target audience.</w:t>
      </w:r>
    </w:p>
    <w:p>
      <w:pPr>
        <w:spacing w:after="0" w:line="124"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Our revenue is primarily derived from the sale of internally developed software titles and software titles developed by third parties. Operating margins are dependent in part upon our ability to release new, commercially successful software products and to manage effectively their development and marketing costs. We have internal development studios located in Australia, Canada, China, Czech Republic, Hungary, India, Spain, South Korea, the United Kingdom, and the United States.</w:t>
      </w:r>
    </w:p>
    <w:p>
      <w:pPr>
        <w:spacing w:after="0" w:line="112"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 xml:space="preserve">Software titles published by our Rockstar Games label are primarily internally developed. We expect Rockstar Games, our wholly-owned publisher of the </w:t>
      </w:r>
      <w:r>
        <w:rPr>
          <w:rFonts w:ascii="Times New Roman" w:cs="Times New Roman" w:eastAsia="Times New Roman" w:hAnsi="Times New Roman"/>
          <w:sz w:val="18"/>
          <w:szCs w:val="18"/>
          <w:i w:val="1"/>
          <w:iCs w:val="1"/>
          <w:color w:val="auto"/>
        </w:rPr>
        <w:t>Grand Theft Auto</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Max Payne</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Midnight Club</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Red Dead Redemption</w:t>
      </w:r>
      <w:r>
        <w:rPr>
          <w:rFonts w:ascii="Times New Roman" w:cs="Times New Roman" w:eastAsia="Times New Roman" w:hAnsi="Times New Roman"/>
          <w:sz w:val="18"/>
          <w:szCs w:val="18"/>
          <w:color w:val="auto"/>
        </w:rPr>
        <w:t>, and other popular</w:t>
      </w: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4" w:right="339" w:bottom="1440" w:gutter="0" w:footer="0" w:header="0"/>
        </w:sectPr>
      </w:pPr>
    </w:p>
    <w:bookmarkStart w:id="23" w:name="page24"/>
    <w:bookmarkEnd w:id="23"/>
    <w:p>
      <w:pPr>
        <w:spacing w:after="0"/>
        <w:rPr>
          <w:rFonts w:ascii="Times New Roman" w:cs="Times New Roman" w:eastAsia="Times New Roman" w:hAnsi="Times New Roman"/>
          <w:sz w:val="18"/>
          <w:szCs w:val="18"/>
          <w:u w:val="single" w:color="auto"/>
          <w:color w:val="0000FF"/>
        </w:rPr>
      </w:pPr>
      <w:hyperlink w:anchor="page1">
        <w:r>
          <w:rPr>
            <w:rFonts w:ascii="Times New Roman" w:cs="Times New Roman" w:eastAsia="Times New Roman" w:hAnsi="Times New Roman"/>
            <w:sz w:val="18"/>
            <w:szCs w:val="18"/>
            <w:u w:val="single" w:color="auto"/>
            <w:color w:val="0000FF"/>
          </w:rPr>
          <w:t>Table of Contents</w:t>
        </w:r>
      </w:hyperlink>
    </w:p>
    <w:p>
      <w:pPr>
        <w:spacing w:after="0" w:line="200" w:lineRule="exact"/>
        <w:rPr>
          <w:sz w:val="20"/>
          <w:szCs w:val="20"/>
          <w:color w:val="auto"/>
        </w:rPr>
      </w:pPr>
    </w:p>
    <w:p>
      <w:pPr>
        <w:spacing w:after="0" w:line="268"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 xml:space="preserve">franchises, to continue to be a leader in the action/adventure product category and to create groundbreaking entertainment. We believe that Rockstar Games has established a uniquely original, popular cultural phenomenon with its </w:t>
      </w:r>
      <w:r>
        <w:rPr>
          <w:rFonts w:ascii="Times New Roman" w:cs="Times New Roman" w:eastAsia="Times New Roman" w:hAnsi="Times New Roman"/>
          <w:sz w:val="18"/>
          <w:szCs w:val="18"/>
          <w:i w:val="1"/>
          <w:iCs w:val="1"/>
          <w:color w:val="auto"/>
        </w:rPr>
        <w:t>Grand Theft Auto</w:t>
      </w:r>
      <w:r>
        <w:rPr>
          <w:rFonts w:ascii="Times New Roman" w:cs="Times New Roman" w:eastAsia="Times New Roman" w:hAnsi="Times New Roman"/>
          <w:sz w:val="18"/>
          <w:szCs w:val="18"/>
          <w:color w:val="auto"/>
        </w:rPr>
        <w:t xml:space="preserve"> series, which is the interactive entertainment industry's most iconic and critically acclaimed brand and has sold-in over 335 million units. Our most recent installment, </w:t>
      </w:r>
      <w:r>
        <w:rPr>
          <w:rFonts w:ascii="Times New Roman" w:cs="Times New Roman" w:eastAsia="Times New Roman" w:hAnsi="Times New Roman"/>
          <w:sz w:val="18"/>
          <w:szCs w:val="18"/>
          <w:i w:val="1"/>
          <w:iCs w:val="1"/>
          <w:color w:val="auto"/>
        </w:rPr>
        <w:t>Grand Theft Auto V</w:t>
      </w:r>
      <w:r>
        <w:rPr>
          <w:rFonts w:ascii="Times New Roman" w:cs="Times New Roman" w:eastAsia="Times New Roman" w:hAnsi="Times New Roman"/>
          <w:sz w:val="18"/>
          <w:szCs w:val="18"/>
          <w:color w:val="auto"/>
        </w:rPr>
        <w:t xml:space="preserve">, which was released in 2013, has sold in over 140 million units worldwide and includes access to </w:t>
      </w:r>
      <w:r>
        <w:rPr>
          <w:rFonts w:ascii="Times New Roman" w:cs="Times New Roman" w:eastAsia="Times New Roman" w:hAnsi="Times New Roman"/>
          <w:sz w:val="18"/>
          <w:szCs w:val="18"/>
          <w:i w:val="1"/>
          <w:iCs w:val="1"/>
          <w:color w:val="auto"/>
        </w:rPr>
        <w:t>Grand Theft Auto Online</w:t>
      </w:r>
      <w:r>
        <w:rPr>
          <w:rFonts w:ascii="Times New Roman" w:cs="Times New Roman" w:eastAsia="Times New Roman" w:hAnsi="Times New Roman"/>
          <w:sz w:val="18"/>
          <w:szCs w:val="18"/>
          <w:color w:val="auto"/>
        </w:rPr>
        <w:t xml:space="preserve">. On October 26, 2018, Rockstar Games launched </w:t>
      </w:r>
      <w:r>
        <w:rPr>
          <w:rFonts w:ascii="Times New Roman" w:cs="Times New Roman" w:eastAsia="Times New Roman" w:hAnsi="Times New Roman"/>
          <w:sz w:val="18"/>
          <w:szCs w:val="18"/>
          <w:i w:val="1"/>
          <w:iCs w:val="1"/>
          <w:color w:val="auto"/>
        </w:rPr>
        <w:t>Red Dead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 xml:space="preserve">Redemption 2, </w:t>
      </w:r>
      <w:r>
        <w:rPr>
          <w:rFonts w:ascii="Times New Roman" w:cs="Times New Roman" w:eastAsia="Times New Roman" w:hAnsi="Times New Roman"/>
          <w:sz w:val="18"/>
          <w:szCs w:val="18"/>
          <w:color w:val="auto"/>
        </w:rPr>
        <w:t>which has been a critical and commercial success that set numerous entertainment industry records. To date,</w:t>
      </w:r>
      <w:r>
        <w:rPr>
          <w:rFonts w:ascii="Times New Roman" w:cs="Times New Roman" w:eastAsia="Times New Roman" w:hAnsi="Times New Roman"/>
          <w:sz w:val="18"/>
          <w:szCs w:val="18"/>
          <w:i w:val="1"/>
          <w:iCs w:val="1"/>
          <w:color w:val="auto"/>
        </w:rPr>
        <w:t xml:space="preserve"> Red Dead Redemption 2 </w:t>
      </w:r>
      <w:r>
        <w:rPr>
          <w:rFonts w:ascii="Times New Roman" w:cs="Times New Roman" w:eastAsia="Times New Roman" w:hAnsi="Times New Roman"/>
          <w:sz w:val="18"/>
          <w:szCs w:val="18"/>
          <w:color w:val="auto"/>
        </w:rPr>
        <w:t>has</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 xml:space="preserve">sold-in more than 35 million units worldwide. Rockstar Games is also well known for developing brands in other genres, including the </w:t>
      </w:r>
      <w:r>
        <w:rPr>
          <w:rFonts w:ascii="Times New Roman" w:cs="Times New Roman" w:eastAsia="Times New Roman" w:hAnsi="Times New Roman"/>
          <w:sz w:val="18"/>
          <w:szCs w:val="18"/>
          <w:i w:val="1"/>
          <w:iCs w:val="1"/>
          <w:color w:val="auto"/>
        </w:rPr>
        <w:t>L.A. Noire</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Bully,</w:t>
      </w:r>
      <w:r>
        <w:rPr>
          <w:rFonts w:ascii="Times New Roman" w:cs="Times New Roman" w:eastAsia="Times New Roman" w:hAnsi="Times New Roman"/>
          <w:sz w:val="18"/>
          <w:szCs w:val="18"/>
          <w:color w:val="auto"/>
        </w:rPr>
        <w:t xml:space="preserve"> and </w:t>
      </w:r>
      <w:r>
        <w:rPr>
          <w:rFonts w:ascii="Times New Roman" w:cs="Times New Roman" w:eastAsia="Times New Roman" w:hAnsi="Times New Roman"/>
          <w:sz w:val="18"/>
          <w:szCs w:val="18"/>
          <w:i w:val="1"/>
          <w:iCs w:val="1"/>
          <w:color w:val="auto"/>
        </w:rPr>
        <w:t>Manhunt</w:t>
      </w:r>
      <w:r>
        <w:rPr>
          <w:rFonts w:ascii="Times New Roman" w:cs="Times New Roman" w:eastAsia="Times New Roman" w:hAnsi="Times New Roman"/>
          <w:sz w:val="18"/>
          <w:szCs w:val="18"/>
          <w:color w:val="auto"/>
        </w:rPr>
        <w:t xml:space="preserve"> franchises. Rockstar Games continues to expand on our established franchises by developing sequels, offering downloadable episodes, content, and virtual currency.</w:t>
      </w:r>
    </w:p>
    <w:p>
      <w:pPr>
        <w:spacing w:after="0" w:line="111"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 xml:space="preserve">Our 2K label has published a variety of popular entertainment properties across all key platforms and across a range of genres including shooter, action, role-playing, strategy, sports and family/casual entertainment. We expect 2K to continue to develop new, successful franchises in the future. 2K's internally owned and developed franchises include the critically acclaimed, multi-million unit selling </w:t>
      </w:r>
      <w:r>
        <w:rPr>
          <w:rFonts w:ascii="Times New Roman" w:cs="Times New Roman" w:eastAsia="Times New Roman" w:hAnsi="Times New Roman"/>
          <w:sz w:val="18"/>
          <w:szCs w:val="18"/>
          <w:i w:val="1"/>
          <w:iCs w:val="1"/>
          <w:color w:val="auto"/>
        </w:rPr>
        <w:t>BioShock</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Mafia</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Sid Meier's Civilization,</w:t>
      </w:r>
      <w:r>
        <w:rPr>
          <w:rFonts w:ascii="Times New Roman" w:cs="Times New Roman" w:eastAsia="Times New Roman" w:hAnsi="Times New Roman"/>
          <w:sz w:val="18"/>
          <w:szCs w:val="18"/>
          <w:color w:val="auto"/>
        </w:rPr>
        <w:t xml:space="preserve"> and </w:t>
      </w:r>
      <w:r>
        <w:rPr>
          <w:rFonts w:ascii="Times New Roman" w:cs="Times New Roman" w:eastAsia="Times New Roman" w:hAnsi="Times New Roman"/>
          <w:sz w:val="18"/>
          <w:szCs w:val="18"/>
          <w:i w:val="1"/>
          <w:iCs w:val="1"/>
          <w:color w:val="auto"/>
        </w:rPr>
        <w:t>XCOM</w:t>
      </w:r>
      <w:r>
        <w:rPr>
          <w:rFonts w:ascii="Times New Roman" w:cs="Times New Roman" w:eastAsia="Times New Roman" w:hAnsi="Times New Roman"/>
          <w:sz w:val="18"/>
          <w:szCs w:val="18"/>
          <w:color w:val="auto"/>
        </w:rPr>
        <w:t xml:space="preserve"> series. 2K also publishes successful externally developed brands, such as </w:t>
      </w:r>
      <w:r>
        <w:rPr>
          <w:rFonts w:ascii="Times New Roman" w:cs="Times New Roman" w:eastAsia="Times New Roman" w:hAnsi="Times New Roman"/>
          <w:sz w:val="18"/>
          <w:szCs w:val="18"/>
          <w:i w:val="1"/>
          <w:iCs w:val="1"/>
          <w:color w:val="auto"/>
        </w:rPr>
        <w:t>Borderlands</w:t>
      </w:r>
      <w:r>
        <w:rPr>
          <w:rFonts w:ascii="Times New Roman" w:cs="Times New Roman" w:eastAsia="Times New Roman" w:hAnsi="Times New Roman"/>
          <w:sz w:val="18"/>
          <w:szCs w:val="18"/>
          <w:color w:val="auto"/>
        </w:rPr>
        <w:t xml:space="preserve">. 2K's realistic sports simulation titles include our flagship </w:t>
      </w:r>
      <w:r>
        <w:rPr>
          <w:rFonts w:ascii="Times New Roman" w:cs="Times New Roman" w:eastAsia="Times New Roman" w:hAnsi="Times New Roman"/>
          <w:sz w:val="18"/>
          <w:szCs w:val="18"/>
          <w:i w:val="1"/>
          <w:iCs w:val="1"/>
          <w:color w:val="auto"/>
        </w:rPr>
        <w:t>NBA 2K</w:t>
      </w:r>
      <w:r>
        <w:rPr>
          <w:rFonts w:ascii="Times New Roman" w:cs="Times New Roman" w:eastAsia="Times New Roman" w:hAnsi="Times New Roman"/>
          <w:sz w:val="18"/>
          <w:szCs w:val="18"/>
          <w:color w:val="auto"/>
        </w:rPr>
        <w:t xml:space="preserve"> series, which continues to be the top-ranked NBA basketball video game, the </w:t>
      </w:r>
      <w:r>
        <w:rPr>
          <w:rFonts w:ascii="Times New Roman" w:cs="Times New Roman" w:eastAsia="Times New Roman" w:hAnsi="Times New Roman"/>
          <w:sz w:val="18"/>
          <w:szCs w:val="18"/>
          <w:i w:val="1"/>
          <w:iCs w:val="1"/>
          <w:color w:val="auto"/>
        </w:rPr>
        <w:t>WWE 2K</w:t>
      </w:r>
      <w:r>
        <w:rPr>
          <w:rFonts w:ascii="Times New Roman" w:cs="Times New Roman" w:eastAsia="Times New Roman" w:hAnsi="Times New Roman"/>
          <w:sz w:val="18"/>
          <w:szCs w:val="18"/>
          <w:color w:val="auto"/>
        </w:rPr>
        <w:t xml:space="preserve"> professional wrestling series, and </w:t>
      </w:r>
      <w:r>
        <w:rPr>
          <w:rFonts w:ascii="Times New Roman" w:cs="Times New Roman" w:eastAsia="Times New Roman" w:hAnsi="Times New Roman"/>
          <w:sz w:val="18"/>
          <w:szCs w:val="18"/>
          <w:i w:val="1"/>
          <w:iCs w:val="1"/>
          <w:color w:val="auto"/>
        </w:rPr>
        <w:t>PGA TOUR 2K</w:t>
      </w:r>
      <w:r>
        <w:rPr>
          <w:rFonts w:ascii="Times New Roman" w:cs="Times New Roman" w:eastAsia="Times New Roman" w:hAnsi="Times New Roman"/>
          <w:sz w:val="18"/>
          <w:szCs w:val="18"/>
          <w:color w:val="auto"/>
        </w:rPr>
        <w:t>. In March 2020, 2K announced a multi-year partnership with the National Football League encompassing multiple future video games that will be non-simulation football game experiences and will launch starting in fiscal year 2022.</w:t>
      </w:r>
    </w:p>
    <w:p>
      <w:pPr>
        <w:spacing w:after="0" w:line="119" w:lineRule="exact"/>
        <w:rPr>
          <w:sz w:val="20"/>
          <w:szCs w:val="20"/>
          <w:color w:val="auto"/>
        </w:rPr>
      </w:pPr>
    </w:p>
    <w:p>
      <w:pPr>
        <w:jc w:val="both"/>
        <w:ind w:firstLine="648"/>
        <w:spacing w:after="0" w:line="267" w:lineRule="auto"/>
        <w:rPr>
          <w:sz w:val="20"/>
          <w:szCs w:val="20"/>
          <w:color w:val="auto"/>
        </w:rPr>
      </w:pPr>
      <w:r>
        <w:rPr>
          <w:rFonts w:ascii="Times New Roman" w:cs="Times New Roman" w:eastAsia="Times New Roman" w:hAnsi="Times New Roman"/>
          <w:sz w:val="18"/>
          <w:szCs w:val="18"/>
          <w:color w:val="auto"/>
        </w:rPr>
        <w:t xml:space="preserve">Our Private Division label is dedicated to bringing titles from top independent developers to market and is the publisher and owner of </w:t>
      </w:r>
      <w:r>
        <w:rPr>
          <w:rFonts w:ascii="Times New Roman" w:cs="Times New Roman" w:eastAsia="Times New Roman" w:hAnsi="Times New Roman"/>
          <w:sz w:val="18"/>
          <w:szCs w:val="18"/>
          <w:i w:val="1"/>
          <w:iCs w:val="1"/>
          <w:color w:val="auto"/>
        </w:rPr>
        <w:t>Kerbal</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Space Program</w:t>
      </w:r>
      <w:r>
        <w:rPr>
          <w:rFonts w:ascii="Times New Roman" w:cs="Times New Roman" w:eastAsia="Times New Roman" w:hAnsi="Times New Roman"/>
          <w:sz w:val="18"/>
          <w:szCs w:val="18"/>
          <w:color w:val="auto"/>
        </w:rPr>
        <w:t>. Private Division released</w:t>
      </w:r>
      <w:r>
        <w:rPr>
          <w:rFonts w:ascii="Times New Roman" w:cs="Times New Roman" w:eastAsia="Times New Roman" w:hAnsi="Times New Roman"/>
          <w:sz w:val="18"/>
          <w:szCs w:val="18"/>
          <w:i w:val="1"/>
          <w:iCs w:val="1"/>
          <w:color w:val="auto"/>
        </w:rPr>
        <w:t xml:space="preserve"> The Outer Worlds </w:t>
      </w:r>
      <w:r>
        <w:rPr>
          <w:rFonts w:ascii="Times New Roman" w:cs="Times New Roman" w:eastAsia="Times New Roman" w:hAnsi="Times New Roman"/>
          <w:sz w:val="18"/>
          <w:szCs w:val="18"/>
          <w:color w:val="auto"/>
        </w:rPr>
        <w:t>and</w:t>
      </w:r>
      <w:r>
        <w:rPr>
          <w:rFonts w:ascii="Times New Roman" w:cs="Times New Roman" w:eastAsia="Times New Roman" w:hAnsi="Times New Roman"/>
          <w:sz w:val="18"/>
          <w:szCs w:val="18"/>
          <w:i w:val="1"/>
          <w:iCs w:val="1"/>
          <w:color w:val="auto"/>
        </w:rPr>
        <w:t xml:space="preserve"> Ancestors: The Humankind Odyssey</w:t>
      </w:r>
      <w:r>
        <w:rPr>
          <w:rFonts w:ascii="Times New Roman" w:cs="Times New Roman" w:eastAsia="Times New Roman" w:hAnsi="Times New Roman"/>
          <w:sz w:val="18"/>
          <w:szCs w:val="18"/>
          <w:color w:val="auto"/>
        </w:rPr>
        <w:t>, during fiscal year 2020, and</w:t>
      </w:r>
      <w:r>
        <w:rPr>
          <w:rFonts w:ascii="Times New Roman" w:cs="Times New Roman" w:eastAsia="Times New Roman" w:hAnsi="Times New Roman"/>
          <w:sz w:val="18"/>
          <w:szCs w:val="18"/>
          <w:i w:val="1"/>
          <w:iCs w:val="1"/>
          <w:color w:val="auto"/>
        </w:rPr>
        <w:t xml:space="preserve"> Disintegration </w:t>
      </w:r>
      <w:r>
        <w:rPr>
          <w:rFonts w:ascii="Times New Roman" w:cs="Times New Roman" w:eastAsia="Times New Roman" w:hAnsi="Times New Roman"/>
          <w:sz w:val="18"/>
          <w:szCs w:val="18"/>
          <w:color w:val="auto"/>
        </w:rPr>
        <w:t>during</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 xml:space="preserve">fiscal year 2021, based on new IP from renowned industry creative talent. </w:t>
      </w:r>
      <w:r>
        <w:rPr>
          <w:rFonts w:ascii="Times New Roman" w:cs="Times New Roman" w:eastAsia="Times New Roman" w:hAnsi="Times New Roman"/>
          <w:sz w:val="18"/>
          <w:szCs w:val="18"/>
          <w:i w:val="1"/>
          <w:iCs w:val="1"/>
          <w:color w:val="auto"/>
        </w:rPr>
        <w:t>Kerbal Space Program 2</w:t>
      </w:r>
      <w:r>
        <w:rPr>
          <w:rFonts w:ascii="Times New Roman" w:cs="Times New Roman" w:eastAsia="Times New Roman" w:hAnsi="Times New Roman"/>
          <w:sz w:val="18"/>
          <w:szCs w:val="18"/>
          <w:color w:val="auto"/>
        </w:rPr>
        <w:t xml:space="preserve"> is planned for release in fiscal year 2023.</w:t>
      </w:r>
    </w:p>
    <w:p>
      <w:pPr>
        <w:spacing w:after="0" w:line="108"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 xml:space="preserve">Social Point develops and publishes popular free-to-play mobile games that deliver high-quality, deeply engaging entertainment experiences, including its two most successful games, </w:t>
      </w:r>
      <w:r>
        <w:rPr>
          <w:rFonts w:ascii="Times New Roman" w:cs="Times New Roman" w:eastAsia="Times New Roman" w:hAnsi="Times New Roman"/>
          <w:sz w:val="18"/>
          <w:szCs w:val="18"/>
          <w:i w:val="1"/>
          <w:iCs w:val="1"/>
          <w:color w:val="auto"/>
        </w:rPr>
        <w:t>Dragon City</w:t>
      </w:r>
      <w:r>
        <w:rPr>
          <w:rFonts w:ascii="Times New Roman" w:cs="Times New Roman" w:eastAsia="Times New Roman" w:hAnsi="Times New Roman"/>
          <w:sz w:val="18"/>
          <w:szCs w:val="18"/>
          <w:color w:val="auto"/>
        </w:rPr>
        <w:t xml:space="preserve"> and </w:t>
      </w:r>
      <w:r>
        <w:rPr>
          <w:rFonts w:ascii="Times New Roman" w:cs="Times New Roman" w:eastAsia="Times New Roman" w:hAnsi="Times New Roman"/>
          <w:sz w:val="18"/>
          <w:szCs w:val="18"/>
          <w:i w:val="1"/>
          <w:iCs w:val="1"/>
          <w:color w:val="auto"/>
        </w:rPr>
        <w:t>Monster Legends</w:t>
      </w:r>
      <w:r>
        <w:rPr>
          <w:rFonts w:ascii="Times New Roman" w:cs="Times New Roman" w:eastAsia="Times New Roman" w:hAnsi="Times New Roman"/>
          <w:sz w:val="18"/>
          <w:szCs w:val="18"/>
          <w:color w:val="auto"/>
        </w:rPr>
        <w:t>. In addition, Social Point has a robust development pipeline with a number of exciting games planned for launch in the coming years.</w:t>
      </w:r>
    </w:p>
    <w:p>
      <w:pPr>
        <w:spacing w:after="0" w:line="95"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 xml:space="preserve">On September 4, 2020, we acquired privately held Playdots, Inc. ("Playdots") for consideration having an acquisition date fair value of $195.5 million, consisting of $97.8 million in cash and the issuance of 0.6 million shares of our common stock. (See Note 16 of our Condensed Consolidated Financial Statements.) Founded in 2013 and based in New York City, Playdots builds mobile games with unique and thoughtful designs. They are best known for </w:t>
      </w:r>
      <w:r>
        <w:rPr>
          <w:rFonts w:ascii="Times New Roman" w:cs="Times New Roman" w:eastAsia="Times New Roman" w:hAnsi="Times New Roman"/>
          <w:sz w:val="18"/>
          <w:szCs w:val="18"/>
          <w:i w:val="1"/>
          <w:iCs w:val="1"/>
          <w:color w:val="auto"/>
        </w:rPr>
        <w:t>Two Dots</w:t>
      </w:r>
      <w:r>
        <w:rPr>
          <w:rFonts w:ascii="Times New Roman" w:cs="Times New Roman" w:eastAsia="Times New Roman" w:hAnsi="Times New Roman"/>
          <w:sz w:val="18"/>
          <w:szCs w:val="18"/>
          <w:color w:val="auto"/>
        </w:rPr>
        <w:t>, which has been downloaded over 80 million times since its launch six years ago and continues to deeply engage audiences throughout the world.</w:t>
      </w:r>
    </w:p>
    <w:p>
      <w:pPr>
        <w:spacing w:after="0" w:line="116"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 xml:space="preserve">We are continuing to execute on our growth initiatives in Asia, where our strategy is to broaden the distribution of our existing products and expand our online gaming presence, especially in China and South Korea. 2K has secured a multi-year license from the NBA to develop an online version of the NBA simulation game in China, Taiwan, South Korea, and Southeast Asia. </w:t>
      </w:r>
      <w:r>
        <w:rPr>
          <w:rFonts w:ascii="Times New Roman" w:cs="Times New Roman" w:eastAsia="Times New Roman" w:hAnsi="Times New Roman"/>
          <w:sz w:val="18"/>
          <w:szCs w:val="18"/>
          <w:i w:val="1"/>
          <w:iCs w:val="1"/>
          <w:color w:val="auto"/>
        </w:rPr>
        <w:t>NBA 2K Online</w:t>
      </w:r>
      <w:r>
        <w:rPr>
          <w:rFonts w:ascii="Times New Roman" w:cs="Times New Roman" w:eastAsia="Times New Roman" w:hAnsi="Times New Roman"/>
          <w:sz w:val="18"/>
          <w:szCs w:val="18"/>
          <w:color w:val="auto"/>
        </w:rPr>
        <w:t xml:space="preserve">, our free-to-play NBA simulation game that is based on the console edition of NBA 2K, which was co-developed by 2K and Tencent, is the top online PC sports game in China with more than 51 million registered users. We have released two iterations of </w:t>
      </w:r>
      <w:r>
        <w:rPr>
          <w:rFonts w:ascii="Times New Roman" w:cs="Times New Roman" w:eastAsia="Times New Roman" w:hAnsi="Times New Roman"/>
          <w:sz w:val="18"/>
          <w:szCs w:val="18"/>
          <w:i w:val="1"/>
          <w:iCs w:val="1"/>
          <w:color w:val="auto"/>
        </w:rPr>
        <w:t>NBA 2K Online</w:t>
      </w:r>
      <w:r>
        <w:rPr>
          <w:rFonts w:ascii="Times New Roman" w:cs="Times New Roman" w:eastAsia="Times New Roman" w:hAnsi="Times New Roman"/>
          <w:sz w:val="18"/>
          <w:szCs w:val="18"/>
          <w:color w:val="auto"/>
        </w:rPr>
        <w:t xml:space="preserve"> and continue to enhance the title with new features.</w:t>
      </w:r>
    </w:p>
    <w:p>
      <w:pPr>
        <w:spacing w:after="0" w:line="116"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We have expanded our relationship with the NBA through the NBA 2K League. This groundbreaking competitive gaming league is jointly owned by us and the NBA and consists of teams operated by actual NBA franchises. The NBA 2K League follows a professional sports league format: head-to-head competition throughout a regular season, followed by a bracketed playoff system and a finals match-up that was held in August of each of the NBA 2K League's first three seasons. The NBA 2K League's fourth season is set to take place in calendar year 2021.</w:t>
      </w:r>
    </w:p>
    <w:p>
      <w:pPr>
        <w:spacing w:after="0" w:line="9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Trends and Factors Affecting our Business</w:t>
      </w:r>
    </w:p>
    <w:p>
      <w:pPr>
        <w:spacing w:after="0" w:line="160"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i w:val="1"/>
          <w:iCs w:val="1"/>
          <w:color w:val="auto"/>
        </w:rPr>
        <w:t xml:space="preserve">Product Release Schedule. </w:t>
      </w:r>
      <w:r>
        <w:rPr>
          <w:rFonts w:ascii="Times New Roman" w:cs="Times New Roman" w:eastAsia="Times New Roman" w:hAnsi="Times New Roman"/>
          <w:sz w:val="18"/>
          <w:szCs w:val="18"/>
          <w:color w:val="auto"/>
        </w:rPr>
        <w:t>Our financial results are affected by the timing of our product releases and the commercial success of those titles. Our</w:t>
      </w:r>
      <w:r>
        <w:rPr>
          <w:rFonts w:ascii="Times New Roman" w:cs="Times New Roman" w:eastAsia="Times New Roman" w:hAnsi="Times New Roman"/>
          <w:sz w:val="18"/>
          <w:szCs w:val="18"/>
          <w:i w:val="1"/>
          <w:iCs w:val="1"/>
          <w:color w:val="auto"/>
        </w:rPr>
        <w:t xml:space="preserve"> Grand Theft Auto </w:t>
      </w:r>
      <w:r>
        <w:rPr>
          <w:rFonts w:ascii="Times New Roman" w:cs="Times New Roman" w:eastAsia="Times New Roman" w:hAnsi="Times New Roman"/>
          <w:sz w:val="18"/>
          <w:szCs w:val="18"/>
          <w:color w:val="auto"/>
        </w:rPr>
        <w:t>products in particular have historically accounted for a significant portion of our revenue. Sales of</w:t>
      </w:r>
      <w:r>
        <w:rPr>
          <w:rFonts w:ascii="Times New Roman" w:cs="Times New Roman" w:eastAsia="Times New Roman" w:hAnsi="Times New Roman"/>
          <w:sz w:val="18"/>
          <w:szCs w:val="18"/>
          <w:i w:val="1"/>
          <w:iCs w:val="1"/>
          <w:color w:val="auto"/>
        </w:rPr>
        <w:t xml:space="preserve"> Grand Theft Auto </w:t>
      </w:r>
      <w:r>
        <w:rPr>
          <w:rFonts w:ascii="Times New Roman" w:cs="Times New Roman" w:eastAsia="Times New Roman" w:hAnsi="Times New Roman"/>
          <w:sz w:val="18"/>
          <w:szCs w:val="18"/>
          <w:color w:val="auto"/>
        </w:rPr>
        <w:t>products generated</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 xml:space="preserve">28.9% of our net revenue for the nine months ended December 31, 2020. The timing of our </w:t>
      </w:r>
      <w:r>
        <w:rPr>
          <w:rFonts w:ascii="Times New Roman" w:cs="Times New Roman" w:eastAsia="Times New Roman" w:hAnsi="Times New Roman"/>
          <w:sz w:val="18"/>
          <w:szCs w:val="18"/>
          <w:i w:val="1"/>
          <w:iCs w:val="1"/>
          <w:color w:val="auto"/>
        </w:rPr>
        <w:t>Grand Theft Auto</w:t>
      </w:r>
      <w:r>
        <w:rPr>
          <w:rFonts w:ascii="Times New Roman" w:cs="Times New Roman" w:eastAsia="Times New Roman" w:hAnsi="Times New Roman"/>
          <w:sz w:val="18"/>
          <w:szCs w:val="18"/>
          <w:color w:val="auto"/>
        </w:rPr>
        <w:t xml:space="preserve"> product releases may affect our financial performance on a quarterly and annual basis.</w:t>
      </w:r>
    </w:p>
    <w:p>
      <w:pPr>
        <w:spacing w:after="0" w:line="112"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i w:val="1"/>
          <w:iCs w:val="1"/>
          <w:color w:val="auto"/>
        </w:rPr>
        <w:t xml:space="preserve">Economic Environment and Retailer Performance. </w:t>
      </w:r>
      <w:r>
        <w:rPr>
          <w:rFonts w:ascii="Times New Roman" w:cs="Times New Roman" w:eastAsia="Times New Roman" w:hAnsi="Times New Roman"/>
          <w:sz w:val="18"/>
          <w:szCs w:val="18"/>
          <w:color w:val="auto"/>
        </w:rPr>
        <w:t>We continue to monitor economic conditions, including the impact of the COVID-19</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pandemic, that may unfavorably affect our businesses, such as deteriorating consumer demand, pricing pressure on our products, credit quality of our receivables, and foreign currency exchange rates. The COVID-19 pandemic has affected and may continue to affect our business operations, including our employees, customers, partners, and communities, and there is substantial uncertainty in the nature and degree of its continued effects over time. During fiscal year 2021, as in the final quarter of fiscal year 2020, we noted a positive impact to our results that we believe was partly due to</w:t>
      </w:r>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4" w:right="339" w:bottom="1440" w:gutter="0" w:footer="0" w:header="0"/>
        </w:sectPr>
      </w:pPr>
    </w:p>
    <w:bookmarkStart w:id="24" w:name="page25"/>
    <w:bookmarkEnd w:id="24"/>
    <w:p>
      <w:pPr>
        <w:spacing w:after="0"/>
        <w:rPr>
          <w:rFonts w:ascii="Times New Roman" w:cs="Times New Roman" w:eastAsia="Times New Roman" w:hAnsi="Times New Roman"/>
          <w:sz w:val="18"/>
          <w:szCs w:val="18"/>
          <w:u w:val="single" w:color="auto"/>
          <w:color w:val="0000FF"/>
        </w:rPr>
      </w:pPr>
      <w:hyperlink w:anchor="page1">
        <w:r>
          <w:rPr>
            <w:rFonts w:ascii="Times New Roman" w:cs="Times New Roman" w:eastAsia="Times New Roman" w:hAnsi="Times New Roman"/>
            <w:sz w:val="18"/>
            <w:szCs w:val="18"/>
            <w:u w:val="single" w:color="auto"/>
            <w:color w:val="0000FF"/>
          </w:rPr>
          <w:t>Table of Contents</w:t>
        </w:r>
      </w:hyperlink>
    </w:p>
    <w:p>
      <w:pPr>
        <w:spacing w:after="0" w:line="200" w:lineRule="exact"/>
        <w:rPr>
          <w:sz w:val="20"/>
          <w:szCs w:val="20"/>
          <w:color w:val="auto"/>
        </w:rPr>
      </w:pPr>
    </w:p>
    <w:p>
      <w:pPr>
        <w:spacing w:after="0" w:line="268"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increased consumer engagement with our products because of the COVID-19 pandemic related business closures and movement restrictions, such as "shelter in place" and "lockdown" orders, implemented around the world, as well as the online accessibility and social nature of our products. However, we cannot be certain as to the duration of these effects and the potential offsetting impacts of deteriorating economic conditions and decreased consumer spending generally. We have developed and continue to develop plans to help mitigate the negative impact of the pandemic on our business, such as our transition to working from home, based on our concern for the health and safety of our teams, for the vast majority of our teams, which to date has resulted in minimal disruption. However, these efforts may not be effective, and a protracted economic downturn may limit the effectiveness of our mitigation efforts. Any of these considerations described above could cause or contribute to the risks described under the heading "Risk Factors" included in Part I, Item 1A of our Annual Report on Form 10-K for the fiscal year ended March 31, 2020, and could materially adversely affect our business, financial condition, results of operations, or stock price. Therefore, the effects of the COVID-19 pandemic will not be fully reflected in our financial results until future periods, and, at this time, we are not able to predict its ultimate impact on our business.</w:t>
      </w:r>
    </w:p>
    <w:p>
      <w:pPr>
        <w:spacing w:after="0" w:line="113"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Additionally, our business is dependent upon a limited number of customers that account for a significant portion of our revenue. Our five largest customers accounted for 77.4% and 70.0% of net revenue during the nine months ended December 31, 2020 and 2019, respectively. As of December 31, 2020 and March 31, 2020, our five largest customers comprised 71.8% and 58.1% of our gross accounts receivable, respectively, with our significant customers (those that individually comprised more than 10% of our gross accounts receivable balance) accounting for 59.1% and 48.8% of such balance at December 31, 2020 and March 31, 2020, respectively. We had two customers who accounted for 39.5% and 19.6%, respectively, of our gross accounts receivable as of December 31, 2020 and two customers who accounted for 29.4% and 19.4%, respectively, of our gross accounts receivable as of March 31, 2020. The economic environment has affected our customers in the past and may do so in the future, including as a result of the COVID-19 pandemic. Bankruptcies or consolidations of our large retail customers could adversely affect our business, due to uncollectible accounts receivables and the concentration of purchasing power among the remaining large retailers. The COVID-19 pandemic may lead to increased consolidation as larger, better capitalized competitors will be in a stronger position to withstand prolonged periods of economic downturn and sustain their business through the financial volatility. Certain of our large customers sell used copies of our games, which may negatively affect our business by reducing demand for new copies of our games. While the online and downloadable content that we now offer for certain of our titles may serve to reduce used game sales, we expect used game sales to continue to adversely affect our business.</w:t>
      </w:r>
    </w:p>
    <w:p>
      <w:pPr>
        <w:spacing w:after="0" w:line="118"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i w:val="1"/>
          <w:iCs w:val="1"/>
          <w:color w:val="auto"/>
        </w:rPr>
        <w:t xml:space="preserve">Hardware Platforms. </w:t>
      </w:r>
      <w:r>
        <w:rPr>
          <w:rFonts w:ascii="Times New Roman" w:cs="Times New Roman" w:eastAsia="Times New Roman" w:hAnsi="Times New Roman"/>
          <w:sz w:val="18"/>
          <w:szCs w:val="18"/>
          <w:color w:val="auto"/>
        </w:rPr>
        <w:t>We derive most of our revenue from the sale of products made for video game consoles manufactured by third parties,</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such as Sony's PS4 and PS5, Microsoft's Xbox One and Xbox Series X, and Nintendo's Switch, which comprised 75.4% of our net revenue by product platform for the nine months ended December 31, 2020. The success of our business is dependent upon the consumer acceptance of these platforms and the continued growth in their installed base. When new hardware platforms are introduced, such as those released in November 2020 by Sony and Microsoft, demand for interactive entertainment playable on older platforms typically declines, which may negatively affect our business during the market transition to the new consoles. The new Sony and Microsoft consoles provide "backwards compatibility" (i.e. the ability to play games for the previous generation of consoles), which could mitigate the risk of such a decline. However, we cannot be certain how backwards compatibility will affect demand for our products. Further, the COVID-19 pandemic or other events may affect the availability of these new consoles, which may also affect demand. We manage our product delivery on each current and future platform in a manner we believe to be most effective to maximize our revenue opportunities and achieve the desired return on our investments in product development. Accordingly, our strategy is to focus our development efforts on a select number of the highest quality titles for these platforms, while also expanding our offerings for other platforms such as tablets, smartphones, and online games.</w:t>
      </w:r>
    </w:p>
    <w:p>
      <w:pPr>
        <w:spacing w:after="0" w:line="124"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i w:val="1"/>
          <w:iCs w:val="1"/>
          <w:color w:val="auto"/>
        </w:rPr>
        <w:t xml:space="preserve">Online Content and Digital Distribution. </w:t>
      </w:r>
      <w:r>
        <w:rPr>
          <w:rFonts w:ascii="Times New Roman" w:cs="Times New Roman" w:eastAsia="Times New Roman" w:hAnsi="Times New Roman"/>
          <w:sz w:val="18"/>
          <w:szCs w:val="18"/>
          <w:color w:val="auto"/>
        </w:rPr>
        <w:t>The interactive entertainment software industry is delivering a growing amount of content through</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digital online delivery methods. We provide a variety of online delivered products and offerings. Virtually all of our titles that are available through retailers as packaged goods products are also available through direct digital download (from digital storefronts we own and others owned by third parties) as well as a large selection of our catalog titles. In addition, we aim to drive ongoing engagement and incremental revenue from recurrent consumer spending on our titles through virtual currency, add-on content, and in-game purchases. We also publish an expanding variety of titles for tablets and smartphones, which are delivered to consumers through digital download. As disclosed in our "Results of Operations," below, net revenue from digital online channels comprised 85.5% of our net revenue for the nine months ended December 31, 2020. We expect online delivery of games and game offerings to continue to grow and to continue to be the primary part of our business over the long-term.</w:t>
      </w:r>
    </w:p>
    <w:p>
      <w:pPr>
        <w:spacing w:after="0" w:line="200" w:lineRule="exact"/>
        <w:rPr>
          <w:sz w:val="20"/>
          <w:szCs w:val="20"/>
          <w:color w:val="auto"/>
        </w:rPr>
      </w:pPr>
    </w:p>
    <w:p>
      <w:pPr>
        <w:spacing w:after="0" w:line="200" w:lineRule="exact"/>
        <w:rPr>
          <w:sz w:val="20"/>
          <w:szCs w:val="20"/>
          <w:color w:val="auto"/>
        </w:rPr>
      </w:pPr>
    </w:p>
    <w:p>
      <w:pPr>
        <w:spacing w:after="0" w:line="25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4" w:right="339" w:bottom="1440" w:gutter="0" w:footer="0" w:header="0"/>
        </w:sectPr>
      </w:pPr>
    </w:p>
    <w:bookmarkStart w:id="25" w:name="page26"/>
    <w:bookmarkEnd w:id="25"/>
    <w:p>
      <w:pPr>
        <w:spacing w:after="0"/>
        <w:rPr>
          <w:rFonts w:ascii="Times New Roman" w:cs="Times New Roman" w:eastAsia="Times New Roman" w:hAnsi="Times New Roman"/>
          <w:sz w:val="18"/>
          <w:szCs w:val="18"/>
          <w:u w:val="single" w:color="auto"/>
          <w:color w:val="0000FF"/>
        </w:rPr>
      </w:pPr>
      <w:hyperlink w:anchor="page1">
        <w:r>
          <w:rPr>
            <w:rFonts w:ascii="Times New Roman" w:cs="Times New Roman" w:eastAsia="Times New Roman" w:hAnsi="Times New Roman"/>
            <w:sz w:val="18"/>
            <w:szCs w:val="18"/>
            <w:u w:val="single" w:color="auto"/>
            <w:color w:val="0000FF"/>
          </w:rPr>
          <w:t>Table of Contents</w:t>
        </w:r>
      </w:hyperlink>
    </w:p>
    <w:p>
      <w:pPr>
        <w:spacing w:after="0" w:line="200" w:lineRule="exact"/>
        <w:rPr>
          <w:sz w:val="20"/>
          <w:szCs w:val="20"/>
          <w:color w:val="auto"/>
        </w:rPr>
      </w:pPr>
    </w:p>
    <w:p>
      <w:pPr>
        <w:spacing w:after="0" w:line="26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Product Releases</w:t>
      </w:r>
    </w:p>
    <w:p>
      <w:pPr>
        <w:spacing w:after="0" w:line="148"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We released the following key titles during the nine months ended December 31, 2020:</w:t>
      </w:r>
    </w:p>
    <w:p>
      <w:pPr>
        <w:spacing w:after="0" w:line="169"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2040" w:type="dxa"/>
            <w:vAlign w:val="bottom"/>
            <w:vMerge w:val="restart"/>
          </w:tcPr>
          <w:p>
            <w:pPr>
              <w:ind w:left="20"/>
              <w:spacing w:after="0"/>
              <w:rPr>
                <w:sz w:val="20"/>
                <w:szCs w:val="20"/>
                <w:color w:val="auto"/>
              </w:rPr>
            </w:pPr>
            <w:r>
              <w:rPr>
                <w:rFonts w:ascii="Times New Roman" w:cs="Times New Roman" w:eastAsia="Times New Roman" w:hAnsi="Times New Roman"/>
                <w:sz w:val="17"/>
                <w:szCs w:val="17"/>
                <w:color w:val="auto"/>
              </w:rPr>
              <w:t>Title</w:t>
            </w:r>
          </w:p>
        </w:tc>
        <w:tc>
          <w:tcPr>
            <w:tcW w:w="1840" w:type="dxa"/>
            <w:vAlign w:val="bottom"/>
            <w:gridSpan w:val="2"/>
          </w:tcPr>
          <w:p>
            <w:pPr>
              <w:ind w:left="600"/>
              <w:spacing w:after="0"/>
              <w:rPr>
                <w:sz w:val="20"/>
                <w:szCs w:val="20"/>
                <w:color w:val="auto"/>
              </w:rPr>
            </w:pPr>
            <w:r>
              <w:rPr>
                <w:rFonts w:ascii="Times New Roman" w:cs="Times New Roman" w:eastAsia="Times New Roman" w:hAnsi="Times New Roman"/>
                <w:sz w:val="17"/>
                <w:szCs w:val="17"/>
                <w:color w:val="auto"/>
              </w:rPr>
              <w:t>Publishing</w:t>
            </w:r>
          </w:p>
        </w:tc>
        <w:tc>
          <w:tcPr>
            <w:tcW w:w="2200" w:type="dxa"/>
            <w:vAlign w:val="bottom"/>
            <w:gridSpan w:val="2"/>
          </w:tcPr>
          <w:p>
            <w:pPr>
              <w:jc w:val="center"/>
              <w:ind w:right="100"/>
              <w:spacing w:after="0"/>
              <w:rPr>
                <w:sz w:val="20"/>
                <w:szCs w:val="20"/>
                <w:color w:val="auto"/>
              </w:rPr>
            </w:pPr>
            <w:r>
              <w:rPr>
                <w:rFonts w:ascii="Times New Roman" w:cs="Times New Roman" w:eastAsia="Times New Roman" w:hAnsi="Times New Roman"/>
                <w:sz w:val="17"/>
                <w:szCs w:val="17"/>
                <w:color w:val="auto"/>
              </w:rPr>
              <w:t>Internal or External</w:t>
            </w:r>
          </w:p>
        </w:tc>
        <w:tc>
          <w:tcPr>
            <w:tcW w:w="2860" w:type="dxa"/>
            <w:vAlign w:val="bottom"/>
            <w:gridSpan w:val="2"/>
            <w:vMerge w:val="restart"/>
          </w:tcPr>
          <w:p>
            <w:pPr>
              <w:ind w:left="980"/>
              <w:spacing w:after="0"/>
              <w:rPr>
                <w:sz w:val="20"/>
                <w:szCs w:val="20"/>
                <w:color w:val="auto"/>
              </w:rPr>
            </w:pPr>
            <w:r>
              <w:rPr>
                <w:rFonts w:ascii="Times New Roman" w:cs="Times New Roman" w:eastAsia="Times New Roman" w:hAnsi="Times New Roman"/>
                <w:sz w:val="17"/>
                <w:szCs w:val="17"/>
                <w:color w:val="auto"/>
              </w:rPr>
              <w:t>Platform(s)</w:t>
            </w:r>
          </w:p>
        </w:tc>
        <w:tc>
          <w:tcPr>
            <w:tcW w:w="230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auto"/>
              </w:rPr>
              <w:t>Date Released</w:t>
            </w:r>
          </w:p>
        </w:tc>
        <w:tc>
          <w:tcPr>
            <w:tcW w:w="0" w:type="dxa"/>
            <w:vAlign w:val="bottom"/>
          </w:tcPr>
          <w:p>
            <w:pPr>
              <w:spacing w:after="0"/>
              <w:rPr>
                <w:sz w:val="1"/>
                <w:szCs w:val="1"/>
                <w:color w:val="auto"/>
              </w:rPr>
            </w:pPr>
          </w:p>
        </w:tc>
      </w:tr>
      <w:tr>
        <w:trPr>
          <w:trHeight w:val="216"/>
        </w:trPr>
        <w:tc>
          <w:tcPr>
            <w:tcW w:w="2040" w:type="dxa"/>
            <w:vAlign w:val="bottom"/>
            <w:vMerge w:val="continue"/>
          </w:tcPr>
          <w:p>
            <w:pPr>
              <w:spacing w:after="0"/>
              <w:rPr>
                <w:sz w:val="18"/>
                <w:szCs w:val="18"/>
                <w:color w:val="auto"/>
              </w:rPr>
            </w:pPr>
          </w:p>
        </w:tc>
        <w:tc>
          <w:tcPr>
            <w:tcW w:w="1840" w:type="dxa"/>
            <w:vAlign w:val="bottom"/>
            <w:gridSpan w:val="2"/>
          </w:tcPr>
          <w:p>
            <w:pPr>
              <w:ind w:left="760"/>
              <w:spacing w:after="0"/>
              <w:rPr>
                <w:sz w:val="20"/>
                <w:szCs w:val="20"/>
                <w:color w:val="auto"/>
              </w:rPr>
            </w:pPr>
            <w:r>
              <w:rPr>
                <w:rFonts w:ascii="Times New Roman" w:cs="Times New Roman" w:eastAsia="Times New Roman" w:hAnsi="Times New Roman"/>
                <w:sz w:val="17"/>
                <w:szCs w:val="17"/>
                <w:color w:val="auto"/>
              </w:rPr>
              <w:t>Label</w:t>
            </w:r>
          </w:p>
        </w:tc>
        <w:tc>
          <w:tcPr>
            <w:tcW w:w="2200" w:type="dxa"/>
            <w:vAlign w:val="bottom"/>
            <w:gridSpan w:val="2"/>
          </w:tcPr>
          <w:p>
            <w:pPr>
              <w:jc w:val="center"/>
              <w:ind w:right="120"/>
              <w:spacing w:after="0"/>
              <w:rPr>
                <w:sz w:val="20"/>
                <w:szCs w:val="20"/>
                <w:color w:val="auto"/>
              </w:rPr>
            </w:pPr>
            <w:r>
              <w:rPr>
                <w:rFonts w:ascii="Times New Roman" w:cs="Times New Roman" w:eastAsia="Times New Roman" w:hAnsi="Times New Roman"/>
                <w:sz w:val="17"/>
                <w:szCs w:val="17"/>
                <w:color w:val="auto"/>
              </w:rPr>
              <w:t>Development</w:t>
            </w:r>
          </w:p>
        </w:tc>
        <w:tc>
          <w:tcPr>
            <w:tcW w:w="2860" w:type="dxa"/>
            <w:vAlign w:val="bottom"/>
            <w:gridSpan w:val="2"/>
            <w:vMerge w:val="continue"/>
          </w:tcPr>
          <w:p>
            <w:pPr>
              <w:spacing w:after="0"/>
              <w:rPr>
                <w:sz w:val="18"/>
                <w:szCs w:val="18"/>
                <w:color w:val="auto"/>
              </w:rPr>
            </w:pPr>
          </w:p>
        </w:tc>
        <w:tc>
          <w:tcPr>
            <w:tcW w:w="230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2040" w:type="dxa"/>
            <w:vAlign w:val="bottom"/>
            <w:tcBorders>
              <w:top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7"/>
                <w:szCs w:val="17"/>
                <w:i w:val="1"/>
                <w:iCs w:val="1"/>
                <w:color w:val="auto"/>
              </w:rPr>
              <w:t>PGA TOUR 2K21</w:t>
            </w:r>
          </w:p>
        </w:tc>
        <w:tc>
          <w:tcPr>
            <w:tcW w:w="1740" w:type="dxa"/>
            <w:vAlign w:val="bottom"/>
            <w:tcBorders>
              <w:top w:val="single" w:sz="8" w:color="auto"/>
            </w:tcBorders>
            <w:shd w:val="clear" w:color="auto" w:fill="CCEEFF"/>
          </w:tcPr>
          <w:p>
            <w:pPr>
              <w:ind w:left="200"/>
              <w:spacing w:after="0"/>
              <w:rPr>
                <w:sz w:val="20"/>
                <w:szCs w:val="20"/>
                <w:color w:val="auto"/>
              </w:rPr>
            </w:pPr>
            <w:r>
              <w:rPr>
                <w:rFonts w:ascii="Times New Roman" w:cs="Times New Roman" w:eastAsia="Times New Roman" w:hAnsi="Times New Roman"/>
                <w:sz w:val="17"/>
                <w:szCs w:val="17"/>
                <w:color w:val="auto"/>
              </w:rPr>
              <w:t>2K</w:t>
            </w:r>
          </w:p>
        </w:tc>
        <w:tc>
          <w:tcPr>
            <w:tcW w:w="100" w:type="dxa"/>
            <w:vAlign w:val="bottom"/>
            <w:tcBorders>
              <w:top w:val="single" w:sz="8" w:color="CCEEFF"/>
            </w:tcBorders>
            <w:shd w:val="clear" w:color="auto" w:fill="CCEEFF"/>
          </w:tcPr>
          <w:p>
            <w:pPr>
              <w:spacing w:after="0"/>
              <w:rPr>
                <w:sz w:val="18"/>
                <w:szCs w:val="18"/>
                <w:color w:val="auto"/>
              </w:rPr>
            </w:pPr>
          </w:p>
        </w:tc>
        <w:tc>
          <w:tcPr>
            <w:tcW w:w="2100" w:type="dxa"/>
            <w:vAlign w:val="bottom"/>
            <w:tcBorders>
              <w:top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7"/>
                <w:szCs w:val="17"/>
                <w:color w:val="auto"/>
              </w:rPr>
              <w:t>External</w:t>
            </w:r>
          </w:p>
        </w:tc>
        <w:tc>
          <w:tcPr>
            <w:tcW w:w="100" w:type="dxa"/>
            <w:vAlign w:val="bottom"/>
            <w:tcBorders>
              <w:top w:val="single" w:sz="8" w:color="CCEEFF"/>
            </w:tcBorders>
            <w:shd w:val="clear" w:color="auto" w:fill="CCEEFF"/>
          </w:tcPr>
          <w:p>
            <w:pPr>
              <w:spacing w:after="0"/>
              <w:rPr>
                <w:sz w:val="18"/>
                <w:szCs w:val="18"/>
                <w:color w:val="auto"/>
              </w:rPr>
            </w:pPr>
          </w:p>
        </w:tc>
        <w:tc>
          <w:tcPr>
            <w:tcW w:w="2740" w:type="dxa"/>
            <w:vAlign w:val="bottom"/>
            <w:tcBorders>
              <w:top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7"/>
                <w:szCs w:val="17"/>
                <w:color w:val="auto"/>
              </w:rPr>
              <w:t>PS4, Xbox One, Switch, PC, Stadia</w:t>
            </w:r>
          </w:p>
        </w:tc>
        <w:tc>
          <w:tcPr>
            <w:tcW w:w="120" w:type="dxa"/>
            <w:vAlign w:val="bottom"/>
            <w:tcBorders>
              <w:top w:val="single" w:sz="8" w:color="CCEEFF"/>
            </w:tcBorders>
            <w:shd w:val="clear" w:color="auto" w:fill="CCEEFF"/>
          </w:tcPr>
          <w:p>
            <w:pPr>
              <w:spacing w:after="0"/>
              <w:rPr>
                <w:sz w:val="18"/>
                <w:szCs w:val="18"/>
                <w:color w:val="auto"/>
              </w:rPr>
            </w:pPr>
          </w:p>
        </w:tc>
        <w:tc>
          <w:tcPr>
            <w:tcW w:w="2300" w:type="dxa"/>
            <w:vAlign w:val="bottom"/>
            <w:tcBorders>
              <w:top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7"/>
                <w:szCs w:val="17"/>
                <w:color w:val="auto"/>
              </w:rPr>
              <w:t>August 21, 2020</w:t>
            </w:r>
          </w:p>
        </w:tc>
        <w:tc>
          <w:tcPr>
            <w:tcW w:w="0" w:type="dxa"/>
            <w:vAlign w:val="bottom"/>
          </w:tcPr>
          <w:p>
            <w:pPr>
              <w:spacing w:after="0"/>
              <w:rPr>
                <w:sz w:val="1"/>
                <w:szCs w:val="1"/>
                <w:color w:val="auto"/>
              </w:rPr>
            </w:pPr>
          </w:p>
        </w:tc>
      </w:tr>
      <w:tr>
        <w:trPr>
          <w:trHeight w:val="216"/>
        </w:trPr>
        <w:tc>
          <w:tcPr>
            <w:tcW w:w="2040" w:type="dxa"/>
            <w:vAlign w:val="bottom"/>
          </w:tcPr>
          <w:p>
            <w:pPr>
              <w:ind w:left="20"/>
              <w:spacing w:after="0"/>
              <w:rPr>
                <w:sz w:val="20"/>
                <w:szCs w:val="20"/>
                <w:color w:val="auto"/>
              </w:rPr>
            </w:pPr>
            <w:r>
              <w:rPr>
                <w:rFonts w:ascii="Times New Roman" w:cs="Times New Roman" w:eastAsia="Times New Roman" w:hAnsi="Times New Roman"/>
                <w:sz w:val="17"/>
                <w:szCs w:val="17"/>
                <w:i w:val="1"/>
                <w:iCs w:val="1"/>
                <w:color w:val="auto"/>
              </w:rPr>
              <w:t>NBA 2K21</w:t>
            </w:r>
          </w:p>
        </w:tc>
        <w:tc>
          <w:tcPr>
            <w:tcW w:w="1840" w:type="dxa"/>
            <w:vAlign w:val="bottom"/>
            <w:gridSpan w:val="2"/>
          </w:tcPr>
          <w:p>
            <w:pPr>
              <w:ind w:left="200"/>
              <w:spacing w:after="0"/>
              <w:rPr>
                <w:sz w:val="20"/>
                <w:szCs w:val="20"/>
                <w:color w:val="auto"/>
              </w:rPr>
            </w:pPr>
            <w:r>
              <w:rPr>
                <w:rFonts w:ascii="Times New Roman" w:cs="Times New Roman" w:eastAsia="Times New Roman" w:hAnsi="Times New Roman"/>
                <w:sz w:val="17"/>
                <w:szCs w:val="17"/>
                <w:color w:val="auto"/>
              </w:rPr>
              <w:t>2K</w:t>
            </w:r>
          </w:p>
        </w:tc>
        <w:tc>
          <w:tcPr>
            <w:tcW w:w="2200" w:type="dxa"/>
            <w:vAlign w:val="bottom"/>
            <w:gridSpan w:val="2"/>
          </w:tcPr>
          <w:p>
            <w:pPr>
              <w:jc w:val="center"/>
              <w:ind w:right="100"/>
              <w:spacing w:after="0"/>
              <w:rPr>
                <w:sz w:val="20"/>
                <w:szCs w:val="20"/>
                <w:color w:val="auto"/>
              </w:rPr>
            </w:pPr>
            <w:r>
              <w:rPr>
                <w:rFonts w:ascii="Times New Roman" w:cs="Times New Roman" w:eastAsia="Times New Roman" w:hAnsi="Times New Roman"/>
                <w:sz w:val="17"/>
                <w:szCs w:val="17"/>
                <w:color w:val="auto"/>
              </w:rPr>
              <w:t>Internal</w:t>
            </w:r>
          </w:p>
        </w:tc>
        <w:tc>
          <w:tcPr>
            <w:tcW w:w="2860" w:type="dxa"/>
            <w:vAlign w:val="bottom"/>
            <w:gridSpan w:val="2"/>
          </w:tcPr>
          <w:p>
            <w:pPr>
              <w:ind w:left="20"/>
              <w:spacing w:after="0"/>
              <w:rPr>
                <w:sz w:val="20"/>
                <w:szCs w:val="20"/>
                <w:color w:val="auto"/>
              </w:rPr>
            </w:pPr>
            <w:r>
              <w:rPr>
                <w:rFonts w:ascii="Times New Roman" w:cs="Times New Roman" w:eastAsia="Times New Roman" w:hAnsi="Times New Roman"/>
                <w:sz w:val="17"/>
                <w:szCs w:val="17"/>
                <w:color w:val="auto"/>
              </w:rPr>
              <w:t>PS4, Xbox One, Switch, PC, Stadia</w:t>
            </w:r>
          </w:p>
        </w:tc>
        <w:tc>
          <w:tcPr>
            <w:tcW w:w="2300" w:type="dxa"/>
            <w:vAlign w:val="bottom"/>
          </w:tcPr>
          <w:p>
            <w:pPr>
              <w:jc w:val="center"/>
              <w:spacing w:after="0"/>
              <w:rPr>
                <w:sz w:val="20"/>
                <w:szCs w:val="20"/>
                <w:color w:val="auto"/>
              </w:rPr>
            </w:pPr>
            <w:r>
              <w:rPr>
                <w:rFonts w:ascii="Times New Roman" w:cs="Times New Roman" w:eastAsia="Times New Roman" w:hAnsi="Times New Roman"/>
                <w:sz w:val="17"/>
                <w:szCs w:val="17"/>
                <w:color w:val="auto"/>
                <w:w w:val="99"/>
              </w:rPr>
              <w:t>September 4, 2020</w:t>
            </w:r>
          </w:p>
        </w:tc>
        <w:tc>
          <w:tcPr>
            <w:tcW w:w="0" w:type="dxa"/>
            <w:vAlign w:val="bottom"/>
          </w:tcPr>
          <w:p>
            <w:pPr>
              <w:spacing w:after="0"/>
              <w:rPr>
                <w:sz w:val="1"/>
                <w:szCs w:val="1"/>
                <w:color w:val="auto"/>
              </w:rPr>
            </w:pPr>
          </w:p>
        </w:tc>
      </w:tr>
      <w:tr>
        <w:trPr>
          <w:trHeight w:val="230"/>
        </w:trPr>
        <w:tc>
          <w:tcPr>
            <w:tcW w:w="20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7"/>
                <w:szCs w:val="17"/>
                <w:i w:val="1"/>
                <w:iCs w:val="1"/>
                <w:color w:val="auto"/>
              </w:rPr>
              <w:t>WWE 2K Battlegrounds</w:t>
            </w:r>
          </w:p>
        </w:tc>
        <w:tc>
          <w:tcPr>
            <w:tcW w:w="1840" w:type="dxa"/>
            <w:vAlign w:val="bottom"/>
            <w:gridSpan w:val="2"/>
            <w:shd w:val="clear" w:color="auto" w:fill="CCEEFF"/>
          </w:tcPr>
          <w:p>
            <w:pPr>
              <w:ind w:left="200"/>
              <w:spacing w:after="0"/>
              <w:rPr>
                <w:sz w:val="20"/>
                <w:szCs w:val="20"/>
                <w:color w:val="auto"/>
              </w:rPr>
            </w:pPr>
            <w:r>
              <w:rPr>
                <w:rFonts w:ascii="Times New Roman" w:cs="Times New Roman" w:eastAsia="Times New Roman" w:hAnsi="Times New Roman"/>
                <w:sz w:val="17"/>
                <w:szCs w:val="17"/>
                <w:color w:val="auto"/>
              </w:rPr>
              <w:t>2K</w:t>
            </w:r>
          </w:p>
        </w:tc>
        <w:tc>
          <w:tcPr>
            <w:tcW w:w="2200" w:type="dxa"/>
            <w:vAlign w:val="bottom"/>
            <w:gridSpan w:val="2"/>
            <w:shd w:val="clear" w:color="auto" w:fill="CCEEFF"/>
          </w:tcPr>
          <w:p>
            <w:pPr>
              <w:jc w:val="center"/>
              <w:ind w:right="100"/>
              <w:spacing w:after="0"/>
              <w:rPr>
                <w:sz w:val="20"/>
                <w:szCs w:val="20"/>
                <w:color w:val="auto"/>
              </w:rPr>
            </w:pPr>
            <w:r>
              <w:rPr>
                <w:rFonts w:ascii="Times New Roman" w:cs="Times New Roman" w:eastAsia="Times New Roman" w:hAnsi="Times New Roman"/>
                <w:sz w:val="17"/>
                <w:szCs w:val="17"/>
                <w:color w:val="auto"/>
              </w:rPr>
              <w:t>External</w:t>
            </w:r>
          </w:p>
        </w:tc>
        <w:tc>
          <w:tcPr>
            <w:tcW w:w="286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PS4, Xbox One, Switch, PC, Stadia</w:t>
            </w:r>
          </w:p>
        </w:tc>
        <w:tc>
          <w:tcPr>
            <w:tcW w:w="230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w w:val="99"/>
              </w:rPr>
              <w:t>September 18, 2020</w:t>
            </w:r>
          </w:p>
        </w:tc>
        <w:tc>
          <w:tcPr>
            <w:tcW w:w="0" w:type="dxa"/>
            <w:vAlign w:val="bottom"/>
          </w:tcPr>
          <w:p>
            <w:pPr>
              <w:spacing w:after="0"/>
              <w:rPr>
                <w:sz w:val="1"/>
                <w:szCs w:val="1"/>
                <w:color w:val="auto"/>
              </w:rPr>
            </w:pPr>
          </w:p>
        </w:tc>
      </w:tr>
      <w:tr>
        <w:trPr>
          <w:trHeight w:val="216"/>
        </w:trPr>
        <w:tc>
          <w:tcPr>
            <w:tcW w:w="2040" w:type="dxa"/>
            <w:vAlign w:val="bottom"/>
          </w:tcPr>
          <w:p>
            <w:pPr>
              <w:ind w:left="20"/>
              <w:spacing w:after="0"/>
              <w:rPr>
                <w:sz w:val="20"/>
                <w:szCs w:val="20"/>
                <w:color w:val="auto"/>
              </w:rPr>
            </w:pPr>
            <w:r>
              <w:rPr>
                <w:rFonts w:ascii="Times New Roman" w:cs="Times New Roman" w:eastAsia="Times New Roman" w:hAnsi="Times New Roman"/>
                <w:sz w:val="17"/>
                <w:szCs w:val="17"/>
                <w:i w:val="1"/>
                <w:iCs w:val="1"/>
                <w:color w:val="auto"/>
              </w:rPr>
              <w:t>Mafia I: Definitive Edition</w:t>
            </w:r>
          </w:p>
        </w:tc>
        <w:tc>
          <w:tcPr>
            <w:tcW w:w="1840" w:type="dxa"/>
            <w:vAlign w:val="bottom"/>
            <w:gridSpan w:val="2"/>
          </w:tcPr>
          <w:p>
            <w:pPr>
              <w:ind w:left="200"/>
              <w:spacing w:after="0"/>
              <w:rPr>
                <w:sz w:val="20"/>
                <w:szCs w:val="20"/>
                <w:color w:val="auto"/>
              </w:rPr>
            </w:pPr>
            <w:r>
              <w:rPr>
                <w:rFonts w:ascii="Times New Roman" w:cs="Times New Roman" w:eastAsia="Times New Roman" w:hAnsi="Times New Roman"/>
                <w:sz w:val="17"/>
                <w:szCs w:val="17"/>
                <w:color w:val="auto"/>
              </w:rPr>
              <w:t>2K</w:t>
            </w:r>
          </w:p>
        </w:tc>
        <w:tc>
          <w:tcPr>
            <w:tcW w:w="2200" w:type="dxa"/>
            <w:vAlign w:val="bottom"/>
            <w:gridSpan w:val="2"/>
          </w:tcPr>
          <w:p>
            <w:pPr>
              <w:jc w:val="center"/>
              <w:ind w:right="100"/>
              <w:spacing w:after="0"/>
              <w:rPr>
                <w:sz w:val="20"/>
                <w:szCs w:val="20"/>
                <w:color w:val="auto"/>
              </w:rPr>
            </w:pPr>
            <w:r>
              <w:rPr>
                <w:rFonts w:ascii="Times New Roman" w:cs="Times New Roman" w:eastAsia="Times New Roman" w:hAnsi="Times New Roman"/>
                <w:sz w:val="17"/>
                <w:szCs w:val="17"/>
                <w:color w:val="auto"/>
              </w:rPr>
              <w:t>External</w:t>
            </w:r>
          </w:p>
        </w:tc>
        <w:tc>
          <w:tcPr>
            <w:tcW w:w="2860" w:type="dxa"/>
            <w:vAlign w:val="bottom"/>
            <w:gridSpan w:val="2"/>
          </w:tcPr>
          <w:p>
            <w:pPr>
              <w:ind w:left="20"/>
              <w:spacing w:after="0"/>
              <w:rPr>
                <w:sz w:val="20"/>
                <w:szCs w:val="20"/>
                <w:color w:val="auto"/>
              </w:rPr>
            </w:pPr>
            <w:r>
              <w:rPr>
                <w:rFonts w:ascii="Times New Roman" w:cs="Times New Roman" w:eastAsia="Times New Roman" w:hAnsi="Times New Roman"/>
                <w:sz w:val="17"/>
                <w:szCs w:val="17"/>
                <w:color w:val="auto"/>
              </w:rPr>
              <w:t>PS4, Xbox One, PC</w:t>
            </w:r>
          </w:p>
        </w:tc>
        <w:tc>
          <w:tcPr>
            <w:tcW w:w="2300" w:type="dxa"/>
            <w:vAlign w:val="bottom"/>
          </w:tcPr>
          <w:p>
            <w:pPr>
              <w:jc w:val="center"/>
              <w:spacing w:after="0"/>
              <w:rPr>
                <w:sz w:val="20"/>
                <w:szCs w:val="20"/>
                <w:color w:val="auto"/>
              </w:rPr>
            </w:pPr>
            <w:r>
              <w:rPr>
                <w:rFonts w:ascii="Times New Roman" w:cs="Times New Roman" w:eastAsia="Times New Roman" w:hAnsi="Times New Roman"/>
                <w:sz w:val="17"/>
                <w:szCs w:val="17"/>
                <w:color w:val="auto"/>
              </w:rPr>
              <w:t>September 25, 2020</w:t>
            </w:r>
          </w:p>
        </w:tc>
        <w:tc>
          <w:tcPr>
            <w:tcW w:w="0" w:type="dxa"/>
            <w:vAlign w:val="bottom"/>
          </w:tcPr>
          <w:p>
            <w:pPr>
              <w:spacing w:after="0"/>
              <w:rPr>
                <w:sz w:val="1"/>
                <w:szCs w:val="1"/>
                <w:color w:val="auto"/>
              </w:rPr>
            </w:pPr>
          </w:p>
        </w:tc>
      </w:tr>
      <w:tr>
        <w:trPr>
          <w:trHeight w:val="216"/>
        </w:trPr>
        <w:tc>
          <w:tcPr>
            <w:tcW w:w="20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7"/>
                <w:szCs w:val="17"/>
                <w:i w:val="1"/>
                <w:iCs w:val="1"/>
                <w:color w:val="auto"/>
              </w:rPr>
              <w:t>Borderlands 3</w:t>
            </w:r>
          </w:p>
        </w:tc>
        <w:tc>
          <w:tcPr>
            <w:tcW w:w="1840" w:type="dxa"/>
            <w:vAlign w:val="bottom"/>
            <w:gridSpan w:val="2"/>
            <w:shd w:val="clear" w:color="auto" w:fill="CCEEFF"/>
          </w:tcPr>
          <w:p>
            <w:pPr>
              <w:ind w:left="200"/>
              <w:spacing w:after="0"/>
              <w:rPr>
                <w:sz w:val="20"/>
                <w:szCs w:val="20"/>
                <w:color w:val="auto"/>
              </w:rPr>
            </w:pPr>
            <w:r>
              <w:rPr>
                <w:rFonts w:ascii="Times New Roman" w:cs="Times New Roman" w:eastAsia="Times New Roman" w:hAnsi="Times New Roman"/>
                <w:sz w:val="17"/>
                <w:szCs w:val="17"/>
                <w:color w:val="auto"/>
              </w:rPr>
              <w:t>2K</w:t>
            </w:r>
          </w:p>
        </w:tc>
        <w:tc>
          <w:tcPr>
            <w:tcW w:w="2200" w:type="dxa"/>
            <w:vAlign w:val="bottom"/>
            <w:gridSpan w:val="2"/>
            <w:shd w:val="clear" w:color="auto" w:fill="CCEEFF"/>
          </w:tcPr>
          <w:p>
            <w:pPr>
              <w:jc w:val="center"/>
              <w:ind w:right="100"/>
              <w:spacing w:after="0"/>
              <w:rPr>
                <w:sz w:val="20"/>
                <w:szCs w:val="20"/>
                <w:color w:val="auto"/>
              </w:rPr>
            </w:pPr>
            <w:r>
              <w:rPr>
                <w:rFonts w:ascii="Times New Roman" w:cs="Times New Roman" w:eastAsia="Times New Roman" w:hAnsi="Times New Roman"/>
                <w:sz w:val="17"/>
                <w:szCs w:val="17"/>
                <w:color w:val="auto"/>
              </w:rPr>
              <w:t>External</w:t>
            </w:r>
          </w:p>
        </w:tc>
        <w:tc>
          <w:tcPr>
            <w:tcW w:w="286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7"/>
                <w:szCs w:val="17"/>
                <w:color w:val="auto"/>
              </w:rPr>
              <w:t>Xbox Series X (digital only)</w:t>
            </w:r>
          </w:p>
        </w:tc>
        <w:tc>
          <w:tcPr>
            <w:tcW w:w="230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7"/>
                <w:szCs w:val="17"/>
                <w:color w:val="auto"/>
              </w:rPr>
              <w:t>November 10, 2020</w:t>
            </w:r>
          </w:p>
        </w:tc>
        <w:tc>
          <w:tcPr>
            <w:tcW w:w="0" w:type="dxa"/>
            <w:vAlign w:val="bottom"/>
          </w:tcPr>
          <w:p>
            <w:pPr>
              <w:spacing w:after="0"/>
              <w:rPr>
                <w:sz w:val="1"/>
                <w:szCs w:val="1"/>
                <w:color w:val="auto"/>
              </w:rPr>
            </w:pPr>
          </w:p>
        </w:tc>
      </w:tr>
      <w:tr>
        <w:trPr>
          <w:trHeight w:val="216"/>
        </w:trPr>
        <w:tc>
          <w:tcPr>
            <w:tcW w:w="2040" w:type="dxa"/>
            <w:vAlign w:val="bottom"/>
          </w:tcPr>
          <w:p>
            <w:pPr>
              <w:ind w:left="20"/>
              <w:spacing w:after="0"/>
              <w:rPr>
                <w:sz w:val="20"/>
                <w:szCs w:val="20"/>
                <w:color w:val="auto"/>
              </w:rPr>
            </w:pPr>
            <w:r>
              <w:rPr>
                <w:rFonts w:ascii="Times New Roman" w:cs="Times New Roman" w:eastAsia="Times New Roman" w:hAnsi="Times New Roman"/>
                <w:sz w:val="17"/>
                <w:szCs w:val="17"/>
                <w:i w:val="1"/>
                <w:iCs w:val="1"/>
                <w:color w:val="auto"/>
              </w:rPr>
              <w:t>NBA 2K21</w:t>
            </w:r>
          </w:p>
        </w:tc>
        <w:tc>
          <w:tcPr>
            <w:tcW w:w="1840" w:type="dxa"/>
            <w:vAlign w:val="bottom"/>
            <w:gridSpan w:val="2"/>
          </w:tcPr>
          <w:p>
            <w:pPr>
              <w:ind w:left="200"/>
              <w:spacing w:after="0"/>
              <w:rPr>
                <w:sz w:val="20"/>
                <w:szCs w:val="20"/>
                <w:color w:val="auto"/>
              </w:rPr>
            </w:pPr>
            <w:r>
              <w:rPr>
                <w:rFonts w:ascii="Times New Roman" w:cs="Times New Roman" w:eastAsia="Times New Roman" w:hAnsi="Times New Roman"/>
                <w:sz w:val="17"/>
                <w:szCs w:val="17"/>
                <w:color w:val="auto"/>
              </w:rPr>
              <w:t>2K</w:t>
            </w:r>
          </w:p>
        </w:tc>
        <w:tc>
          <w:tcPr>
            <w:tcW w:w="2200" w:type="dxa"/>
            <w:vAlign w:val="bottom"/>
            <w:gridSpan w:val="2"/>
          </w:tcPr>
          <w:p>
            <w:pPr>
              <w:jc w:val="center"/>
              <w:ind w:right="100"/>
              <w:spacing w:after="0"/>
              <w:rPr>
                <w:sz w:val="20"/>
                <w:szCs w:val="20"/>
                <w:color w:val="auto"/>
              </w:rPr>
            </w:pPr>
            <w:r>
              <w:rPr>
                <w:rFonts w:ascii="Times New Roman" w:cs="Times New Roman" w:eastAsia="Times New Roman" w:hAnsi="Times New Roman"/>
                <w:sz w:val="17"/>
                <w:szCs w:val="17"/>
                <w:color w:val="auto"/>
              </w:rPr>
              <w:t>Internal</w:t>
            </w:r>
          </w:p>
        </w:tc>
        <w:tc>
          <w:tcPr>
            <w:tcW w:w="2860" w:type="dxa"/>
            <w:vAlign w:val="bottom"/>
            <w:gridSpan w:val="2"/>
          </w:tcPr>
          <w:p>
            <w:pPr>
              <w:ind w:left="20"/>
              <w:spacing w:after="0"/>
              <w:rPr>
                <w:sz w:val="20"/>
                <w:szCs w:val="20"/>
                <w:color w:val="auto"/>
              </w:rPr>
            </w:pPr>
            <w:r>
              <w:rPr>
                <w:rFonts w:ascii="Times New Roman" w:cs="Times New Roman" w:eastAsia="Times New Roman" w:hAnsi="Times New Roman"/>
                <w:sz w:val="17"/>
                <w:szCs w:val="17"/>
                <w:color w:val="auto"/>
              </w:rPr>
              <w:t>Xbox Series X</w:t>
            </w:r>
          </w:p>
        </w:tc>
        <w:tc>
          <w:tcPr>
            <w:tcW w:w="2300" w:type="dxa"/>
            <w:vAlign w:val="bottom"/>
          </w:tcPr>
          <w:p>
            <w:pPr>
              <w:jc w:val="center"/>
              <w:spacing w:after="0"/>
              <w:rPr>
                <w:sz w:val="20"/>
                <w:szCs w:val="20"/>
                <w:color w:val="auto"/>
              </w:rPr>
            </w:pPr>
            <w:r>
              <w:rPr>
                <w:rFonts w:ascii="Times New Roman" w:cs="Times New Roman" w:eastAsia="Times New Roman" w:hAnsi="Times New Roman"/>
                <w:sz w:val="17"/>
                <w:szCs w:val="17"/>
                <w:color w:val="auto"/>
              </w:rPr>
              <w:t>November 10, 2020</w:t>
            </w:r>
          </w:p>
        </w:tc>
        <w:tc>
          <w:tcPr>
            <w:tcW w:w="0" w:type="dxa"/>
            <w:vAlign w:val="bottom"/>
          </w:tcPr>
          <w:p>
            <w:pPr>
              <w:spacing w:after="0"/>
              <w:rPr>
                <w:sz w:val="1"/>
                <w:szCs w:val="1"/>
                <w:color w:val="auto"/>
              </w:rPr>
            </w:pPr>
          </w:p>
        </w:tc>
      </w:tr>
      <w:tr>
        <w:trPr>
          <w:trHeight w:val="216"/>
        </w:trPr>
        <w:tc>
          <w:tcPr>
            <w:tcW w:w="20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7"/>
                <w:szCs w:val="17"/>
                <w:i w:val="1"/>
                <w:iCs w:val="1"/>
                <w:color w:val="auto"/>
              </w:rPr>
              <w:t>Borderlands 3</w:t>
            </w:r>
          </w:p>
        </w:tc>
        <w:tc>
          <w:tcPr>
            <w:tcW w:w="1840" w:type="dxa"/>
            <w:vAlign w:val="bottom"/>
            <w:gridSpan w:val="2"/>
            <w:shd w:val="clear" w:color="auto" w:fill="CCEEFF"/>
          </w:tcPr>
          <w:p>
            <w:pPr>
              <w:ind w:left="200"/>
              <w:spacing w:after="0"/>
              <w:rPr>
                <w:sz w:val="20"/>
                <w:szCs w:val="20"/>
                <w:color w:val="auto"/>
              </w:rPr>
            </w:pPr>
            <w:r>
              <w:rPr>
                <w:rFonts w:ascii="Times New Roman" w:cs="Times New Roman" w:eastAsia="Times New Roman" w:hAnsi="Times New Roman"/>
                <w:sz w:val="17"/>
                <w:szCs w:val="17"/>
                <w:color w:val="auto"/>
              </w:rPr>
              <w:t>2K</w:t>
            </w:r>
          </w:p>
        </w:tc>
        <w:tc>
          <w:tcPr>
            <w:tcW w:w="2200" w:type="dxa"/>
            <w:vAlign w:val="bottom"/>
            <w:gridSpan w:val="2"/>
            <w:shd w:val="clear" w:color="auto" w:fill="CCEEFF"/>
          </w:tcPr>
          <w:p>
            <w:pPr>
              <w:jc w:val="center"/>
              <w:ind w:right="100"/>
              <w:spacing w:after="0"/>
              <w:rPr>
                <w:sz w:val="20"/>
                <w:szCs w:val="20"/>
                <w:color w:val="auto"/>
              </w:rPr>
            </w:pPr>
            <w:r>
              <w:rPr>
                <w:rFonts w:ascii="Times New Roman" w:cs="Times New Roman" w:eastAsia="Times New Roman" w:hAnsi="Times New Roman"/>
                <w:sz w:val="17"/>
                <w:szCs w:val="17"/>
                <w:color w:val="auto"/>
              </w:rPr>
              <w:t>External</w:t>
            </w:r>
          </w:p>
        </w:tc>
        <w:tc>
          <w:tcPr>
            <w:tcW w:w="286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7"/>
                <w:szCs w:val="17"/>
                <w:color w:val="auto"/>
              </w:rPr>
              <w:t>PS5 (digital only)</w:t>
            </w:r>
          </w:p>
        </w:tc>
        <w:tc>
          <w:tcPr>
            <w:tcW w:w="230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7"/>
                <w:szCs w:val="17"/>
                <w:color w:val="auto"/>
              </w:rPr>
              <w:t>November 12, 2020</w:t>
            </w:r>
          </w:p>
        </w:tc>
        <w:tc>
          <w:tcPr>
            <w:tcW w:w="0" w:type="dxa"/>
            <w:vAlign w:val="bottom"/>
          </w:tcPr>
          <w:p>
            <w:pPr>
              <w:spacing w:after="0"/>
              <w:rPr>
                <w:sz w:val="1"/>
                <w:szCs w:val="1"/>
                <w:color w:val="auto"/>
              </w:rPr>
            </w:pPr>
          </w:p>
        </w:tc>
      </w:tr>
      <w:tr>
        <w:trPr>
          <w:trHeight w:val="229"/>
        </w:trPr>
        <w:tc>
          <w:tcPr>
            <w:tcW w:w="2040" w:type="dxa"/>
            <w:vAlign w:val="bottom"/>
          </w:tcPr>
          <w:p>
            <w:pPr>
              <w:ind w:left="20"/>
              <w:spacing w:after="0"/>
              <w:rPr>
                <w:sz w:val="20"/>
                <w:szCs w:val="20"/>
                <w:color w:val="auto"/>
              </w:rPr>
            </w:pPr>
            <w:r>
              <w:rPr>
                <w:rFonts w:ascii="Times New Roman" w:cs="Times New Roman" w:eastAsia="Times New Roman" w:hAnsi="Times New Roman"/>
                <w:sz w:val="18"/>
                <w:szCs w:val="18"/>
                <w:i w:val="1"/>
                <w:iCs w:val="1"/>
                <w:color w:val="auto"/>
              </w:rPr>
              <w:t>NBA 2K21</w:t>
            </w:r>
          </w:p>
        </w:tc>
        <w:tc>
          <w:tcPr>
            <w:tcW w:w="1840" w:type="dxa"/>
            <w:vAlign w:val="bottom"/>
            <w:gridSpan w:val="2"/>
          </w:tcPr>
          <w:p>
            <w:pPr>
              <w:ind w:left="200"/>
              <w:spacing w:after="0"/>
              <w:rPr>
                <w:sz w:val="20"/>
                <w:szCs w:val="20"/>
                <w:color w:val="auto"/>
              </w:rPr>
            </w:pPr>
            <w:r>
              <w:rPr>
                <w:rFonts w:ascii="Times New Roman" w:cs="Times New Roman" w:eastAsia="Times New Roman" w:hAnsi="Times New Roman"/>
                <w:sz w:val="17"/>
                <w:szCs w:val="17"/>
                <w:color w:val="auto"/>
              </w:rPr>
              <w:t>2K</w:t>
            </w:r>
          </w:p>
        </w:tc>
        <w:tc>
          <w:tcPr>
            <w:tcW w:w="2200" w:type="dxa"/>
            <w:vAlign w:val="bottom"/>
            <w:gridSpan w:val="2"/>
          </w:tcPr>
          <w:p>
            <w:pPr>
              <w:jc w:val="center"/>
              <w:ind w:right="100"/>
              <w:spacing w:after="0"/>
              <w:rPr>
                <w:sz w:val="20"/>
                <w:szCs w:val="20"/>
                <w:color w:val="auto"/>
              </w:rPr>
            </w:pPr>
            <w:r>
              <w:rPr>
                <w:rFonts w:ascii="Times New Roman" w:cs="Times New Roman" w:eastAsia="Times New Roman" w:hAnsi="Times New Roman"/>
                <w:sz w:val="17"/>
                <w:szCs w:val="17"/>
                <w:color w:val="auto"/>
              </w:rPr>
              <w:t>Internal</w:t>
            </w:r>
          </w:p>
        </w:tc>
        <w:tc>
          <w:tcPr>
            <w:tcW w:w="2860" w:type="dxa"/>
            <w:vAlign w:val="bottom"/>
            <w:gridSpan w:val="2"/>
          </w:tcPr>
          <w:p>
            <w:pPr>
              <w:ind w:left="20"/>
              <w:spacing w:after="0"/>
              <w:rPr>
                <w:sz w:val="20"/>
                <w:szCs w:val="20"/>
                <w:color w:val="auto"/>
              </w:rPr>
            </w:pPr>
            <w:r>
              <w:rPr>
                <w:rFonts w:ascii="Times New Roman" w:cs="Times New Roman" w:eastAsia="Times New Roman" w:hAnsi="Times New Roman"/>
                <w:sz w:val="17"/>
                <w:szCs w:val="17"/>
                <w:color w:val="auto"/>
              </w:rPr>
              <w:t>PS5</w:t>
            </w:r>
          </w:p>
        </w:tc>
        <w:tc>
          <w:tcPr>
            <w:tcW w:w="2300" w:type="dxa"/>
            <w:vAlign w:val="bottom"/>
          </w:tcPr>
          <w:p>
            <w:pPr>
              <w:jc w:val="center"/>
              <w:spacing w:after="0"/>
              <w:rPr>
                <w:sz w:val="20"/>
                <w:szCs w:val="20"/>
                <w:color w:val="auto"/>
              </w:rPr>
            </w:pPr>
            <w:r>
              <w:rPr>
                <w:rFonts w:ascii="Times New Roman" w:cs="Times New Roman" w:eastAsia="Times New Roman" w:hAnsi="Times New Roman"/>
                <w:sz w:val="17"/>
                <w:szCs w:val="17"/>
                <w:color w:val="auto"/>
              </w:rPr>
              <w:t>November 12, 2020</w:t>
            </w:r>
          </w:p>
        </w:tc>
        <w:tc>
          <w:tcPr>
            <w:tcW w:w="0" w:type="dxa"/>
            <w:vAlign w:val="bottom"/>
          </w:tcPr>
          <w:p>
            <w:pPr>
              <w:spacing w:after="0"/>
              <w:rPr>
                <w:sz w:val="1"/>
                <w:szCs w:val="1"/>
                <w:color w:val="auto"/>
              </w:rPr>
            </w:pPr>
          </w:p>
        </w:tc>
      </w:tr>
      <w:tr>
        <w:trPr>
          <w:trHeight w:val="176"/>
        </w:trPr>
        <w:tc>
          <w:tcPr>
            <w:tcW w:w="2040" w:type="dxa"/>
            <w:vAlign w:val="bottom"/>
            <w:shd w:val="clear" w:color="auto" w:fill="CCEEFF"/>
          </w:tcPr>
          <w:p>
            <w:pPr>
              <w:ind w:left="20"/>
              <w:spacing w:after="0" w:line="176" w:lineRule="exact"/>
              <w:rPr>
                <w:sz w:val="20"/>
                <w:szCs w:val="20"/>
                <w:color w:val="auto"/>
              </w:rPr>
            </w:pPr>
            <w:r>
              <w:rPr>
                <w:rFonts w:ascii="Times New Roman" w:cs="Times New Roman" w:eastAsia="Times New Roman" w:hAnsi="Times New Roman"/>
                <w:sz w:val="18"/>
                <w:szCs w:val="18"/>
                <w:i w:val="1"/>
                <w:iCs w:val="1"/>
                <w:color w:val="auto"/>
              </w:rPr>
              <w:t>Red Dead Online -</w:t>
            </w:r>
          </w:p>
        </w:tc>
        <w:tc>
          <w:tcPr>
            <w:tcW w:w="1840" w:type="dxa"/>
            <w:vAlign w:val="bottom"/>
            <w:gridSpan w:val="2"/>
            <w:shd w:val="clear" w:color="auto" w:fill="CCEEFF"/>
          </w:tcPr>
          <w:p>
            <w:pPr>
              <w:ind w:left="200"/>
              <w:spacing w:after="0" w:line="176" w:lineRule="exact"/>
              <w:rPr>
                <w:sz w:val="20"/>
                <w:szCs w:val="20"/>
                <w:color w:val="auto"/>
              </w:rPr>
            </w:pPr>
            <w:r>
              <w:rPr>
                <w:rFonts w:ascii="Times New Roman" w:cs="Times New Roman" w:eastAsia="Times New Roman" w:hAnsi="Times New Roman"/>
                <w:sz w:val="17"/>
                <w:szCs w:val="17"/>
                <w:color w:val="auto"/>
              </w:rPr>
              <w:t>Rockstar Games</w:t>
            </w:r>
          </w:p>
        </w:tc>
        <w:tc>
          <w:tcPr>
            <w:tcW w:w="2200" w:type="dxa"/>
            <w:vAlign w:val="bottom"/>
            <w:gridSpan w:val="2"/>
            <w:shd w:val="clear" w:color="auto" w:fill="CCEEFF"/>
          </w:tcPr>
          <w:p>
            <w:pPr>
              <w:jc w:val="center"/>
              <w:ind w:right="100"/>
              <w:spacing w:after="0" w:line="176" w:lineRule="exact"/>
              <w:rPr>
                <w:sz w:val="20"/>
                <w:szCs w:val="20"/>
                <w:color w:val="auto"/>
              </w:rPr>
            </w:pPr>
            <w:r>
              <w:rPr>
                <w:rFonts w:ascii="Times New Roman" w:cs="Times New Roman" w:eastAsia="Times New Roman" w:hAnsi="Times New Roman"/>
                <w:sz w:val="17"/>
                <w:szCs w:val="17"/>
                <w:color w:val="auto"/>
              </w:rPr>
              <w:t>Internal</w:t>
            </w:r>
          </w:p>
        </w:tc>
        <w:tc>
          <w:tcPr>
            <w:tcW w:w="2860" w:type="dxa"/>
            <w:vAlign w:val="bottom"/>
            <w:gridSpan w:val="2"/>
            <w:shd w:val="clear" w:color="auto" w:fill="CCEEFF"/>
          </w:tcPr>
          <w:p>
            <w:pPr>
              <w:ind w:left="20"/>
              <w:spacing w:after="0" w:line="176" w:lineRule="exact"/>
              <w:rPr>
                <w:sz w:val="20"/>
                <w:szCs w:val="20"/>
                <w:color w:val="auto"/>
              </w:rPr>
            </w:pPr>
            <w:r>
              <w:rPr>
                <w:rFonts w:ascii="Times New Roman" w:cs="Times New Roman" w:eastAsia="Times New Roman" w:hAnsi="Times New Roman"/>
                <w:sz w:val="17"/>
                <w:szCs w:val="17"/>
                <w:color w:val="auto"/>
              </w:rPr>
              <w:t>PS4, Xbox One, PC, Steam, Epic Store</w:t>
            </w:r>
          </w:p>
        </w:tc>
        <w:tc>
          <w:tcPr>
            <w:tcW w:w="2300" w:type="dxa"/>
            <w:vAlign w:val="bottom"/>
            <w:shd w:val="clear" w:color="auto" w:fill="CCEEFF"/>
          </w:tcPr>
          <w:p>
            <w:pPr>
              <w:jc w:val="center"/>
              <w:spacing w:after="0" w:line="176" w:lineRule="exact"/>
              <w:rPr>
                <w:sz w:val="20"/>
                <w:szCs w:val="20"/>
                <w:color w:val="auto"/>
              </w:rPr>
            </w:pPr>
            <w:r>
              <w:rPr>
                <w:rFonts w:ascii="Times New Roman" w:cs="Times New Roman" w:eastAsia="Times New Roman" w:hAnsi="Times New Roman"/>
                <w:sz w:val="17"/>
                <w:szCs w:val="17"/>
                <w:color w:val="auto"/>
              </w:rPr>
              <w:t>December 1, 2020</w:t>
            </w:r>
          </w:p>
        </w:tc>
        <w:tc>
          <w:tcPr>
            <w:tcW w:w="0" w:type="dxa"/>
            <w:vAlign w:val="bottom"/>
          </w:tcPr>
          <w:p>
            <w:pPr>
              <w:spacing w:after="0"/>
              <w:rPr>
                <w:sz w:val="1"/>
                <w:szCs w:val="1"/>
                <w:color w:val="auto"/>
              </w:rPr>
            </w:pPr>
          </w:p>
        </w:tc>
      </w:tr>
      <w:tr>
        <w:trPr>
          <w:trHeight w:val="229"/>
        </w:trPr>
        <w:tc>
          <w:tcPr>
            <w:tcW w:w="20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i w:val="1"/>
                <w:iCs w:val="1"/>
                <w:color w:val="auto"/>
              </w:rPr>
              <w:t>Standalone</w:t>
            </w:r>
          </w:p>
        </w:tc>
        <w:tc>
          <w:tcPr>
            <w:tcW w:w="17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1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7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3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bl>
    <w:p>
      <w:pPr>
        <w:spacing w:after="0" w:line="12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Product Pipeline</w:t>
      </w:r>
    </w:p>
    <w:p>
      <w:pPr>
        <w:spacing w:after="0" w:line="148"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We have announced the following future key titles to date (this list does not represent all titles currently in development):</w:t>
      </w:r>
    </w:p>
    <w:p>
      <w:pPr>
        <w:spacing w:after="0" w:line="169"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1960" w:type="dxa"/>
            <w:vAlign w:val="bottom"/>
            <w:vMerge w:val="restart"/>
          </w:tcPr>
          <w:p>
            <w:pPr>
              <w:ind w:left="20"/>
              <w:spacing w:after="0"/>
              <w:rPr>
                <w:sz w:val="20"/>
                <w:szCs w:val="20"/>
                <w:color w:val="auto"/>
              </w:rPr>
            </w:pPr>
            <w:r>
              <w:rPr>
                <w:rFonts w:ascii="Times New Roman" w:cs="Times New Roman" w:eastAsia="Times New Roman" w:hAnsi="Times New Roman"/>
                <w:sz w:val="17"/>
                <w:szCs w:val="17"/>
                <w:b w:val="1"/>
                <w:bCs w:val="1"/>
                <w:color w:val="auto"/>
              </w:rPr>
              <w:t>Title</w:t>
            </w:r>
          </w:p>
        </w:tc>
        <w:tc>
          <w:tcPr>
            <w:tcW w:w="1880" w:type="dxa"/>
            <w:vAlign w:val="bottom"/>
            <w:gridSpan w:val="2"/>
          </w:tcPr>
          <w:p>
            <w:pPr>
              <w:jc w:val="center"/>
              <w:ind w:left="15"/>
              <w:spacing w:after="0"/>
              <w:rPr>
                <w:sz w:val="20"/>
                <w:szCs w:val="20"/>
                <w:color w:val="auto"/>
              </w:rPr>
            </w:pPr>
            <w:r>
              <w:rPr>
                <w:rFonts w:ascii="Times New Roman" w:cs="Times New Roman" w:eastAsia="Times New Roman" w:hAnsi="Times New Roman"/>
                <w:sz w:val="17"/>
                <w:szCs w:val="17"/>
                <w:b w:val="1"/>
                <w:bCs w:val="1"/>
                <w:color w:val="auto"/>
              </w:rPr>
              <w:t>Publishing</w:t>
            </w:r>
          </w:p>
        </w:tc>
        <w:tc>
          <w:tcPr>
            <w:tcW w:w="2200" w:type="dxa"/>
            <w:vAlign w:val="bottom"/>
            <w:gridSpan w:val="2"/>
          </w:tcPr>
          <w:p>
            <w:pPr>
              <w:jc w:val="center"/>
              <w:ind w:right="120"/>
              <w:spacing w:after="0"/>
              <w:rPr>
                <w:sz w:val="20"/>
                <w:szCs w:val="20"/>
                <w:color w:val="auto"/>
              </w:rPr>
            </w:pPr>
            <w:r>
              <w:rPr>
                <w:rFonts w:ascii="Times New Roman" w:cs="Times New Roman" w:eastAsia="Times New Roman" w:hAnsi="Times New Roman"/>
                <w:sz w:val="17"/>
                <w:szCs w:val="17"/>
                <w:b w:val="1"/>
                <w:bCs w:val="1"/>
                <w:color w:val="auto"/>
              </w:rPr>
              <w:t>Internal or External</w:t>
            </w:r>
          </w:p>
        </w:tc>
        <w:tc>
          <w:tcPr>
            <w:tcW w:w="2860" w:type="dxa"/>
            <w:vAlign w:val="bottom"/>
            <w:gridSpan w:val="2"/>
            <w:vMerge w:val="restart"/>
          </w:tcPr>
          <w:p>
            <w:pPr>
              <w:ind w:left="960"/>
              <w:spacing w:after="0"/>
              <w:rPr>
                <w:sz w:val="20"/>
                <w:szCs w:val="20"/>
                <w:color w:val="auto"/>
              </w:rPr>
            </w:pPr>
            <w:r>
              <w:rPr>
                <w:rFonts w:ascii="Times New Roman" w:cs="Times New Roman" w:eastAsia="Times New Roman" w:hAnsi="Times New Roman"/>
                <w:sz w:val="17"/>
                <w:szCs w:val="17"/>
                <w:b w:val="1"/>
                <w:bCs w:val="1"/>
                <w:color w:val="auto"/>
              </w:rPr>
              <w:t>Platform(s)</w:t>
            </w:r>
          </w:p>
        </w:tc>
        <w:tc>
          <w:tcPr>
            <w:tcW w:w="230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b w:val="1"/>
                <w:bCs w:val="1"/>
                <w:color w:val="auto"/>
              </w:rPr>
              <w:t>Expected Release Date</w:t>
            </w:r>
          </w:p>
        </w:tc>
        <w:tc>
          <w:tcPr>
            <w:tcW w:w="0" w:type="dxa"/>
            <w:vAlign w:val="bottom"/>
          </w:tcPr>
          <w:p>
            <w:pPr>
              <w:spacing w:after="0"/>
              <w:rPr>
                <w:sz w:val="1"/>
                <w:szCs w:val="1"/>
                <w:color w:val="auto"/>
              </w:rPr>
            </w:pPr>
          </w:p>
        </w:tc>
      </w:tr>
      <w:tr>
        <w:trPr>
          <w:trHeight w:val="216"/>
        </w:trPr>
        <w:tc>
          <w:tcPr>
            <w:tcW w:w="1960" w:type="dxa"/>
            <w:vAlign w:val="bottom"/>
            <w:vMerge w:val="continue"/>
          </w:tcPr>
          <w:p>
            <w:pPr>
              <w:spacing w:after="0"/>
              <w:rPr>
                <w:sz w:val="18"/>
                <w:szCs w:val="18"/>
                <w:color w:val="auto"/>
              </w:rPr>
            </w:pPr>
          </w:p>
        </w:tc>
        <w:tc>
          <w:tcPr>
            <w:tcW w:w="1880" w:type="dxa"/>
            <w:vAlign w:val="bottom"/>
            <w:gridSpan w:val="2"/>
          </w:tcPr>
          <w:p>
            <w:pPr>
              <w:jc w:val="center"/>
              <w:ind w:left="15"/>
              <w:spacing w:after="0"/>
              <w:rPr>
                <w:sz w:val="20"/>
                <w:szCs w:val="20"/>
                <w:color w:val="auto"/>
              </w:rPr>
            </w:pPr>
            <w:r>
              <w:rPr>
                <w:rFonts w:ascii="Times New Roman" w:cs="Times New Roman" w:eastAsia="Times New Roman" w:hAnsi="Times New Roman"/>
                <w:sz w:val="17"/>
                <w:szCs w:val="17"/>
                <w:b w:val="1"/>
                <w:bCs w:val="1"/>
                <w:color w:val="auto"/>
              </w:rPr>
              <w:t>Label</w:t>
            </w:r>
          </w:p>
        </w:tc>
        <w:tc>
          <w:tcPr>
            <w:tcW w:w="2200" w:type="dxa"/>
            <w:vAlign w:val="bottom"/>
            <w:gridSpan w:val="2"/>
          </w:tcPr>
          <w:p>
            <w:pPr>
              <w:jc w:val="center"/>
              <w:ind w:right="120"/>
              <w:spacing w:after="0"/>
              <w:rPr>
                <w:sz w:val="20"/>
                <w:szCs w:val="20"/>
                <w:color w:val="auto"/>
              </w:rPr>
            </w:pPr>
            <w:r>
              <w:rPr>
                <w:rFonts w:ascii="Times New Roman" w:cs="Times New Roman" w:eastAsia="Times New Roman" w:hAnsi="Times New Roman"/>
                <w:sz w:val="17"/>
                <w:szCs w:val="17"/>
                <w:b w:val="1"/>
                <w:bCs w:val="1"/>
                <w:color w:val="auto"/>
              </w:rPr>
              <w:t>Development</w:t>
            </w:r>
          </w:p>
        </w:tc>
        <w:tc>
          <w:tcPr>
            <w:tcW w:w="2860" w:type="dxa"/>
            <w:vAlign w:val="bottom"/>
            <w:gridSpan w:val="2"/>
            <w:vMerge w:val="continue"/>
          </w:tcPr>
          <w:p>
            <w:pPr>
              <w:spacing w:after="0"/>
              <w:rPr>
                <w:sz w:val="18"/>
                <w:szCs w:val="18"/>
                <w:color w:val="auto"/>
              </w:rPr>
            </w:pPr>
          </w:p>
        </w:tc>
        <w:tc>
          <w:tcPr>
            <w:tcW w:w="230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1960" w:type="dxa"/>
            <w:vAlign w:val="bottom"/>
            <w:tcBorders>
              <w:top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7"/>
                <w:szCs w:val="17"/>
                <w:i w:val="1"/>
                <w:iCs w:val="1"/>
                <w:color w:val="auto"/>
              </w:rPr>
              <w:t>Grand Theft Auto V</w:t>
            </w:r>
          </w:p>
        </w:tc>
        <w:tc>
          <w:tcPr>
            <w:tcW w:w="1780" w:type="dxa"/>
            <w:vAlign w:val="bottom"/>
            <w:tcBorders>
              <w:top w:val="single" w:sz="8" w:color="auto"/>
            </w:tcBorders>
            <w:shd w:val="clear" w:color="auto" w:fill="CCEEFF"/>
          </w:tcPr>
          <w:p>
            <w:pPr>
              <w:ind w:left="240"/>
              <w:spacing w:after="0"/>
              <w:rPr>
                <w:sz w:val="20"/>
                <w:szCs w:val="20"/>
                <w:color w:val="auto"/>
              </w:rPr>
            </w:pPr>
            <w:r>
              <w:rPr>
                <w:rFonts w:ascii="Times New Roman" w:cs="Times New Roman" w:eastAsia="Times New Roman" w:hAnsi="Times New Roman"/>
                <w:sz w:val="17"/>
                <w:szCs w:val="17"/>
                <w:color w:val="auto"/>
              </w:rPr>
              <w:t>Rockstar Games</w:t>
            </w:r>
          </w:p>
        </w:tc>
        <w:tc>
          <w:tcPr>
            <w:tcW w:w="100" w:type="dxa"/>
            <w:vAlign w:val="bottom"/>
            <w:tcBorders>
              <w:top w:val="single" w:sz="8" w:color="CCEEFF"/>
            </w:tcBorders>
            <w:shd w:val="clear" w:color="auto" w:fill="CCEEFF"/>
          </w:tcPr>
          <w:p>
            <w:pPr>
              <w:spacing w:after="0"/>
              <w:rPr>
                <w:sz w:val="18"/>
                <w:szCs w:val="18"/>
                <w:color w:val="auto"/>
              </w:rPr>
            </w:pPr>
          </w:p>
        </w:tc>
        <w:tc>
          <w:tcPr>
            <w:tcW w:w="2100" w:type="dxa"/>
            <w:vAlign w:val="bottom"/>
            <w:tcBorders>
              <w:top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7"/>
                <w:szCs w:val="17"/>
                <w:color w:val="auto"/>
              </w:rPr>
              <w:t>Internal</w:t>
            </w:r>
          </w:p>
        </w:tc>
        <w:tc>
          <w:tcPr>
            <w:tcW w:w="100" w:type="dxa"/>
            <w:vAlign w:val="bottom"/>
            <w:tcBorders>
              <w:top w:val="single" w:sz="8" w:color="CCEEFF"/>
            </w:tcBorders>
            <w:shd w:val="clear" w:color="auto" w:fill="CCEEFF"/>
          </w:tcPr>
          <w:p>
            <w:pPr>
              <w:spacing w:after="0"/>
              <w:rPr>
                <w:sz w:val="18"/>
                <w:szCs w:val="18"/>
                <w:color w:val="auto"/>
              </w:rPr>
            </w:pPr>
          </w:p>
        </w:tc>
        <w:tc>
          <w:tcPr>
            <w:tcW w:w="2740" w:type="dxa"/>
            <w:vAlign w:val="bottom"/>
            <w:tcBorders>
              <w:top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7"/>
                <w:szCs w:val="17"/>
                <w:color w:val="auto"/>
              </w:rPr>
              <w:t>PS5, Xbox Series X</w:t>
            </w:r>
          </w:p>
        </w:tc>
        <w:tc>
          <w:tcPr>
            <w:tcW w:w="120" w:type="dxa"/>
            <w:vAlign w:val="bottom"/>
            <w:tcBorders>
              <w:top w:val="single" w:sz="8" w:color="CCEEFF"/>
            </w:tcBorders>
            <w:shd w:val="clear" w:color="auto" w:fill="CCEEFF"/>
          </w:tcPr>
          <w:p>
            <w:pPr>
              <w:spacing w:after="0"/>
              <w:rPr>
                <w:sz w:val="18"/>
                <w:szCs w:val="18"/>
                <w:color w:val="auto"/>
              </w:rPr>
            </w:pPr>
          </w:p>
        </w:tc>
        <w:tc>
          <w:tcPr>
            <w:tcW w:w="2300" w:type="dxa"/>
            <w:vAlign w:val="bottom"/>
            <w:tcBorders>
              <w:top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7"/>
                <w:szCs w:val="17"/>
                <w:color w:val="auto"/>
              </w:rPr>
              <w:t>Fiscal 2022</w:t>
            </w:r>
          </w:p>
        </w:tc>
        <w:tc>
          <w:tcPr>
            <w:tcW w:w="0" w:type="dxa"/>
            <w:vAlign w:val="bottom"/>
          </w:tcPr>
          <w:p>
            <w:pPr>
              <w:spacing w:after="0"/>
              <w:rPr>
                <w:sz w:val="1"/>
                <w:szCs w:val="1"/>
                <w:color w:val="auto"/>
              </w:rPr>
            </w:pPr>
          </w:p>
        </w:tc>
      </w:tr>
      <w:tr>
        <w:trPr>
          <w:trHeight w:val="226"/>
        </w:trPr>
        <w:tc>
          <w:tcPr>
            <w:tcW w:w="1960" w:type="dxa"/>
            <w:vAlign w:val="bottom"/>
          </w:tcPr>
          <w:p>
            <w:pPr>
              <w:ind w:left="20"/>
              <w:spacing w:after="0"/>
              <w:rPr>
                <w:sz w:val="20"/>
                <w:szCs w:val="20"/>
                <w:color w:val="auto"/>
              </w:rPr>
            </w:pPr>
            <w:r>
              <w:rPr>
                <w:rFonts w:ascii="Times New Roman" w:cs="Times New Roman" w:eastAsia="Times New Roman" w:hAnsi="Times New Roman"/>
                <w:sz w:val="17"/>
                <w:szCs w:val="17"/>
                <w:i w:val="1"/>
                <w:iCs w:val="1"/>
                <w:color w:val="auto"/>
              </w:rPr>
              <w:t>Kerbal Space Program 2</w:t>
            </w:r>
          </w:p>
        </w:tc>
        <w:tc>
          <w:tcPr>
            <w:tcW w:w="1880" w:type="dxa"/>
            <w:vAlign w:val="bottom"/>
            <w:gridSpan w:val="2"/>
          </w:tcPr>
          <w:p>
            <w:pPr>
              <w:ind w:left="240"/>
              <w:spacing w:after="0"/>
              <w:rPr>
                <w:sz w:val="20"/>
                <w:szCs w:val="20"/>
                <w:color w:val="auto"/>
              </w:rPr>
            </w:pPr>
            <w:r>
              <w:rPr>
                <w:rFonts w:ascii="Times New Roman" w:cs="Times New Roman" w:eastAsia="Times New Roman" w:hAnsi="Times New Roman"/>
                <w:sz w:val="17"/>
                <w:szCs w:val="17"/>
                <w:color w:val="auto"/>
              </w:rPr>
              <w:t>Private Division</w:t>
            </w:r>
          </w:p>
        </w:tc>
        <w:tc>
          <w:tcPr>
            <w:tcW w:w="2200" w:type="dxa"/>
            <w:vAlign w:val="bottom"/>
            <w:gridSpan w:val="2"/>
          </w:tcPr>
          <w:p>
            <w:pPr>
              <w:jc w:val="center"/>
              <w:ind w:right="100"/>
              <w:spacing w:after="0"/>
              <w:rPr>
                <w:sz w:val="20"/>
                <w:szCs w:val="20"/>
                <w:color w:val="auto"/>
              </w:rPr>
            </w:pPr>
            <w:r>
              <w:rPr>
                <w:rFonts w:ascii="Times New Roman" w:cs="Times New Roman" w:eastAsia="Times New Roman" w:hAnsi="Times New Roman"/>
                <w:sz w:val="17"/>
                <w:szCs w:val="17"/>
                <w:color w:val="auto"/>
              </w:rPr>
              <w:t>Internal</w:t>
            </w:r>
          </w:p>
        </w:tc>
        <w:tc>
          <w:tcPr>
            <w:tcW w:w="2860" w:type="dxa"/>
            <w:vAlign w:val="bottom"/>
            <w:gridSpan w:val="2"/>
          </w:tcPr>
          <w:p>
            <w:pPr>
              <w:ind w:left="20"/>
              <w:spacing w:after="0"/>
              <w:rPr>
                <w:sz w:val="20"/>
                <w:szCs w:val="20"/>
                <w:color w:val="auto"/>
              </w:rPr>
            </w:pPr>
            <w:r>
              <w:rPr>
                <w:rFonts w:ascii="Times New Roman" w:cs="Times New Roman" w:eastAsia="Times New Roman" w:hAnsi="Times New Roman"/>
                <w:sz w:val="17"/>
                <w:szCs w:val="17"/>
                <w:color w:val="auto"/>
              </w:rPr>
              <w:t>PS4, Xbox One, PC</w:t>
            </w:r>
          </w:p>
        </w:tc>
        <w:tc>
          <w:tcPr>
            <w:tcW w:w="2300" w:type="dxa"/>
            <w:vAlign w:val="bottom"/>
          </w:tcPr>
          <w:p>
            <w:pPr>
              <w:jc w:val="center"/>
              <w:spacing w:after="0"/>
              <w:rPr>
                <w:sz w:val="20"/>
                <w:szCs w:val="20"/>
                <w:color w:val="auto"/>
              </w:rPr>
            </w:pPr>
            <w:r>
              <w:rPr>
                <w:rFonts w:ascii="Times New Roman" w:cs="Times New Roman" w:eastAsia="Times New Roman" w:hAnsi="Times New Roman"/>
                <w:sz w:val="17"/>
                <w:szCs w:val="17"/>
                <w:color w:val="auto"/>
              </w:rPr>
              <w:t>Fiscal 2023</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6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Critical Accounting Policies and Estimates</w:t>
      </w:r>
    </w:p>
    <w:p>
      <w:pPr>
        <w:spacing w:after="0" w:line="148"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Our most critical accounting policies, which are those that require significant judgment, include revenue recognition; price protection and allowances for returns; capitalization and recognition of software development costs and licenses; fair value estimates including valuation of goodwill, intangible assets, and long-lived assets; valuation and recognition of stock-based compensation; and income taxes. In-depth descriptions of these can be found in our Annual Report on Form 10-K for the fiscal year ended March 31, 2020.</w:t>
      </w:r>
    </w:p>
    <w:p>
      <w:pPr>
        <w:spacing w:after="0" w:line="112"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 xml:space="preserve">During the nine months ended December 31, 2020 there were no significant changes to the above critical accounting policies and estimates, with the exception of our adoption of Topic 326, </w:t>
      </w:r>
      <w:r>
        <w:rPr>
          <w:rFonts w:ascii="Times New Roman" w:cs="Times New Roman" w:eastAsia="Times New Roman" w:hAnsi="Times New Roman"/>
          <w:sz w:val="18"/>
          <w:szCs w:val="18"/>
          <w:i w:val="1"/>
          <w:iCs w:val="1"/>
          <w:color w:val="auto"/>
        </w:rPr>
        <w:t>Financial Instruments - Credit Losses.</w:t>
      </w:r>
      <w:r>
        <w:rPr>
          <w:rFonts w:ascii="Times New Roman" w:cs="Times New Roman" w:eastAsia="Times New Roman" w:hAnsi="Times New Roman"/>
          <w:sz w:val="18"/>
          <w:szCs w:val="18"/>
          <w:color w:val="auto"/>
        </w:rPr>
        <w:t xml:space="preserve"> Refer to Note 1 - Basis of Presentation and Significant Accounting Policies for further discussion.</w:t>
      </w:r>
    </w:p>
    <w:p>
      <w:pPr>
        <w:spacing w:after="0" w:line="10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Recently Adopted and Recently Issued Accounting Pronouncements</w:t>
      </w:r>
    </w:p>
    <w:p>
      <w:pPr>
        <w:spacing w:after="0" w:line="148"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See Note 1 - Basis of Presentation and Significant Accounting Policies for further discussion.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4" w:right="339" w:bottom="1440" w:gutter="0" w:footer="0" w:header="0"/>
        </w:sectPr>
      </w:pPr>
    </w:p>
    <w:bookmarkStart w:id="26" w:name="page27"/>
    <w:bookmarkEnd w:id="26"/>
    <w:p>
      <w:pPr>
        <w:spacing w:after="0"/>
        <w:rPr>
          <w:rFonts w:ascii="Times New Roman" w:cs="Times New Roman" w:eastAsia="Times New Roman" w:hAnsi="Times New Roman"/>
          <w:sz w:val="18"/>
          <w:szCs w:val="18"/>
          <w:u w:val="single" w:color="auto"/>
          <w:color w:val="0000FF"/>
        </w:rPr>
      </w:pPr>
      <w:hyperlink w:anchor="page1">
        <w:r>
          <w:rPr>
            <w:rFonts w:ascii="Times New Roman" w:cs="Times New Roman" w:eastAsia="Times New Roman" w:hAnsi="Times New Roman"/>
            <w:sz w:val="18"/>
            <w:szCs w:val="18"/>
            <w:u w:val="single" w:color="auto"/>
            <w:color w:val="0000FF"/>
          </w:rPr>
          <w:t>Table of Contents</w:t>
        </w:r>
      </w:hyperlink>
    </w:p>
    <w:p>
      <w:pPr>
        <w:spacing w:after="0" w:line="31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Operating Metric</w:t>
      </w:r>
    </w:p>
    <w:p>
      <w:pPr>
        <w:spacing w:after="0" w:line="25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Net Bookings</w:t>
      </w:r>
    </w:p>
    <w:p>
      <w:pPr>
        <w:spacing w:after="0" w:line="254"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We monitor Net Bookings as a key operating metric in evaluating the performance of our business. Net Bookings is defined as the net amount of products and services sold digitally or sold-in physically during the period and includes licensing fees, merchandise, in-game advertising, strategy guides, and publisher incentives. Net Bookings were as follows:</w:t>
      </w: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215"/>
        </w:trPr>
        <w:tc>
          <w:tcPr>
            <w:tcW w:w="1580" w:type="dxa"/>
            <w:vAlign w:val="bottom"/>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spacing w:after="0"/>
              <w:rPr>
                <w:sz w:val="18"/>
                <w:szCs w:val="18"/>
                <w:color w:val="auto"/>
              </w:rPr>
            </w:pPr>
          </w:p>
        </w:tc>
        <w:tc>
          <w:tcPr>
            <w:tcW w:w="2480" w:type="dxa"/>
            <w:vAlign w:val="bottom"/>
            <w:tcBorders>
              <w:bottom w:val="single" w:sz="8" w:color="auto"/>
            </w:tcBorders>
            <w:gridSpan w:val="8"/>
          </w:tcPr>
          <w:p>
            <w:pPr>
              <w:jc w:val="center"/>
              <w:spacing w:after="0"/>
              <w:rPr>
                <w:sz w:val="20"/>
                <w:szCs w:val="20"/>
                <w:color w:val="auto"/>
              </w:rPr>
            </w:pPr>
            <w:r>
              <w:rPr>
                <w:rFonts w:ascii="Times New Roman" w:cs="Times New Roman" w:eastAsia="Times New Roman" w:hAnsi="Times New Roman"/>
                <w:sz w:val="16"/>
                <w:szCs w:val="16"/>
                <w:b w:val="1"/>
                <w:bCs w:val="1"/>
                <w:color w:val="auto"/>
              </w:rPr>
              <w:t>Three Months Ended December 31,</w:t>
            </w:r>
          </w:p>
        </w:tc>
        <w:tc>
          <w:tcPr>
            <w:tcW w:w="1000" w:type="dxa"/>
            <w:vAlign w:val="bottom"/>
            <w:tcBorders>
              <w:bottom w:val="single" w:sz="8" w:color="auto"/>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2460" w:type="dxa"/>
            <w:vAlign w:val="bottom"/>
            <w:tcBorders>
              <w:bottom w:val="single" w:sz="8" w:color="auto"/>
            </w:tcBorders>
            <w:gridSpan w:val="6"/>
          </w:tcPr>
          <w:p>
            <w:pPr>
              <w:ind w:left="20"/>
              <w:spacing w:after="0"/>
              <w:rPr>
                <w:sz w:val="20"/>
                <w:szCs w:val="20"/>
                <w:color w:val="auto"/>
              </w:rPr>
            </w:pPr>
            <w:r>
              <w:rPr>
                <w:rFonts w:ascii="Times New Roman" w:cs="Times New Roman" w:eastAsia="Times New Roman" w:hAnsi="Times New Roman"/>
                <w:sz w:val="16"/>
                <w:szCs w:val="16"/>
                <w:b w:val="1"/>
                <w:bCs w:val="1"/>
                <w:color w:val="auto"/>
              </w:rPr>
              <w:t>Nine Months Ended December 31,</w:t>
            </w:r>
          </w:p>
        </w:tc>
        <w:tc>
          <w:tcPr>
            <w:tcW w:w="130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58"/>
        </w:trPr>
        <w:tc>
          <w:tcPr>
            <w:tcW w:w="15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60" w:type="dxa"/>
            <w:vAlign w:val="bottom"/>
            <w:vMerge w:val="restart"/>
          </w:tcPr>
          <w:p>
            <w:pPr>
              <w:jc w:val="right"/>
              <w:ind w:right="239"/>
              <w:spacing w:after="0"/>
              <w:rPr>
                <w:sz w:val="20"/>
                <w:szCs w:val="20"/>
                <w:color w:val="auto"/>
              </w:rPr>
            </w:pPr>
            <w:r>
              <w:rPr>
                <w:rFonts w:ascii="Times New Roman" w:cs="Times New Roman" w:eastAsia="Times New Roman" w:hAnsi="Times New Roman"/>
                <w:sz w:val="16"/>
                <w:szCs w:val="16"/>
                <w:b w:val="1"/>
                <w:bCs w:val="1"/>
                <w:color w:val="auto"/>
              </w:rPr>
              <w:t>2020</w:t>
            </w:r>
          </w:p>
        </w:tc>
        <w:tc>
          <w:tcPr>
            <w:tcW w:w="1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80" w:type="dxa"/>
            <w:vAlign w:val="bottom"/>
            <w:vMerge w:val="restart"/>
          </w:tcPr>
          <w:p>
            <w:pPr>
              <w:jc w:val="right"/>
              <w:ind w:right="259"/>
              <w:spacing w:after="0"/>
              <w:rPr>
                <w:sz w:val="20"/>
                <w:szCs w:val="20"/>
                <w:color w:val="auto"/>
              </w:rPr>
            </w:pPr>
            <w:r>
              <w:rPr>
                <w:rFonts w:ascii="Times New Roman" w:cs="Times New Roman" w:eastAsia="Times New Roman" w:hAnsi="Times New Roman"/>
                <w:sz w:val="16"/>
                <w:szCs w:val="16"/>
                <w:b w:val="1"/>
                <w:bCs w:val="1"/>
                <w:color w:val="auto"/>
              </w:rPr>
              <w:t>2019</w:t>
            </w: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140" w:type="dxa"/>
            <w:vAlign w:val="bottom"/>
            <w:gridSpan w:val="3"/>
          </w:tcPr>
          <w:p>
            <w:pPr>
              <w:jc w:val="center"/>
              <w:ind w:right="380"/>
              <w:spacing w:after="0" w:line="158" w:lineRule="exact"/>
              <w:rPr>
                <w:sz w:val="20"/>
                <w:szCs w:val="20"/>
                <w:color w:val="auto"/>
              </w:rPr>
            </w:pPr>
            <w:r>
              <w:rPr>
                <w:rFonts w:ascii="Times New Roman" w:cs="Times New Roman" w:eastAsia="Times New Roman" w:hAnsi="Times New Roman"/>
                <w:sz w:val="16"/>
                <w:szCs w:val="16"/>
                <w:b w:val="1"/>
                <w:bCs w:val="1"/>
                <w:color w:val="auto"/>
              </w:rPr>
              <w:t>Increase/</w:t>
            </w:r>
          </w:p>
        </w:tc>
        <w:tc>
          <w:tcPr>
            <w:tcW w:w="1380" w:type="dxa"/>
            <w:vAlign w:val="bottom"/>
            <w:gridSpan w:val="3"/>
          </w:tcPr>
          <w:p>
            <w:pPr>
              <w:jc w:val="center"/>
              <w:ind w:right="439"/>
              <w:spacing w:after="0" w:line="158" w:lineRule="exact"/>
              <w:rPr>
                <w:sz w:val="20"/>
                <w:szCs w:val="20"/>
                <w:color w:val="auto"/>
              </w:rPr>
            </w:pPr>
            <w:r>
              <w:rPr>
                <w:rFonts w:ascii="Times New Roman" w:cs="Times New Roman" w:eastAsia="Times New Roman" w:hAnsi="Times New Roman"/>
                <w:sz w:val="16"/>
                <w:szCs w:val="16"/>
                <w:b w:val="1"/>
                <w:bCs w:val="1"/>
                <w:color w:val="auto"/>
                <w:w w:val="99"/>
              </w:rPr>
              <w:t>% Increase/</w:t>
            </w:r>
          </w:p>
        </w:tc>
        <w:tc>
          <w:tcPr>
            <w:tcW w:w="940" w:type="dxa"/>
            <w:vAlign w:val="bottom"/>
            <w:vMerge w:val="restart"/>
          </w:tcPr>
          <w:p>
            <w:pPr>
              <w:jc w:val="right"/>
              <w:ind w:right="359"/>
              <w:spacing w:after="0"/>
              <w:rPr>
                <w:sz w:val="20"/>
                <w:szCs w:val="20"/>
                <w:color w:val="auto"/>
              </w:rPr>
            </w:pPr>
            <w:r>
              <w:rPr>
                <w:rFonts w:ascii="Times New Roman" w:cs="Times New Roman" w:eastAsia="Times New Roman" w:hAnsi="Times New Roman"/>
                <w:sz w:val="16"/>
                <w:szCs w:val="16"/>
                <w:b w:val="1"/>
                <w:bCs w:val="1"/>
                <w:color w:val="auto"/>
              </w:rPr>
              <w:t>2020</w:t>
            </w:r>
          </w:p>
        </w:tc>
        <w:tc>
          <w:tcPr>
            <w:tcW w:w="1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920" w:type="dxa"/>
            <w:vAlign w:val="bottom"/>
            <w:vMerge w:val="restart"/>
          </w:tcPr>
          <w:p>
            <w:pPr>
              <w:jc w:val="right"/>
              <w:ind w:right="359"/>
              <w:spacing w:after="0"/>
              <w:rPr>
                <w:sz w:val="20"/>
                <w:szCs w:val="20"/>
                <w:color w:val="auto"/>
              </w:rPr>
            </w:pPr>
            <w:r>
              <w:rPr>
                <w:rFonts w:ascii="Times New Roman" w:cs="Times New Roman" w:eastAsia="Times New Roman" w:hAnsi="Times New Roman"/>
                <w:sz w:val="16"/>
                <w:szCs w:val="16"/>
                <w:b w:val="1"/>
                <w:bCs w:val="1"/>
                <w:color w:val="auto"/>
              </w:rPr>
              <w:t>2019</w:t>
            </w: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20" w:type="dxa"/>
            <w:vAlign w:val="bottom"/>
            <w:gridSpan w:val="2"/>
          </w:tcPr>
          <w:p>
            <w:pPr>
              <w:jc w:val="center"/>
              <w:ind w:right="260"/>
              <w:spacing w:after="0" w:line="158" w:lineRule="exact"/>
              <w:rPr>
                <w:sz w:val="20"/>
                <w:szCs w:val="20"/>
                <w:color w:val="auto"/>
              </w:rPr>
            </w:pPr>
            <w:r>
              <w:rPr>
                <w:rFonts w:ascii="Times New Roman" w:cs="Times New Roman" w:eastAsia="Times New Roman" w:hAnsi="Times New Roman"/>
                <w:sz w:val="16"/>
                <w:szCs w:val="16"/>
                <w:b w:val="1"/>
                <w:bCs w:val="1"/>
                <w:color w:val="auto"/>
              </w:rPr>
              <w:t>Increase/</w:t>
            </w:r>
          </w:p>
        </w:tc>
        <w:tc>
          <w:tcPr>
            <w:tcW w:w="1300" w:type="dxa"/>
            <w:vAlign w:val="bottom"/>
          </w:tcPr>
          <w:p>
            <w:pPr>
              <w:jc w:val="center"/>
              <w:spacing w:after="0" w:line="158" w:lineRule="exact"/>
              <w:rPr>
                <w:sz w:val="20"/>
                <w:szCs w:val="20"/>
                <w:color w:val="auto"/>
              </w:rPr>
            </w:pPr>
            <w:r>
              <w:rPr>
                <w:rFonts w:ascii="Times New Roman" w:cs="Times New Roman" w:eastAsia="Times New Roman" w:hAnsi="Times New Roman"/>
                <w:sz w:val="16"/>
                <w:szCs w:val="16"/>
                <w:b w:val="1"/>
                <w:bCs w:val="1"/>
                <w:color w:val="auto"/>
                <w:w w:val="99"/>
              </w:rPr>
              <w:t>% Increase/</w:t>
            </w:r>
          </w:p>
        </w:tc>
        <w:tc>
          <w:tcPr>
            <w:tcW w:w="0" w:type="dxa"/>
            <w:vAlign w:val="bottom"/>
          </w:tcPr>
          <w:p>
            <w:pPr>
              <w:spacing w:after="0"/>
              <w:rPr>
                <w:sz w:val="1"/>
                <w:szCs w:val="1"/>
                <w:color w:val="auto"/>
              </w:rPr>
            </w:pPr>
          </w:p>
        </w:tc>
      </w:tr>
      <w:tr>
        <w:trPr>
          <w:trHeight w:val="214"/>
        </w:trPr>
        <w:tc>
          <w:tcPr>
            <w:tcW w:w="15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vMerge w:val="continue"/>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vMerge w:val="continue"/>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gridSpan w:val="3"/>
          </w:tcPr>
          <w:p>
            <w:pPr>
              <w:jc w:val="center"/>
              <w:ind w:right="360"/>
              <w:spacing w:after="0"/>
              <w:rPr>
                <w:sz w:val="20"/>
                <w:szCs w:val="20"/>
                <w:color w:val="auto"/>
              </w:rPr>
            </w:pPr>
            <w:r>
              <w:rPr>
                <w:rFonts w:ascii="Times New Roman" w:cs="Times New Roman" w:eastAsia="Times New Roman" w:hAnsi="Times New Roman"/>
                <w:sz w:val="16"/>
                <w:szCs w:val="16"/>
                <w:b w:val="1"/>
                <w:bCs w:val="1"/>
                <w:color w:val="auto"/>
              </w:rPr>
              <w:t>(decrease)</w:t>
            </w:r>
          </w:p>
        </w:tc>
        <w:tc>
          <w:tcPr>
            <w:tcW w:w="1380" w:type="dxa"/>
            <w:vAlign w:val="bottom"/>
            <w:gridSpan w:val="3"/>
          </w:tcPr>
          <w:p>
            <w:pPr>
              <w:jc w:val="center"/>
              <w:ind w:right="439"/>
              <w:spacing w:after="0"/>
              <w:rPr>
                <w:sz w:val="20"/>
                <w:szCs w:val="20"/>
                <w:color w:val="auto"/>
              </w:rPr>
            </w:pPr>
            <w:r>
              <w:rPr>
                <w:rFonts w:ascii="Times New Roman" w:cs="Times New Roman" w:eastAsia="Times New Roman" w:hAnsi="Times New Roman"/>
                <w:sz w:val="16"/>
                <w:szCs w:val="16"/>
                <w:b w:val="1"/>
                <w:bCs w:val="1"/>
                <w:color w:val="auto"/>
              </w:rPr>
              <w:t>(decrease)</w:t>
            </w:r>
          </w:p>
        </w:tc>
        <w:tc>
          <w:tcPr>
            <w:tcW w:w="940" w:type="dxa"/>
            <w:vAlign w:val="bottom"/>
            <w:vMerge w:val="continue"/>
          </w:tcPr>
          <w:p>
            <w:pPr>
              <w:spacing w:after="0"/>
              <w:rPr>
                <w:sz w:val="18"/>
                <w:szCs w:val="18"/>
                <w:color w:val="auto"/>
              </w:rPr>
            </w:pP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20" w:type="dxa"/>
            <w:vAlign w:val="bottom"/>
            <w:vMerge w:val="continue"/>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20" w:type="dxa"/>
            <w:vAlign w:val="bottom"/>
            <w:gridSpan w:val="2"/>
          </w:tcPr>
          <w:p>
            <w:pPr>
              <w:jc w:val="center"/>
              <w:ind w:right="240"/>
              <w:spacing w:after="0"/>
              <w:rPr>
                <w:sz w:val="20"/>
                <w:szCs w:val="20"/>
                <w:color w:val="auto"/>
              </w:rPr>
            </w:pPr>
            <w:r>
              <w:rPr>
                <w:rFonts w:ascii="Times New Roman" w:cs="Times New Roman" w:eastAsia="Times New Roman" w:hAnsi="Times New Roman"/>
                <w:sz w:val="16"/>
                <w:szCs w:val="16"/>
                <w:b w:val="1"/>
                <w:bCs w:val="1"/>
                <w:color w:val="auto"/>
              </w:rPr>
              <w:t>(decrease)</w:t>
            </w:r>
          </w:p>
        </w:tc>
        <w:tc>
          <w:tcPr>
            <w:tcW w:w="1300" w:type="dxa"/>
            <w:vAlign w:val="bottom"/>
          </w:tcPr>
          <w:p>
            <w:pPr>
              <w:jc w:val="center"/>
              <w:spacing w:after="0"/>
              <w:rPr>
                <w:sz w:val="20"/>
                <w:szCs w:val="20"/>
                <w:color w:val="auto"/>
              </w:rPr>
            </w:pPr>
            <w:r>
              <w:rPr>
                <w:rFonts w:ascii="Times New Roman" w:cs="Times New Roman" w:eastAsia="Times New Roman" w:hAnsi="Times New Roman"/>
                <w:sz w:val="16"/>
                <w:szCs w:val="16"/>
                <w:b w:val="1"/>
                <w:bCs w:val="1"/>
                <w:color w:val="auto"/>
              </w:rPr>
              <w:t>(decrease)</w:t>
            </w:r>
          </w:p>
        </w:tc>
        <w:tc>
          <w:tcPr>
            <w:tcW w:w="0" w:type="dxa"/>
            <w:vAlign w:val="bottom"/>
          </w:tcPr>
          <w:p>
            <w:pPr>
              <w:spacing w:after="0"/>
              <w:rPr>
                <w:sz w:val="1"/>
                <w:szCs w:val="1"/>
                <w:color w:val="auto"/>
              </w:rPr>
            </w:pPr>
          </w:p>
        </w:tc>
      </w:tr>
      <w:tr>
        <w:trPr>
          <w:trHeight w:val="211"/>
        </w:trPr>
        <w:tc>
          <w:tcPr>
            <w:tcW w:w="158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Net Bookings</w:t>
            </w:r>
          </w:p>
        </w:tc>
        <w:tc>
          <w:tcPr>
            <w:tcW w:w="220" w:type="dxa"/>
            <w:vAlign w:val="bottom"/>
            <w:tcBorders>
              <w:top w:val="single" w:sz="8" w:color="auto"/>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b w:val="1"/>
                <w:bCs w:val="1"/>
                <w:color w:val="auto"/>
                <w:w w:val="99"/>
              </w:rPr>
              <w:t>$</w:t>
            </w:r>
          </w:p>
        </w:tc>
        <w:tc>
          <w:tcPr>
            <w:tcW w:w="7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b w:val="1"/>
                <w:bCs w:val="1"/>
                <w:color w:val="auto"/>
              </w:rPr>
              <w:t>814,282</w:t>
            </w:r>
          </w:p>
        </w:tc>
        <w:tc>
          <w:tcPr>
            <w:tcW w:w="10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w w:val="99"/>
              </w:rPr>
              <w:t>$</w:t>
            </w:r>
          </w:p>
        </w:tc>
        <w:tc>
          <w:tcPr>
            <w:tcW w:w="7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888,179</w:t>
            </w:r>
          </w:p>
        </w:tc>
        <w:tc>
          <w:tcPr>
            <w:tcW w:w="12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8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(73,897)</w:t>
            </w:r>
          </w:p>
        </w:tc>
        <w:tc>
          <w:tcPr>
            <w:tcW w:w="12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10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(8.3)%</w:t>
            </w:r>
          </w:p>
        </w:tc>
        <w:tc>
          <w:tcPr>
            <w:tcW w:w="12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auto"/>
            </w:tcBorders>
            <w:shd w:val="clear" w:color="auto" w:fill="CCEEFF"/>
          </w:tcPr>
          <w:p>
            <w:pPr>
              <w:jc w:val="right"/>
              <w:ind w:right="99"/>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9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b w:val="1"/>
                <w:bCs w:val="1"/>
                <w:color w:val="auto"/>
              </w:rPr>
              <w:t>2,768,066</w:t>
            </w:r>
          </w:p>
        </w:tc>
        <w:tc>
          <w:tcPr>
            <w:tcW w:w="12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w:t>
            </w:r>
          </w:p>
        </w:tc>
        <w:tc>
          <w:tcPr>
            <w:tcW w:w="9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2,260,935</w:t>
            </w:r>
          </w:p>
        </w:tc>
        <w:tc>
          <w:tcPr>
            <w:tcW w:w="10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9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507,131</w:t>
            </w:r>
          </w:p>
        </w:tc>
        <w:tc>
          <w:tcPr>
            <w:tcW w:w="100" w:type="dxa"/>
            <w:vAlign w:val="bottom"/>
            <w:tcBorders>
              <w:top w:val="single" w:sz="8" w:color="CCEEFF"/>
            </w:tcBorders>
            <w:shd w:val="clear" w:color="auto" w:fill="CCEEFF"/>
          </w:tcPr>
          <w:p>
            <w:pPr>
              <w:spacing w:after="0"/>
              <w:rPr>
                <w:sz w:val="18"/>
                <w:szCs w:val="18"/>
                <w:color w:val="auto"/>
              </w:rPr>
            </w:pPr>
          </w:p>
        </w:tc>
        <w:tc>
          <w:tcPr>
            <w:tcW w:w="13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22.4 %</w:t>
            </w:r>
          </w:p>
        </w:tc>
        <w:tc>
          <w:tcPr>
            <w:tcW w:w="0" w:type="dxa"/>
            <w:vAlign w:val="bottom"/>
          </w:tcPr>
          <w:p>
            <w:pPr>
              <w:spacing w:after="0"/>
              <w:rPr>
                <w:sz w:val="1"/>
                <w:szCs w:val="1"/>
                <w:color w:val="auto"/>
              </w:rPr>
            </w:pPr>
          </w:p>
        </w:tc>
      </w:tr>
    </w:tbl>
    <w:p>
      <w:pPr>
        <w:spacing w:after="0" w:line="130"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 xml:space="preserve">For the three months ended December 31, 2020, Net Bookings decreased by $73.9 million as compared to the prior year period due primarily to a decrease in Net Bookings from </w:t>
      </w:r>
      <w:r>
        <w:rPr>
          <w:rFonts w:ascii="Times New Roman" w:cs="Times New Roman" w:eastAsia="Times New Roman" w:hAnsi="Times New Roman"/>
          <w:sz w:val="18"/>
          <w:szCs w:val="18"/>
          <w:i w:val="1"/>
          <w:iCs w:val="1"/>
          <w:color w:val="auto"/>
        </w:rPr>
        <w:t>The Outer Worlds,</w:t>
      </w:r>
      <w:r>
        <w:rPr>
          <w:rFonts w:ascii="Times New Roman" w:cs="Times New Roman" w:eastAsia="Times New Roman" w:hAnsi="Times New Roman"/>
          <w:sz w:val="18"/>
          <w:szCs w:val="18"/>
          <w:color w:val="auto"/>
        </w:rPr>
        <w:t xml:space="preserve"> which released in October 2019, </w:t>
      </w:r>
      <w:r>
        <w:rPr>
          <w:rFonts w:ascii="Times New Roman" w:cs="Times New Roman" w:eastAsia="Times New Roman" w:hAnsi="Times New Roman"/>
          <w:sz w:val="18"/>
          <w:szCs w:val="18"/>
          <w:i w:val="1"/>
          <w:iCs w:val="1"/>
          <w:color w:val="auto"/>
        </w:rPr>
        <w:t>Red Dead Redemption 2,</w:t>
      </w:r>
      <w:r>
        <w:rPr>
          <w:rFonts w:ascii="Times New Roman" w:cs="Times New Roman" w:eastAsia="Times New Roman" w:hAnsi="Times New Roman"/>
          <w:sz w:val="18"/>
          <w:szCs w:val="18"/>
          <w:color w:val="auto"/>
        </w:rPr>
        <w:t xml:space="preserve"> which released on PC in November 2019</w:t>
      </w:r>
      <w:r>
        <w:rPr>
          <w:rFonts w:ascii="Times New Roman" w:cs="Times New Roman" w:eastAsia="Times New Roman" w:hAnsi="Times New Roman"/>
          <w:sz w:val="18"/>
          <w:szCs w:val="18"/>
          <w:i w:val="1"/>
          <w:iCs w:val="1"/>
          <w:color w:val="auto"/>
        </w:rPr>
        <w:t>,</w:t>
      </w:r>
      <w:r>
        <w:rPr>
          <w:rFonts w:ascii="Times New Roman" w:cs="Times New Roman" w:eastAsia="Times New Roman" w:hAnsi="Times New Roman"/>
          <w:sz w:val="18"/>
          <w:szCs w:val="18"/>
          <w:color w:val="auto"/>
        </w:rPr>
        <w:t xml:space="preserve"> our </w:t>
      </w:r>
      <w:r>
        <w:rPr>
          <w:rFonts w:ascii="Times New Roman" w:cs="Times New Roman" w:eastAsia="Times New Roman" w:hAnsi="Times New Roman"/>
          <w:sz w:val="18"/>
          <w:szCs w:val="18"/>
          <w:i w:val="1"/>
          <w:iCs w:val="1"/>
          <w:color w:val="auto"/>
        </w:rPr>
        <w:t xml:space="preserve">WWE 2K </w:t>
      </w:r>
      <w:r>
        <w:rPr>
          <w:rFonts w:ascii="Times New Roman" w:cs="Times New Roman" w:eastAsia="Times New Roman" w:hAnsi="Times New Roman"/>
          <w:sz w:val="18"/>
          <w:szCs w:val="18"/>
          <w:color w:val="auto"/>
        </w:rPr>
        <w:t>franchise, which benefited from the release of</w:t>
      </w:r>
      <w:r>
        <w:rPr>
          <w:rFonts w:ascii="Times New Roman" w:cs="Times New Roman" w:eastAsia="Times New Roman" w:hAnsi="Times New Roman"/>
          <w:sz w:val="18"/>
          <w:szCs w:val="18"/>
          <w:i w:val="1"/>
          <w:iCs w:val="1"/>
          <w:color w:val="auto"/>
        </w:rPr>
        <w:t xml:space="preserve"> WWE 2K20 </w:t>
      </w:r>
      <w:r>
        <w:rPr>
          <w:rFonts w:ascii="Times New Roman" w:cs="Times New Roman" w:eastAsia="Times New Roman" w:hAnsi="Times New Roman"/>
          <w:sz w:val="18"/>
          <w:szCs w:val="18"/>
          <w:color w:val="auto"/>
        </w:rPr>
        <w:t>in the prior year period, and</w:t>
      </w:r>
      <w:r>
        <w:rPr>
          <w:rFonts w:ascii="Times New Roman" w:cs="Times New Roman" w:eastAsia="Times New Roman" w:hAnsi="Times New Roman"/>
          <w:sz w:val="18"/>
          <w:szCs w:val="18"/>
          <w:i w:val="1"/>
          <w:iCs w:val="1"/>
          <w:color w:val="auto"/>
        </w:rPr>
        <w:t xml:space="preserve"> Borderlands 3, </w:t>
      </w:r>
      <w:r>
        <w:rPr>
          <w:rFonts w:ascii="Times New Roman" w:cs="Times New Roman" w:eastAsia="Times New Roman" w:hAnsi="Times New Roman"/>
          <w:sz w:val="18"/>
          <w:szCs w:val="18"/>
          <w:color w:val="auto"/>
        </w:rPr>
        <w:t>which released in September 2019</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 xml:space="preserve">partially offset by an increase in Net Bookings from our </w:t>
      </w:r>
      <w:r>
        <w:rPr>
          <w:rFonts w:ascii="Times New Roman" w:cs="Times New Roman" w:eastAsia="Times New Roman" w:hAnsi="Times New Roman"/>
          <w:sz w:val="18"/>
          <w:szCs w:val="18"/>
          <w:i w:val="1"/>
          <w:iCs w:val="1"/>
          <w:color w:val="auto"/>
        </w:rPr>
        <w:t>NBA 2K</w:t>
      </w:r>
      <w:r>
        <w:rPr>
          <w:rFonts w:ascii="Times New Roman" w:cs="Times New Roman" w:eastAsia="Times New Roman" w:hAnsi="Times New Roman"/>
          <w:sz w:val="18"/>
          <w:szCs w:val="18"/>
          <w:color w:val="auto"/>
        </w:rPr>
        <w:t xml:space="preserve"> franchise, </w:t>
      </w:r>
      <w:r>
        <w:rPr>
          <w:rFonts w:ascii="Times New Roman" w:cs="Times New Roman" w:eastAsia="Times New Roman" w:hAnsi="Times New Roman"/>
          <w:sz w:val="18"/>
          <w:szCs w:val="18"/>
          <w:i w:val="1"/>
          <w:iCs w:val="1"/>
          <w:color w:val="auto"/>
        </w:rPr>
        <w:t>Grand Theft Auto Online,</w:t>
      </w:r>
      <w:r>
        <w:rPr>
          <w:rFonts w:ascii="Times New Roman" w:cs="Times New Roman" w:eastAsia="Times New Roman" w:hAnsi="Times New Roman"/>
          <w:sz w:val="18"/>
          <w:szCs w:val="18"/>
          <w:color w:val="auto"/>
        </w:rPr>
        <w:t xml:space="preserve"> and our </w:t>
      </w:r>
      <w:r>
        <w:rPr>
          <w:rFonts w:ascii="Times New Roman" w:cs="Times New Roman" w:eastAsia="Times New Roman" w:hAnsi="Times New Roman"/>
          <w:sz w:val="18"/>
          <w:szCs w:val="18"/>
          <w:i w:val="1"/>
          <w:iCs w:val="1"/>
          <w:color w:val="auto"/>
        </w:rPr>
        <w:t>Mafia</w:t>
      </w:r>
      <w:r>
        <w:rPr>
          <w:rFonts w:ascii="Times New Roman" w:cs="Times New Roman" w:eastAsia="Times New Roman" w:hAnsi="Times New Roman"/>
          <w:sz w:val="18"/>
          <w:szCs w:val="18"/>
          <w:color w:val="auto"/>
        </w:rPr>
        <w:t xml:space="preserve"> franchise.</w:t>
      </w:r>
    </w:p>
    <w:p>
      <w:pPr>
        <w:spacing w:after="0" w:line="99"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 xml:space="preserve">For the nine months ended December 31, 2020, Net Bookings increased by $507.1 million as compared to the prior year period due primarily to increases from our </w:t>
      </w:r>
      <w:r>
        <w:rPr>
          <w:rFonts w:ascii="Times New Roman" w:cs="Times New Roman" w:eastAsia="Times New Roman" w:hAnsi="Times New Roman"/>
          <w:sz w:val="18"/>
          <w:szCs w:val="18"/>
          <w:i w:val="1"/>
          <w:iCs w:val="1"/>
          <w:color w:val="auto"/>
        </w:rPr>
        <w:t>NBA 2K</w:t>
      </w:r>
      <w:r>
        <w:rPr>
          <w:rFonts w:ascii="Times New Roman" w:cs="Times New Roman" w:eastAsia="Times New Roman" w:hAnsi="Times New Roman"/>
          <w:sz w:val="18"/>
          <w:szCs w:val="18"/>
          <w:color w:val="auto"/>
        </w:rPr>
        <w:t xml:space="preserve"> franchise, </w:t>
      </w:r>
      <w:r>
        <w:rPr>
          <w:rFonts w:ascii="Times New Roman" w:cs="Times New Roman" w:eastAsia="Times New Roman" w:hAnsi="Times New Roman"/>
          <w:sz w:val="18"/>
          <w:szCs w:val="18"/>
          <w:i w:val="1"/>
          <w:iCs w:val="1"/>
          <w:color w:val="auto"/>
        </w:rPr>
        <w:t>Grand Theft Auto Online</w:t>
      </w:r>
      <w:r>
        <w:rPr>
          <w:rFonts w:ascii="Times New Roman" w:cs="Times New Roman" w:eastAsia="Times New Roman" w:hAnsi="Times New Roman"/>
          <w:sz w:val="18"/>
          <w:szCs w:val="18"/>
          <w:color w:val="auto"/>
        </w:rPr>
        <w:t xml:space="preserve"> and </w:t>
      </w:r>
      <w:r>
        <w:rPr>
          <w:rFonts w:ascii="Times New Roman" w:cs="Times New Roman" w:eastAsia="Times New Roman" w:hAnsi="Times New Roman"/>
          <w:sz w:val="18"/>
          <w:szCs w:val="18"/>
          <w:i w:val="1"/>
          <w:iCs w:val="1"/>
          <w:color w:val="auto"/>
        </w:rPr>
        <w:t>Grand Theft Auto V,</w:t>
      </w:r>
      <w:r>
        <w:rPr>
          <w:rFonts w:ascii="Times New Roman" w:cs="Times New Roman" w:eastAsia="Times New Roman" w:hAnsi="Times New Roman"/>
          <w:sz w:val="18"/>
          <w:szCs w:val="18"/>
          <w:color w:val="auto"/>
        </w:rPr>
        <w:t xml:space="preserve"> our </w:t>
      </w:r>
      <w:r>
        <w:rPr>
          <w:rFonts w:ascii="Times New Roman" w:cs="Times New Roman" w:eastAsia="Times New Roman" w:hAnsi="Times New Roman"/>
          <w:sz w:val="18"/>
          <w:szCs w:val="18"/>
          <w:i w:val="1"/>
          <w:iCs w:val="1"/>
          <w:color w:val="auto"/>
        </w:rPr>
        <w:t>Mafia</w:t>
      </w:r>
      <w:r>
        <w:rPr>
          <w:rFonts w:ascii="Times New Roman" w:cs="Times New Roman" w:eastAsia="Times New Roman" w:hAnsi="Times New Roman"/>
          <w:sz w:val="18"/>
          <w:szCs w:val="18"/>
          <w:color w:val="auto"/>
        </w:rPr>
        <w:t xml:space="preserve"> franchise, </w:t>
      </w:r>
      <w:r>
        <w:rPr>
          <w:rFonts w:ascii="Times New Roman" w:cs="Times New Roman" w:eastAsia="Times New Roman" w:hAnsi="Times New Roman"/>
          <w:sz w:val="18"/>
          <w:szCs w:val="18"/>
          <w:i w:val="1"/>
          <w:iCs w:val="1"/>
          <w:color w:val="auto"/>
        </w:rPr>
        <w:t>PGA TOUR 2K21,</w:t>
      </w:r>
      <w:r>
        <w:rPr>
          <w:rFonts w:ascii="Times New Roman" w:cs="Times New Roman" w:eastAsia="Times New Roman" w:hAnsi="Times New Roman"/>
          <w:sz w:val="18"/>
          <w:szCs w:val="18"/>
          <w:color w:val="auto"/>
        </w:rPr>
        <w:t xml:space="preserve"> which released in August 2020, </w:t>
      </w:r>
      <w:r>
        <w:rPr>
          <w:rFonts w:ascii="Times New Roman" w:cs="Times New Roman" w:eastAsia="Times New Roman" w:hAnsi="Times New Roman"/>
          <w:sz w:val="18"/>
          <w:szCs w:val="18"/>
          <w:i w:val="1"/>
          <w:iCs w:val="1"/>
          <w:color w:val="auto"/>
        </w:rPr>
        <w:t>Dragon City,</w:t>
      </w:r>
      <w:r>
        <w:rPr>
          <w:rFonts w:ascii="Times New Roman" w:cs="Times New Roman" w:eastAsia="Times New Roman" w:hAnsi="Times New Roman"/>
          <w:sz w:val="18"/>
          <w:szCs w:val="18"/>
          <w:color w:val="auto"/>
        </w:rPr>
        <w:t xml:space="preserve"> and </w:t>
      </w:r>
      <w:r>
        <w:rPr>
          <w:rFonts w:ascii="Times New Roman" w:cs="Times New Roman" w:eastAsia="Times New Roman" w:hAnsi="Times New Roman"/>
          <w:sz w:val="18"/>
          <w:szCs w:val="18"/>
          <w:i w:val="1"/>
          <w:iCs w:val="1"/>
          <w:color w:val="auto"/>
        </w:rPr>
        <w:t>Two Dots,</w:t>
      </w:r>
      <w:r>
        <w:rPr>
          <w:rFonts w:ascii="Times New Roman" w:cs="Times New Roman" w:eastAsia="Times New Roman" w:hAnsi="Times New Roman"/>
          <w:sz w:val="18"/>
          <w:szCs w:val="18"/>
          <w:color w:val="auto"/>
        </w:rPr>
        <w:t xml:space="preserve"> which was part of our Playdots Inc. acquisition completed in September 2020</w:t>
      </w:r>
      <w:r>
        <w:rPr>
          <w:rFonts w:ascii="Times New Roman" w:cs="Times New Roman" w:eastAsia="Times New Roman" w:hAnsi="Times New Roman"/>
          <w:sz w:val="18"/>
          <w:szCs w:val="18"/>
          <w:i w:val="1"/>
          <w:iCs w:val="1"/>
          <w:color w:val="auto"/>
        </w:rPr>
        <w:t>,</w:t>
      </w:r>
      <w:r>
        <w:rPr>
          <w:rFonts w:ascii="Times New Roman" w:cs="Times New Roman" w:eastAsia="Times New Roman" w:hAnsi="Times New Roman"/>
          <w:sz w:val="18"/>
          <w:szCs w:val="18"/>
          <w:color w:val="auto"/>
        </w:rPr>
        <w:t xml:space="preserve"> partially offset by a decrease in Net Bookings from </w:t>
      </w:r>
      <w:r>
        <w:rPr>
          <w:rFonts w:ascii="Times New Roman" w:cs="Times New Roman" w:eastAsia="Times New Roman" w:hAnsi="Times New Roman"/>
          <w:sz w:val="18"/>
          <w:szCs w:val="18"/>
          <w:i w:val="1"/>
          <w:iCs w:val="1"/>
          <w:color w:val="auto"/>
        </w:rPr>
        <w:t>Borderlands 3</w:t>
      </w:r>
      <w:r>
        <w:rPr>
          <w:rFonts w:ascii="Times New Roman" w:cs="Times New Roman" w:eastAsia="Times New Roman" w:hAnsi="Times New Roman"/>
          <w:sz w:val="18"/>
          <w:szCs w:val="18"/>
          <w:color w:val="auto"/>
        </w:rPr>
        <w:t xml:space="preserve">, and </w:t>
      </w:r>
      <w:r>
        <w:rPr>
          <w:rFonts w:ascii="Times New Roman" w:cs="Times New Roman" w:eastAsia="Times New Roman" w:hAnsi="Times New Roman"/>
          <w:sz w:val="18"/>
          <w:szCs w:val="18"/>
          <w:i w:val="1"/>
          <w:iCs w:val="1"/>
          <w:color w:val="auto"/>
        </w:rPr>
        <w:t>The Outer Worlds,</w:t>
      </w:r>
      <w:r>
        <w:rPr>
          <w:rFonts w:ascii="Times New Roman" w:cs="Times New Roman" w:eastAsia="Times New Roman" w:hAnsi="Times New Roman"/>
          <w:sz w:val="18"/>
          <w:szCs w:val="18"/>
          <w:color w:val="auto"/>
        </w:rPr>
        <w:t xml:space="preserve"> which released in October 2019</w:t>
      </w:r>
      <w:r>
        <w:rPr>
          <w:rFonts w:ascii="Times New Roman" w:cs="Times New Roman" w:eastAsia="Times New Roman" w:hAnsi="Times New Roman"/>
          <w:sz w:val="18"/>
          <w:szCs w:val="18"/>
          <w:i w:val="1"/>
          <w:iCs w:val="1"/>
          <w:color w:val="auto"/>
        </w:rPr>
        <w:t>.</w:t>
      </w:r>
    </w:p>
    <w:p>
      <w:pPr>
        <w:spacing w:after="0" w:line="10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Results of Operations</w:t>
      </w:r>
    </w:p>
    <w:p>
      <w:pPr>
        <w:spacing w:after="0" w:line="162"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The following tables set forth, for the periods indicated, our Condensed Consolidated Statements of Operations, net revenue by geographic region, net revenue by platform, net revenue by distribution channel, and net revenue by content type:</w:t>
      </w:r>
    </w:p>
    <w:p>
      <w:pPr>
        <w:spacing w:after="0" w:line="114" w:lineRule="exact"/>
        <w:rPr>
          <w:sz w:val="20"/>
          <w:szCs w:val="20"/>
          <w:color w:val="auto"/>
        </w:rPr>
      </w:pPr>
    </w:p>
    <w:tbl>
      <w:tblPr>
        <w:tblLayout w:type="fixed"/>
        <w:tblInd w:w="0" w:type="dxa"/>
        <w:tblCellMar>
          <w:top w:w="0" w:type="dxa"/>
          <w:left w:w="0" w:type="dxa"/>
          <w:bottom w:w="0" w:type="dxa"/>
          <w:right w:w="0" w:type="dxa"/>
        </w:tblCellMar>
      </w:tblPr>
      <w:tr>
        <w:trPr>
          <w:trHeight w:val="226"/>
        </w:trPr>
        <w:tc>
          <w:tcPr>
            <w:tcW w:w="266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3220" w:type="dxa"/>
            <w:vAlign w:val="bottom"/>
            <w:tcBorders>
              <w:bottom w:val="single" w:sz="8" w:color="auto"/>
            </w:tcBorders>
            <w:gridSpan w:val="9"/>
          </w:tcPr>
          <w:p>
            <w:pPr>
              <w:jc w:val="right"/>
              <w:ind w:right="100"/>
              <w:spacing w:after="0"/>
              <w:rPr>
                <w:sz w:val="20"/>
                <w:szCs w:val="20"/>
                <w:color w:val="auto"/>
              </w:rPr>
            </w:pPr>
            <w:r>
              <w:rPr>
                <w:rFonts w:ascii="Times New Roman" w:cs="Times New Roman" w:eastAsia="Times New Roman" w:hAnsi="Times New Roman"/>
                <w:sz w:val="17"/>
                <w:szCs w:val="17"/>
                <w:b w:val="1"/>
                <w:bCs w:val="1"/>
                <w:color w:val="auto"/>
              </w:rPr>
              <w:t>Three Months Ended December 31,</w:t>
            </w:r>
          </w:p>
        </w:tc>
        <w:tc>
          <w:tcPr>
            <w:tcW w:w="68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3400" w:type="dxa"/>
            <w:vAlign w:val="bottom"/>
            <w:tcBorders>
              <w:bottom w:val="single" w:sz="8" w:color="auto"/>
            </w:tcBorders>
            <w:gridSpan w:val="9"/>
          </w:tcPr>
          <w:p>
            <w:pPr>
              <w:ind w:left="700"/>
              <w:spacing w:after="0"/>
              <w:rPr>
                <w:sz w:val="20"/>
                <w:szCs w:val="20"/>
                <w:color w:val="auto"/>
              </w:rPr>
            </w:pPr>
            <w:r>
              <w:rPr>
                <w:rFonts w:ascii="Times New Roman" w:cs="Times New Roman" w:eastAsia="Times New Roman" w:hAnsi="Times New Roman"/>
                <w:sz w:val="17"/>
                <w:szCs w:val="17"/>
                <w:b w:val="1"/>
                <w:bCs w:val="1"/>
                <w:color w:val="auto"/>
              </w:rPr>
              <w:t>Nine Months Ended December 31,</w:t>
            </w:r>
          </w:p>
        </w:tc>
        <w:tc>
          <w:tcPr>
            <w:tcW w:w="720" w:type="dxa"/>
            <w:vAlign w:val="bottom"/>
            <w:tcBorders>
              <w:bottom w:val="single" w:sz="8" w:color="auto"/>
            </w:tcBorders>
          </w:tcPr>
          <w:p>
            <w:pPr>
              <w:spacing w:after="0"/>
              <w:rPr>
                <w:sz w:val="19"/>
                <w:szCs w:val="19"/>
                <w:color w:val="auto"/>
              </w:rPr>
            </w:pPr>
          </w:p>
        </w:tc>
      </w:tr>
      <w:tr>
        <w:trPr>
          <w:trHeight w:val="211"/>
        </w:trPr>
        <w:tc>
          <w:tcPr>
            <w:tcW w:w="266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7"/>
                <w:szCs w:val="17"/>
                <w:b w:val="1"/>
                <w:bCs w:val="1"/>
                <w:color w:val="auto"/>
              </w:rPr>
              <w:t>(thousands of dollars)</w:t>
            </w:r>
          </w:p>
        </w:tc>
        <w:tc>
          <w:tcPr>
            <w:tcW w:w="24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gridSpan w:val="3"/>
          </w:tcPr>
          <w:p>
            <w:pPr>
              <w:jc w:val="right"/>
              <w:ind w:right="100"/>
              <w:spacing w:after="0"/>
              <w:rPr>
                <w:sz w:val="20"/>
                <w:szCs w:val="20"/>
                <w:color w:val="auto"/>
              </w:rPr>
            </w:pPr>
            <w:r>
              <w:rPr>
                <w:rFonts w:ascii="Times New Roman" w:cs="Times New Roman" w:eastAsia="Times New Roman" w:hAnsi="Times New Roman"/>
                <w:sz w:val="17"/>
                <w:szCs w:val="17"/>
                <w:b w:val="1"/>
                <w:bCs w:val="1"/>
                <w:color w:val="auto"/>
              </w:rPr>
              <w:t>2020</w:t>
            </w:r>
          </w:p>
        </w:tc>
        <w:tc>
          <w:tcPr>
            <w:tcW w:w="740" w:type="dxa"/>
            <w:vAlign w:val="bottom"/>
            <w:tcBorders>
              <w:bottom w:val="single" w:sz="8" w:color="auto"/>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100" w:type="dxa"/>
            <w:vAlign w:val="bottom"/>
            <w:tcBorders>
              <w:bottom w:val="single" w:sz="8" w:color="auto"/>
            </w:tcBorders>
            <w:gridSpan w:val="3"/>
          </w:tcPr>
          <w:p>
            <w:pPr>
              <w:jc w:val="right"/>
              <w:ind w:right="140"/>
              <w:spacing w:after="0"/>
              <w:rPr>
                <w:sz w:val="20"/>
                <w:szCs w:val="20"/>
                <w:color w:val="auto"/>
              </w:rPr>
            </w:pPr>
            <w:r>
              <w:rPr>
                <w:rFonts w:ascii="Times New Roman" w:cs="Times New Roman" w:eastAsia="Times New Roman" w:hAnsi="Times New Roman"/>
                <w:sz w:val="17"/>
                <w:szCs w:val="17"/>
                <w:b w:val="1"/>
                <w:bCs w:val="1"/>
                <w:color w:val="auto"/>
              </w:rPr>
              <w:t>2019</w:t>
            </w:r>
          </w:p>
        </w:tc>
        <w:tc>
          <w:tcPr>
            <w:tcW w:w="680" w:type="dxa"/>
            <w:vAlign w:val="bottom"/>
            <w:tcBorders>
              <w:bottom w:val="single" w:sz="8" w:color="auto"/>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gridSpan w:val="3"/>
          </w:tcPr>
          <w:p>
            <w:pPr>
              <w:ind w:left="700"/>
              <w:spacing w:after="0"/>
              <w:rPr>
                <w:sz w:val="20"/>
                <w:szCs w:val="20"/>
                <w:color w:val="auto"/>
              </w:rPr>
            </w:pPr>
            <w:r>
              <w:rPr>
                <w:rFonts w:ascii="Times New Roman" w:cs="Times New Roman" w:eastAsia="Times New Roman" w:hAnsi="Times New Roman"/>
                <w:sz w:val="17"/>
                <w:szCs w:val="17"/>
                <w:b w:val="1"/>
                <w:bCs w:val="1"/>
                <w:color w:val="auto"/>
              </w:rPr>
              <w:t>2020</w:t>
            </w:r>
          </w:p>
        </w:tc>
        <w:tc>
          <w:tcPr>
            <w:tcW w:w="780" w:type="dxa"/>
            <w:vAlign w:val="bottom"/>
            <w:tcBorders>
              <w:bottom w:val="single" w:sz="8" w:color="auto"/>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1120" w:type="dxa"/>
            <w:vAlign w:val="bottom"/>
            <w:tcBorders>
              <w:bottom w:val="single" w:sz="8" w:color="auto"/>
            </w:tcBorders>
            <w:gridSpan w:val="3"/>
          </w:tcPr>
          <w:p>
            <w:pPr>
              <w:jc w:val="right"/>
              <w:ind w:right="120"/>
              <w:spacing w:after="0"/>
              <w:rPr>
                <w:sz w:val="20"/>
                <w:szCs w:val="20"/>
                <w:color w:val="auto"/>
              </w:rPr>
            </w:pPr>
            <w:r>
              <w:rPr>
                <w:rFonts w:ascii="Times New Roman" w:cs="Times New Roman" w:eastAsia="Times New Roman" w:hAnsi="Times New Roman"/>
                <w:sz w:val="17"/>
                <w:szCs w:val="17"/>
                <w:b w:val="1"/>
                <w:bCs w:val="1"/>
                <w:color w:val="auto"/>
              </w:rPr>
              <w:t>2019</w:t>
            </w:r>
          </w:p>
        </w:tc>
        <w:tc>
          <w:tcPr>
            <w:tcW w:w="720" w:type="dxa"/>
            <w:vAlign w:val="bottom"/>
            <w:tcBorders>
              <w:bottom w:val="single" w:sz="8" w:color="auto"/>
            </w:tcBorders>
          </w:tcPr>
          <w:p>
            <w:pPr>
              <w:spacing w:after="0"/>
              <w:rPr>
                <w:sz w:val="18"/>
                <w:szCs w:val="18"/>
                <w:color w:val="auto"/>
              </w:rPr>
            </w:pPr>
          </w:p>
        </w:tc>
      </w:tr>
      <w:tr>
        <w:trPr>
          <w:trHeight w:val="210"/>
        </w:trPr>
        <w:tc>
          <w:tcPr>
            <w:tcW w:w="26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7"/>
                <w:szCs w:val="17"/>
                <w:color w:val="auto"/>
              </w:rPr>
              <w:t>Net revenue</w:t>
            </w:r>
          </w:p>
        </w:tc>
        <w:tc>
          <w:tcPr>
            <w:tcW w:w="240" w:type="dxa"/>
            <w:vAlign w:val="bottom"/>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b w:val="1"/>
                <w:bCs w:val="1"/>
                <w:color w:val="auto"/>
              </w:rPr>
              <w:t>$</w:t>
            </w: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b w:val="1"/>
                <w:bCs w:val="1"/>
                <w:color w:val="auto"/>
              </w:rPr>
              <w:t>860,889</w:t>
            </w: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b w:val="1"/>
                <w:bCs w:val="1"/>
                <w:color w:val="auto"/>
              </w:rPr>
              <w:t>100.0 %</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color w:val="auto"/>
                <w:w w:val="93"/>
              </w:rPr>
              <w:t>$</w:t>
            </w:r>
          </w:p>
        </w:tc>
        <w:tc>
          <w:tcPr>
            <w:tcW w:w="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930,129</w:t>
            </w: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100.0 %</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b w:val="1"/>
                <w:bCs w:val="1"/>
                <w:color w:val="auto"/>
                <w:w w:val="93"/>
              </w:rPr>
              <w:t>$</w:t>
            </w: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b w:val="1"/>
                <w:bCs w:val="1"/>
                <w:color w:val="auto"/>
              </w:rPr>
              <w:t>2,533,341</w:t>
            </w:r>
          </w:p>
        </w:tc>
        <w:tc>
          <w:tcPr>
            <w:tcW w:w="1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b w:val="1"/>
                <w:bCs w:val="1"/>
                <w:color w:val="auto"/>
              </w:rPr>
              <w:t>100.0 %</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w w:val="93"/>
              </w:rPr>
              <w:t>$</w:t>
            </w: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2,328,429</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100.0 %</w:t>
            </w:r>
          </w:p>
        </w:tc>
      </w:tr>
      <w:tr>
        <w:trPr>
          <w:trHeight w:val="216"/>
        </w:trPr>
        <w:tc>
          <w:tcPr>
            <w:tcW w:w="266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7"/>
                <w:szCs w:val="17"/>
                <w:color w:val="auto"/>
              </w:rPr>
              <w:t>Cost of goods sold</w:t>
            </w:r>
          </w:p>
        </w:tc>
        <w:tc>
          <w:tcPr>
            <w:tcW w:w="24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b w:val="1"/>
                <w:bCs w:val="1"/>
                <w:color w:val="auto"/>
              </w:rPr>
              <w:t>346,244</w:t>
            </w:r>
          </w:p>
        </w:tc>
        <w:tc>
          <w:tcPr>
            <w:tcW w:w="120" w:type="dxa"/>
            <w:vAlign w:val="bottom"/>
            <w:tcBorders>
              <w:bottom w:val="single" w:sz="8" w:color="CCEEFF"/>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b w:val="1"/>
                <w:bCs w:val="1"/>
                <w:color w:val="auto"/>
              </w:rPr>
              <w:t>40.2 %</w:t>
            </w:r>
          </w:p>
        </w:tc>
        <w:tc>
          <w:tcPr>
            <w:tcW w:w="10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437,093</w:t>
            </w:r>
          </w:p>
        </w:tc>
        <w:tc>
          <w:tcPr>
            <w:tcW w:w="100" w:type="dxa"/>
            <w:vAlign w:val="bottom"/>
            <w:tcBorders>
              <w:bottom w:val="single" w:sz="8" w:color="CCEEFF"/>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47.0 %</w:t>
            </w:r>
          </w:p>
        </w:tc>
        <w:tc>
          <w:tcPr>
            <w:tcW w:w="10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b w:val="1"/>
                <w:bCs w:val="1"/>
                <w:color w:val="auto"/>
              </w:rPr>
              <w:t>1,255,438</w:t>
            </w:r>
          </w:p>
        </w:tc>
        <w:tc>
          <w:tcPr>
            <w:tcW w:w="12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b w:val="1"/>
                <w:bCs w:val="1"/>
                <w:color w:val="auto"/>
              </w:rPr>
              <w:t>49.6 %</w:t>
            </w:r>
          </w:p>
        </w:tc>
        <w:tc>
          <w:tcPr>
            <w:tcW w:w="10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1,146,810</w:t>
            </w:r>
          </w:p>
        </w:tc>
        <w:tc>
          <w:tcPr>
            <w:tcW w:w="10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49.3 %</w:t>
            </w:r>
          </w:p>
        </w:tc>
      </w:tr>
      <w:tr>
        <w:trPr>
          <w:trHeight w:val="210"/>
        </w:trPr>
        <w:tc>
          <w:tcPr>
            <w:tcW w:w="26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7"/>
                <w:szCs w:val="17"/>
                <w:color w:val="auto"/>
              </w:rPr>
              <w:t>Gross profit</w:t>
            </w:r>
          </w:p>
        </w:tc>
        <w:tc>
          <w:tcPr>
            <w:tcW w:w="24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b w:val="1"/>
                <w:bCs w:val="1"/>
                <w:color w:val="auto"/>
              </w:rPr>
              <w:t>514,645</w:t>
            </w: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b w:val="1"/>
                <w:bCs w:val="1"/>
                <w:color w:val="auto"/>
              </w:rPr>
              <w:t>59.8 %</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493,036</w:t>
            </w: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53.0 %</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b w:val="1"/>
                <w:bCs w:val="1"/>
                <w:color w:val="auto"/>
              </w:rPr>
              <w:t>1,277,903</w:t>
            </w:r>
          </w:p>
        </w:tc>
        <w:tc>
          <w:tcPr>
            <w:tcW w:w="1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b w:val="1"/>
                <w:bCs w:val="1"/>
                <w:color w:val="auto"/>
              </w:rPr>
              <w:t>50.4 %</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1,181,619</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50.7 %</w:t>
            </w:r>
          </w:p>
        </w:tc>
      </w:tr>
      <w:tr>
        <w:trPr>
          <w:trHeight w:val="216"/>
        </w:trPr>
        <w:tc>
          <w:tcPr>
            <w:tcW w:w="26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Selling and marketing</w:t>
            </w:r>
          </w:p>
        </w:tc>
        <w:tc>
          <w:tcPr>
            <w:tcW w:w="24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b w:val="1"/>
                <w:bCs w:val="1"/>
                <w:color w:val="auto"/>
              </w:rPr>
              <w:t>139,906</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7"/>
                <w:szCs w:val="17"/>
                <w:b w:val="1"/>
                <w:bCs w:val="1"/>
                <w:color w:val="auto"/>
              </w:rPr>
              <w:t>16.3 %</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137,068</w:t>
            </w: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14.7 %</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b w:val="1"/>
                <w:bCs w:val="1"/>
                <w:color w:val="auto"/>
              </w:rPr>
              <w:t>338,376</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b w:val="1"/>
                <w:bCs w:val="1"/>
                <w:color w:val="auto"/>
              </w:rPr>
              <w:t>13.4 %</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378,455</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16.3 %</w:t>
            </w:r>
          </w:p>
        </w:tc>
      </w:tr>
      <w:tr>
        <w:trPr>
          <w:trHeight w:val="216"/>
        </w:trPr>
        <w:tc>
          <w:tcPr>
            <w:tcW w:w="266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7"/>
                <w:szCs w:val="17"/>
                <w:color w:val="auto"/>
              </w:rPr>
              <w:t>General and administrative</w:t>
            </w:r>
          </w:p>
        </w:tc>
        <w:tc>
          <w:tcPr>
            <w:tcW w:w="24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b w:val="1"/>
                <w:bCs w:val="1"/>
                <w:color w:val="auto"/>
              </w:rPr>
              <w:t>98,624</w:t>
            </w: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b w:val="1"/>
                <w:bCs w:val="1"/>
                <w:color w:val="auto"/>
              </w:rPr>
              <w:t>11.5 %</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84,531</w:t>
            </w: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9.1 %</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b w:val="1"/>
                <w:bCs w:val="1"/>
                <w:color w:val="auto"/>
              </w:rPr>
              <w:t>292,230</w:t>
            </w:r>
          </w:p>
        </w:tc>
        <w:tc>
          <w:tcPr>
            <w:tcW w:w="1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b w:val="1"/>
                <w:bCs w:val="1"/>
                <w:color w:val="auto"/>
              </w:rPr>
              <w:t>11.5 %</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236,023</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10.1 %</w:t>
            </w:r>
          </w:p>
        </w:tc>
      </w:tr>
      <w:tr>
        <w:trPr>
          <w:trHeight w:val="216"/>
        </w:trPr>
        <w:tc>
          <w:tcPr>
            <w:tcW w:w="26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Research and development</w:t>
            </w:r>
          </w:p>
        </w:tc>
        <w:tc>
          <w:tcPr>
            <w:tcW w:w="24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b w:val="1"/>
                <w:bCs w:val="1"/>
                <w:color w:val="auto"/>
              </w:rPr>
              <w:t>86,428</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7"/>
                <w:szCs w:val="17"/>
                <w:b w:val="1"/>
                <w:bCs w:val="1"/>
                <w:color w:val="auto"/>
              </w:rPr>
              <w:t>10.0 %</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82,520</w:t>
            </w: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8.9 %</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b w:val="1"/>
                <w:bCs w:val="1"/>
                <w:color w:val="auto"/>
              </w:rPr>
              <w:t>233,752</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b w:val="1"/>
                <w:bCs w:val="1"/>
                <w:color w:val="auto"/>
              </w:rPr>
              <w:t>9.2 %</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227,680</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9.8 %</w:t>
            </w:r>
          </w:p>
        </w:tc>
      </w:tr>
      <w:tr>
        <w:trPr>
          <w:trHeight w:val="216"/>
        </w:trPr>
        <w:tc>
          <w:tcPr>
            <w:tcW w:w="266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7"/>
                <w:szCs w:val="17"/>
                <w:color w:val="auto"/>
              </w:rPr>
              <w:t>Depreciation and amortization</w:t>
            </w:r>
          </w:p>
        </w:tc>
        <w:tc>
          <w:tcPr>
            <w:tcW w:w="24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b w:val="1"/>
                <w:bCs w:val="1"/>
                <w:color w:val="auto"/>
              </w:rPr>
              <w:t>14,007</w:t>
            </w: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b w:val="1"/>
                <w:bCs w:val="1"/>
                <w:color w:val="auto"/>
              </w:rPr>
              <w:t>1.6 %</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12,330</w:t>
            </w: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1.3 %</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b w:val="1"/>
                <w:bCs w:val="1"/>
                <w:color w:val="auto"/>
              </w:rPr>
              <w:t>40,116</w:t>
            </w:r>
          </w:p>
        </w:tc>
        <w:tc>
          <w:tcPr>
            <w:tcW w:w="1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b w:val="1"/>
                <w:bCs w:val="1"/>
                <w:color w:val="auto"/>
              </w:rPr>
              <w:t>1.6 %</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35,611</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1.5 %</w:t>
            </w:r>
          </w:p>
        </w:tc>
      </w:tr>
      <w:tr>
        <w:trPr>
          <w:trHeight w:val="216"/>
        </w:trPr>
        <w:tc>
          <w:tcPr>
            <w:tcW w:w="26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Business reorganization</w:t>
            </w:r>
          </w:p>
        </w:tc>
        <w:tc>
          <w:tcPr>
            <w:tcW w:w="24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b w:val="1"/>
                <w:bCs w:val="1"/>
                <w:color w:val="auto"/>
              </w:rPr>
              <w:t>(377)</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40" w:type="dxa"/>
            <w:vAlign w:val="bottom"/>
            <w:gridSpan w:val="2"/>
          </w:tcPr>
          <w:p>
            <w:pPr>
              <w:jc w:val="right"/>
              <w:ind w:right="120"/>
              <w:spacing w:after="0"/>
              <w:rPr>
                <w:sz w:val="20"/>
                <w:szCs w:val="20"/>
                <w:color w:val="auto"/>
              </w:rPr>
            </w:pPr>
            <w:r>
              <w:rPr>
                <w:rFonts w:ascii="Times New Roman" w:cs="Times New Roman" w:eastAsia="Times New Roman" w:hAnsi="Times New Roman"/>
                <w:sz w:val="17"/>
                <w:szCs w:val="17"/>
                <w:b w:val="1"/>
                <w:bCs w:val="1"/>
                <w:color w:val="auto"/>
              </w:rPr>
              <w:t>— %</w:t>
            </w:r>
          </w:p>
        </w:tc>
        <w:tc>
          <w:tcPr>
            <w:tcW w:w="2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(246)</w:t>
            </w: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780" w:type="dxa"/>
            <w:vAlign w:val="bottom"/>
            <w:gridSpan w:val="2"/>
          </w:tcPr>
          <w:p>
            <w:pPr>
              <w:jc w:val="right"/>
              <w:ind w:right="120"/>
              <w:spacing w:after="0"/>
              <w:rPr>
                <w:sz w:val="20"/>
                <w:szCs w:val="20"/>
                <w:color w:val="auto"/>
              </w:rPr>
            </w:pPr>
            <w:r>
              <w:rPr>
                <w:rFonts w:ascii="Times New Roman" w:cs="Times New Roman" w:eastAsia="Times New Roman" w:hAnsi="Times New Roman"/>
                <w:sz w:val="17"/>
                <w:szCs w:val="17"/>
                <w:color w:val="auto"/>
              </w:rPr>
              <w:t>— %</w:t>
            </w:r>
          </w:p>
        </w:tc>
        <w:tc>
          <w:tcPr>
            <w:tcW w:w="22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b w:val="1"/>
                <w:bCs w:val="1"/>
                <w:color w:val="auto"/>
              </w:rPr>
              <w:t>(138)</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80" w:type="dxa"/>
            <w:vAlign w:val="bottom"/>
            <w:gridSpan w:val="2"/>
          </w:tcPr>
          <w:p>
            <w:pPr>
              <w:jc w:val="right"/>
              <w:ind w:right="120"/>
              <w:spacing w:after="0"/>
              <w:rPr>
                <w:sz w:val="20"/>
                <w:szCs w:val="20"/>
                <w:color w:val="auto"/>
              </w:rPr>
            </w:pPr>
            <w:r>
              <w:rPr>
                <w:rFonts w:ascii="Times New Roman" w:cs="Times New Roman" w:eastAsia="Times New Roman" w:hAnsi="Times New Roman"/>
                <w:sz w:val="17"/>
                <w:szCs w:val="17"/>
                <w:b w:val="1"/>
                <w:bCs w:val="1"/>
                <w:color w:val="auto"/>
              </w:rPr>
              <w:t>— %</w:t>
            </w:r>
          </w:p>
        </w:tc>
        <w:tc>
          <w:tcPr>
            <w:tcW w:w="2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467</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 %</w:t>
            </w:r>
          </w:p>
        </w:tc>
      </w:tr>
      <w:tr>
        <w:trPr>
          <w:trHeight w:val="210"/>
        </w:trPr>
        <w:tc>
          <w:tcPr>
            <w:tcW w:w="266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7"/>
                <w:szCs w:val="17"/>
                <w:color w:val="auto"/>
              </w:rPr>
              <w:t>Total operating expenses</w:t>
            </w:r>
          </w:p>
        </w:tc>
        <w:tc>
          <w:tcPr>
            <w:tcW w:w="240" w:type="dxa"/>
            <w:vAlign w:val="bottom"/>
            <w:tcBorders>
              <w:top w:val="single" w:sz="8" w:color="auto"/>
              <w:bottom w:val="single" w:sz="8" w:color="auto"/>
            </w:tcBorders>
            <w:shd w:val="clear" w:color="auto" w:fill="CCEEFF"/>
          </w:tcPr>
          <w:p>
            <w:pPr>
              <w:spacing w:after="0"/>
              <w:rPr>
                <w:sz w:val="18"/>
                <w:szCs w:val="18"/>
                <w:color w:val="auto"/>
              </w:rPr>
            </w:pPr>
          </w:p>
        </w:tc>
        <w:tc>
          <w:tcPr>
            <w:tcW w:w="7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b w:val="1"/>
                <w:bCs w:val="1"/>
                <w:color w:val="auto"/>
              </w:rPr>
              <w:t>338,588</w:t>
            </w:r>
          </w:p>
        </w:tc>
        <w:tc>
          <w:tcPr>
            <w:tcW w:w="12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bottom w:val="single" w:sz="8" w:color="auto"/>
            </w:tcBorders>
            <w:shd w:val="clear" w:color="auto" w:fill="CCEEFF"/>
          </w:tcPr>
          <w:p>
            <w:pPr>
              <w:spacing w:after="0"/>
              <w:rPr>
                <w:sz w:val="18"/>
                <w:szCs w:val="18"/>
                <w:color w:val="auto"/>
              </w:rPr>
            </w:pP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b w:val="1"/>
                <w:bCs w:val="1"/>
                <w:color w:val="auto"/>
              </w:rPr>
              <w:t>39.3 %</w:t>
            </w:r>
          </w:p>
        </w:tc>
        <w:tc>
          <w:tcPr>
            <w:tcW w:w="10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auto"/>
              <w:bottom w:val="single" w:sz="8" w:color="auto"/>
            </w:tcBorders>
            <w:shd w:val="clear" w:color="auto" w:fill="CCEEFF"/>
          </w:tcPr>
          <w:p>
            <w:pPr>
              <w:spacing w:after="0"/>
              <w:rPr>
                <w:sz w:val="18"/>
                <w:szCs w:val="18"/>
                <w:color w:val="auto"/>
              </w:rPr>
            </w:pP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316,203</w:t>
            </w:r>
          </w:p>
        </w:tc>
        <w:tc>
          <w:tcPr>
            <w:tcW w:w="10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auto"/>
              <w:bottom w:val="single" w:sz="8" w:color="auto"/>
            </w:tcBorders>
            <w:shd w:val="clear" w:color="auto" w:fill="CCEEFF"/>
          </w:tcPr>
          <w:p>
            <w:pPr>
              <w:spacing w:after="0"/>
              <w:rPr>
                <w:sz w:val="18"/>
                <w:szCs w:val="18"/>
                <w:color w:val="auto"/>
              </w:rPr>
            </w:pPr>
          </w:p>
        </w:tc>
        <w:tc>
          <w:tcPr>
            <w:tcW w:w="6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34.0 %</w:t>
            </w:r>
          </w:p>
        </w:tc>
        <w:tc>
          <w:tcPr>
            <w:tcW w:w="10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auto"/>
              <w:bottom w:val="single" w:sz="8" w:color="auto"/>
            </w:tcBorders>
            <w:shd w:val="clear" w:color="auto" w:fill="CCEEFF"/>
          </w:tcPr>
          <w:p>
            <w:pPr>
              <w:spacing w:after="0"/>
              <w:rPr>
                <w:sz w:val="18"/>
                <w:szCs w:val="18"/>
                <w:color w:val="auto"/>
              </w:rPr>
            </w:pPr>
          </w:p>
        </w:tc>
        <w:tc>
          <w:tcPr>
            <w:tcW w:w="8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b w:val="1"/>
                <w:bCs w:val="1"/>
                <w:color w:val="auto"/>
              </w:rPr>
              <w:t>904,336</w:t>
            </w:r>
          </w:p>
        </w:tc>
        <w:tc>
          <w:tcPr>
            <w:tcW w:w="12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auto"/>
              <w:bottom w:val="single" w:sz="8" w:color="auto"/>
            </w:tcBorders>
            <w:shd w:val="clear" w:color="auto" w:fill="CCEEFF"/>
          </w:tcPr>
          <w:p>
            <w:pPr>
              <w:spacing w:after="0"/>
              <w:rPr>
                <w:sz w:val="18"/>
                <w:szCs w:val="18"/>
                <w:color w:val="auto"/>
              </w:rPr>
            </w:pPr>
          </w:p>
        </w:tc>
        <w:tc>
          <w:tcPr>
            <w:tcW w:w="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b w:val="1"/>
                <w:bCs w:val="1"/>
                <w:color w:val="auto"/>
              </w:rPr>
              <w:t>35.7 %</w:t>
            </w:r>
          </w:p>
        </w:tc>
        <w:tc>
          <w:tcPr>
            <w:tcW w:w="10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bottom w:val="single" w:sz="8" w:color="auto"/>
            </w:tcBorders>
            <w:shd w:val="clear" w:color="auto" w:fill="CCEEFF"/>
          </w:tcPr>
          <w:p>
            <w:pPr>
              <w:spacing w:after="0"/>
              <w:rPr>
                <w:sz w:val="18"/>
                <w:szCs w:val="18"/>
                <w:color w:val="auto"/>
              </w:rPr>
            </w:pPr>
          </w:p>
        </w:tc>
        <w:tc>
          <w:tcPr>
            <w:tcW w:w="8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878,236</w:t>
            </w:r>
          </w:p>
        </w:tc>
        <w:tc>
          <w:tcPr>
            <w:tcW w:w="10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bottom w:val="single" w:sz="8" w:color="auto"/>
            </w:tcBorders>
            <w:shd w:val="clear" w:color="auto" w:fill="CCEEFF"/>
          </w:tcPr>
          <w:p>
            <w:pPr>
              <w:spacing w:after="0"/>
              <w:rPr>
                <w:sz w:val="18"/>
                <w:szCs w:val="18"/>
                <w:color w:val="auto"/>
              </w:rPr>
            </w:pP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37.7 %</w:t>
            </w:r>
          </w:p>
        </w:tc>
      </w:tr>
      <w:tr>
        <w:trPr>
          <w:trHeight w:val="209"/>
        </w:trPr>
        <w:tc>
          <w:tcPr>
            <w:tcW w:w="2660" w:type="dxa"/>
            <w:vAlign w:val="bottom"/>
          </w:tcPr>
          <w:p>
            <w:pPr>
              <w:ind w:left="20"/>
              <w:spacing w:after="0"/>
              <w:rPr>
                <w:sz w:val="20"/>
                <w:szCs w:val="20"/>
                <w:color w:val="auto"/>
              </w:rPr>
            </w:pPr>
            <w:r>
              <w:rPr>
                <w:rFonts w:ascii="Times New Roman" w:cs="Times New Roman" w:eastAsia="Times New Roman" w:hAnsi="Times New Roman"/>
                <w:sz w:val="17"/>
                <w:szCs w:val="17"/>
                <w:color w:val="auto"/>
              </w:rPr>
              <w:t>Income from operations</w:t>
            </w:r>
          </w:p>
        </w:tc>
        <w:tc>
          <w:tcPr>
            <w:tcW w:w="24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b w:val="1"/>
                <w:bCs w:val="1"/>
                <w:color w:val="auto"/>
              </w:rPr>
              <w:t>176,057</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7"/>
                <w:szCs w:val="17"/>
                <w:b w:val="1"/>
                <w:bCs w:val="1"/>
                <w:color w:val="auto"/>
              </w:rPr>
              <w:t>20.5 %</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176,833</w:t>
            </w: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19.0 %</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b w:val="1"/>
                <w:bCs w:val="1"/>
                <w:color w:val="auto"/>
              </w:rPr>
              <w:t>373,567</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b w:val="1"/>
                <w:bCs w:val="1"/>
                <w:color w:val="auto"/>
              </w:rPr>
              <w:t>14.7 %</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303,383</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13.0 %</w:t>
            </w:r>
          </w:p>
        </w:tc>
      </w:tr>
      <w:tr>
        <w:trPr>
          <w:trHeight w:val="216"/>
        </w:trPr>
        <w:tc>
          <w:tcPr>
            <w:tcW w:w="26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7"/>
                <w:szCs w:val="17"/>
                <w:color w:val="auto"/>
              </w:rPr>
              <w:t>Interest and other, net</w:t>
            </w:r>
          </w:p>
        </w:tc>
        <w:tc>
          <w:tcPr>
            <w:tcW w:w="24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b w:val="1"/>
                <w:bCs w:val="1"/>
                <w:color w:val="auto"/>
              </w:rPr>
              <w:t>1,098</w:t>
            </w: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b w:val="1"/>
                <w:bCs w:val="1"/>
                <w:color w:val="auto"/>
              </w:rPr>
              <w:t>0.1 %</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11,943</w:t>
            </w: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1.3 %</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b w:val="1"/>
                <w:bCs w:val="1"/>
                <w:color w:val="auto"/>
              </w:rPr>
              <w:t>12,022</w:t>
            </w:r>
          </w:p>
        </w:tc>
        <w:tc>
          <w:tcPr>
            <w:tcW w:w="1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b w:val="1"/>
                <w:bCs w:val="1"/>
                <w:color w:val="auto"/>
              </w:rPr>
              <w:t>0.5 %</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30,422</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1.3 %</w:t>
            </w:r>
          </w:p>
        </w:tc>
      </w:tr>
      <w:tr>
        <w:trPr>
          <w:trHeight w:val="216"/>
        </w:trPr>
        <w:tc>
          <w:tcPr>
            <w:tcW w:w="2660" w:type="dxa"/>
            <w:vAlign w:val="bottom"/>
          </w:tcPr>
          <w:p>
            <w:pPr>
              <w:ind w:left="20"/>
              <w:spacing w:after="0"/>
              <w:rPr>
                <w:sz w:val="20"/>
                <w:szCs w:val="20"/>
                <w:color w:val="auto"/>
              </w:rPr>
            </w:pPr>
            <w:r>
              <w:rPr>
                <w:rFonts w:ascii="Times New Roman" w:cs="Times New Roman" w:eastAsia="Times New Roman" w:hAnsi="Times New Roman"/>
                <w:sz w:val="17"/>
                <w:szCs w:val="17"/>
                <w:color w:val="auto"/>
              </w:rPr>
              <w:t>Gain on long-term investments, net</w:t>
            </w:r>
          </w:p>
        </w:tc>
        <w:tc>
          <w:tcPr>
            <w:tcW w:w="24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b w:val="1"/>
                <w:bCs w:val="1"/>
                <w:color w:val="auto"/>
              </w:rPr>
              <w:t>39,291</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7"/>
                <w:szCs w:val="17"/>
                <w:b w:val="1"/>
                <w:bCs w:val="1"/>
                <w:color w:val="auto"/>
              </w:rPr>
              <w:t>4.6 %</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00" w:type="dxa"/>
            <w:vAlign w:val="bottom"/>
            <w:gridSpan w:val="3"/>
          </w:tcPr>
          <w:p>
            <w:pPr>
              <w:jc w:val="right"/>
              <w:ind w:right="440"/>
              <w:spacing w:after="0"/>
              <w:rPr>
                <w:sz w:val="20"/>
                <w:szCs w:val="20"/>
                <w:color w:val="auto"/>
              </w:rPr>
            </w:pPr>
            <w:r>
              <w:rPr>
                <w:rFonts w:ascii="Times New Roman" w:cs="Times New Roman" w:eastAsia="Times New Roman" w:hAnsi="Times New Roman"/>
                <w:sz w:val="17"/>
                <w:szCs w:val="17"/>
                <w:color w:val="auto"/>
              </w:rPr>
              <w:t>—</w:t>
            </w:r>
          </w:p>
        </w:tc>
        <w:tc>
          <w:tcPr>
            <w:tcW w:w="780" w:type="dxa"/>
            <w:vAlign w:val="bottom"/>
            <w:gridSpan w:val="2"/>
          </w:tcPr>
          <w:p>
            <w:pPr>
              <w:jc w:val="right"/>
              <w:ind w:right="120"/>
              <w:spacing w:after="0"/>
              <w:rPr>
                <w:sz w:val="20"/>
                <w:szCs w:val="20"/>
                <w:color w:val="auto"/>
              </w:rPr>
            </w:pPr>
            <w:r>
              <w:rPr>
                <w:rFonts w:ascii="Times New Roman" w:cs="Times New Roman" w:eastAsia="Times New Roman" w:hAnsi="Times New Roman"/>
                <w:sz w:val="17"/>
                <w:szCs w:val="17"/>
                <w:color w:val="auto"/>
              </w:rPr>
              <w:t>— %</w:t>
            </w:r>
          </w:p>
        </w:tc>
        <w:tc>
          <w:tcPr>
            <w:tcW w:w="22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7"/>
                <w:szCs w:val="17"/>
                <w:b w:val="1"/>
                <w:bCs w:val="1"/>
                <w:color w:val="auto"/>
              </w:rPr>
              <w:t>38,636</w:t>
            </w: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7"/>
                <w:szCs w:val="17"/>
                <w:b w:val="1"/>
                <w:bCs w:val="1"/>
                <w:color w:val="auto"/>
              </w:rPr>
              <w:t>1.5 %</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20" w:type="dxa"/>
            <w:vAlign w:val="bottom"/>
            <w:gridSpan w:val="3"/>
          </w:tcPr>
          <w:p>
            <w:pPr>
              <w:jc w:val="right"/>
              <w:ind w:right="340"/>
              <w:spacing w:after="0"/>
              <w:rPr>
                <w:sz w:val="20"/>
                <w:szCs w:val="20"/>
                <w:color w:val="auto"/>
              </w:rPr>
            </w:pPr>
            <w:r>
              <w:rPr>
                <w:rFonts w:ascii="Times New Roman" w:cs="Times New Roman" w:eastAsia="Times New Roman" w:hAnsi="Times New Roman"/>
                <w:sz w:val="17"/>
                <w:szCs w:val="17"/>
                <w:color w:val="auto"/>
              </w:rPr>
              <w:t>—</w:t>
            </w:r>
          </w:p>
        </w:tc>
        <w:tc>
          <w:tcPr>
            <w:tcW w:w="72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 %</w:t>
            </w:r>
          </w:p>
        </w:tc>
      </w:tr>
      <w:tr>
        <w:trPr>
          <w:trHeight w:val="216"/>
        </w:trPr>
        <w:tc>
          <w:tcPr>
            <w:tcW w:w="26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7"/>
                <w:szCs w:val="17"/>
                <w:color w:val="auto"/>
              </w:rPr>
              <w:t>Income before income taxes</w:t>
            </w:r>
          </w:p>
        </w:tc>
        <w:tc>
          <w:tcPr>
            <w:tcW w:w="24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b w:val="1"/>
                <w:bCs w:val="1"/>
                <w:color w:val="auto"/>
              </w:rPr>
              <w:t>216,446</w:t>
            </w: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b w:val="1"/>
                <w:bCs w:val="1"/>
                <w:color w:val="auto"/>
              </w:rPr>
              <w:t>25.1 %</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188,776</w:t>
            </w: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20.3 %</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b w:val="1"/>
                <w:bCs w:val="1"/>
                <w:color w:val="auto"/>
              </w:rPr>
              <w:t>424,225</w:t>
            </w:r>
          </w:p>
        </w:tc>
        <w:tc>
          <w:tcPr>
            <w:tcW w:w="1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b w:val="1"/>
                <w:bCs w:val="1"/>
                <w:color w:val="auto"/>
              </w:rPr>
              <w:t>16.7 %</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333,805</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14.3 %</w:t>
            </w:r>
          </w:p>
        </w:tc>
      </w:tr>
      <w:tr>
        <w:trPr>
          <w:trHeight w:val="216"/>
        </w:trPr>
        <w:tc>
          <w:tcPr>
            <w:tcW w:w="266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7"/>
                <w:szCs w:val="17"/>
                <w:color w:val="auto"/>
              </w:rPr>
              <w:t>Provision for income taxes</w:t>
            </w:r>
          </w:p>
        </w:tc>
        <w:tc>
          <w:tcPr>
            <w:tcW w:w="24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b w:val="1"/>
                <w:bCs w:val="1"/>
                <w:color w:val="auto"/>
              </w:rPr>
              <w:t>34,198</w:t>
            </w:r>
          </w:p>
        </w:tc>
        <w:tc>
          <w:tcPr>
            <w:tcW w:w="120" w:type="dxa"/>
            <w:vAlign w:val="bottom"/>
            <w:tcBorders>
              <w:bottom w:val="single" w:sz="8" w:color="CCEEFF"/>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b w:val="1"/>
                <w:bCs w:val="1"/>
                <w:color w:val="auto"/>
              </w:rPr>
              <w:t>4.0 %</w:t>
            </w:r>
          </w:p>
        </w:tc>
        <w:tc>
          <w:tcPr>
            <w:tcW w:w="10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25,134</w:t>
            </w:r>
          </w:p>
        </w:tc>
        <w:tc>
          <w:tcPr>
            <w:tcW w:w="100" w:type="dxa"/>
            <w:vAlign w:val="bottom"/>
            <w:tcBorders>
              <w:bottom w:val="single" w:sz="8" w:color="CCEEFF"/>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2.7 %</w:t>
            </w:r>
          </w:p>
        </w:tc>
        <w:tc>
          <w:tcPr>
            <w:tcW w:w="10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b w:val="1"/>
                <w:bCs w:val="1"/>
                <w:color w:val="auto"/>
              </w:rPr>
              <w:t>54,151</w:t>
            </w:r>
          </w:p>
        </w:tc>
        <w:tc>
          <w:tcPr>
            <w:tcW w:w="12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b w:val="1"/>
                <w:bCs w:val="1"/>
                <w:color w:val="auto"/>
              </w:rPr>
              <w:t>2.1 %</w:t>
            </w:r>
          </w:p>
        </w:tc>
        <w:tc>
          <w:tcPr>
            <w:tcW w:w="10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52,068</w:t>
            </w:r>
          </w:p>
        </w:tc>
        <w:tc>
          <w:tcPr>
            <w:tcW w:w="10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rPr>
              <w:t>2.2 %</w:t>
            </w:r>
          </w:p>
        </w:tc>
      </w:tr>
      <w:tr>
        <w:trPr>
          <w:trHeight w:val="235"/>
        </w:trPr>
        <w:tc>
          <w:tcPr>
            <w:tcW w:w="266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7"/>
                <w:szCs w:val="17"/>
                <w:color w:val="auto"/>
              </w:rPr>
              <w:t>Net income</w:t>
            </w:r>
          </w:p>
        </w:tc>
        <w:tc>
          <w:tcPr>
            <w:tcW w:w="240" w:type="dxa"/>
            <w:vAlign w:val="bottom"/>
            <w:tcBorders>
              <w:bottom w:val="single" w:sz="8" w:color="auto"/>
            </w:tcBorders>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b w:val="1"/>
                <w:bCs w:val="1"/>
                <w:color w:val="auto"/>
              </w:rPr>
              <w:t>$</w:t>
            </w:r>
          </w:p>
        </w:tc>
        <w:tc>
          <w:tcPr>
            <w:tcW w:w="7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b w:val="1"/>
                <w:bCs w:val="1"/>
                <w:color w:val="auto"/>
              </w:rPr>
              <w:t>182,248</w:t>
            </w:r>
          </w:p>
        </w:tc>
        <w:tc>
          <w:tcPr>
            <w:tcW w:w="120" w:type="dxa"/>
            <w:vAlign w:val="bottom"/>
            <w:tcBorders>
              <w:bottom w:val="single" w:sz="8" w:color="CCEEFF"/>
            </w:tcBorders>
            <w:shd w:val="clear" w:color="auto" w:fill="CCEEFF"/>
          </w:tcPr>
          <w:p>
            <w:pPr>
              <w:spacing w:after="0"/>
              <w:rPr>
                <w:sz w:val="19"/>
                <w:szCs w:val="19"/>
                <w:color w:val="auto"/>
              </w:rPr>
            </w:pPr>
          </w:p>
        </w:tc>
        <w:tc>
          <w:tcPr>
            <w:tcW w:w="180" w:type="dxa"/>
            <w:vAlign w:val="bottom"/>
            <w:tcBorders>
              <w:bottom w:val="single" w:sz="8" w:color="auto"/>
            </w:tcBorders>
            <w:shd w:val="clear" w:color="auto" w:fill="CCEEFF"/>
          </w:tcPr>
          <w:p>
            <w:pPr>
              <w:spacing w:after="0"/>
              <w:rPr>
                <w:sz w:val="19"/>
                <w:szCs w:val="19"/>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b w:val="1"/>
                <w:bCs w:val="1"/>
                <w:color w:val="auto"/>
              </w:rPr>
              <w:t>21.2 %</w:t>
            </w:r>
          </w:p>
        </w:tc>
        <w:tc>
          <w:tcPr>
            <w:tcW w:w="100" w:type="dxa"/>
            <w:vAlign w:val="bottom"/>
            <w:tcBorders>
              <w:bottom w:val="single" w:sz="8" w:color="CCEEFF"/>
            </w:tcBorders>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color w:val="auto"/>
                <w:w w:val="93"/>
              </w:rPr>
              <w:t>$</w:t>
            </w:r>
          </w:p>
        </w:tc>
        <w:tc>
          <w:tcPr>
            <w:tcW w:w="7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163,642</w:t>
            </w:r>
          </w:p>
        </w:tc>
        <w:tc>
          <w:tcPr>
            <w:tcW w:w="100" w:type="dxa"/>
            <w:vAlign w:val="bottom"/>
            <w:tcBorders>
              <w:bottom w:val="single" w:sz="8" w:color="CCEEFF"/>
            </w:tcBorders>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spacing w:after="0"/>
              <w:rPr>
                <w:sz w:val="19"/>
                <w:szCs w:val="19"/>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17.6 %</w:t>
            </w:r>
          </w:p>
        </w:tc>
        <w:tc>
          <w:tcPr>
            <w:tcW w:w="100" w:type="dxa"/>
            <w:vAlign w:val="bottom"/>
            <w:tcBorders>
              <w:bottom w:val="single" w:sz="8" w:color="CCEEFF"/>
            </w:tcBorders>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b w:val="1"/>
                <w:bCs w:val="1"/>
                <w:color w:val="auto"/>
                <w:w w:val="93"/>
              </w:rPr>
              <w:t>$</w:t>
            </w:r>
          </w:p>
        </w:tc>
        <w:tc>
          <w:tcPr>
            <w:tcW w:w="8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b w:val="1"/>
                <w:bCs w:val="1"/>
                <w:color w:val="auto"/>
              </w:rPr>
              <w:t>370,074</w:t>
            </w:r>
          </w:p>
        </w:tc>
        <w:tc>
          <w:tcPr>
            <w:tcW w:w="120" w:type="dxa"/>
            <w:vAlign w:val="bottom"/>
            <w:tcBorders>
              <w:bottom w:val="single" w:sz="8" w:color="CCEEFF"/>
            </w:tcBorders>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spacing w:after="0"/>
              <w:rPr>
                <w:sz w:val="19"/>
                <w:szCs w:val="19"/>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b w:val="1"/>
                <w:bCs w:val="1"/>
                <w:color w:val="auto"/>
              </w:rPr>
              <w:t>14.6 %</w:t>
            </w:r>
          </w:p>
        </w:tc>
        <w:tc>
          <w:tcPr>
            <w:tcW w:w="100" w:type="dxa"/>
            <w:vAlign w:val="bottom"/>
            <w:tcBorders>
              <w:bottom w:val="single" w:sz="8" w:color="CCEEFF"/>
            </w:tcBorders>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color w:val="auto"/>
                <w:w w:val="93"/>
              </w:rPr>
              <w:t>$</w:t>
            </w:r>
          </w:p>
        </w:tc>
        <w:tc>
          <w:tcPr>
            <w:tcW w:w="8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281,737</w:t>
            </w:r>
          </w:p>
        </w:tc>
        <w:tc>
          <w:tcPr>
            <w:tcW w:w="100" w:type="dxa"/>
            <w:vAlign w:val="bottom"/>
            <w:tcBorders>
              <w:bottom w:val="single" w:sz="8" w:color="CCEEFF"/>
            </w:tcBorders>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12.1 %</w:t>
            </w:r>
          </w:p>
        </w:tc>
      </w:tr>
      <w:tr>
        <w:trPr>
          <w:trHeight w:val="20"/>
        </w:trPr>
        <w:tc>
          <w:tcPr>
            <w:tcW w:w="266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7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7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7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6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7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4" w:right="339" w:bottom="1440" w:gutter="0" w:footer="0" w:header="0"/>
        </w:sectPr>
      </w:pPr>
    </w:p>
    <w:bookmarkStart w:id="27" w:name="page28"/>
    <w:bookmarkEnd w:id="27"/>
    <w:p>
      <w:pPr>
        <w:spacing w:after="0"/>
        <w:rPr>
          <w:rFonts w:ascii="Times New Roman" w:cs="Times New Roman" w:eastAsia="Times New Roman" w:hAnsi="Times New Roman"/>
          <w:sz w:val="18"/>
          <w:szCs w:val="18"/>
          <w:u w:val="single" w:color="auto"/>
          <w:color w:val="0000FF"/>
        </w:rPr>
      </w:pPr>
      <w:hyperlink w:anchor="page1">
        <w:r>
          <w:rPr>
            <w:rFonts w:ascii="Times New Roman" w:cs="Times New Roman" w:eastAsia="Times New Roman" w:hAnsi="Times New Roman"/>
            <w:sz w:val="18"/>
            <w:szCs w:val="18"/>
            <w:u w:val="single" w:color="auto"/>
            <w:color w:val="0000FF"/>
          </w:rPr>
          <w:t>Table of Contents</w:t>
        </w:r>
      </w:hyperlink>
    </w:p>
    <w:p>
      <w:pPr>
        <w:spacing w:after="0" w:line="353" w:lineRule="exact"/>
        <w:rPr>
          <w:sz w:val="20"/>
          <w:szCs w:val="20"/>
          <w:color w:val="auto"/>
        </w:rPr>
      </w:pPr>
    </w:p>
    <w:tbl>
      <w:tblPr>
        <w:tblLayout w:type="fixed"/>
        <w:tblInd w:w="0" w:type="dxa"/>
        <w:tblCellMar>
          <w:top w:w="0" w:type="dxa"/>
          <w:left w:w="0" w:type="dxa"/>
          <w:bottom w:w="0" w:type="dxa"/>
          <w:right w:w="0" w:type="dxa"/>
        </w:tblCellMar>
      </w:tblPr>
      <w:tr>
        <w:trPr>
          <w:trHeight w:val="227"/>
        </w:trPr>
        <w:tc>
          <w:tcPr>
            <w:tcW w:w="2960" w:type="dxa"/>
            <w:vAlign w:val="bottom"/>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3140" w:type="dxa"/>
            <w:vAlign w:val="bottom"/>
            <w:tcBorders>
              <w:bottom w:val="single" w:sz="8" w:color="auto"/>
            </w:tcBorders>
            <w:gridSpan w:val="5"/>
          </w:tcPr>
          <w:p>
            <w:pPr>
              <w:jc w:val="right"/>
              <w:spacing w:after="0"/>
              <w:rPr>
                <w:sz w:val="20"/>
                <w:szCs w:val="20"/>
                <w:color w:val="auto"/>
              </w:rPr>
            </w:pPr>
            <w:r>
              <w:rPr>
                <w:rFonts w:ascii="Times New Roman" w:cs="Times New Roman" w:eastAsia="Times New Roman" w:hAnsi="Times New Roman"/>
                <w:sz w:val="17"/>
                <w:szCs w:val="17"/>
                <w:b w:val="1"/>
                <w:bCs w:val="1"/>
                <w:color w:val="auto"/>
              </w:rPr>
              <w:t>Three Months Ended December 31,</w:t>
            </w:r>
          </w:p>
        </w:tc>
        <w:tc>
          <w:tcPr>
            <w:tcW w:w="580" w:type="dxa"/>
            <w:vAlign w:val="bottom"/>
            <w:tcBorders>
              <w:bottom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3360" w:type="dxa"/>
            <w:vAlign w:val="bottom"/>
            <w:tcBorders>
              <w:bottom w:val="single" w:sz="8" w:color="auto"/>
            </w:tcBorders>
            <w:gridSpan w:val="5"/>
          </w:tcPr>
          <w:p>
            <w:pPr>
              <w:jc w:val="right"/>
              <w:ind w:right="115"/>
              <w:spacing w:after="0"/>
              <w:rPr>
                <w:sz w:val="20"/>
                <w:szCs w:val="20"/>
                <w:color w:val="auto"/>
              </w:rPr>
            </w:pPr>
            <w:r>
              <w:rPr>
                <w:rFonts w:ascii="Times New Roman" w:cs="Times New Roman" w:eastAsia="Times New Roman" w:hAnsi="Times New Roman"/>
                <w:sz w:val="17"/>
                <w:szCs w:val="17"/>
                <w:b w:val="1"/>
                <w:bCs w:val="1"/>
                <w:color w:val="auto"/>
              </w:rPr>
              <w:t>Nine Months Ended December 31,</w:t>
            </w:r>
          </w:p>
        </w:tc>
        <w:tc>
          <w:tcPr>
            <w:tcW w:w="660" w:type="dxa"/>
            <w:vAlign w:val="bottom"/>
            <w:tcBorders>
              <w:bottom w:val="single" w:sz="8" w:color="auto"/>
            </w:tcBorders>
          </w:tcPr>
          <w:p>
            <w:pPr>
              <w:spacing w:after="0"/>
              <w:rPr>
                <w:sz w:val="19"/>
                <w:szCs w:val="19"/>
                <w:color w:val="auto"/>
              </w:rPr>
            </w:pPr>
          </w:p>
        </w:tc>
      </w:tr>
      <w:tr>
        <w:trPr>
          <w:trHeight w:val="211"/>
        </w:trPr>
        <w:tc>
          <w:tcPr>
            <w:tcW w:w="296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020" w:type="dxa"/>
            <w:vAlign w:val="bottom"/>
            <w:tcBorders>
              <w:bottom w:val="single" w:sz="8" w:color="auto"/>
            </w:tcBorders>
          </w:tcPr>
          <w:p>
            <w:pPr>
              <w:jc w:val="right"/>
              <w:ind w:right="35"/>
              <w:spacing w:after="0"/>
              <w:rPr>
                <w:sz w:val="20"/>
                <w:szCs w:val="20"/>
                <w:color w:val="auto"/>
              </w:rPr>
            </w:pPr>
            <w:r>
              <w:rPr>
                <w:rFonts w:ascii="Times New Roman" w:cs="Times New Roman" w:eastAsia="Times New Roman" w:hAnsi="Times New Roman"/>
                <w:sz w:val="17"/>
                <w:szCs w:val="17"/>
                <w:b w:val="1"/>
                <w:bCs w:val="1"/>
                <w:color w:val="auto"/>
              </w:rPr>
              <w:t>2020</w:t>
            </w:r>
          </w:p>
        </w:tc>
        <w:tc>
          <w:tcPr>
            <w:tcW w:w="660" w:type="dxa"/>
            <w:vAlign w:val="bottom"/>
            <w:tcBorders>
              <w:bottom w:val="single" w:sz="8" w:color="auto"/>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140" w:type="dxa"/>
            <w:vAlign w:val="bottom"/>
            <w:tcBorders>
              <w:bottom w:val="single" w:sz="8" w:color="auto"/>
            </w:tcBorders>
          </w:tcPr>
          <w:p>
            <w:pPr>
              <w:jc w:val="right"/>
              <w:ind w:right="135"/>
              <w:spacing w:after="0"/>
              <w:rPr>
                <w:sz w:val="20"/>
                <w:szCs w:val="20"/>
                <w:color w:val="auto"/>
              </w:rPr>
            </w:pPr>
            <w:r>
              <w:rPr>
                <w:rFonts w:ascii="Times New Roman" w:cs="Times New Roman" w:eastAsia="Times New Roman" w:hAnsi="Times New Roman"/>
                <w:sz w:val="17"/>
                <w:szCs w:val="17"/>
                <w:b w:val="1"/>
                <w:bCs w:val="1"/>
                <w:color w:val="auto"/>
              </w:rPr>
              <w:t>2019</w:t>
            </w:r>
          </w:p>
        </w:tc>
        <w:tc>
          <w:tcPr>
            <w:tcW w:w="580" w:type="dxa"/>
            <w:vAlign w:val="bottom"/>
            <w:tcBorders>
              <w:bottom w:val="single" w:sz="8" w:color="auto"/>
            </w:tcBorders>
          </w:tcPr>
          <w:p>
            <w:pPr>
              <w:spacing w:after="0"/>
              <w:rPr>
                <w:sz w:val="18"/>
                <w:szCs w:val="18"/>
                <w:color w:val="auto"/>
              </w:rPr>
            </w:pPr>
          </w:p>
        </w:tc>
        <w:tc>
          <w:tcPr>
            <w:tcW w:w="12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ind w:right="95"/>
              <w:spacing w:after="0"/>
              <w:rPr>
                <w:sz w:val="20"/>
                <w:szCs w:val="20"/>
                <w:color w:val="auto"/>
              </w:rPr>
            </w:pPr>
            <w:r>
              <w:rPr>
                <w:rFonts w:ascii="Times New Roman" w:cs="Times New Roman" w:eastAsia="Times New Roman" w:hAnsi="Times New Roman"/>
                <w:sz w:val="17"/>
                <w:szCs w:val="17"/>
                <w:b w:val="1"/>
                <w:bCs w:val="1"/>
                <w:color w:val="auto"/>
              </w:rPr>
              <w:t>2020</w:t>
            </w:r>
          </w:p>
        </w:tc>
        <w:tc>
          <w:tcPr>
            <w:tcW w:w="700" w:type="dxa"/>
            <w:vAlign w:val="bottom"/>
            <w:tcBorders>
              <w:bottom w:val="single" w:sz="8" w:color="auto"/>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1160" w:type="dxa"/>
            <w:vAlign w:val="bottom"/>
            <w:tcBorders>
              <w:bottom w:val="single" w:sz="8" w:color="auto"/>
            </w:tcBorders>
          </w:tcPr>
          <w:p>
            <w:pPr>
              <w:jc w:val="right"/>
              <w:ind w:right="95"/>
              <w:spacing w:after="0"/>
              <w:rPr>
                <w:sz w:val="20"/>
                <w:szCs w:val="20"/>
                <w:color w:val="auto"/>
              </w:rPr>
            </w:pPr>
            <w:r>
              <w:rPr>
                <w:rFonts w:ascii="Times New Roman" w:cs="Times New Roman" w:eastAsia="Times New Roman" w:hAnsi="Times New Roman"/>
                <w:sz w:val="17"/>
                <w:szCs w:val="17"/>
                <w:b w:val="1"/>
                <w:bCs w:val="1"/>
                <w:color w:val="auto"/>
              </w:rPr>
              <w:t>2019</w:t>
            </w:r>
          </w:p>
        </w:tc>
        <w:tc>
          <w:tcPr>
            <w:tcW w:w="660" w:type="dxa"/>
            <w:vAlign w:val="bottom"/>
            <w:tcBorders>
              <w:bottom w:val="single" w:sz="8" w:color="auto"/>
            </w:tcBorders>
          </w:tcPr>
          <w:p>
            <w:pPr>
              <w:spacing w:after="0"/>
              <w:rPr>
                <w:sz w:val="18"/>
                <w:szCs w:val="18"/>
                <w:color w:val="auto"/>
              </w:rPr>
            </w:pPr>
          </w:p>
        </w:tc>
      </w:tr>
      <w:tr>
        <w:trPr>
          <w:trHeight w:val="196"/>
        </w:trPr>
        <w:tc>
          <w:tcPr>
            <w:tcW w:w="29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7"/>
                <w:szCs w:val="17"/>
                <w:b w:val="1"/>
                <w:bCs w:val="1"/>
                <w:color w:val="auto"/>
              </w:rPr>
              <w:t>Net revenue by geographic region:</w:t>
            </w:r>
          </w:p>
        </w:tc>
        <w:tc>
          <w:tcPr>
            <w:tcW w:w="22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20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16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r>
      <w:tr>
        <w:trPr>
          <w:trHeight w:val="216"/>
        </w:trPr>
        <w:tc>
          <w:tcPr>
            <w:tcW w:w="2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United States</w:t>
            </w:r>
          </w:p>
        </w:tc>
        <w:tc>
          <w:tcPr>
            <w:tcW w:w="220" w:type="dxa"/>
            <w:vAlign w:val="bottom"/>
          </w:tcPr>
          <w:p>
            <w:pPr>
              <w:jc w:val="right"/>
              <w:ind w:right="35"/>
              <w:spacing w:after="0"/>
              <w:rPr>
                <w:sz w:val="20"/>
                <w:szCs w:val="20"/>
                <w:color w:val="auto"/>
              </w:rPr>
            </w:pPr>
            <w:r>
              <w:rPr>
                <w:rFonts w:ascii="Times New Roman" w:cs="Times New Roman" w:eastAsia="Times New Roman" w:hAnsi="Times New Roman"/>
                <w:sz w:val="17"/>
                <w:szCs w:val="17"/>
                <w:b w:val="1"/>
                <w:bCs w:val="1"/>
                <w:color w:val="auto"/>
                <w:w w:val="93"/>
              </w:rPr>
              <w:t>$</w:t>
            </w:r>
          </w:p>
        </w:tc>
        <w:tc>
          <w:tcPr>
            <w:tcW w:w="1020" w:type="dxa"/>
            <w:vAlign w:val="bottom"/>
          </w:tcPr>
          <w:p>
            <w:pPr>
              <w:jc w:val="right"/>
              <w:ind w:right="275"/>
              <w:spacing w:after="0"/>
              <w:rPr>
                <w:sz w:val="20"/>
                <w:szCs w:val="20"/>
                <w:color w:val="auto"/>
              </w:rPr>
            </w:pPr>
            <w:r>
              <w:rPr>
                <w:rFonts w:ascii="Times New Roman" w:cs="Times New Roman" w:eastAsia="Times New Roman" w:hAnsi="Times New Roman"/>
                <w:sz w:val="17"/>
                <w:szCs w:val="17"/>
                <w:b w:val="1"/>
                <w:bCs w:val="1"/>
                <w:color w:val="auto"/>
              </w:rPr>
              <w:t>528,324</w:t>
            </w:r>
          </w:p>
        </w:tc>
        <w:tc>
          <w:tcPr>
            <w:tcW w:w="660" w:type="dxa"/>
            <w:vAlign w:val="bottom"/>
          </w:tcPr>
          <w:p>
            <w:pPr>
              <w:jc w:val="right"/>
              <w:spacing w:after="0"/>
              <w:rPr>
                <w:sz w:val="20"/>
                <w:szCs w:val="20"/>
                <w:color w:val="auto"/>
              </w:rPr>
            </w:pPr>
            <w:r>
              <w:rPr>
                <w:rFonts w:ascii="Times New Roman" w:cs="Times New Roman" w:eastAsia="Times New Roman" w:hAnsi="Times New Roman"/>
                <w:sz w:val="17"/>
                <w:szCs w:val="17"/>
                <w:b w:val="1"/>
                <w:bCs w:val="1"/>
                <w:color w:val="auto"/>
              </w:rPr>
              <w:t>61.4 %</w:t>
            </w:r>
          </w:p>
        </w:tc>
        <w:tc>
          <w:tcPr>
            <w:tcW w:w="100" w:type="dxa"/>
            <w:vAlign w:val="bottom"/>
          </w:tcPr>
          <w:p>
            <w:pPr>
              <w:spacing w:after="0"/>
              <w:rPr>
                <w:sz w:val="18"/>
                <w:szCs w:val="18"/>
                <w:color w:val="auto"/>
              </w:rPr>
            </w:pPr>
          </w:p>
        </w:tc>
        <w:tc>
          <w:tcPr>
            <w:tcW w:w="220" w:type="dxa"/>
            <w:vAlign w:val="bottom"/>
          </w:tcPr>
          <w:p>
            <w:pPr>
              <w:jc w:val="right"/>
              <w:ind w:right="35"/>
              <w:spacing w:after="0"/>
              <w:rPr>
                <w:sz w:val="20"/>
                <w:szCs w:val="20"/>
                <w:color w:val="auto"/>
              </w:rPr>
            </w:pPr>
            <w:r>
              <w:rPr>
                <w:rFonts w:ascii="Times New Roman" w:cs="Times New Roman" w:eastAsia="Times New Roman" w:hAnsi="Times New Roman"/>
                <w:sz w:val="17"/>
                <w:szCs w:val="17"/>
                <w:color w:val="auto"/>
                <w:w w:val="93"/>
              </w:rPr>
              <w:t>$</w:t>
            </w:r>
          </w:p>
        </w:tc>
        <w:tc>
          <w:tcPr>
            <w:tcW w:w="1140" w:type="dxa"/>
            <w:vAlign w:val="bottom"/>
          </w:tcPr>
          <w:p>
            <w:pPr>
              <w:jc w:val="right"/>
              <w:ind w:right="375"/>
              <w:spacing w:after="0"/>
              <w:rPr>
                <w:sz w:val="20"/>
                <w:szCs w:val="20"/>
                <w:color w:val="auto"/>
              </w:rPr>
            </w:pPr>
            <w:r>
              <w:rPr>
                <w:rFonts w:ascii="Times New Roman" w:cs="Times New Roman" w:eastAsia="Times New Roman" w:hAnsi="Times New Roman"/>
                <w:sz w:val="17"/>
                <w:szCs w:val="17"/>
                <w:color w:val="auto"/>
              </w:rPr>
              <w:t>536,841</w:t>
            </w:r>
          </w:p>
        </w:tc>
        <w:tc>
          <w:tcPr>
            <w:tcW w:w="58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57.7 %</w:t>
            </w:r>
          </w:p>
        </w:tc>
        <w:tc>
          <w:tcPr>
            <w:tcW w:w="120" w:type="dxa"/>
            <w:vAlign w:val="bottom"/>
          </w:tcPr>
          <w:p>
            <w:pPr>
              <w:spacing w:after="0"/>
              <w:rPr>
                <w:sz w:val="18"/>
                <w:szCs w:val="18"/>
                <w:color w:val="auto"/>
              </w:rPr>
            </w:pPr>
          </w:p>
        </w:tc>
        <w:tc>
          <w:tcPr>
            <w:tcW w:w="200" w:type="dxa"/>
            <w:vAlign w:val="bottom"/>
          </w:tcPr>
          <w:p>
            <w:pPr>
              <w:jc w:val="right"/>
              <w:ind w:right="15"/>
              <w:spacing w:after="0"/>
              <w:rPr>
                <w:sz w:val="20"/>
                <w:szCs w:val="20"/>
                <w:color w:val="auto"/>
              </w:rPr>
            </w:pPr>
            <w:r>
              <w:rPr>
                <w:rFonts w:ascii="Times New Roman" w:cs="Times New Roman" w:eastAsia="Times New Roman" w:hAnsi="Times New Roman"/>
                <w:sz w:val="17"/>
                <w:szCs w:val="17"/>
                <w:b w:val="1"/>
                <w:bCs w:val="1"/>
                <w:color w:val="auto"/>
                <w:w w:val="93"/>
              </w:rPr>
              <w:t>$</w:t>
            </w:r>
          </w:p>
        </w:tc>
        <w:tc>
          <w:tcPr>
            <w:tcW w:w="1200" w:type="dxa"/>
            <w:vAlign w:val="bottom"/>
          </w:tcPr>
          <w:p>
            <w:pPr>
              <w:jc w:val="right"/>
              <w:ind w:right="315"/>
              <w:spacing w:after="0"/>
              <w:rPr>
                <w:sz w:val="20"/>
                <w:szCs w:val="20"/>
                <w:color w:val="auto"/>
              </w:rPr>
            </w:pPr>
            <w:r>
              <w:rPr>
                <w:rFonts w:ascii="Times New Roman" w:cs="Times New Roman" w:eastAsia="Times New Roman" w:hAnsi="Times New Roman"/>
                <w:sz w:val="17"/>
                <w:szCs w:val="17"/>
                <w:b w:val="1"/>
                <w:bCs w:val="1"/>
                <w:color w:val="auto"/>
              </w:rPr>
              <w:t>1,502,397</w:t>
            </w:r>
          </w:p>
        </w:tc>
        <w:tc>
          <w:tcPr>
            <w:tcW w:w="700" w:type="dxa"/>
            <w:vAlign w:val="bottom"/>
          </w:tcPr>
          <w:p>
            <w:pPr>
              <w:jc w:val="right"/>
              <w:spacing w:after="0"/>
              <w:rPr>
                <w:sz w:val="20"/>
                <w:szCs w:val="20"/>
                <w:color w:val="auto"/>
              </w:rPr>
            </w:pPr>
            <w:r>
              <w:rPr>
                <w:rFonts w:ascii="Times New Roman" w:cs="Times New Roman" w:eastAsia="Times New Roman" w:hAnsi="Times New Roman"/>
                <w:sz w:val="17"/>
                <w:szCs w:val="17"/>
                <w:b w:val="1"/>
                <w:bCs w:val="1"/>
                <w:color w:val="auto"/>
              </w:rPr>
              <w:t>59.3 %</w:t>
            </w:r>
          </w:p>
        </w:tc>
        <w:tc>
          <w:tcPr>
            <w:tcW w:w="100" w:type="dxa"/>
            <w:vAlign w:val="bottom"/>
          </w:tcPr>
          <w:p>
            <w:pPr>
              <w:spacing w:after="0"/>
              <w:rPr>
                <w:sz w:val="18"/>
                <w:szCs w:val="18"/>
                <w:color w:val="auto"/>
              </w:rPr>
            </w:pPr>
          </w:p>
        </w:tc>
        <w:tc>
          <w:tcPr>
            <w:tcW w:w="2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w:t>
            </w:r>
          </w:p>
        </w:tc>
        <w:tc>
          <w:tcPr>
            <w:tcW w:w="1160" w:type="dxa"/>
            <w:vAlign w:val="bottom"/>
          </w:tcPr>
          <w:p>
            <w:pPr>
              <w:jc w:val="right"/>
              <w:ind w:right="295"/>
              <w:spacing w:after="0"/>
              <w:rPr>
                <w:sz w:val="20"/>
                <w:szCs w:val="20"/>
                <w:color w:val="auto"/>
              </w:rPr>
            </w:pPr>
            <w:r>
              <w:rPr>
                <w:rFonts w:ascii="Times New Roman" w:cs="Times New Roman" w:eastAsia="Times New Roman" w:hAnsi="Times New Roman"/>
                <w:sz w:val="17"/>
                <w:szCs w:val="17"/>
                <w:color w:val="auto"/>
              </w:rPr>
              <w:t>1,361,981</w:t>
            </w:r>
          </w:p>
        </w:tc>
        <w:tc>
          <w:tcPr>
            <w:tcW w:w="6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58.5 %</w:t>
            </w:r>
          </w:p>
        </w:tc>
      </w:tr>
      <w:tr>
        <w:trPr>
          <w:trHeight w:val="216"/>
        </w:trPr>
        <w:tc>
          <w:tcPr>
            <w:tcW w:w="296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7"/>
                <w:szCs w:val="17"/>
                <w:color w:val="auto"/>
              </w:rPr>
              <w:t>International</w:t>
            </w:r>
          </w:p>
        </w:tc>
        <w:tc>
          <w:tcPr>
            <w:tcW w:w="220" w:type="dxa"/>
            <w:vAlign w:val="bottom"/>
            <w:shd w:val="clear" w:color="auto" w:fill="CCEEFF"/>
          </w:tcPr>
          <w:p>
            <w:pPr>
              <w:spacing w:after="0"/>
              <w:rPr>
                <w:sz w:val="18"/>
                <w:szCs w:val="18"/>
                <w:color w:val="auto"/>
              </w:rPr>
            </w:pPr>
          </w:p>
        </w:tc>
        <w:tc>
          <w:tcPr>
            <w:tcW w:w="1020" w:type="dxa"/>
            <w:vAlign w:val="bottom"/>
            <w:shd w:val="clear" w:color="auto" w:fill="CCEEFF"/>
          </w:tcPr>
          <w:p>
            <w:pPr>
              <w:jc w:val="right"/>
              <w:ind w:right="275"/>
              <w:spacing w:after="0"/>
              <w:rPr>
                <w:sz w:val="20"/>
                <w:szCs w:val="20"/>
                <w:color w:val="auto"/>
              </w:rPr>
            </w:pPr>
            <w:r>
              <w:rPr>
                <w:rFonts w:ascii="Times New Roman" w:cs="Times New Roman" w:eastAsia="Times New Roman" w:hAnsi="Times New Roman"/>
                <w:sz w:val="17"/>
                <w:szCs w:val="17"/>
                <w:b w:val="1"/>
                <w:bCs w:val="1"/>
                <w:color w:val="auto"/>
              </w:rPr>
              <w:t>332,565</w:t>
            </w: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b w:val="1"/>
                <w:bCs w:val="1"/>
                <w:color w:val="auto"/>
              </w:rPr>
              <w:t>38.6 %</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40" w:type="dxa"/>
            <w:vAlign w:val="bottom"/>
            <w:shd w:val="clear" w:color="auto" w:fill="CCEEFF"/>
          </w:tcPr>
          <w:p>
            <w:pPr>
              <w:jc w:val="right"/>
              <w:ind w:right="375"/>
              <w:spacing w:after="0"/>
              <w:rPr>
                <w:sz w:val="20"/>
                <w:szCs w:val="20"/>
                <w:color w:val="auto"/>
              </w:rPr>
            </w:pPr>
            <w:r>
              <w:rPr>
                <w:rFonts w:ascii="Times New Roman" w:cs="Times New Roman" w:eastAsia="Times New Roman" w:hAnsi="Times New Roman"/>
                <w:sz w:val="17"/>
                <w:szCs w:val="17"/>
                <w:color w:val="auto"/>
              </w:rPr>
              <w:t>393,288</w:t>
            </w:r>
          </w:p>
        </w:tc>
        <w:tc>
          <w:tcPr>
            <w:tcW w:w="5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42.3 %</w:t>
            </w: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0" w:type="dxa"/>
            <w:vAlign w:val="bottom"/>
            <w:shd w:val="clear" w:color="auto" w:fill="CCEEFF"/>
          </w:tcPr>
          <w:p>
            <w:pPr>
              <w:jc w:val="right"/>
              <w:ind w:right="315"/>
              <w:spacing w:after="0"/>
              <w:rPr>
                <w:sz w:val="20"/>
                <w:szCs w:val="20"/>
                <w:color w:val="auto"/>
              </w:rPr>
            </w:pPr>
            <w:r>
              <w:rPr>
                <w:rFonts w:ascii="Times New Roman" w:cs="Times New Roman" w:eastAsia="Times New Roman" w:hAnsi="Times New Roman"/>
                <w:sz w:val="17"/>
                <w:szCs w:val="17"/>
                <w:b w:val="1"/>
                <w:bCs w:val="1"/>
                <w:color w:val="auto"/>
              </w:rPr>
              <w:t>1,030,944</w:t>
            </w: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b w:val="1"/>
                <w:bCs w:val="1"/>
                <w:color w:val="auto"/>
              </w:rPr>
              <w:t>40.7 %</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160" w:type="dxa"/>
            <w:vAlign w:val="bottom"/>
            <w:shd w:val="clear" w:color="auto" w:fill="CCEEFF"/>
          </w:tcPr>
          <w:p>
            <w:pPr>
              <w:jc w:val="right"/>
              <w:ind w:right="295"/>
              <w:spacing w:after="0"/>
              <w:rPr>
                <w:sz w:val="20"/>
                <w:szCs w:val="20"/>
                <w:color w:val="auto"/>
              </w:rPr>
            </w:pPr>
            <w:r>
              <w:rPr>
                <w:rFonts w:ascii="Times New Roman" w:cs="Times New Roman" w:eastAsia="Times New Roman" w:hAnsi="Times New Roman"/>
                <w:sz w:val="17"/>
                <w:szCs w:val="17"/>
                <w:color w:val="auto"/>
              </w:rPr>
              <w:t>966,448</w:t>
            </w: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41.5 %</w:t>
            </w:r>
          </w:p>
        </w:tc>
      </w:tr>
      <w:tr>
        <w:trPr>
          <w:trHeight w:val="216"/>
        </w:trPr>
        <w:tc>
          <w:tcPr>
            <w:tcW w:w="2960" w:type="dxa"/>
            <w:vAlign w:val="bottom"/>
          </w:tcPr>
          <w:p>
            <w:pPr>
              <w:ind w:left="20"/>
              <w:spacing w:after="0"/>
              <w:rPr>
                <w:sz w:val="20"/>
                <w:szCs w:val="20"/>
                <w:color w:val="auto"/>
              </w:rPr>
            </w:pPr>
            <w:r>
              <w:rPr>
                <w:rFonts w:ascii="Times New Roman" w:cs="Times New Roman" w:eastAsia="Times New Roman" w:hAnsi="Times New Roman"/>
                <w:sz w:val="17"/>
                <w:szCs w:val="17"/>
                <w:b w:val="1"/>
                <w:bCs w:val="1"/>
                <w:color w:val="auto"/>
              </w:rPr>
              <w:t>Net revenue by platform:</w:t>
            </w:r>
          </w:p>
        </w:tc>
        <w:tc>
          <w:tcPr>
            <w:tcW w:w="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660" w:type="dxa"/>
            <w:vAlign w:val="bottom"/>
          </w:tcPr>
          <w:p>
            <w:pPr>
              <w:spacing w:after="0"/>
              <w:rPr>
                <w:sz w:val="18"/>
                <w:szCs w:val="18"/>
                <w:color w:val="auto"/>
              </w:rPr>
            </w:pPr>
          </w:p>
        </w:tc>
      </w:tr>
      <w:tr>
        <w:trPr>
          <w:trHeight w:val="216"/>
        </w:trPr>
        <w:tc>
          <w:tcPr>
            <w:tcW w:w="296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7"/>
                <w:szCs w:val="17"/>
                <w:color w:val="auto"/>
              </w:rPr>
              <w:t>Console</w:t>
            </w:r>
          </w:p>
        </w:tc>
        <w:tc>
          <w:tcPr>
            <w:tcW w:w="220" w:type="dxa"/>
            <w:vAlign w:val="bottom"/>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b w:val="1"/>
                <w:bCs w:val="1"/>
                <w:color w:val="auto"/>
                <w:w w:val="93"/>
              </w:rPr>
              <w:t>$</w:t>
            </w:r>
          </w:p>
        </w:tc>
        <w:tc>
          <w:tcPr>
            <w:tcW w:w="1020" w:type="dxa"/>
            <w:vAlign w:val="bottom"/>
            <w:shd w:val="clear" w:color="auto" w:fill="CCEEFF"/>
          </w:tcPr>
          <w:p>
            <w:pPr>
              <w:jc w:val="right"/>
              <w:ind w:right="275"/>
              <w:spacing w:after="0"/>
              <w:rPr>
                <w:sz w:val="20"/>
                <w:szCs w:val="20"/>
                <w:color w:val="auto"/>
              </w:rPr>
            </w:pPr>
            <w:r>
              <w:rPr>
                <w:rFonts w:ascii="Times New Roman" w:cs="Times New Roman" w:eastAsia="Times New Roman" w:hAnsi="Times New Roman"/>
                <w:sz w:val="17"/>
                <w:szCs w:val="17"/>
                <w:b w:val="1"/>
                <w:bCs w:val="1"/>
                <w:color w:val="auto"/>
              </w:rPr>
              <w:t>656,079</w:t>
            </w: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b w:val="1"/>
                <w:bCs w:val="1"/>
                <w:color w:val="auto"/>
              </w:rPr>
              <w:t>76.2 %</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color w:val="auto"/>
                <w:w w:val="93"/>
              </w:rPr>
              <w:t>$</w:t>
            </w:r>
          </w:p>
        </w:tc>
        <w:tc>
          <w:tcPr>
            <w:tcW w:w="1140" w:type="dxa"/>
            <w:vAlign w:val="bottom"/>
            <w:shd w:val="clear" w:color="auto" w:fill="CCEEFF"/>
          </w:tcPr>
          <w:p>
            <w:pPr>
              <w:jc w:val="right"/>
              <w:ind w:right="375"/>
              <w:spacing w:after="0"/>
              <w:rPr>
                <w:sz w:val="20"/>
                <w:szCs w:val="20"/>
                <w:color w:val="auto"/>
              </w:rPr>
            </w:pPr>
            <w:r>
              <w:rPr>
                <w:rFonts w:ascii="Times New Roman" w:cs="Times New Roman" w:eastAsia="Times New Roman" w:hAnsi="Times New Roman"/>
                <w:sz w:val="17"/>
                <w:szCs w:val="17"/>
                <w:color w:val="auto"/>
              </w:rPr>
              <w:t>679,799</w:t>
            </w:r>
          </w:p>
        </w:tc>
        <w:tc>
          <w:tcPr>
            <w:tcW w:w="5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73.1 %</w:t>
            </w: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b w:val="1"/>
                <w:bCs w:val="1"/>
                <w:color w:val="auto"/>
                <w:w w:val="93"/>
              </w:rPr>
              <w:t>$</w:t>
            </w:r>
          </w:p>
        </w:tc>
        <w:tc>
          <w:tcPr>
            <w:tcW w:w="1200" w:type="dxa"/>
            <w:vAlign w:val="bottom"/>
            <w:shd w:val="clear" w:color="auto" w:fill="CCEEFF"/>
          </w:tcPr>
          <w:p>
            <w:pPr>
              <w:jc w:val="right"/>
              <w:ind w:right="315"/>
              <w:spacing w:after="0"/>
              <w:rPr>
                <w:sz w:val="20"/>
                <w:szCs w:val="20"/>
                <w:color w:val="auto"/>
              </w:rPr>
            </w:pPr>
            <w:r>
              <w:rPr>
                <w:rFonts w:ascii="Times New Roman" w:cs="Times New Roman" w:eastAsia="Times New Roman" w:hAnsi="Times New Roman"/>
                <w:sz w:val="17"/>
                <w:szCs w:val="17"/>
                <w:b w:val="1"/>
                <w:bCs w:val="1"/>
                <w:color w:val="auto"/>
              </w:rPr>
              <w:t>1,909,033</w:t>
            </w: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b w:val="1"/>
                <w:bCs w:val="1"/>
                <w:color w:val="auto"/>
              </w:rPr>
              <w:t>75.4 %</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w:t>
            </w:r>
          </w:p>
        </w:tc>
        <w:tc>
          <w:tcPr>
            <w:tcW w:w="1160" w:type="dxa"/>
            <w:vAlign w:val="bottom"/>
            <w:shd w:val="clear" w:color="auto" w:fill="CCEEFF"/>
          </w:tcPr>
          <w:p>
            <w:pPr>
              <w:jc w:val="right"/>
              <w:ind w:right="295"/>
              <w:spacing w:after="0"/>
              <w:rPr>
                <w:sz w:val="20"/>
                <w:szCs w:val="20"/>
                <w:color w:val="auto"/>
              </w:rPr>
            </w:pPr>
            <w:r>
              <w:rPr>
                <w:rFonts w:ascii="Times New Roman" w:cs="Times New Roman" w:eastAsia="Times New Roman" w:hAnsi="Times New Roman"/>
                <w:sz w:val="17"/>
                <w:szCs w:val="17"/>
                <w:color w:val="auto"/>
              </w:rPr>
              <w:t>1,766,431</w:t>
            </w: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75.9 %</w:t>
            </w:r>
          </w:p>
        </w:tc>
      </w:tr>
      <w:tr>
        <w:trPr>
          <w:trHeight w:val="216"/>
        </w:trPr>
        <w:tc>
          <w:tcPr>
            <w:tcW w:w="2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PC and other</w:t>
            </w:r>
          </w:p>
        </w:tc>
        <w:tc>
          <w:tcPr>
            <w:tcW w:w="220" w:type="dxa"/>
            <w:vAlign w:val="bottom"/>
          </w:tcPr>
          <w:p>
            <w:pPr>
              <w:spacing w:after="0"/>
              <w:rPr>
                <w:sz w:val="18"/>
                <w:szCs w:val="18"/>
                <w:color w:val="auto"/>
              </w:rPr>
            </w:pPr>
          </w:p>
        </w:tc>
        <w:tc>
          <w:tcPr>
            <w:tcW w:w="1020" w:type="dxa"/>
            <w:vAlign w:val="bottom"/>
          </w:tcPr>
          <w:p>
            <w:pPr>
              <w:jc w:val="right"/>
              <w:ind w:right="275"/>
              <w:spacing w:after="0"/>
              <w:rPr>
                <w:sz w:val="20"/>
                <w:szCs w:val="20"/>
                <w:color w:val="auto"/>
              </w:rPr>
            </w:pPr>
            <w:r>
              <w:rPr>
                <w:rFonts w:ascii="Times New Roman" w:cs="Times New Roman" w:eastAsia="Times New Roman" w:hAnsi="Times New Roman"/>
                <w:sz w:val="17"/>
                <w:szCs w:val="17"/>
                <w:b w:val="1"/>
                <w:bCs w:val="1"/>
                <w:color w:val="auto"/>
              </w:rPr>
              <w:t>204,810</w:t>
            </w:r>
          </w:p>
        </w:tc>
        <w:tc>
          <w:tcPr>
            <w:tcW w:w="660" w:type="dxa"/>
            <w:vAlign w:val="bottom"/>
          </w:tcPr>
          <w:p>
            <w:pPr>
              <w:jc w:val="right"/>
              <w:spacing w:after="0"/>
              <w:rPr>
                <w:sz w:val="20"/>
                <w:szCs w:val="20"/>
                <w:color w:val="auto"/>
              </w:rPr>
            </w:pPr>
            <w:r>
              <w:rPr>
                <w:rFonts w:ascii="Times New Roman" w:cs="Times New Roman" w:eastAsia="Times New Roman" w:hAnsi="Times New Roman"/>
                <w:sz w:val="17"/>
                <w:szCs w:val="17"/>
                <w:b w:val="1"/>
                <w:bCs w:val="1"/>
                <w:color w:val="auto"/>
              </w:rPr>
              <w:t>23.8 %</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40" w:type="dxa"/>
            <w:vAlign w:val="bottom"/>
          </w:tcPr>
          <w:p>
            <w:pPr>
              <w:jc w:val="right"/>
              <w:ind w:right="375"/>
              <w:spacing w:after="0"/>
              <w:rPr>
                <w:sz w:val="20"/>
                <w:szCs w:val="20"/>
                <w:color w:val="auto"/>
              </w:rPr>
            </w:pPr>
            <w:r>
              <w:rPr>
                <w:rFonts w:ascii="Times New Roman" w:cs="Times New Roman" w:eastAsia="Times New Roman" w:hAnsi="Times New Roman"/>
                <w:sz w:val="17"/>
                <w:szCs w:val="17"/>
                <w:color w:val="auto"/>
              </w:rPr>
              <w:t>250,330</w:t>
            </w:r>
          </w:p>
        </w:tc>
        <w:tc>
          <w:tcPr>
            <w:tcW w:w="58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26.9 %</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0" w:type="dxa"/>
            <w:vAlign w:val="bottom"/>
          </w:tcPr>
          <w:p>
            <w:pPr>
              <w:jc w:val="right"/>
              <w:ind w:right="315"/>
              <w:spacing w:after="0"/>
              <w:rPr>
                <w:sz w:val="20"/>
                <w:szCs w:val="20"/>
                <w:color w:val="auto"/>
              </w:rPr>
            </w:pPr>
            <w:r>
              <w:rPr>
                <w:rFonts w:ascii="Times New Roman" w:cs="Times New Roman" w:eastAsia="Times New Roman" w:hAnsi="Times New Roman"/>
                <w:sz w:val="17"/>
                <w:szCs w:val="17"/>
                <w:b w:val="1"/>
                <w:bCs w:val="1"/>
                <w:color w:val="auto"/>
              </w:rPr>
              <w:t>624,308</w:t>
            </w:r>
          </w:p>
        </w:tc>
        <w:tc>
          <w:tcPr>
            <w:tcW w:w="700" w:type="dxa"/>
            <w:vAlign w:val="bottom"/>
          </w:tcPr>
          <w:p>
            <w:pPr>
              <w:jc w:val="right"/>
              <w:spacing w:after="0"/>
              <w:rPr>
                <w:sz w:val="20"/>
                <w:szCs w:val="20"/>
                <w:color w:val="auto"/>
              </w:rPr>
            </w:pPr>
            <w:r>
              <w:rPr>
                <w:rFonts w:ascii="Times New Roman" w:cs="Times New Roman" w:eastAsia="Times New Roman" w:hAnsi="Times New Roman"/>
                <w:sz w:val="17"/>
                <w:szCs w:val="17"/>
                <w:b w:val="1"/>
                <w:bCs w:val="1"/>
                <w:color w:val="auto"/>
              </w:rPr>
              <w:t>24.6 %</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60" w:type="dxa"/>
            <w:vAlign w:val="bottom"/>
          </w:tcPr>
          <w:p>
            <w:pPr>
              <w:jc w:val="right"/>
              <w:ind w:right="295"/>
              <w:spacing w:after="0"/>
              <w:rPr>
                <w:sz w:val="20"/>
                <w:szCs w:val="20"/>
                <w:color w:val="auto"/>
              </w:rPr>
            </w:pPr>
            <w:r>
              <w:rPr>
                <w:rFonts w:ascii="Times New Roman" w:cs="Times New Roman" w:eastAsia="Times New Roman" w:hAnsi="Times New Roman"/>
                <w:sz w:val="17"/>
                <w:szCs w:val="17"/>
                <w:color w:val="auto"/>
              </w:rPr>
              <w:t>561,998</w:t>
            </w:r>
          </w:p>
        </w:tc>
        <w:tc>
          <w:tcPr>
            <w:tcW w:w="6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24.1 %</w:t>
            </w:r>
          </w:p>
        </w:tc>
      </w:tr>
      <w:tr>
        <w:trPr>
          <w:trHeight w:val="216"/>
        </w:trPr>
        <w:tc>
          <w:tcPr>
            <w:tcW w:w="29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7"/>
                <w:szCs w:val="17"/>
                <w:b w:val="1"/>
                <w:bCs w:val="1"/>
                <w:color w:val="auto"/>
              </w:rPr>
              <w:t>Net revenue by distribution channel:</w:t>
            </w:r>
          </w:p>
        </w:tc>
        <w:tc>
          <w:tcPr>
            <w:tcW w:w="22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r>
      <w:tr>
        <w:trPr>
          <w:trHeight w:val="216"/>
        </w:trPr>
        <w:tc>
          <w:tcPr>
            <w:tcW w:w="2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Digital online</w:t>
            </w:r>
          </w:p>
        </w:tc>
        <w:tc>
          <w:tcPr>
            <w:tcW w:w="220" w:type="dxa"/>
            <w:vAlign w:val="bottom"/>
          </w:tcPr>
          <w:p>
            <w:pPr>
              <w:jc w:val="right"/>
              <w:ind w:right="35"/>
              <w:spacing w:after="0"/>
              <w:rPr>
                <w:sz w:val="20"/>
                <w:szCs w:val="20"/>
                <w:color w:val="auto"/>
              </w:rPr>
            </w:pPr>
            <w:r>
              <w:rPr>
                <w:rFonts w:ascii="Times New Roman" w:cs="Times New Roman" w:eastAsia="Times New Roman" w:hAnsi="Times New Roman"/>
                <w:sz w:val="17"/>
                <w:szCs w:val="17"/>
                <w:b w:val="1"/>
                <w:bCs w:val="1"/>
                <w:color w:val="auto"/>
                <w:w w:val="93"/>
              </w:rPr>
              <w:t>$</w:t>
            </w:r>
          </w:p>
        </w:tc>
        <w:tc>
          <w:tcPr>
            <w:tcW w:w="1020" w:type="dxa"/>
            <w:vAlign w:val="bottom"/>
          </w:tcPr>
          <w:p>
            <w:pPr>
              <w:jc w:val="right"/>
              <w:ind w:right="275"/>
              <w:spacing w:after="0"/>
              <w:rPr>
                <w:sz w:val="20"/>
                <w:szCs w:val="20"/>
                <w:color w:val="auto"/>
              </w:rPr>
            </w:pPr>
            <w:r>
              <w:rPr>
                <w:rFonts w:ascii="Times New Roman" w:cs="Times New Roman" w:eastAsia="Times New Roman" w:hAnsi="Times New Roman"/>
                <w:sz w:val="17"/>
                <w:szCs w:val="17"/>
                <w:b w:val="1"/>
                <w:bCs w:val="1"/>
                <w:color w:val="auto"/>
              </w:rPr>
              <w:t>728,510</w:t>
            </w:r>
          </w:p>
        </w:tc>
        <w:tc>
          <w:tcPr>
            <w:tcW w:w="660" w:type="dxa"/>
            <w:vAlign w:val="bottom"/>
          </w:tcPr>
          <w:p>
            <w:pPr>
              <w:jc w:val="right"/>
              <w:spacing w:after="0"/>
              <w:rPr>
                <w:sz w:val="20"/>
                <w:szCs w:val="20"/>
                <w:color w:val="auto"/>
              </w:rPr>
            </w:pPr>
            <w:r>
              <w:rPr>
                <w:rFonts w:ascii="Times New Roman" w:cs="Times New Roman" w:eastAsia="Times New Roman" w:hAnsi="Times New Roman"/>
                <w:sz w:val="17"/>
                <w:szCs w:val="17"/>
                <w:b w:val="1"/>
                <w:bCs w:val="1"/>
                <w:color w:val="auto"/>
              </w:rPr>
              <w:t>84.6 %</w:t>
            </w:r>
          </w:p>
        </w:tc>
        <w:tc>
          <w:tcPr>
            <w:tcW w:w="100" w:type="dxa"/>
            <w:vAlign w:val="bottom"/>
          </w:tcPr>
          <w:p>
            <w:pPr>
              <w:spacing w:after="0"/>
              <w:rPr>
                <w:sz w:val="18"/>
                <w:szCs w:val="18"/>
                <w:color w:val="auto"/>
              </w:rPr>
            </w:pPr>
          </w:p>
        </w:tc>
        <w:tc>
          <w:tcPr>
            <w:tcW w:w="220" w:type="dxa"/>
            <w:vAlign w:val="bottom"/>
          </w:tcPr>
          <w:p>
            <w:pPr>
              <w:jc w:val="right"/>
              <w:ind w:right="35"/>
              <w:spacing w:after="0"/>
              <w:rPr>
                <w:sz w:val="20"/>
                <w:szCs w:val="20"/>
                <w:color w:val="auto"/>
              </w:rPr>
            </w:pPr>
            <w:r>
              <w:rPr>
                <w:rFonts w:ascii="Times New Roman" w:cs="Times New Roman" w:eastAsia="Times New Roman" w:hAnsi="Times New Roman"/>
                <w:sz w:val="17"/>
                <w:szCs w:val="17"/>
                <w:color w:val="auto"/>
                <w:w w:val="93"/>
              </w:rPr>
              <w:t>$</w:t>
            </w:r>
          </w:p>
        </w:tc>
        <w:tc>
          <w:tcPr>
            <w:tcW w:w="1140" w:type="dxa"/>
            <w:vAlign w:val="bottom"/>
          </w:tcPr>
          <w:p>
            <w:pPr>
              <w:jc w:val="right"/>
              <w:ind w:right="375"/>
              <w:spacing w:after="0"/>
              <w:rPr>
                <w:sz w:val="20"/>
                <w:szCs w:val="20"/>
                <w:color w:val="auto"/>
              </w:rPr>
            </w:pPr>
            <w:r>
              <w:rPr>
                <w:rFonts w:ascii="Times New Roman" w:cs="Times New Roman" w:eastAsia="Times New Roman" w:hAnsi="Times New Roman"/>
                <w:sz w:val="17"/>
                <w:szCs w:val="17"/>
                <w:color w:val="auto"/>
              </w:rPr>
              <w:t>700,321</w:t>
            </w:r>
          </w:p>
        </w:tc>
        <w:tc>
          <w:tcPr>
            <w:tcW w:w="58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75.3 %</w:t>
            </w:r>
          </w:p>
        </w:tc>
        <w:tc>
          <w:tcPr>
            <w:tcW w:w="120" w:type="dxa"/>
            <w:vAlign w:val="bottom"/>
          </w:tcPr>
          <w:p>
            <w:pPr>
              <w:spacing w:after="0"/>
              <w:rPr>
                <w:sz w:val="18"/>
                <w:szCs w:val="18"/>
                <w:color w:val="auto"/>
              </w:rPr>
            </w:pPr>
          </w:p>
        </w:tc>
        <w:tc>
          <w:tcPr>
            <w:tcW w:w="200" w:type="dxa"/>
            <w:vAlign w:val="bottom"/>
          </w:tcPr>
          <w:p>
            <w:pPr>
              <w:jc w:val="right"/>
              <w:ind w:right="15"/>
              <w:spacing w:after="0"/>
              <w:rPr>
                <w:sz w:val="20"/>
                <w:szCs w:val="20"/>
                <w:color w:val="auto"/>
              </w:rPr>
            </w:pPr>
            <w:r>
              <w:rPr>
                <w:rFonts w:ascii="Times New Roman" w:cs="Times New Roman" w:eastAsia="Times New Roman" w:hAnsi="Times New Roman"/>
                <w:sz w:val="17"/>
                <w:szCs w:val="17"/>
                <w:b w:val="1"/>
                <w:bCs w:val="1"/>
                <w:color w:val="auto"/>
                <w:w w:val="93"/>
              </w:rPr>
              <w:t>$</w:t>
            </w:r>
          </w:p>
        </w:tc>
        <w:tc>
          <w:tcPr>
            <w:tcW w:w="1200" w:type="dxa"/>
            <w:vAlign w:val="bottom"/>
          </w:tcPr>
          <w:p>
            <w:pPr>
              <w:jc w:val="right"/>
              <w:ind w:right="315"/>
              <w:spacing w:after="0"/>
              <w:rPr>
                <w:sz w:val="20"/>
                <w:szCs w:val="20"/>
                <w:color w:val="auto"/>
              </w:rPr>
            </w:pPr>
            <w:r>
              <w:rPr>
                <w:rFonts w:ascii="Times New Roman" w:cs="Times New Roman" w:eastAsia="Times New Roman" w:hAnsi="Times New Roman"/>
                <w:sz w:val="17"/>
                <w:szCs w:val="17"/>
                <w:b w:val="1"/>
                <w:bCs w:val="1"/>
                <w:color w:val="auto"/>
              </w:rPr>
              <w:t>2,166,035</w:t>
            </w:r>
          </w:p>
        </w:tc>
        <w:tc>
          <w:tcPr>
            <w:tcW w:w="700" w:type="dxa"/>
            <w:vAlign w:val="bottom"/>
          </w:tcPr>
          <w:p>
            <w:pPr>
              <w:jc w:val="right"/>
              <w:spacing w:after="0"/>
              <w:rPr>
                <w:sz w:val="20"/>
                <w:szCs w:val="20"/>
                <w:color w:val="auto"/>
              </w:rPr>
            </w:pPr>
            <w:r>
              <w:rPr>
                <w:rFonts w:ascii="Times New Roman" w:cs="Times New Roman" w:eastAsia="Times New Roman" w:hAnsi="Times New Roman"/>
                <w:sz w:val="17"/>
                <w:szCs w:val="17"/>
                <w:b w:val="1"/>
                <w:bCs w:val="1"/>
                <w:color w:val="auto"/>
              </w:rPr>
              <w:t>85.5 %</w:t>
            </w:r>
          </w:p>
        </w:tc>
        <w:tc>
          <w:tcPr>
            <w:tcW w:w="100" w:type="dxa"/>
            <w:vAlign w:val="bottom"/>
          </w:tcPr>
          <w:p>
            <w:pPr>
              <w:spacing w:after="0"/>
              <w:rPr>
                <w:sz w:val="18"/>
                <w:szCs w:val="18"/>
                <w:color w:val="auto"/>
              </w:rPr>
            </w:pPr>
          </w:p>
        </w:tc>
        <w:tc>
          <w:tcPr>
            <w:tcW w:w="20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w:t>
            </w:r>
          </w:p>
        </w:tc>
        <w:tc>
          <w:tcPr>
            <w:tcW w:w="1160" w:type="dxa"/>
            <w:vAlign w:val="bottom"/>
          </w:tcPr>
          <w:p>
            <w:pPr>
              <w:jc w:val="right"/>
              <w:ind w:right="295"/>
              <w:spacing w:after="0"/>
              <w:rPr>
                <w:sz w:val="20"/>
                <w:szCs w:val="20"/>
                <w:color w:val="auto"/>
              </w:rPr>
            </w:pPr>
            <w:r>
              <w:rPr>
                <w:rFonts w:ascii="Times New Roman" w:cs="Times New Roman" w:eastAsia="Times New Roman" w:hAnsi="Times New Roman"/>
                <w:sz w:val="17"/>
                <w:szCs w:val="17"/>
                <w:color w:val="auto"/>
              </w:rPr>
              <w:t>1,743,876</w:t>
            </w:r>
          </w:p>
        </w:tc>
        <w:tc>
          <w:tcPr>
            <w:tcW w:w="6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74.9 %</w:t>
            </w:r>
          </w:p>
        </w:tc>
      </w:tr>
      <w:tr>
        <w:trPr>
          <w:trHeight w:val="216"/>
        </w:trPr>
        <w:tc>
          <w:tcPr>
            <w:tcW w:w="296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7"/>
                <w:szCs w:val="17"/>
                <w:color w:val="auto"/>
              </w:rPr>
              <w:t>Physical retail and other</w:t>
            </w:r>
          </w:p>
        </w:tc>
        <w:tc>
          <w:tcPr>
            <w:tcW w:w="220" w:type="dxa"/>
            <w:vAlign w:val="bottom"/>
            <w:shd w:val="clear" w:color="auto" w:fill="CCEEFF"/>
          </w:tcPr>
          <w:p>
            <w:pPr>
              <w:spacing w:after="0"/>
              <w:rPr>
                <w:sz w:val="18"/>
                <w:szCs w:val="18"/>
                <w:color w:val="auto"/>
              </w:rPr>
            </w:pPr>
          </w:p>
        </w:tc>
        <w:tc>
          <w:tcPr>
            <w:tcW w:w="1020" w:type="dxa"/>
            <w:vAlign w:val="bottom"/>
            <w:shd w:val="clear" w:color="auto" w:fill="CCEEFF"/>
          </w:tcPr>
          <w:p>
            <w:pPr>
              <w:jc w:val="right"/>
              <w:ind w:right="275"/>
              <w:spacing w:after="0"/>
              <w:rPr>
                <w:sz w:val="20"/>
                <w:szCs w:val="20"/>
                <w:color w:val="auto"/>
              </w:rPr>
            </w:pPr>
            <w:r>
              <w:rPr>
                <w:rFonts w:ascii="Times New Roman" w:cs="Times New Roman" w:eastAsia="Times New Roman" w:hAnsi="Times New Roman"/>
                <w:sz w:val="17"/>
                <w:szCs w:val="17"/>
                <w:b w:val="1"/>
                <w:bCs w:val="1"/>
                <w:color w:val="auto"/>
              </w:rPr>
              <w:t>132,379</w:t>
            </w: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b w:val="1"/>
                <w:bCs w:val="1"/>
                <w:color w:val="auto"/>
              </w:rPr>
              <w:t>15.4 %</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40" w:type="dxa"/>
            <w:vAlign w:val="bottom"/>
            <w:shd w:val="clear" w:color="auto" w:fill="CCEEFF"/>
          </w:tcPr>
          <w:p>
            <w:pPr>
              <w:jc w:val="right"/>
              <w:ind w:right="375"/>
              <w:spacing w:after="0"/>
              <w:rPr>
                <w:sz w:val="20"/>
                <w:szCs w:val="20"/>
                <w:color w:val="auto"/>
              </w:rPr>
            </w:pPr>
            <w:r>
              <w:rPr>
                <w:rFonts w:ascii="Times New Roman" w:cs="Times New Roman" w:eastAsia="Times New Roman" w:hAnsi="Times New Roman"/>
                <w:sz w:val="17"/>
                <w:szCs w:val="17"/>
                <w:color w:val="auto"/>
              </w:rPr>
              <w:t>229,808</w:t>
            </w:r>
          </w:p>
        </w:tc>
        <w:tc>
          <w:tcPr>
            <w:tcW w:w="5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24.7 %</w:t>
            </w: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0" w:type="dxa"/>
            <w:vAlign w:val="bottom"/>
            <w:shd w:val="clear" w:color="auto" w:fill="CCEEFF"/>
          </w:tcPr>
          <w:p>
            <w:pPr>
              <w:jc w:val="right"/>
              <w:ind w:right="315"/>
              <w:spacing w:after="0"/>
              <w:rPr>
                <w:sz w:val="20"/>
                <w:szCs w:val="20"/>
                <w:color w:val="auto"/>
              </w:rPr>
            </w:pPr>
            <w:r>
              <w:rPr>
                <w:rFonts w:ascii="Times New Roman" w:cs="Times New Roman" w:eastAsia="Times New Roman" w:hAnsi="Times New Roman"/>
                <w:sz w:val="17"/>
                <w:szCs w:val="17"/>
                <w:b w:val="1"/>
                <w:bCs w:val="1"/>
                <w:color w:val="auto"/>
              </w:rPr>
              <w:t>367,306</w:t>
            </w: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b w:val="1"/>
                <w:bCs w:val="1"/>
                <w:color w:val="auto"/>
              </w:rPr>
              <w:t>14.5 %</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160" w:type="dxa"/>
            <w:vAlign w:val="bottom"/>
            <w:shd w:val="clear" w:color="auto" w:fill="CCEEFF"/>
          </w:tcPr>
          <w:p>
            <w:pPr>
              <w:jc w:val="right"/>
              <w:ind w:right="295"/>
              <w:spacing w:after="0"/>
              <w:rPr>
                <w:sz w:val="20"/>
                <w:szCs w:val="20"/>
                <w:color w:val="auto"/>
              </w:rPr>
            </w:pPr>
            <w:r>
              <w:rPr>
                <w:rFonts w:ascii="Times New Roman" w:cs="Times New Roman" w:eastAsia="Times New Roman" w:hAnsi="Times New Roman"/>
                <w:sz w:val="17"/>
                <w:szCs w:val="17"/>
                <w:color w:val="auto"/>
              </w:rPr>
              <w:t>584,553</w:t>
            </w: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25.1 %</w:t>
            </w:r>
          </w:p>
        </w:tc>
      </w:tr>
      <w:tr>
        <w:trPr>
          <w:trHeight w:val="216"/>
        </w:trPr>
        <w:tc>
          <w:tcPr>
            <w:tcW w:w="2960" w:type="dxa"/>
            <w:vAlign w:val="bottom"/>
          </w:tcPr>
          <w:p>
            <w:pPr>
              <w:ind w:left="20"/>
              <w:spacing w:after="0"/>
              <w:rPr>
                <w:sz w:val="20"/>
                <w:szCs w:val="20"/>
                <w:color w:val="auto"/>
              </w:rPr>
            </w:pPr>
            <w:r>
              <w:rPr>
                <w:rFonts w:ascii="Times New Roman" w:cs="Times New Roman" w:eastAsia="Times New Roman" w:hAnsi="Times New Roman"/>
                <w:sz w:val="17"/>
                <w:szCs w:val="17"/>
                <w:b w:val="1"/>
                <w:bCs w:val="1"/>
                <w:color w:val="auto"/>
              </w:rPr>
              <w:t>Net revenue by content:</w:t>
            </w:r>
          </w:p>
        </w:tc>
        <w:tc>
          <w:tcPr>
            <w:tcW w:w="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660" w:type="dxa"/>
            <w:vAlign w:val="bottom"/>
          </w:tcPr>
          <w:p>
            <w:pPr>
              <w:spacing w:after="0"/>
              <w:rPr>
                <w:sz w:val="18"/>
                <w:szCs w:val="18"/>
                <w:color w:val="auto"/>
              </w:rPr>
            </w:pPr>
          </w:p>
        </w:tc>
      </w:tr>
      <w:tr>
        <w:trPr>
          <w:trHeight w:val="216"/>
        </w:trPr>
        <w:tc>
          <w:tcPr>
            <w:tcW w:w="296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7"/>
                <w:szCs w:val="17"/>
                <w:color w:val="auto"/>
              </w:rPr>
              <w:t>Recurrent consumer spending</w:t>
            </w:r>
          </w:p>
        </w:tc>
        <w:tc>
          <w:tcPr>
            <w:tcW w:w="220" w:type="dxa"/>
            <w:vAlign w:val="bottom"/>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b w:val="1"/>
                <w:bCs w:val="1"/>
                <w:color w:val="auto"/>
                <w:w w:val="93"/>
              </w:rPr>
              <w:t>$</w:t>
            </w:r>
          </w:p>
        </w:tc>
        <w:tc>
          <w:tcPr>
            <w:tcW w:w="1020" w:type="dxa"/>
            <w:vAlign w:val="bottom"/>
            <w:shd w:val="clear" w:color="auto" w:fill="CCEEFF"/>
          </w:tcPr>
          <w:p>
            <w:pPr>
              <w:jc w:val="right"/>
              <w:ind w:right="275"/>
              <w:spacing w:after="0"/>
              <w:rPr>
                <w:sz w:val="20"/>
                <w:szCs w:val="20"/>
                <w:color w:val="auto"/>
              </w:rPr>
            </w:pPr>
            <w:r>
              <w:rPr>
                <w:rFonts w:ascii="Times New Roman" w:cs="Times New Roman" w:eastAsia="Times New Roman" w:hAnsi="Times New Roman"/>
                <w:sz w:val="17"/>
                <w:szCs w:val="17"/>
                <w:b w:val="1"/>
                <w:bCs w:val="1"/>
                <w:color w:val="auto"/>
              </w:rPr>
              <w:t>533,475</w:t>
            </w: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b w:val="1"/>
                <w:bCs w:val="1"/>
                <w:color w:val="auto"/>
              </w:rPr>
              <w:t>62.0 %</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jc w:val="right"/>
              <w:ind w:right="35"/>
              <w:spacing w:after="0"/>
              <w:rPr>
                <w:sz w:val="20"/>
                <w:szCs w:val="20"/>
                <w:color w:val="auto"/>
              </w:rPr>
            </w:pPr>
            <w:r>
              <w:rPr>
                <w:rFonts w:ascii="Times New Roman" w:cs="Times New Roman" w:eastAsia="Times New Roman" w:hAnsi="Times New Roman"/>
                <w:sz w:val="17"/>
                <w:szCs w:val="17"/>
                <w:color w:val="auto"/>
                <w:w w:val="93"/>
              </w:rPr>
              <w:t>$</w:t>
            </w:r>
          </w:p>
        </w:tc>
        <w:tc>
          <w:tcPr>
            <w:tcW w:w="1140" w:type="dxa"/>
            <w:vAlign w:val="bottom"/>
            <w:shd w:val="clear" w:color="auto" w:fill="CCEEFF"/>
          </w:tcPr>
          <w:p>
            <w:pPr>
              <w:jc w:val="right"/>
              <w:ind w:right="375"/>
              <w:spacing w:after="0"/>
              <w:rPr>
                <w:sz w:val="20"/>
                <w:szCs w:val="20"/>
                <w:color w:val="auto"/>
              </w:rPr>
            </w:pPr>
            <w:r>
              <w:rPr>
                <w:rFonts w:ascii="Times New Roman" w:cs="Times New Roman" w:eastAsia="Times New Roman" w:hAnsi="Times New Roman"/>
                <w:sz w:val="17"/>
                <w:szCs w:val="17"/>
                <w:color w:val="auto"/>
              </w:rPr>
              <w:t>340,496</w:t>
            </w:r>
          </w:p>
        </w:tc>
        <w:tc>
          <w:tcPr>
            <w:tcW w:w="5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36.6 %</w:t>
            </w: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jc w:val="right"/>
              <w:ind w:right="15"/>
              <w:spacing w:after="0"/>
              <w:rPr>
                <w:sz w:val="20"/>
                <w:szCs w:val="20"/>
                <w:color w:val="auto"/>
              </w:rPr>
            </w:pPr>
            <w:r>
              <w:rPr>
                <w:rFonts w:ascii="Times New Roman" w:cs="Times New Roman" w:eastAsia="Times New Roman" w:hAnsi="Times New Roman"/>
                <w:sz w:val="17"/>
                <w:szCs w:val="17"/>
                <w:b w:val="1"/>
                <w:bCs w:val="1"/>
                <w:color w:val="auto"/>
                <w:w w:val="93"/>
              </w:rPr>
              <w:t>$</w:t>
            </w:r>
          </w:p>
        </w:tc>
        <w:tc>
          <w:tcPr>
            <w:tcW w:w="1200" w:type="dxa"/>
            <w:vAlign w:val="bottom"/>
            <w:shd w:val="clear" w:color="auto" w:fill="CCEEFF"/>
          </w:tcPr>
          <w:p>
            <w:pPr>
              <w:jc w:val="right"/>
              <w:ind w:right="315"/>
              <w:spacing w:after="0"/>
              <w:rPr>
                <w:sz w:val="20"/>
                <w:szCs w:val="20"/>
                <w:color w:val="auto"/>
              </w:rPr>
            </w:pPr>
            <w:r>
              <w:rPr>
                <w:rFonts w:ascii="Times New Roman" w:cs="Times New Roman" w:eastAsia="Times New Roman" w:hAnsi="Times New Roman"/>
                <w:sz w:val="17"/>
                <w:szCs w:val="17"/>
                <w:b w:val="1"/>
                <w:bCs w:val="1"/>
                <w:color w:val="auto"/>
              </w:rPr>
              <w:t>1,508,604</w:t>
            </w: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b w:val="1"/>
                <w:bCs w:val="1"/>
                <w:color w:val="auto"/>
              </w:rPr>
              <w:t>59.5 %</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w:t>
            </w:r>
          </w:p>
        </w:tc>
        <w:tc>
          <w:tcPr>
            <w:tcW w:w="1160" w:type="dxa"/>
            <w:vAlign w:val="bottom"/>
            <w:shd w:val="clear" w:color="auto" w:fill="CCEEFF"/>
          </w:tcPr>
          <w:p>
            <w:pPr>
              <w:jc w:val="right"/>
              <w:ind w:right="295"/>
              <w:spacing w:after="0"/>
              <w:rPr>
                <w:sz w:val="20"/>
                <w:szCs w:val="20"/>
                <w:color w:val="auto"/>
              </w:rPr>
            </w:pPr>
            <w:r>
              <w:rPr>
                <w:rFonts w:ascii="Times New Roman" w:cs="Times New Roman" w:eastAsia="Times New Roman" w:hAnsi="Times New Roman"/>
                <w:sz w:val="17"/>
                <w:szCs w:val="17"/>
                <w:color w:val="auto"/>
              </w:rPr>
              <w:t>1,354,607</w:t>
            </w: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rPr>
              <w:t>58.2 %</w:t>
            </w:r>
          </w:p>
        </w:tc>
      </w:tr>
      <w:tr>
        <w:trPr>
          <w:trHeight w:val="226"/>
        </w:trPr>
        <w:tc>
          <w:tcPr>
            <w:tcW w:w="2960" w:type="dxa"/>
            <w:vAlign w:val="bottom"/>
          </w:tcPr>
          <w:p>
            <w:pPr>
              <w:ind w:left="140"/>
              <w:spacing w:after="0"/>
              <w:rPr>
                <w:sz w:val="20"/>
                <w:szCs w:val="20"/>
                <w:color w:val="auto"/>
              </w:rPr>
            </w:pPr>
            <w:r>
              <w:rPr>
                <w:rFonts w:ascii="Times New Roman" w:cs="Times New Roman" w:eastAsia="Times New Roman" w:hAnsi="Times New Roman"/>
                <w:sz w:val="17"/>
                <w:szCs w:val="17"/>
                <w:color w:val="auto"/>
              </w:rPr>
              <w:t>Full game and other</w:t>
            </w:r>
          </w:p>
        </w:tc>
        <w:tc>
          <w:tcPr>
            <w:tcW w:w="220" w:type="dxa"/>
            <w:vAlign w:val="bottom"/>
          </w:tcPr>
          <w:p>
            <w:pPr>
              <w:spacing w:after="0"/>
              <w:rPr>
                <w:sz w:val="19"/>
                <w:szCs w:val="19"/>
                <w:color w:val="auto"/>
              </w:rPr>
            </w:pPr>
          </w:p>
        </w:tc>
        <w:tc>
          <w:tcPr>
            <w:tcW w:w="1020" w:type="dxa"/>
            <w:vAlign w:val="bottom"/>
          </w:tcPr>
          <w:p>
            <w:pPr>
              <w:jc w:val="right"/>
              <w:ind w:right="275"/>
              <w:spacing w:after="0"/>
              <w:rPr>
                <w:sz w:val="20"/>
                <w:szCs w:val="20"/>
                <w:color w:val="auto"/>
              </w:rPr>
            </w:pPr>
            <w:r>
              <w:rPr>
                <w:rFonts w:ascii="Times New Roman" w:cs="Times New Roman" w:eastAsia="Times New Roman" w:hAnsi="Times New Roman"/>
                <w:sz w:val="17"/>
                <w:szCs w:val="17"/>
                <w:b w:val="1"/>
                <w:bCs w:val="1"/>
                <w:color w:val="auto"/>
              </w:rPr>
              <w:t>327,414</w:t>
            </w:r>
          </w:p>
        </w:tc>
        <w:tc>
          <w:tcPr>
            <w:tcW w:w="660" w:type="dxa"/>
            <w:vAlign w:val="bottom"/>
          </w:tcPr>
          <w:p>
            <w:pPr>
              <w:jc w:val="right"/>
              <w:spacing w:after="0"/>
              <w:rPr>
                <w:sz w:val="20"/>
                <w:szCs w:val="20"/>
                <w:color w:val="auto"/>
              </w:rPr>
            </w:pPr>
            <w:r>
              <w:rPr>
                <w:rFonts w:ascii="Times New Roman" w:cs="Times New Roman" w:eastAsia="Times New Roman" w:hAnsi="Times New Roman"/>
                <w:sz w:val="17"/>
                <w:szCs w:val="17"/>
                <w:b w:val="1"/>
                <w:bCs w:val="1"/>
                <w:color w:val="auto"/>
              </w:rPr>
              <w:t>38.0 %</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140" w:type="dxa"/>
            <w:vAlign w:val="bottom"/>
          </w:tcPr>
          <w:p>
            <w:pPr>
              <w:jc w:val="right"/>
              <w:ind w:right="375"/>
              <w:spacing w:after="0"/>
              <w:rPr>
                <w:sz w:val="20"/>
                <w:szCs w:val="20"/>
                <w:color w:val="auto"/>
              </w:rPr>
            </w:pPr>
            <w:r>
              <w:rPr>
                <w:rFonts w:ascii="Times New Roman" w:cs="Times New Roman" w:eastAsia="Times New Roman" w:hAnsi="Times New Roman"/>
                <w:sz w:val="17"/>
                <w:szCs w:val="17"/>
                <w:color w:val="auto"/>
              </w:rPr>
              <w:t>589,633</w:t>
            </w:r>
          </w:p>
        </w:tc>
        <w:tc>
          <w:tcPr>
            <w:tcW w:w="58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63.4 %</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00" w:type="dxa"/>
            <w:vAlign w:val="bottom"/>
          </w:tcPr>
          <w:p>
            <w:pPr>
              <w:jc w:val="right"/>
              <w:ind w:right="315"/>
              <w:spacing w:after="0"/>
              <w:rPr>
                <w:sz w:val="20"/>
                <w:szCs w:val="20"/>
                <w:color w:val="auto"/>
              </w:rPr>
            </w:pPr>
            <w:r>
              <w:rPr>
                <w:rFonts w:ascii="Times New Roman" w:cs="Times New Roman" w:eastAsia="Times New Roman" w:hAnsi="Times New Roman"/>
                <w:sz w:val="17"/>
                <w:szCs w:val="17"/>
                <w:b w:val="1"/>
                <w:bCs w:val="1"/>
                <w:color w:val="auto"/>
              </w:rPr>
              <w:t>1,024,737</w:t>
            </w:r>
          </w:p>
        </w:tc>
        <w:tc>
          <w:tcPr>
            <w:tcW w:w="700" w:type="dxa"/>
            <w:vAlign w:val="bottom"/>
          </w:tcPr>
          <w:p>
            <w:pPr>
              <w:jc w:val="right"/>
              <w:spacing w:after="0"/>
              <w:rPr>
                <w:sz w:val="20"/>
                <w:szCs w:val="20"/>
                <w:color w:val="auto"/>
              </w:rPr>
            </w:pPr>
            <w:r>
              <w:rPr>
                <w:rFonts w:ascii="Times New Roman" w:cs="Times New Roman" w:eastAsia="Times New Roman" w:hAnsi="Times New Roman"/>
                <w:sz w:val="17"/>
                <w:szCs w:val="17"/>
                <w:b w:val="1"/>
                <w:bCs w:val="1"/>
                <w:color w:val="auto"/>
              </w:rPr>
              <w:t>40.5 %</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160" w:type="dxa"/>
            <w:vAlign w:val="bottom"/>
          </w:tcPr>
          <w:p>
            <w:pPr>
              <w:jc w:val="right"/>
              <w:ind w:right="295"/>
              <w:spacing w:after="0"/>
              <w:rPr>
                <w:sz w:val="20"/>
                <w:szCs w:val="20"/>
                <w:color w:val="auto"/>
              </w:rPr>
            </w:pPr>
            <w:r>
              <w:rPr>
                <w:rFonts w:ascii="Times New Roman" w:cs="Times New Roman" w:eastAsia="Times New Roman" w:hAnsi="Times New Roman"/>
                <w:sz w:val="17"/>
                <w:szCs w:val="17"/>
                <w:color w:val="auto"/>
              </w:rPr>
              <w:t>973,822</w:t>
            </w:r>
          </w:p>
        </w:tc>
        <w:tc>
          <w:tcPr>
            <w:tcW w:w="660" w:type="dxa"/>
            <w:vAlign w:val="bottom"/>
          </w:tcPr>
          <w:p>
            <w:pPr>
              <w:jc w:val="right"/>
              <w:spacing w:after="0"/>
              <w:rPr>
                <w:sz w:val="20"/>
                <w:szCs w:val="20"/>
                <w:color w:val="auto"/>
              </w:rPr>
            </w:pPr>
            <w:r>
              <w:rPr>
                <w:rFonts w:ascii="Times New Roman" w:cs="Times New Roman" w:eastAsia="Times New Roman" w:hAnsi="Times New Roman"/>
                <w:sz w:val="17"/>
                <w:szCs w:val="17"/>
                <w:color w:val="auto"/>
              </w:rPr>
              <w:t>41.8 %</w:t>
            </w:r>
          </w:p>
        </w:tc>
      </w:tr>
    </w:tbl>
    <w:p>
      <w:pPr>
        <w:spacing w:after="0" w:line="200" w:lineRule="exact"/>
        <w:rPr>
          <w:sz w:val="20"/>
          <w:szCs w:val="20"/>
          <w:color w:val="auto"/>
        </w:rPr>
      </w:pPr>
    </w:p>
    <w:p>
      <w:pPr>
        <w:spacing w:after="0" w:line="29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Three Months Ended December 31, 2020 Compared to December 31, 2019</w:t>
      </w:r>
    </w:p>
    <w:p>
      <w:pPr>
        <w:spacing w:after="0" w:line="185"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386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900" w:type="dxa"/>
            <w:vAlign w:val="bottom"/>
            <w:vMerge w:val="restart"/>
          </w:tcPr>
          <w:p>
            <w:pPr>
              <w:jc w:val="right"/>
              <w:ind w:right="331"/>
              <w:spacing w:after="0"/>
              <w:rPr>
                <w:sz w:val="20"/>
                <w:szCs w:val="20"/>
                <w:color w:val="auto"/>
              </w:rPr>
            </w:pPr>
            <w:r>
              <w:rPr>
                <w:rFonts w:ascii="Times New Roman" w:cs="Times New Roman" w:eastAsia="Times New Roman" w:hAnsi="Times New Roman"/>
                <w:sz w:val="16"/>
                <w:szCs w:val="16"/>
                <w:b w:val="1"/>
                <w:bCs w:val="1"/>
                <w:color w:val="auto"/>
              </w:rPr>
              <w:t>2020</w:t>
            </w:r>
          </w:p>
        </w:tc>
        <w:tc>
          <w:tcPr>
            <w:tcW w:w="100" w:type="dxa"/>
            <w:vAlign w:val="bottom"/>
          </w:tcPr>
          <w:p>
            <w:pPr>
              <w:spacing w:after="0"/>
              <w:rPr>
                <w:sz w:val="16"/>
                <w:szCs w:val="16"/>
                <w:color w:val="auto"/>
              </w:rPr>
            </w:pPr>
          </w:p>
        </w:tc>
        <w:tc>
          <w:tcPr>
            <w:tcW w:w="1160" w:type="dxa"/>
            <w:vAlign w:val="bottom"/>
            <w:vMerge w:val="restart"/>
          </w:tcPr>
          <w:p>
            <w:pPr>
              <w:jc w:val="right"/>
              <w:ind w:right="411"/>
              <w:spacing w:after="0"/>
              <w:rPr>
                <w:sz w:val="20"/>
                <w:szCs w:val="20"/>
                <w:color w:val="auto"/>
              </w:rPr>
            </w:pPr>
            <w:r>
              <w:rPr>
                <w:rFonts w:ascii="Times New Roman" w:cs="Times New Roman" w:eastAsia="Times New Roman" w:hAnsi="Times New Roman"/>
                <w:sz w:val="16"/>
                <w:szCs w:val="16"/>
                <w:b w:val="1"/>
                <w:bCs w:val="1"/>
                <w:color w:val="auto"/>
              </w:rPr>
              <w:t>%</w:t>
            </w:r>
          </w:p>
        </w:tc>
        <w:tc>
          <w:tcPr>
            <w:tcW w:w="1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880" w:type="dxa"/>
            <w:vAlign w:val="bottom"/>
            <w:vMerge w:val="restart"/>
          </w:tcPr>
          <w:p>
            <w:pPr>
              <w:jc w:val="right"/>
              <w:ind w:right="311"/>
              <w:spacing w:after="0"/>
              <w:rPr>
                <w:sz w:val="20"/>
                <w:szCs w:val="20"/>
                <w:color w:val="auto"/>
              </w:rPr>
            </w:pPr>
            <w:r>
              <w:rPr>
                <w:rFonts w:ascii="Times New Roman" w:cs="Times New Roman" w:eastAsia="Times New Roman" w:hAnsi="Times New Roman"/>
                <w:sz w:val="16"/>
                <w:szCs w:val="16"/>
                <w:b w:val="1"/>
                <w:bCs w:val="1"/>
                <w:color w:val="auto"/>
              </w:rPr>
              <w:t>2019</w:t>
            </w:r>
          </w:p>
        </w:tc>
        <w:tc>
          <w:tcPr>
            <w:tcW w:w="120" w:type="dxa"/>
            <w:vAlign w:val="bottom"/>
          </w:tcPr>
          <w:p>
            <w:pPr>
              <w:spacing w:after="0"/>
              <w:rPr>
                <w:sz w:val="16"/>
                <w:szCs w:val="16"/>
                <w:color w:val="auto"/>
              </w:rPr>
            </w:pPr>
          </w:p>
        </w:tc>
        <w:tc>
          <w:tcPr>
            <w:tcW w:w="1080" w:type="dxa"/>
            <w:vAlign w:val="bottom"/>
            <w:vMerge w:val="restart"/>
          </w:tcPr>
          <w:p>
            <w:pPr>
              <w:jc w:val="right"/>
              <w:ind w:right="371"/>
              <w:spacing w:after="0"/>
              <w:rPr>
                <w:sz w:val="20"/>
                <w:szCs w:val="20"/>
                <w:color w:val="auto"/>
              </w:rPr>
            </w:pPr>
            <w:r>
              <w:rPr>
                <w:rFonts w:ascii="Times New Roman" w:cs="Times New Roman" w:eastAsia="Times New Roman" w:hAnsi="Times New Roman"/>
                <w:sz w:val="16"/>
                <w:szCs w:val="16"/>
                <w:b w:val="1"/>
                <w:bCs w:val="1"/>
                <w:color w:val="auto"/>
              </w:rPr>
              <w:t>%</w:t>
            </w: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100" w:type="dxa"/>
            <w:vAlign w:val="bottom"/>
            <w:gridSpan w:val="2"/>
          </w:tcPr>
          <w:p>
            <w:pPr>
              <w:jc w:val="center"/>
              <w:ind w:right="260"/>
              <w:spacing w:after="0"/>
              <w:rPr>
                <w:sz w:val="20"/>
                <w:szCs w:val="20"/>
                <w:color w:val="auto"/>
              </w:rPr>
            </w:pPr>
            <w:r>
              <w:rPr>
                <w:rFonts w:ascii="Times New Roman" w:cs="Times New Roman" w:eastAsia="Times New Roman" w:hAnsi="Times New Roman"/>
                <w:sz w:val="16"/>
                <w:szCs w:val="16"/>
                <w:b w:val="1"/>
                <w:bCs w:val="1"/>
                <w:color w:val="auto"/>
              </w:rPr>
              <w:t>Increase/</w:t>
            </w:r>
          </w:p>
        </w:tc>
        <w:tc>
          <w:tcPr>
            <w:tcW w:w="1160" w:type="dxa"/>
            <w:vAlign w:val="bottom"/>
          </w:tcPr>
          <w:p>
            <w:pPr>
              <w:jc w:val="right"/>
              <w:ind w:right="72"/>
              <w:spacing w:after="0"/>
              <w:rPr>
                <w:sz w:val="20"/>
                <w:szCs w:val="20"/>
                <w:color w:val="auto"/>
              </w:rPr>
            </w:pPr>
            <w:r>
              <w:rPr>
                <w:rFonts w:ascii="Times New Roman" w:cs="Times New Roman" w:eastAsia="Times New Roman" w:hAnsi="Times New Roman"/>
                <w:sz w:val="16"/>
                <w:szCs w:val="16"/>
                <w:b w:val="1"/>
                <w:bCs w:val="1"/>
                <w:color w:val="auto"/>
              </w:rPr>
              <w:t>% Increase/</w:t>
            </w:r>
          </w:p>
        </w:tc>
        <w:tc>
          <w:tcPr>
            <w:tcW w:w="0" w:type="dxa"/>
            <w:vAlign w:val="bottom"/>
          </w:tcPr>
          <w:p>
            <w:pPr>
              <w:spacing w:after="0"/>
              <w:rPr>
                <w:sz w:val="1"/>
                <w:szCs w:val="1"/>
                <w:color w:val="auto"/>
              </w:rPr>
            </w:pPr>
          </w:p>
        </w:tc>
      </w:tr>
      <w:tr>
        <w:trPr>
          <w:trHeight w:val="214"/>
        </w:trPr>
        <w:tc>
          <w:tcPr>
            <w:tcW w:w="3860" w:type="dxa"/>
            <w:vAlign w:val="bottom"/>
          </w:tcPr>
          <w:p>
            <w:pPr>
              <w:ind w:left="20"/>
              <w:spacing w:after="0"/>
              <w:rPr>
                <w:sz w:val="20"/>
                <w:szCs w:val="20"/>
                <w:color w:val="auto"/>
              </w:rPr>
            </w:pPr>
            <w:r>
              <w:rPr>
                <w:rFonts w:ascii="Times New Roman" w:cs="Times New Roman" w:eastAsia="Times New Roman" w:hAnsi="Times New Roman"/>
                <w:sz w:val="14"/>
                <w:szCs w:val="14"/>
                <w:b w:val="1"/>
                <w:bCs w:val="1"/>
                <w:color w:val="auto"/>
              </w:rPr>
              <w:t>(thousands of dollars)</w:t>
            </w:r>
          </w:p>
        </w:tc>
        <w:tc>
          <w:tcPr>
            <w:tcW w:w="260" w:type="dxa"/>
            <w:vAlign w:val="bottom"/>
          </w:tcPr>
          <w:p>
            <w:pPr>
              <w:spacing w:after="0"/>
              <w:rPr>
                <w:sz w:val="18"/>
                <w:szCs w:val="18"/>
                <w:color w:val="auto"/>
              </w:rPr>
            </w:pPr>
          </w:p>
        </w:tc>
        <w:tc>
          <w:tcPr>
            <w:tcW w:w="900" w:type="dxa"/>
            <w:vAlign w:val="bottom"/>
            <w:vMerge w:val="continue"/>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vMerge w:val="continue"/>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880" w:type="dxa"/>
            <w:vAlign w:val="bottom"/>
            <w:vMerge w:val="continue"/>
          </w:tcPr>
          <w:p>
            <w:pPr>
              <w:spacing w:after="0"/>
              <w:rPr>
                <w:sz w:val="18"/>
                <w:szCs w:val="18"/>
                <w:color w:val="auto"/>
              </w:rPr>
            </w:pPr>
          </w:p>
        </w:tc>
        <w:tc>
          <w:tcPr>
            <w:tcW w:w="120" w:type="dxa"/>
            <w:vAlign w:val="bottom"/>
          </w:tcPr>
          <w:p>
            <w:pPr>
              <w:spacing w:after="0"/>
              <w:rPr>
                <w:sz w:val="18"/>
                <w:szCs w:val="18"/>
                <w:color w:val="auto"/>
              </w:rPr>
            </w:pPr>
          </w:p>
        </w:tc>
        <w:tc>
          <w:tcPr>
            <w:tcW w:w="1080" w:type="dxa"/>
            <w:vAlign w:val="bottom"/>
            <w:vMerge w:val="continue"/>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00" w:type="dxa"/>
            <w:vAlign w:val="bottom"/>
            <w:gridSpan w:val="2"/>
          </w:tcPr>
          <w:p>
            <w:pPr>
              <w:jc w:val="center"/>
              <w:ind w:right="280"/>
              <w:spacing w:after="0"/>
              <w:rPr>
                <w:sz w:val="20"/>
                <w:szCs w:val="20"/>
                <w:color w:val="auto"/>
              </w:rPr>
            </w:pPr>
            <w:r>
              <w:rPr>
                <w:rFonts w:ascii="Times New Roman" w:cs="Times New Roman" w:eastAsia="Times New Roman" w:hAnsi="Times New Roman"/>
                <w:sz w:val="16"/>
                <w:szCs w:val="16"/>
                <w:b w:val="1"/>
                <w:bCs w:val="1"/>
                <w:color w:val="auto"/>
              </w:rPr>
              <w:t>(decrease)</w:t>
            </w:r>
          </w:p>
        </w:tc>
        <w:tc>
          <w:tcPr>
            <w:tcW w:w="1160" w:type="dxa"/>
            <w:vAlign w:val="bottom"/>
          </w:tcPr>
          <w:p>
            <w:pPr>
              <w:jc w:val="right"/>
              <w:ind w:right="152"/>
              <w:spacing w:after="0"/>
              <w:rPr>
                <w:sz w:val="20"/>
                <w:szCs w:val="20"/>
                <w:color w:val="auto"/>
              </w:rPr>
            </w:pPr>
            <w:r>
              <w:rPr>
                <w:rFonts w:ascii="Times New Roman" w:cs="Times New Roman" w:eastAsia="Times New Roman" w:hAnsi="Times New Roman"/>
                <w:sz w:val="16"/>
                <w:szCs w:val="16"/>
                <w:b w:val="1"/>
                <w:bCs w:val="1"/>
                <w:color w:val="auto"/>
              </w:rPr>
              <w:t>(decrease)</w:t>
            </w:r>
          </w:p>
        </w:tc>
        <w:tc>
          <w:tcPr>
            <w:tcW w:w="0" w:type="dxa"/>
            <w:vAlign w:val="bottom"/>
          </w:tcPr>
          <w:p>
            <w:pPr>
              <w:spacing w:after="0"/>
              <w:rPr>
                <w:sz w:val="1"/>
                <w:szCs w:val="1"/>
                <w:color w:val="auto"/>
              </w:rPr>
            </w:pPr>
          </w:p>
        </w:tc>
      </w:tr>
      <w:tr>
        <w:trPr>
          <w:trHeight w:val="225"/>
        </w:trPr>
        <w:tc>
          <w:tcPr>
            <w:tcW w:w="386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Net revenue</w:t>
            </w:r>
          </w:p>
        </w:tc>
        <w:tc>
          <w:tcPr>
            <w:tcW w:w="260" w:type="dxa"/>
            <w:vAlign w:val="bottom"/>
            <w:tcBorders>
              <w:top w:val="single" w:sz="8" w:color="auto"/>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b w:val="1"/>
                <w:bCs w:val="1"/>
                <w:color w:val="auto"/>
              </w:rPr>
              <w:t>$</w:t>
            </w:r>
          </w:p>
        </w:tc>
        <w:tc>
          <w:tcPr>
            <w:tcW w:w="9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860,889</w:t>
            </w:r>
          </w:p>
        </w:tc>
        <w:tc>
          <w:tcPr>
            <w:tcW w:w="100" w:type="dxa"/>
            <w:vAlign w:val="bottom"/>
            <w:tcBorders>
              <w:top w:val="single" w:sz="8" w:color="CCEEFF"/>
            </w:tcBorders>
            <w:shd w:val="clear" w:color="auto" w:fill="CCEEFF"/>
          </w:tcPr>
          <w:p>
            <w:pPr>
              <w:spacing w:after="0"/>
              <w:rPr>
                <w:sz w:val="19"/>
                <w:szCs w:val="19"/>
                <w:color w:val="auto"/>
              </w:rPr>
            </w:pPr>
          </w:p>
        </w:tc>
        <w:tc>
          <w:tcPr>
            <w:tcW w:w="11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100.0 %</w:t>
            </w:r>
          </w:p>
        </w:tc>
        <w:tc>
          <w:tcPr>
            <w:tcW w:w="100" w:type="dxa"/>
            <w:vAlign w:val="bottom"/>
            <w:tcBorders>
              <w:top w:val="single" w:sz="8" w:color="CCEEFF"/>
            </w:tcBorders>
            <w:shd w:val="clear" w:color="auto" w:fill="CCEEFF"/>
          </w:tcPr>
          <w:p>
            <w:pPr>
              <w:spacing w:after="0"/>
              <w:rPr>
                <w:sz w:val="19"/>
                <w:szCs w:val="19"/>
                <w:color w:val="auto"/>
              </w:rPr>
            </w:pPr>
          </w:p>
        </w:tc>
        <w:tc>
          <w:tcPr>
            <w:tcW w:w="260" w:type="dxa"/>
            <w:vAlign w:val="bottom"/>
            <w:tcBorders>
              <w:top w:val="single" w:sz="8" w:color="auto"/>
            </w:tcBorders>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930,129</w:t>
            </w:r>
          </w:p>
        </w:tc>
        <w:tc>
          <w:tcPr>
            <w:tcW w:w="120" w:type="dxa"/>
            <w:vAlign w:val="bottom"/>
            <w:tcBorders>
              <w:top w:val="single" w:sz="8" w:color="CCEEFF"/>
            </w:tcBorders>
            <w:shd w:val="clear" w:color="auto" w:fill="CCEEFF"/>
          </w:tcPr>
          <w:p>
            <w:pPr>
              <w:spacing w:after="0"/>
              <w:rPr>
                <w:sz w:val="19"/>
                <w:szCs w:val="19"/>
                <w:color w:val="auto"/>
              </w:rPr>
            </w:pPr>
          </w:p>
        </w:tc>
        <w:tc>
          <w:tcPr>
            <w:tcW w:w="10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100.0 %</w:t>
            </w:r>
          </w:p>
        </w:tc>
        <w:tc>
          <w:tcPr>
            <w:tcW w:w="100" w:type="dxa"/>
            <w:vAlign w:val="bottom"/>
            <w:tcBorders>
              <w:top w:val="single" w:sz="8" w:color="CCEEFF"/>
            </w:tcBorders>
            <w:shd w:val="clear" w:color="auto" w:fill="CCEEFF"/>
          </w:tcPr>
          <w:p>
            <w:pPr>
              <w:spacing w:after="0"/>
              <w:rPr>
                <w:sz w:val="19"/>
                <w:szCs w:val="19"/>
                <w:color w:val="auto"/>
              </w:rPr>
            </w:pPr>
          </w:p>
        </w:tc>
        <w:tc>
          <w:tcPr>
            <w:tcW w:w="1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(69,240)</w:t>
            </w:r>
          </w:p>
        </w:tc>
        <w:tc>
          <w:tcPr>
            <w:tcW w:w="100" w:type="dxa"/>
            <w:vAlign w:val="bottom"/>
            <w:tcBorders>
              <w:top w:val="single" w:sz="8" w:color="CCEEFF"/>
            </w:tcBorders>
            <w:shd w:val="clear" w:color="auto" w:fill="CCEEFF"/>
          </w:tcPr>
          <w:p>
            <w:pPr>
              <w:spacing w:after="0"/>
              <w:rPr>
                <w:sz w:val="19"/>
                <w:szCs w:val="19"/>
                <w:color w:val="auto"/>
              </w:rPr>
            </w:pPr>
          </w:p>
        </w:tc>
        <w:tc>
          <w:tcPr>
            <w:tcW w:w="11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(7.4)%</w:t>
            </w:r>
          </w:p>
        </w:tc>
        <w:tc>
          <w:tcPr>
            <w:tcW w:w="0" w:type="dxa"/>
            <w:vAlign w:val="bottom"/>
          </w:tcPr>
          <w:p>
            <w:pPr>
              <w:spacing w:after="0"/>
              <w:rPr>
                <w:sz w:val="1"/>
                <w:szCs w:val="1"/>
                <w:color w:val="auto"/>
              </w:rPr>
            </w:pPr>
          </w:p>
        </w:tc>
      </w:tr>
      <w:tr>
        <w:trPr>
          <w:trHeight w:val="229"/>
        </w:trPr>
        <w:tc>
          <w:tcPr>
            <w:tcW w:w="3860" w:type="dxa"/>
            <w:vAlign w:val="bottom"/>
          </w:tcPr>
          <w:p>
            <w:pPr>
              <w:ind w:left="20"/>
              <w:spacing w:after="0" w:line="230" w:lineRule="exact"/>
              <w:rPr>
                <w:sz w:val="20"/>
                <w:szCs w:val="20"/>
                <w:color w:val="auto"/>
              </w:rPr>
            </w:pPr>
            <w:r>
              <w:rPr>
                <w:rFonts w:ascii="Times New Roman" w:cs="Times New Roman" w:eastAsia="Times New Roman" w:hAnsi="Times New Roman"/>
                <w:sz w:val="18"/>
                <w:szCs w:val="18"/>
                <w:color w:val="auto"/>
              </w:rPr>
              <w:t xml:space="preserve">Software development costs and royalties </w:t>
            </w:r>
            <w:r>
              <w:rPr>
                <w:rFonts w:ascii="Times New Roman" w:cs="Times New Roman" w:eastAsia="Times New Roman" w:hAnsi="Times New Roman"/>
                <w:sz w:val="23"/>
                <w:szCs w:val="23"/>
                <w:color w:val="auto"/>
                <w:vertAlign w:val="superscript"/>
              </w:rPr>
              <w:t>(1)</w:t>
            </w:r>
          </w:p>
        </w:tc>
        <w:tc>
          <w:tcPr>
            <w:tcW w:w="26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83,514</w:t>
            </w:r>
          </w:p>
        </w:tc>
        <w:tc>
          <w:tcPr>
            <w:tcW w:w="10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9.7 %</w:t>
            </w: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130,985</w:t>
            </w:r>
          </w:p>
        </w:tc>
        <w:tc>
          <w:tcPr>
            <w:tcW w:w="12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14.1 %</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(47,471)</w:t>
            </w:r>
          </w:p>
        </w:tc>
        <w:tc>
          <w:tcPr>
            <w:tcW w:w="10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(36.2)%</w:t>
            </w:r>
          </w:p>
        </w:tc>
        <w:tc>
          <w:tcPr>
            <w:tcW w:w="0" w:type="dxa"/>
            <w:vAlign w:val="bottom"/>
          </w:tcPr>
          <w:p>
            <w:pPr>
              <w:spacing w:after="0"/>
              <w:rPr>
                <w:sz w:val="1"/>
                <w:szCs w:val="1"/>
                <w:color w:val="auto"/>
              </w:rPr>
            </w:pPr>
          </w:p>
        </w:tc>
      </w:tr>
      <w:tr>
        <w:trPr>
          <w:trHeight w:val="230"/>
        </w:trPr>
        <w:tc>
          <w:tcPr>
            <w:tcW w:w="386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Internal royalties</w:t>
            </w:r>
          </w:p>
        </w:tc>
        <w:tc>
          <w:tcPr>
            <w:tcW w:w="26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137,657</w:t>
            </w:r>
          </w:p>
        </w:tc>
        <w:tc>
          <w:tcPr>
            <w:tcW w:w="100" w:type="dxa"/>
            <w:vAlign w:val="bottom"/>
            <w:shd w:val="clear" w:color="auto" w:fill="CCEEFF"/>
          </w:tcPr>
          <w:p>
            <w:pPr>
              <w:spacing w:after="0"/>
              <w:rPr>
                <w:sz w:val="19"/>
                <w:szCs w:val="19"/>
                <w:color w:val="auto"/>
              </w:rPr>
            </w:pPr>
          </w:p>
        </w:tc>
        <w:tc>
          <w:tcPr>
            <w:tcW w:w="1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16.0 %</w:t>
            </w: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166,432</w:t>
            </w:r>
          </w:p>
        </w:tc>
        <w:tc>
          <w:tcPr>
            <w:tcW w:w="12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17.9 %</w:t>
            </w: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(28,775)</w:t>
            </w:r>
          </w:p>
        </w:tc>
        <w:tc>
          <w:tcPr>
            <w:tcW w:w="100" w:type="dxa"/>
            <w:vAlign w:val="bottom"/>
            <w:shd w:val="clear" w:color="auto" w:fill="CCEEFF"/>
          </w:tcPr>
          <w:p>
            <w:pPr>
              <w:spacing w:after="0"/>
              <w:rPr>
                <w:sz w:val="19"/>
                <w:szCs w:val="19"/>
                <w:color w:val="auto"/>
              </w:rPr>
            </w:pPr>
          </w:p>
        </w:tc>
        <w:tc>
          <w:tcPr>
            <w:tcW w:w="1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(17.3)%</w:t>
            </w:r>
          </w:p>
        </w:tc>
        <w:tc>
          <w:tcPr>
            <w:tcW w:w="0" w:type="dxa"/>
            <w:vAlign w:val="bottom"/>
          </w:tcPr>
          <w:p>
            <w:pPr>
              <w:spacing w:after="0"/>
              <w:rPr>
                <w:sz w:val="1"/>
                <w:szCs w:val="1"/>
                <w:color w:val="auto"/>
              </w:rPr>
            </w:pPr>
          </w:p>
        </w:tc>
      </w:tr>
      <w:tr>
        <w:trPr>
          <w:trHeight w:val="229"/>
        </w:trPr>
        <w:tc>
          <w:tcPr>
            <w:tcW w:w="386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Product costs</w:t>
            </w:r>
          </w:p>
        </w:tc>
        <w:tc>
          <w:tcPr>
            <w:tcW w:w="26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67,156</w:t>
            </w:r>
          </w:p>
        </w:tc>
        <w:tc>
          <w:tcPr>
            <w:tcW w:w="10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7.8 %</w:t>
            </w: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90,959</w:t>
            </w:r>
          </w:p>
        </w:tc>
        <w:tc>
          <w:tcPr>
            <w:tcW w:w="12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9.8 %</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(23,803)</w:t>
            </w:r>
          </w:p>
        </w:tc>
        <w:tc>
          <w:tcPr>
            <w:tcW w:w="10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(26.2)%</w:t>
            </w:r>
          </w:p>
        </w:tc>
        <w:tc>
          <w:tcPr>
            <w:tcW w:w="0" w:type="dxa"/>
            <w:vAlign w:val="bottom"/>
          </w:tcPr>
          <w:p>
            <w:pPr>
              <w:spacing w:after="0"/>
              <w:rPr>
                <w:sz w:val="1"/>
                <w:szCs w:val="1"/>
                <w:color w:val="auto"/>
              </w:rPr>
            </w:pPr>
          </w:p>
        </w:tc>
      </w:tr>
      <w:tr>
        <w:trPr>
          <w:trHeight w:val="230"/>
        </w:trPr>
        <w:tc>
          <w:tcPr>
            <w:tcW w:w="386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Licenses</w:t>
            </w:r>
          </w:p>
        </w:tc>
        <w:tc>
          <w:tcPr>
            <w:tcW w:w="260" w:type="dxa"/>
            <w:vAlign w:val="bottom"/>
            <w:tcBorders>
              <w:bottom w:val="single" w:sz="8" w:color="auto"/>
            </w:tcBorders>
            <w:shd w:val="clear" w:color="auto" w:fill="CCEEFF"/>
          </w:tcPr>
          <w:p>
            <w:pPr>
              <w:spacing w:after="0"/>
              <w:rPr>
                <w:sz w:val="19"/>
                <w:szCs w:val="19"/>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57,917</w:t>
            </w:r>
          </w:p>
        </w:tc>
        <w:tc>
          <w:tcPr>
            <w:tcW w:w="100" w:type="dxa"/>
            <w:vAlign w:val="bottom"/>
            <w:shd w:val="clear" w:color="auto" w:fill="CCEEFF"/>
          </w:tcPr>
          <w:p>
            <w:pPr>
              <w:spacing w:after="0"/>
              <w:rPr>
                <w:sz w:val="19"/>
                <w:szCs w:val="19"/>
                <w:color w:val="auto"/>
              </w:rPr>
            </w:pPr>
          </w:p>
        </w:tc>
        <w:tc>
          <w:tcPr>
            <w:tcW w:w="1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6.7 %</w:t>
            </w:r>
          </w:p>
        </w:tc>
        <w:tc>
          <w:tcPr>
            <w:tcW w:w="100" w:type="dxa"/>
            <w:vAlign w:val="bottom"/>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spacing w:after="0"/>
              <w:rPr>
                <w:sz w:val="19"/>
                <w:szCs w:val="19"/>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48,717</w:t>
            </w:r>
          </w:p>
        </w:tc>
        <w:tc>
          <w:tcPr>
            <w:tcW w:w="120" w:type="dxa"/>
            <w:vAlign w:val="bottom"/>
            <w:shd w:val="clear" w:color="auto" w:fill="CCEEFF"/>
          </w:tcPr>
          <w:p>
            <w:pPr>
              <w:spacing w:after="0"/>
              <w:rPr>
                <w:sz w:val="19"/>
                <w:szCs w:val="19"/>
                <w:color w:val="auto"/>
              </w:rPr>
            </w:pPr>
          </w:p>
        </w:tc>
        <w:tc>
          <w:tcPr>
            <w:tcW w:w="10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5.2 %</w:t>
            </w:r>
          </w:p>
        </w:tc>
        <w:tc>
          <w:tcPr>
            <w:tcW w:w="100" w:type="dxa"/>
            <w:vAlign w:val="bottom"/>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9,200</w:t>
            </w:r>
          </w:p>
        </w:tc>
        <w:tc>
          <w:tcPr>
            <w:tcW w:w="100" w:type="dxa"/>
            <w:vAlign w:val="bottom"/>
            <w:shd w:val="clear" w:color="auto" w:fill="CCEEFF"/>
          </w:tcPr>
          <w:p>
            <w:pPr>
              <w:spacing w:after="0"/>
              <w:rPr>
                <w:sz w:val="19"/>
                <w:szCs w:val="19"/>
                <w:color w:val="auto"/>
              </w:rPr>
            </w:pPr>
          </w:p>
        </w:tc>
        <w:tc>
          <w:tcPr>
            <w:tcW w:w="1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18.9 %</w:t>
            </w:r>
          </w:p>
        </w:tc>
        <w:tc>
          <w:tcPr>
            <w:tcW w:w="0" w:type="dxa"/>
            <w:vAlign w:val="bottom"/>
          </w:tcPr>
          <w:p>
            <w:pPr>
              <w:spacing w:after="0"/>
              <w:rPr>
                <w:sz w:val="1"/>
                <w:szCs w:val="1"/>
                <w:color w:val="auto"/>
              </w:rPr>
            </w:pPr>
          </w:p>
        </w:tc>
      </w:tr>
      <w:tr>
        <w:trPr>
          <w:trHeight w:val="223"/>
        </w:trPr>
        <w:tc>
          <w:tcPr>
            <w:tcW w:w="386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8"/>
                <w:szCs w:val="18"/>
                <w:color w:val="auto"/>
              </w:rPr>
              <w:t>Cost of goods sold</w:t>
            </w:r>
          </w:p>
        </w:tc>
        <w:tc>
          <w:tcPr>
            <w:tcW w:w="26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346,244</w:t>
            </w:r>
          </w:p>
        </w:tc>
        <w:tc>
          <w:tcPr>
            <w:tcW w:w="100" w:type="dxa"/>
            <w:vAlign w:val="bottom"/>
            <w:tcBorders>
              <w:bottom w:val="single" w:sz="8" w:color="CCEEFF"/>
            </w:tcBorders>
          </w:tcPr>
          <w:p>
            <w:pPr>
              <w:spacing w:after="0"/>
              <w:rPr>
                <w:sz w:val="19"/>
                <w:szCs w:val="19"/>
                <w:color w:val="auto"/>
              </w:rPr>
            </w:pPr>
          </w:p>
        </w:tc>
        <w:tc>
          <w:tcPr>
            <w:tcW w:w="1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40.2 %</w:t>
            </w:r>
          </w:p>
        </w:tc>
        <w:tc>
          <w:tcPr>
            <w:tcW w:w="100" w:type="dxa"/>
            <w:vAlign w:val="bottom"/>
            <w:tcBorders>
              <w:bottom w:val="single" w:sz="8" w:color="CCEEFF"/>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437,093</w:t>
            </w:r>
          </w:p>
        </w:tc>
        <w:tc>
          <w:tcPr>
            <w:tcW w:w="120" w:type="dxa"/>
            <w:vAlign w:val="bottom"/>
            <w:tcBorders>
              <w:bottom w:val="single" w:sz="8" w:color="CCEEFF"/>
            </w:tcBorders>
          </w:tcPr>
          <w:p>
            <w:pPr>
              <w:spacing w:after="0"/>
              <w:rPr>
                <w:sz w:val="19"/>
                <w:szCs w:val="19"/>
                <w:color w:val="auto"/>
              </w:rPr>
            </w:pPr>
          </w:p>
        </w:tc>
        <w:tc>
          <w:tcPr>
            <w:tcW w:w="10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47.0 %</w:t>
            </w:r>
          </w:p>
        </w:tc>
        <w:tc>
          <w:tcPr>
            <w:tcW w:w="100" w:type="dxa"/>
            <w:vAlign w:val="bottom"/>
            <w:tcBorders>
              <w:bottom w:val="single" w:sz="8" w:color="CCEEFF"/>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(90,849)</w:t>
            </w:r>
          </w:p>
        </w:tc>
        <w:tc>
          <w:tcPr>
            <w:tcW w:w="100" w:type="dxa"/>
            <w:vAlign w:val="bottom"/>
            <w:tcBorders>
              <w:bottom w:val="single" w:sz="8" w:color="CCEEFF"/>
            </w:tcBorders>
          </w:tcPr>
          <w:p>
            <w:pPr>
              <w:spacing w:after="0"/>
              <w:rPr>
                <w:sz w:val="19"/>
                <w:szCs w:val="19"/>
                <w:color w:val="auto"/>
              </w:rPr>
            </w:pPr>
          </w:p>
        </w:tc>
        <w:tc>
          <w:tcPr>
            <w:tcW w:w="1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(20.8)%</w:t>
            </w:r>
          </w:p>
        </w:tc>
        <w:tc>
          <w:tcPr>
            <w:tcW w:w="0" w:type="dxa"/>
            <w:vAlign w:val="bottom"/>
          </w:tcPr>
          <w:p>
            <w:pPr>
              <w:spacing w:after="0"/>
              <w:rPr>
                <w:sz w:val="1"/>
                <w:szCs w:val="1"/>
                <w:color w:val="auto"/>
              </w:rPr>
            </w:pPr>
          </w:p>
        </w:tc>
      </w:tr>
      <w:tr>
        <w:trPr>
          <w:trHeight w:val="248"/>
        </w:trPr>
        <w:tc>
          <w:tcPr>
            <w:tcW w:w="386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b w:val="1"/>
                <w:bCs w:val="1"/>
                <w:color w:val="auto"/>
              </w:rPr>
              <w:t>Gross profit</w:t>
            </w: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b w:val="1"/>
                <w:bCs w:val="1"/>
                <w:color w:val="auto"/>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514,645</w:t>
            </w:r>
          </w:p>
        </w:tc>
        <w:tc>
          <w:tcPr>
            <w:tcW w:w="1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59.8 %</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auto"/>
            </w:tcBorders>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493,036</w:t>
            </w:r>
          </w:p>
        </w:tc>
        <w:tc>
          <w:tcPr>
            <w:tcW w:w="12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53.0 %</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21,609</w:t>
            </w:r>
          </w:p>
        </w:tc>
        <w:tc>
          <w:tcPr>
            <w:tcW w:w="1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4.4 %</w:t>
            </w:r>
          </w:p>
        </w:tc>
        <w:tc>
          <w:tcPr>
            <w:tcW w:w="0" w:type="dxa"/>
            <w:vAlign w:val="bottom"/>
          </w:tcPr>
          <w:p>
            <w:pPr>
              <w:spacing w:after="0"/>
              <w:rPr>
                <w:sz w:val="1"/>
                <w:szCs w:val="1"/>
                <w:color w:val="auto"/>
              </w:rPr>
            </w:pPr>
          </w:p>
        </w:tc>
      </w:tr>
      <w:tr>
        <w:trPr>
          <w:trHeight w:val="20"/>
        </w:trPr>
        <w:tc>
          <w:tcPr>
            <w:tcW w:w="386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8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85" w:lineRule="exact"/>
        <w:rPr>
          <w:sz w:val="20"/>
          <w:szCs w:val="20"/>
          <w:color w:val="auto"/>
        </w:rPr>
      </w:pPr>
    </w:p>
    <w:p>
      <w:pPr>
        <w:spacing w:after="0"/>
        <w:rPr>
          <w:sz w:val="20"/>
          <w:szCs w:val="20"/>
          <w:color w:val="auto"/>
        </w:rPr>
      </w:pPr>
      <w:r>
        <w:rPr>
          <w:rFonts w:ascii="Times New Roman" w:cs="Times New Roman" w:eastAsia="Times New Roman" w:hAnsi="Times New Roman"/>
          <w:sz w:val="14"/>
          <w:szCs w:val="14"/>
          <w:color w:val="auto"/>
        </w:rPr>
        <w:t>_______________________________________________________________________________</w:t>
      </w:r>
    </w:p>
    <w:p>
      <w:pPr>
        <w:spacing w:after="0" w:line="29" w:lineRule="exact"/>
        <w:rPr>
          <w:sz w:val="20"/>
          <w:szCs w:val="20"/>
          <w:color w:val="auto"/>
        </w:rPr>
      </w:pPr>
    </w:p>
    <w:p>
      <w:pPr>
        <w:ind w:left="640" w:hanging="308"/>
        <w:spacing w:after="0"/>
        <w:tabs>
          <w:tab w:leader="none" w:pos="640" w:val="left"/>
        </w:tabs>
        <w:numPr>
          <w:ilvl w:val="0"/>
          <w:numId w:val="7"/>
        </w:numPr>
        <w:rPr>
          <w:rFonts w:ascii="Times New Roman" w:cs="Times New Roman" w:eastAsia="Times New Roman" w:hAnsi="Times New Roman"/>
          <w:sz w:val="23"/>
          <w:szCs w:val="23"/>
          <w:color w:val="auto"/>
          <w:vertAlign w:val="superscript"/>
        </w:rPr>
      </w:pPr>
      <w:r>
        <w:rPr>
          <w:rFonts w:ascii="Times New Roman" w:cs="Times New Roman" w:eastAsia="Times New Roman" w:hAnsi="Times New Roman"/>
          <w:sz w:val="18"/>
          <w:szCs w:val="18"/>
          <w:color w:val="auto"/>
        </w:rPr>
        <w:t>Includes $13,100 and $33,048 of stock-based compensation expense in 2020 and 2019, respectively, in software development costs and royalties.</w:t>
      </w:r>
    </w:p>
    <w:p>
      <w:pPr>
        <w:spacing w:after="0" w:line="130"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 xml:space="preserve">For the three months ended December 31, 2020, net revenue decreased by $69.2 million as compared to the prior year period. The decrease was due to a decrease in net revenue of (i) $138.0 million from </w:t>
      </w:r>
      <w:r>
        <w:rPr>
          <w:rFonts w:ascii="Times New Roman" w:cs="Times New Roman" w:eastAsia="Times New Roman" w:hAnsi="Times New Roman"/>
          <w:sz w:val="18"/>
          <w:szCs w:val="18"/>
          <w:i w:val="1"/>
          <w:iCs w:val="1"/>
          <w:color w:val="auto"/>
        </w:rPr>
        <w:t>The Outer Worlds,</w:t>
      </w:r>
      <w:r>
        <w:rPr>
          <w:rFonts w:ascii="Times New Roman" w:cs="Times New Roman" w:eastAsia="Times New Roman" w:hAnsi="Times New Roman"/>
          <w:sz w:val="18"/>
          <w:szCs w:val="18"/>
          <w:color w:val="auto"/>
        </w:rPr>
        <w:t xml:space="preserve"> which released in October 2019, (ii) $106.3 million from </w:t>
      </w:r>
      <w:r>
        <w:rPr>
          <w:rFonts w:ascii="Times New Roman" w:cs="Times New Roman" w:eastAsia="Times New Roman" w:hAnsi="Times New Roman"/>
          <w:sz w:val="18"/>
          <w:szCs w:val="18"/>
          <w:i w:val="1"/>
          <w:iCs w:val="1"/>
          <w:color w:val="auto"/>
        </w:rPr>
        <w:t>Red Dead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Redemption 2</w:t>
      </w:r>
      <w:r>
        <w:rPr>
          <w:rFonts w:ascii="Times New Roman" w:cs="Times New Roman" w:eastAsia="Times New Roman" w:hAnsi="Times New Roman"/>
          <w:sz w:val="18"/>
          <w:szCs w:val="18"/>
          <w:color w:val="auto"/>
        </w:rPr>
        <w:t>, which released on PC in November 2019, (iii) $39.4 million from</w:t>
      </w:r>
      <w:r>
        <w:rPr>
          <w:rFonts w:ascii="Times New Roman" w:cs="Times New Roman" w:eastAsia="Times New Roman" w:hAnsi="Times New Roman"/>
          <w:sz w:val="18"/>
          <w:szCs w:val="18"/>
          <w:i w:val="1"/>
          <w:iCs w:val="1"/>
          <w:color w:val="auto"/>
        </w:rPr>
        <w:t xml:space="preserve"> Borderlands 3, </w:t>
      </w:r>
      <w:r>
        <w:rPr>
          <w:rFonts w:ascii="Times New Roman" w:cs="Times New Roman" w:eastAsia="Times New Roman" w:hAnsi="Times New Roman"/>
          <w:sz w:val="18"/>
          <w:szCs w:val="18"/>
          <w:color w:val="auto"/>
        </w:rPr>
        <w:t>which released in September 2019, and (iv) $27.7 million</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 xml:space="preserve">from our </w:t>
      </w:r>
      <w:r>
        <w:rPr>
          <w:rFonts w:ascii="Times New Roman" w:cs="Times New Roman" w:eastAsia="Times New Roman" w:hAnsi="Times New Roman"/>
          <w:sz w:val="18"/>
          <w:szCs w:val="18"/>
          <w:i w:val="1"/>
          <w:iCs w:val="1"/>
          <w:color w:val="auto"/>
        </w:rPr>
        <w:t>WWE 2K</w:t>
      </w:r>
      <w:r>
        <w:rPr>
          <w:rFonts w:ascii="Times New Roman" w:cs="Times New Roman" w:eastAsia="Times New Roman" w:hAnsi="Times New Roman"/>
          <w:sz w:val="18"/>
          <w:szCs w:val="18"/>
          <w:color w:val="auto"/>
        </w:rPr>
        <w:t xml:space="preserve"> franchise, which benefited from the release of </w:t>
      </w:r>
      <w:r>
        <w:rPr>
          <w:rFonts w:ascii="Times New Roman" w:cs="Times New Roman" w:eastAsia="Times New Roman" w:hAnsi="Times New Roman"/>
          <w:sz w:val="18"/>
          <w:szCs w:val="18"/>
          <w:i w:val="1"/>
          <w:iCs w:val="1"/>
          <w:color w:val="auto"/>
        </w:rPr>
        <w:t>WWE 2K20</w:t>
      </w:r>
      <w:r>
        <w:rPr>
          <w:rFonts w:ascii="Times New Roman" w:cs="Times New Roman" w:eastAsia="Times New Roman" w:hAnsi="Times New Roman"/>
          <w:sz w:val="18"/>
          <w:szCs w:val="18"/>
          <w:color w:val="auto"/>
        </w:rPr>
        <w:t xml:space="preserve"> in the prior year period. These decreases were partially offset by an increase in net revenue of (i) $130.0 million from our </w:t>
      </w:r>
      <w:r>
        <w:rPr>
          <w:rFonts w:ascii="Times New Roman" w:cs="Times New Roman" w:eastAsia="Times New Roman" w:hAnsi="Times New Roman"/>
          <w:sz w:val="18"/>
          <w:szCs w:val="18"/>
          <w:i w:val="1"/>
          <w:iCs w:val="1"/>
          <w:color w:val="auto"/>
        </w:rPr>
        <w:t>NBA 2K</w:t>
      </w:r>
      <w:r>
        <w:rPr>
          <w:rFonts w:ascii="Times New Roman" w:cs="Times New Roman" w:eastAsia="Times New Roman" w:hAnsi="Times New Roman"/>
          <w:sz w:val="18"/>
          <w:szCs w:val="18"/>
          <w:color w:val="auto"/>
        </w:rPr>
        <w:t xml:space="preserve"> franchise, (ii) $58.1 million from </w:t>
      </w:r>
      <w:r>
        <w:rPr>
          <w:rFonts w:ascii="Times New Roman" w:cs="Times New Roman" w:eastAsia="Times New Roman" w:hAnsi="Times New Roman"/>
          <w:sz w:val="18"/>
          <w:szCs w:val="18"/>
          <w:i w:val="1"/>
          <w:iCs w:val="1"/>
          <w:color w:val="auto"/>
        </w:rPr>
        <w:t>Grand Theft Auto Online</w:t>
      </w:r>
      <w:r>
        <w:rPr>
          <w:rFonts w:ascii="Times New Roman" w:cs="Times New Roman" w:eastAsia="Times New Roman" w:hAnsi="Times New Roman"/>
          <w:sz w:val="18"/>
          <w:szCs w:val="18"/>
          <w:color w:val="auto"/>
        </w:rPr>
        <w:t xml:space="preserve">, (iii) $27.6 million from our </w:t>
      </w:r>
      <w:r>
        <w:rPr>
          <w:rFonts w:ascii="Times New Roman" w:cs="Times New Roman" w:eastAsia="Times New Roman" w:hAnsi="Times New Roman"/>
          <w:sz w:val="18"/>
          <w:szCs w:val="18"/>
          <w:i w:val="1"/>
          <w:iCs w:val="1"/>
          <w:color w:val="auto"/>
        </w:rPr>
        <w:t>Mafia</w:t>
      </w:r>
      <w:r>
        <w:rPr>
          <w:rFonts w:ascii="Times New Roman" w:cs="Times New Roman" w:eastAsia="Times New Roman" w:hAnsi="Times New Roman"/>
          <w:sz w:val="18"/>
          <w:szCs w:val="18"/>
          <w:color w:val="auto"/>
        </w:rPr>
        <w:t xml:space="preserve"> franchise, and (iv) $16.8 million from </w:t>
      </w:r>
      <w:r>
        <w:rPr>
          <w:rFonts w:ascii="Times New Roman" w:cs="Times New Roman" w:eastAsia="Times New Roman" w:hAnsi="Times New Roman"/>
          <w:sz w:val="18"/>
          <w:szCs w:val="18"/>
          <w:i w:val="1"/>
          <w:iCs w:val="1"/>
          <w:color w:val="auto"/>
        </w:rPr>
        <w:t>PGA TOUR 2K21,</w:t>
      </w:r>
      <w:r>
        <w:rPr>
          <w:rFonts w:ascii="Times New Roman" w:cs="Times New Roman" w:eastAsia="Times New Roman" w:hAnsi="Times New Roman"/>
          <w:sz w:val="18"/>
          <w:szCs w:val="18"/>
          <w:color w:val="auto"/>
        </w:rPr>
        <w:t xml:space="preserve"> which released in August 2020.</w:t>
      </w:r>
    </w:p>
    <w:p>
      <w:pPr>
        <w:spacing w:after="0" w:line="106"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 xml:space="preserve">Net revenue from console games decreased by $23.7 million and accounted for 76.2% of our total net revenue for the three months ended December 31, 2020, as compared to 73.1% for the prior year period. The decrease was due to a decrease in net revenue from </w:t>
      </w:r>
      <w:r>
        <w:rPr>
          <w:rFonts w:ascii="Times New Roman" w:cs="Times New Roman" w:eastAsia="Times New Roman" w:hAnsi="Times New Roman"/>
          <w:sz w:val="18"/>
          <w:szCs w:val="18"/>
          <w:i w:val="1"/>
          <w:iCs w:val="1"/>
          <w:color w:val="auto"/>
        </w:rPr>
        <w:t>The Outer Worlds, Red Dead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 xml:space="preserve">Redemption 2, </w:t>
      </w:r>
      <w:r>
        <w:rPr>
          <w:rFonts w:ascii="Times New Roman" w:cs="Times New Roman" w:eastAsia="Times New Roman" w:hAnsi="Times New Roman"/>
          <w:sz w:val="18"/>
          <w:szCs w:val="18"/>
          <w:color w:val="auto"/>
        </w:rPr>
        <w:t>our</w:t>
      </w:r>
      <w:r>
        <w:rPr>
          <w:rFonts w:ascii="Times New Roman" w:cs="Times New Roman" w:eastAsia="Times New Roman" w:hAnsi="Times New Roman"/>
          <w:sz w:val="18"/>
          <w:szCs w:val="18"/>
          <w:i w:val="1"/>
          <w:iCs w:val="1"/>
          <w:color w:val="auto"/>
        </w:rPr>
        <w:t xml:space="preserve"> WWE 2K </w:t>
      </w:r>
      <w:r>
        <w:rPr>
          <w:rFonts w:ascii="Times New Roman" w:cs="Times New Roman" w:eastAsia="Times New Roman" w:hAnsi="Times New Roman"/>
          <w:sz w:val="18"/>
          <w:szCs w:val="18"/>
          <w:color w:val="auto"/>
        </w:rPr>
        <w:t>franchise, and</w:t>
      </w:r>
      <w:r>
        <w:rPr>
          <w:rFonts w:ascii="Times New Roman" w:cs="Times New Roman" w:eastAsia="Times New Roman" w:hAnsi="Times New Roman"/>
          <w:sz w:val="18"/>
          <w:szCs w:val="18"/>
          <w:i w:val="1"/>
          <w:iCs w:val="1"/>
          <w:color w:val="auto"/>
        </w:rPr>
        <w:t xml:space="preserve"> Borderlands 3, </w:t>
      </w:r>
      <w:r>
        <w:rPr>
          <w:rFonts w:ascii="Times New Roman" w:cs="Times New Roman" w:eastAsia="Times New Roman" w:hAnsi="Times New Roman"/>
          <w:sz w:val="18"/>
          <w:szCs w:val="18"/>
          <w:color w:val="auto"/>
        </w:rPr>
        <w:t>partially offset by an increase in net revenue from our</w:t>
      </w:r>
      <w:r>
        <w:rPr>
          <w:rFonts w:ascii="Times New Roman" w:cs="Times New Roman" w:eastAsia="Times New Roman" w:hAnsi="Times New Roman"/>
          <w:sz w:val="18"/>
          <w:szCs w:val="18"/>
          <w:i w:val="1"/>
          <w:iCs w:val="1"/>
          <w:color w:val="auto"/>
        </w:rPr>
        <w:t xml:space="preserve"> NBA 2K </w:t>
      </w:r>
      <w:r>
        <w:rPr>
          <w:rFonts w:ascii="Times New Roman" w:cs="Times New Roman" w:eastAsia="Times New Roman" w:hAnsi="Times New Roman"/>
          <w:sz w:val="18"/>
          <w:szCs w:val="18"/>
          <w:color w:val="auto"/>
        </w:rPr>
        <w:t>franchise,</w:t>
      </w:r>
      <w:r>
        <w:rPr>
          <w:rFonts w:ascii="Times New Roman" w:cs="Times New Roman" w:eastAsia="Times New Roman" w:hAnsi="Times New Roman"/>
          <w:sz w:val="18"/>
          <w:szCs w:val="18"/>
          <w:i w:val="1"/>
          <w:iCs w:val="1"/>
          <w:color w:val="auto"/>
        </w:rPr>
        <w:t xml:space="preserve"> Grand Theft Auto Online, </w:t>
      </w:r>
      <w:r>
        <w:rPr>
          <w:rFonts w:ascii="Times New Roman" w:cs="Times New Roman" w:eastAsia="Times New Roman" w:hAnsi="Times New Roman"/>
          <w:sz w:val="18"/>
          <w:szCs w:val="18"/>
          <w:color w:val="auto"/>
        </w:rPr>
        <w:t>and our</w:t>
      </w:r>
      <w:r>
        <w:rPr>
          <w:rFonts w:ascii="Times New Roman" w:cs="Times New Roman" w:eastAsia="Times New Roman" w:hAnsi="Times New Roman"/>
          <w:sz w:val="18"/>
          <w:szCs w:val="18"/>
          <w:i w:val="1"/>
          <w:iCs w:val="1"/>
          <w:color w:val="auto"/>
        </w:rPr>
        <w:t xml:space="preserve"> Mafia </w:t>
      </w:r>
      <w:r>
        <w:rPr>
          <w:rFonts w:ascii="Times New Roman" w:cs="Times New Roman" w:eastAsia="Times New Roman" w:hAnsi="Times New Roman"/>
          <w:sz w:val="18"/>
          <w:szCs w:val="18"/>
          <w:color w:val="auto"/>
        </w:rPr>
        <w:t>franchise. Net revenue from PC and other decreased by $45.5 million and accounted for 23.8% of our total net revenue for the three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 xml:space="preserve">months ended December 31, 2020, as compared to 26.9% for the prior year period. The decrease was due to a decrease in net revenue from </w:t>
      </w:r>
      <w:r>
        <w:rPr>
          <w:rFonts w:ascii="Times New Roman" w:cs="Times New Roman" w:eastAsia="Times New Roman" w:hAnsi="Times New Roman"/>
          <w:sz w:val="18"/>
          <w:szCs w:val="18"/>
          <w:i w:val="1"/>
          <w:iCs w:val="1"/>
          <w:color w:val="auto"/>
        </w:rPr>
        <w:t>Red Dead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 xml:space="preserve">Redemption 2, </w:t>
      </w:r>
      <w:r>
        <w:rPr>
          <w:rFonts w:ascii="Times New Roman" w:cs="Times New Roman" w:eastAsia="Times New Roman" w:hAnsi="Times New Roman"/>
          <w:sz w:val="18"/>
          <w:szCs w:val="18"/>
          <w:color w:val="auto"/>
        </w:rPr>
        <w:t>which released on PC in November 2019</w:t>
      </w:r>
      <w:r>
        <w:rPr>
          <w:rFonts w:ascii="Times New Roman" w:cs="Times New Roman" w:eastAsia="Times New Roman" w:hAnsi="Times New Roman"/>
          <w:sz w:val="18"/>
          <w:szCs w:val="18"/>
          <w:i w:val="1"/>
          <w:iCs w:val="1"/>
          <w:color w:val="auto"/>
        </w:rPr>
        <w:t xml:space="preserve">, The Outer Worlds, </w:t>
      </w:r>
      <w:r>
        <w:rPr>
          <w:rFonts w:ascii="Times New Roman" w:cs="Times New Roman" w:eastAsia="Times New Roman" w:hAnsi="Times New Roman"/>
          <w:sz w:val="18"/>
          <w:szCs w:val="18"/>
          <w:color w:val="auto"/>
        </w:rPr>
        <w:t>and</w:t>
      </w:r>
      <w:r>
        <w:rPr>
          <w:rFonts w:ascii="Times New Roman" w:cs="Times New Roman" w:eastAsia="Times New Roman" w:hAnsi="Times New Roman"/>
          <w:sz w:val="18"/>
          <w:szCs w:val="18"/>
          <w:i w:val="1"/>
          <w:iCs w:val="1"/>
          <w:color w:val="auto"/>
        </w:rPr>
        <w:t xml:space="preserve"> Borderlands 3, </w:t>
      </w:r>
      <w:r>
        <w:rPr>
          <w:rFonts w:ascii="Times New Roman" w:cs="Times New Roman" w:eastAsia="Times New Roman" w:hAnsi="Times New Roman"/>
          <w:sz w:val="18"/>
          <w:szCs w:val="18"/>
          <w:color w:val="auto"/>
        </w:rPr>
        <w:t>partially offset by an increase in net revenue from</w:t>
      </w:r>
      <w:r>
        <w:rPr>
          <w:rFonts w:ascii="Times New Roman" w:cs="Times New Roman" w:eastAsia="Times New Roman" w:hAnsi="Times New Roman"/>
          <w:sz w:val="18"/>
          <w:szCs w:val="18"/>
          <w:i w:val="1"/>
          <w:iCs w:val="1"/>
          <w:color w:val="auto"/>
        </w:rPr>
        <w:t xml:space="preserve"> Grand Theft Auto V </w:t>
      </w:r>
      <w:r>
        <w:rPr>
          <w:rFonts w:ascii="Times New Roman" w:cs="Times New Roman" w:eastAsia="Times New Roman" w:hAnsi="Times New Roman"/>
          <w:sz w:val="18"/>
          <w:szCs w:val="18"/>
          <w:color w:val="auto"/>
        </w:rPr>
        <w:t>and</w:t>
      </w:r>
      <w:r>
        <w:rPr>
          <w:rFonts w:ascii="Times New Roman" w:cs="Times New Roman" w:eastAsia="Times New Roman" w:hAnsi="Times New Roman"/>
          <w:sz w:val="18"/>
          <w:szCs w:val="18"/>
          <w:i w:val="1"/>
          <w:iCs w:val="1"/>
          <w:color w:val="auto"/>
        </w:rPr>
        <w:t xml:space="preserve"> Grand Theft Auto Online, Dragon City, </w:t>
      </w:r>
      <w:r>
        <w:rPr>
          <w:rFonts w:ascii="Times New Roman" w:cs="Times New Roman" w:eastAsia="Times New Roman" w:hAnsi="Times New Roman"/>
          <w:sz w:val="18"/>
          <w:szCs w:val="18"/>
          <w:color w:val="auto"/>
        </w:rPr>
        <w:t>our</w:t>
      </w:r>
      <w:r>
        <w:rPr>
          <w:rFonts w:ascii="Times New Roman" w:cs="Times New Roman" w:eastAsia="Times New Roman" w:hAnsi="Times New Roman"/>
          <w:sz w:val="18"/>
          <w:szCs w:val="18"/>
          <w:i w:val="1"/>
          <w:iCs w:val="1"/>
          <w:color w:val="auto"/>
        </w:rPr>
        <w:t xml:space="preserve"> Mafia </w:t>
      </w:r>
      <w:r>
        <w:rPr>
          <w:rFonts w:ascii="Times New Roman" w:cs="Times New Roman" w:eastAsia="Times New Roman" w:hAnsi="Times New Roman"/>
          <w:sz w:val="18"/>
          <w:szCs w:val="18"/>
          <w:color w:val="auto"/>
        </w:rPr>
        <w:t>franchise,</w:t>
      </w:r>
      <w:r>
        <w:rPr>
          <w:rFonts w:ascii="Times New Roman" w:cs="Times New Roman" w:eastAsia="Times New Roman" w:hAnsi="Times New Roman"/>
          <w:sz w:val="18"/>
          <w:szCs w:val="18"/>
          <w:i w:val="1"/>
          <w:iCs w:val="1"/>
          <w:color w:val="auto"/>
        </w:rPr>
        <w:t xml:space="preserve"> Two Dots, </w:t>
      </w:r>
      <w:r>
        <w:rPr>
          <w:rFonts w:ascii="Times New Roman" w:cs="Times New Roman" w:eastAsia="Times New Roman" w:hAnsi="Times New Roman"/>
          <w:sz w:val="18"/>
          <w:szCs w:val="18"/>
          <w:color w:val="auto"/>
        </w:rPr>
        <w:t>and our</w:t>
      </w:r>
      <w:r>
        <w:rPr>
          <w:rFonts w:ascii="Times New Roman" w:cs="Times New Roman" w:eastAsia="Times New Roman" w:hAnsi="Times New Roman"/>
          <w:sz w:val="18"/>
          <w:szCs w:val="18"/>
          <w:i w:val="1"/>
          <w:iCs w:val="1"/>
          <w:color w:val="auto"/>
        </w:rPr>
        <w:t xml:space="preserve"> NBA 2K </w:t>
      </w:r>
      <w:r>
        <w:rPr>
          <w:rFonts w:ascii="Times New Roman" w:cs="Times New Roman" w:eastAsia="Times New Roman" w:hAnsi="Times New Roman"/>
          <w:sz w:val="18"/>
          <w:szCs w:val="18"/>
          <w:color w:val="auto"/>
        </w:rPr>
        <w:t>franchise.</w:t>
      </w:r>
    </w:p>
    <w:p>
      <w:pPr>
        <w:spacing w:after="0" w:line="121"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 xml:space="preserve">Net revenue from digital online channels increased by $28.2 million and accounted for 84.6% of our total net revenue for the three months ended December 31, 2020, as compared to 75.3% for the prior year period. The increase was due to an increase in net revenue from our </w:t>
      </w:r>
      <w:r>
        <w:rPr>
          <w:rFonts w:ascii="Times New Roman" w:cs="Times New Roman" w:eastAsia="Times New Roman" w:hAnsi="Times New Roman"/>
          <w:sz w:val="18"/>
          <w:szCs w:val="18"/>
          <w:i w:val="1"/>
          <w:iCs w:val="1"/>
          <w:color w:val="auto"/>
        </w:rPr>
        <w:t>NBA 2K</w:t>
      </w:r>
      <w:r>
        <w:rPr>
          <w:rFonts w:ascii="Times New Roman" w:cs="Times New Roman" w:eastAsia="Times New Roman" w:hAnsi="Times New Roman"/>
          <w:sz w:val="18"/>
          <w:szCs w:val="18"/>
          <w:color w:val="auto"/>
        </w:rPr>
        <w:t xml:space="preserve"> franchise, </w:t>
      </w:r>
      <w:r>
        <w:rPr>
          <w:rFonts w:ascii="Times New Roman" w:cs="Times New Roman" w:eastAsia="Times New Roman" w:hAnsi="Times New Roman"/>
          <w:sz w:val="18"/>
          <w:szCs w:val="18"/>
          <w:i w:val="1"/>
          <w:iCs w:val="1"/>
          <w:color w:val="auto"/>
        </w:rPr>
        <w:t>Grand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 xml:space="preserve">Theft Auto Online, </w:t>
      </w:r>
      <w:r>
        <w:rPr>
          <w:rFonts w:ascii="Times New Roman" w:cs="Times New Roman" w:eastAsia="Times New Roman" w:hAnsi="Times New Roman"/>
          <w:sz w:val="18"/>
          <w:szCs w:val="18"/>
          <w:color w:val="auto"/>
        </w:rPr>
        <w:t>our</w:t>
      </w:r>
      <w:r>
        <w:rPr>
          <w:rFonts w:ascii="Times New Roman" w:cs="Times New Roman" w:eastAsia="Times New Roman" w:hAnsi="Times New Roman"/>
          <w:sz w:val="18"/>
          <w:szCs w:val="18"/>
          <w:i w:val="1"/>
          <w:iCs w:val="1"/>
          <w:color w:val="auto"/>
        </w:rPr>
        <w:t xml:space="preserve"> Mafia </w:t>
      </w:r>
      <w:r>
        <w:rPr>
          <w:rFonts w:ascii="Times New Roman" w:cs="Times New Roman" w:eastAsia="Times New Roman" w:hAnsi="Times New Roman"/>
          <w:sz w:val="18"/>
          <w:szCs w:val="18"/>
          <w:color w:val="auto"/>
        </w:rPr>
        <w:t>franchise, and</w:t>
      </w:r>
      <w:r>
        <w:rPr>
          <w:rFonts w:ascii="Times New Roman" w:cs="Times New Roman" w:eastAsia="Times New Roman" w:hAnsi="Times New Roman"/>
          <w:sz w:val="18"/>
          <w:szCs w:val="18"/>
          <w:i w:val="1"/>
          <w:iCs w:val="1"/>
          <w:color w:val="auto"/>
        </w:rPr>
        <w:t xml:space="preserve"> PGA TOUR 2K21</w:t>
      </w:r>
      <w:r>
        <w:rPr>
          <w:rFonts w:ascii="Times New Roman" w:cs="Times New Roman" w:eastAsia="Times New Roman" w:hAnsi="Times New Roman"/>
          <w:sz w:val="18"/>
          <w:szCs w:val="18"/>
          <w:color w:val="auto"/>
        </w:rPr>
        <w:t>, partially offset by a decrease in net revenue from</w:t>
      </w:r>
      <w:r>
        <w:rPr>
          <w:rFonts w:ascii="Times New Roman" w:cs="Times New Roman" w:eastAsia="Times New Roman" w:hAnsi="Times New Roman"/>
          <w:sz w:val="18"/>
          <w:szCs w:val="18"/>
          <w:i w:val="1"/>
          <w:iCs w:val="1"/>
          <w:color w:val="auto"/>
        </w:rPr>
        <w:t xml:space="preserve"> The Outer Worlds, Red Dead Redemption 2, </w:t>
      </w:r>
      <w:r>
        <w:rPr>
          <w:rFonts w:ascii="Times New Roman" w:cs="Times New Roman" w:eastAsia="Times New Roman" w:hAnsi="Times New Roman"/>
          <w:sz w:val="18"/>
          <w:szCs w:val="18"/>
          <w:color w:val="auto"/>
        </w:rPr>
        <w:t>and</w:t>
      </w:r>
      <w:r>
        <w:rPr>
          <w:rFonts w:ascii="Times New Roman" w:cs="Times New Roman" w:eastAsia="Times New Roman" w:hAnsi="Times New Roman"/>
          <w:sz w:val="18"/>
          <w:szCs w:val="18"/>
          <w:i w:val="1"/>
          <w:iCs w:val="1"/>
          <w:color w:val="auto"/>
        </w:rPr>
        <w:t xml:space="preserve"> Borderlands 3. </w:t>
      </w:r>
      <w:r>
        <w:rPr>
          <w:rFonts w:ascii="Times New Roman" w:cs="Times New Roman" w:eastAsia="Times New Roman" w:hAnsi="Times New Roman"/>
          <w:sz w:val="18"/>
          <w:szCs w:val="18"/>
          <w:color w:val="auto"/>
        </w:rPr>
        <w:t>Net revenue from physical retail and other channels decreased by $97.4 million and accounted for 15.4% of our total net revenue for</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 xml:space="preserve">the three months ended December 31, 2020, as compared to 24.7% for the same period in the prior year period. The decrease in net revenue from physical retail and other channels was due primarily to a decrease in net revenue from </w:t>
      </w:r>
      <w:r>
        <w:rPr>
          <w:rFonts w:ascii="Times New Roman" w:cs="Times New Roman" w:eastAsia="Times New Roman" w:hAnsi="Times New Roman"/>
          <w:sz w:val="18"/>
          <w:szCs w:val="18"/>
          <w:i w:val="1"/>
          <w:iCs w:val="1"/>
          <w:color w:val="auto"/>
        </w:rPr>
        <w:t>Red Dead Redemption 2, The Outer Worlds,</w:t>
      </w:r>
      <w:r>
        <w:rPr>
          <w:rFonts w:ascii="Times New Roman" w:cs="Times New Roman" w:eastAsia="Times New Roman" w:hAnsi="Times New Roman"/>
          <w:sz w:val="18"/>
          <w:szCs w:val="18"/>
          <w:color w:val="auto"/>
        </w:rPr>
        <w:t xml:space="preserve"> and our </w:t>
      </w:r>
      <w:r>
        <w:rPr>
          <w:rFonts w:ascii="Times New Roman" w:cs="Times New Roman" w:eastAsia="Times New Roman" w:hAnsi="Times New Roman"/>
          <w:sz w:val="18"/>
          <w:szCs w:val="18"/>
          <w:i w:val="1"/>
          <w:iCs w:val="1"/>
          <w:color w:val="auto"/>
        </w:rPr>
        <w:t>WWE 2K</w:t>
      </w:r>
      <w:r>
        <w:rPr>
          <w:rFonts w:ascii="Times New Roman" w:cs="Times New Roman" w:eastAsia="Times New Roman" w:hAnsi="Times New Roman"/>
          <w:sz w:val="18"/>
          <w:szCs w:val="18"/>
          <w:color w:val="auto"/>
        </w:rPr>
        <w:t xml:space="preserve"> franchise.</w:t>
      </w: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4" w:right="339" w:bottom="1440" w:gutter="0" w:footer="0" w:header="0"/>
        </w:sectPr>
      </w:pPr>
    </w:p>
    <w:bookmarkStart w:id="28" w:name="page29"/>
    <w:bookmarkEnd w:id="28"/>
    <w:p>
      <w:pPr>
        <w:spacing w:after="0"/>
        <w:rPr>
          <w:rFonts w:ascii="Times New Roman" w:cs="Times New Roman" w:eastAsia="Times New Roman" w:hAnsi="Times New Roman"/>
          <w:sz w:val="18"/>
          <w:szCs w:val="18"/>
          <w:u w:val="single" w:color="auto"/>
          <w:color w:val="0000FF"/>
        </w:rPr>
      </w:pPr>
      <w:hyperlink w:anchor="page1">
        <w:r>
          <w:rPr>
            <w:rFonts w:ascii="Times New Roman" w:cs="Times New Roman" w:eastAsia="Times New Roman" w:hAnsi="Times New Roman"/>
            <w:sz w:val="18"/>
            <w:szCs w:val="18"/>
            <w:u w:val="single" w:color="auto"/>
            <w:color w:val="0000FF"/>
          </w:rPr>
          <w:t>Table of Contents</w:t>
        </w:r>
      </w:hyperlink>
    </w:p>
    <w:p>
      <w:pPr>
        <w:spacing w:after="0" w:line="200" w:lineRule="exact"/>
        <w:rPr>
          <w:sz w:val="20"/>
          <w:szCs w:val="20"/>
          <w:color w:val="auto"/>
        </w:rPr>
      </w:pPr>
    </w:p>
    <w:p>
      <w:pPr>
        <w:spacing w:after="0" w:line="268"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 xml:space="preserve">Recurrent consumer spending is generated from ongoing consumer engagement and includes revenue from virtual currency, add-on content, and in-game purchases. Net revenue from recurrent consumer spending increased by $193.0 million and accounted for 62.0% of net revenue for the three months ended December 31, 2020, as compared to 36.6% of net revenue for the prior year period. The increase in net revenue from recurrent consumer spending is due primarily to an increase in net revenue from our </w:t>
      </w:r>
      <w:r>
        <w:rPr>
          <w:rFonts w:ascii="Times New Roman" w:cs="Times New Roman" w:eastAsia="Times New Roman" w:hAnsi="Times New Roman"/>
          <w:sz w:val="18"/>
          <w:szCs w:val="18"/>
          <w:i w:val="1"/>
          <w:iCs w:val="1"/>
          <w:color w:val="auto"/>
        </w:rPr>
        <w:t>NBA 2K</w:t>
      </w:r>
      <w:r>
        <w:rPr>
          <w:rFonts w:ascii="Times New Roman" w:cs="Times New Roman" w:eastAsia="Times New Roman" w:hAnsi="Times New Roman"/>
          <w:sz w:val="18"/>
          <w:szCs w:val="18"/>
          <w:color w:val="auto"/>
        </w:rPr>
        <w:t xml:space="preserve"> franchise, </w:t>
      </w:r>
      <w:r>
        <w:rPr>
          <w:rFonts w:ascii="Times New Roman" w:cs="Times New Roman" w:eastAsia="Times New Roman" w:hAnsi="Times New Roman"/>
          <w:sz w:val="18"/>
          <w:szCs w:val="18"/>
          <w:i w:val="1"/>
          <w:iCs w:val="1"/>
          <w:color w:val="auto"/>
        </w:rPr>
        <w:t>Grand Theft Auto Online</w:t>
      </w:r>
      <w:r>
        <w:rPr>
          <w:rFonts w:ascii="Times New Roman" w:cs="Times New Roman" w:eastAsia="Times New Roman" w:hAnsi="Times New Roman"/>
          <w:sz w:val="18"/>
          <w:szCs w:val="18"/>
          <w:color w:val="auto"/>
        </w:rPr>
        <w:t xml:space="preserve"> and </w:t>
      </w:r>
      <w:r>
        <w:rPr>
          <w:rFonts w:ascii="Times New Roman" w:cs="Times New Roman" w:eastAsia="Times New Roman" w:hAnsi="Times New Roman"/>
          <w:sz w:val="18"/>
          <w:szCs w:val="18"/>
          <w:i w:val="1"/>
          <w:iCs w:val="1"/>
          <w:color w:val="auto"/>
        </w:rPr>
        <w:t>Grand Theft Auto V, Dragon City,</w:t>
      </w:r>
      <w:r>
        <w:rPr>
          <w:rFonts w:ascii="Times New Roman" w:cs="Times New Roman" w:eastAsia="Times New Roman" w:hAnsi="Times New Roman"/>
          <w:sz w:val="18"/>
          <w:szCs w:val="18"/>
          <w:color w:val="auto"/>
        </w:rPr>
        <w:t xml:space="preserve"> and </w:t>
      </w:r>
      <w:r>
        <w:rPr>
          <w:rFonts w:ascii="Times New Roman" w:cs="Times New Roman" w:eastAsia="Times New Roman" w:hAnsi="Times New Roman"/>
          <w:sz w:val="18"/>
          <w:szCs w:val="18"/>
          <w:i w:val="1"/>
          <w:iCs w:val="1"/>
          <w:color w:val="auto"/>
        </w:rPr>
        <w:t xml:space="preserve">Two Dots, </w:t>
      </w:r>
      <w:r>
        <w:rPr>
          <w:rFonts w:ascii="Times New Roman" w:cs="Times New Roman" w:eastAsia="Times New Roman" w:hAnsi="Times New Roman"/>
          <w:sz w:val="18"/>
          <w:szCs w:val="18"/>
          <w:color w:val="auto"/>
        </w:rPr>
        <w:t>partially offset by a decrease in net revenue from</w:t>
      </w:r>
      <w:r>
        <w:rPr>
          <w:rFonts w:ascii="Times New Roman" w:cs="Times New Roman" w:eastAsia="Times New Roman" w:hAnsi="Times New Roman"/>
          <w:sz w:val="18"/>
          <w:szCs w:val="18"/>
          <w:i w:val="1"/>
          <w:iCs w:val="1"/>
          <w:color w:val="auto"/>
        </w:rPr>
        <w:t xml:space="preserve"> Red Dead Redemption 2</w:t>
      </w:r>
      <w:r>
        <w:rPr>
          <w:rFonts w:ascii="Times New Roman" w:cs="Times New Roman" w:eastAsia="Times New Roman" w:hAnsi="Times New Roman"/>
          <w:sz w:val="18"/>
          <w:szCs w:val="18"/>
          <w:color w:val="auto"/>
        </w:rPr>
        <w:t>. Net revenue from full game and other decreased by $262.2 million</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 xml:space="preserve">and accounted for 38.0% of net revenue for the three months ended December 31, 2020 as compared to 63.4% of net revenue for the prior year period. The decrease in net revenue from full game and other was due to a decrease in net revenue from </w:t>
      </w:r>
      <w:r>
        <w:rPr>
          <w:rFonts w:ascii="Times New Roman" w:cs="Times New Roman" w:eastAsia="Times New Roman" w:hAnsi="Times New Roman"/>
          <w:sz w:val="18"/>
          <w:szCs w:val="18"/>
          <w:i w:val="1"/>
          <w:iCs w:val="1"/>
          <w:color w:val="auto"/>
        </w:rPr>
        <w:t>The Outer Worlds, Red Dead Redemption 2, Borderlands 3,</w:t>
      </w:r>
      <w:r>
        <w:rPr>
          <w:rFonts w:ascii="Times New Roman" w:cs="Times New Roman" w:eastAsia="Times New Roman" w:hAnsi="Times New Roman"/>
          <w:sz w:val="18"/>
          <w:szCs w:val="18"/>
          <w:color w:val="auto"/>
        </w:rPr>
        <w:t xml:space="preserve"> and our </w:t>
      </w:r>
      <w:r>
        <w:rPr>
          <w:rFonts w:ascii="Times New Roman" w:cs="Times New Roman" w:eastAsia="Times New Roman" w:hAnsi="Times New Roman"/>
          <w:sz w:val="18"/>
          <w:szCs w:val="18"/>
          <w:i w:val="1"/>
          <w:iCs w:val="1"/>
          <w:color w:val="auto"/>
        </w:rPr>
        <w:t>WWE 2K</w:t>
      </w:r>
      <w:r>
        <w:rPr>
          <w:rFonts w:ascii="Times New Roman" w:cs="Times New Roman" w:eastAsia="Times New Roman" w:hAnsi="Times New Roman"/>
          <w:sz w:val="18"/>
          <w:szCs w:val="18"/>
          <w:color w:val="auto"/>
        </w:rPr>
        <w:t xml:space="preserve"> franchise, partially offset by an increase in net revenue from our </w:t>
      </w:r>
      <w:r>
        <w:rPr>
          <w:rFonts w:ascii="Times New Roman" w:cs="Times New Roman" w:eastAsia="Times New Roman" w:hAnsi="Times New Roman"/>
          <w:sz w:val="18"/>
          <w:szCs w:val="18"/>
          <w:i w:val="1"/>
          <w:iCs w:val="1"/>
          <w:color w:val="auto"/>
        </w:rPr>
        <w:t>Mafia</w:t>
      </w:r>
      <w:r>
        <w:rPr>
          <w:rFonts w:ascii="Times New Roman" w:cs="Times New Roman" w:eastAsia="Times New Roman" w:hAnsi="Times New Roman"/>
          <w:sz w:val="18"/>
          <w:szCs w:val="18"/>
          <w:color w:val="auto"/>
        </w:rPr>
        <w:t xml:space="preserve"> franchise.</w:t>
      </w:r>
    </w:p>
    <w:p>
      <w:pPr>
        <w:spacing w:after="0" w:line="111" w:lineRule="exact"/>
        <w:rPr>
          <w:sz w:val="20"/>
          <w:szCs w:val="20"/>
          <w:color w:val="auto"/>
        </w:rPr>
      </w:pPr>
    </w:p>
    <w:p>
      <w:pPr>
        <w:jc w:val="both"/>
        <w:ind w:right="20" w:firstLine="648"/>
        <w:spacing w:after="0" w:line="266" w:lineRule="auto"/>
        <w:rPr>
          <w:sz w:val="20"/>
          <w:szCs w:val="20"/>
          <w:color w:val="auto"/>
        </w:rPr>
      </w:pPr>
      <w:r>
        <w:rPr>
          <w:rFonts w:ascii="Times New Roman" w:cs="Times New Roman" w:eastAsia="Times New Roman" w:hAnsi="Times New Roman"/>
          <w:sz w:val="18"/>
          <w:szCs w:val="18"/>
          <w:color w:val="auto"/>
        </w:rPr>
        <w:t>Gross profit as a percentage of net revenue for the three months ended December 31, 2020 was 59.8% as compared to 53.0% for the prior year period. The increase in gross profit as a percentage of net revenue was due to lower capitalized software amortization due primarily to the timing of releases, lower internal royalties due to the timing of when royalties are earned, and product costs based on the timing of releases.</w:t>
      </w:r>
    </w:p>
    <w:p>
      <w:pPr>
        <w:spacing w:after="0" w:line="108"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 xml:space="preserve">Net revenue earned outside of the United States decreased by $60.7 million and accounted for 38.6% of our total net revenue for the three months ended December 31, 2020, as compared to 42.3% in the prior year period. The decrease in net revenue outside of the United States was due to a decrease in net revenue from </w:t>
      </w:r>
      <w:r>
        <w:rPr>
          <w:rFonts w:ascii="Times New Roman" w:cs="Times New Roman" w:eastAsia="Times New Roman" w:hAnsi="Times New Roman"/>
          <w:sz w:val="18"/>
          <w:szCs w:val="18"/>
          <w:i w:val="1"/>
          <w:iCs w:val="1"/>
          <w:color w:val="auto"/>
        </w:rPr>
        <w:t>Red Dead Redemption 2</w:t>
      </w:r>
      <w:r>
        <w:rPr>
          <w:rFonts w:ascii="Times New Roman" w:cs="Times New Roman" w:eastAsia="Times New Roman" w:hAnsi="Times New Roman"/>
          <w:sz w:val="18"/>
          <w:szCs w:val="18"/>
          <w:color w:val="auto"/>
        </w:rPr>
        <w:t xml:space="preserve"> and </w:t>
      </w:r>
      <w:r>
        <w:rPr>
          <w:rFonts w:ascii="Times New Roman" w:cs="Times New Roman" w:eastAsia="Times New Roman" w:hAnsi="Times New Roman"/>
          <w:sz w:val="18"/>
          <w:szCs w:val="18"/>
          <w:i w:val="1"/>
          <w:iCs w:val="1"/>
          <w:color w:val="auto"/>
        </w:rPr>
        <w:t>The Outer Worlds,</w:t>
      </w:r>
      <w:r>
        <w:rPr>
          <w:rFonts w:ascii="Times New Roman" w:cs="Times New Roman" w:eastAsia="Times New Roman" w:hAnsi="Times New Roman"/>
          <w:sz w:val="18"/>
          <w:szCs w:val="18"/>
          <w:color w:val="auto"/>
        </w:rPr>
        <w:t xml:space="preserve"> partially offset by an increase in net revenue from </w:t>
      </w:r>
      <w:r>
        <w:rPr>
          <w:rFonts w:ascii="Times New Roman" w:cs="Times New Roman" w:eastAsia="Times New Roman" w:hAnsi="Times New Roman"/>
          <w:sz w:val="18"/>
          <w:szCs w:val="18"/>
          <w:i w:val="1"/>
          <w:iCs w:val="1"/>
          <w:color w:val="auto"/>
        </w:rPr>
        <w:t>Grand Theft Auto Online</w:t>
      </w:r>
      <w:r>
        <w:rPr>
          <w:rFonts w:ascii="Times New Roman" w:cs="Times New Roman" w:eastAsia="Times New Roman" w:hAnsi="Times New Roman"/>
          <w:sz w:val="18"/>
          <w:szCs w:val="18"/>
          <w:color w:val="auto"/>
        </w:rPr>
        <w:t xml:space="preserve"> and our </w:t>
      </w:r>
      <w:r>
        <w:rPr>
          <w:rFonts w:ascii="Times New Roman" w:cs="Times New Roman" w:eastAsia="Times New Roman" w:hAnsi="Times New Roman"/>
          <w:sz w:val="18"/>
          <w:szCs w:val="18"/>
          <w:i w:val="1"/>
          <w:iCs w:val="1"/>
          <w:color w:val="auto"/>
        </w:rPr>
        <w:t>NBA</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 xml:space="preserve">2K </w:t>
      </w:r>
      <w:r>
        <w:rPr>
          <w:rFonts w:ascii="Times New Roman" w:cs="Times New Roman" w:eastAsia="Times New Roman" w:hAnsi="Times New Roman"/>
          <w:sz w:val="18"/>
          <w:szCs w:val="18"/>
          <w:color w:val="auto"/>
        </w:rPr>
        <w:t>franchise. Changes in foreign currency exchange rates increased net revenue by $4.1 million and increased gross profit by $3.0 million for the three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months ended December 31, 2020 as compared to the prior year period.</w:t>
      </w:r>
    </w:p>
    <w:p>
      <w:pPr>
        <w:spacing w:after="0" w:line="11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Operating Expenses</w:t>
      </w:r>
    </w:p>
    <w:p>
      <w:pPr>
        <w:spacing w:after="0" w:line="16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600" w:type="dxa"/>
            <w:vAlign w:val="bottom"/>
            <w:vMerge w:val="restart"/>
          </w:tcPr>
          <w:p>
            <w:pPr>
              <w:ind w:left="20"/>
              <w:spacing w:after="0"/>
              <w:rPr>
                <w:sz w:val="20"/>
                <w:szCs w:val="20"/>
                <w:color w:val="auto"/>
              </w:rPr>
            </w:pPr>
            <w:r>
              <w:rPr>
                <w:rFonts w:ascii="Times New Roman" w:cs="Times New Roman" w:eastAsia="Times New Roman" w:hAnsi="Times New Roman"/>
                <w:sz w:val="14"/>
                <w:szCs w:val="14"/>
                <w:b w:val="1"/>
                <w:bCs w:val="1"/>
                <w:color w:val="auto"/>
              </w:rPr>
              <w:t>(thousands of dollars)</w:t>
            </w:r>
          </w:p>
        </w:tc>
        <w:tc>
          <w:tcPr>
            <w:tcW w:w="280" w:type="dxa"/>
            <w:vAlign w:val="bottom"/>
          </w:tcPr>
          <w:p>
            <w:pPr>
              <w:spacing w:after="0"/>
              <w:rPr>
                <w:sz w:val="13"/>
                <w:szCs w:val="13"/>
                <w:color w:val="auto"/>
              </w:rPr>
            </w:pPr>
          </w:p>
        </w:tc>
        <w:tc>
          <w:tcPr>
            <w:tcW w:w="900" w:type="dxa"/>
            <w:vAlign w:val="bottom"/>
            <w:vMerge w:val="restart"/>
          </w:tcPr>
          <w:p>
            <w:pPr>
              <w:jc w:val="right"/>
              <w:ind w:right="353"/>
              <w:spacing w:after="0"/>
              <w:rPr>
                <w:sz w:val="20"/>
                <w:szCs w:val="20"/>
                <w:color w:val="auto"/>
              </w:rPr>
            </w:pPr>
            <w:r>
              <w:rPr>
                <w:rFonts w:ascii="Times New Roman" w:cs="Times New Roman" w:eastAsia="Times New Roman" w:hAnsi="Times New Roman"/>
                <w:sz w:val="14"/>
                <w:szCs w:val="14"/>
                <w:b w:val="1"/>
                <w:bCs w:val="1"/>
                <w:color w:val="auto"/>
              </w:rPr>
              <w:t>2020</w:t>
            </w:r>
          </w:p>
        </w:tc>
        <w:tc>
          <w:tcPr>
            <w:tcW w:w="120" w:type="dxa"/>
            <w:vAlign w:val="bottom"/>
          </w:tcPr>
          <w:p>
            <w:pPr>
              <w:spacing w:after="0"/>
              <w:rPr>
                <w:sz w:val="13"/>
                <w:szCs w:val="13"/>
                <w:color w:val="auto"/>
              </w:rPr>
            </w:pPr>
          </w:p>
        </w:tc>
        <w:tc>
          <w:tcPr>
            <w:tcW w:w="1260" w:type="dxa"/>
            <w:vAlign w:val="bottom"/>
            <w:gridSpan w:val="2"/>
            <w:vMerge w:val="restart"/>
          </w:tcPr>
          <w:p>
            <w:pPr>
              <w:ind w:left="60"/>
              <w:spacing w:after="0"/>
              <w:rPr>
                <w:sz w:val="20"/>
                <w:szCs w:val="20"/>
                <w:color w:val="auto"/>
              </w:rPr>
            </w:pPr>
            <w:r>
              <w:rPr>
                <w:rFonts w:ascii="Times New Roman" w:cs="Times New Roman" w:eastAsia="Times New Roman" w:hAnsi="Times New Roman"/>
                <w:sz w:val="14"/>
                <w:szCs w:val="14"/>
                <w:b w:val="1"/>
                <w:bCs w:val="1"/>
                <w:color w:val="auto"/>
              </w:rPr>
              <w:t>% of net revenue</w:t>
            </w:r>
          </w:p>
        </w:tc>
        <w:tc>
          <w:tcPr>
            <w:tcW w:w="280" w:type="dxa"/>
            <w:vAlign w:val="bottom"/>
          </w:tcPr>
          <w:p>
            <w:pPr>
              <w:spacing w:after="0"/>
              <w:rPr>
                <w:sz w:val="13"/>
                <w:szCs w:val="13"/>
                <w:color w:val="auto"/>
              </w:rPr>
            </w:pPr>
          </w:p>
        </w:tc>
        <w:tc>
          <w:tcPr>
            <w:tcW w:w="920" w:type="dxa"/>
            <w:vAlign w:val="bottom"/>
            <w:vMerge w:val="restart"/>
          </w:tcPr>
          <w:p>
            <w:pPr>
              <w:jc w:val="right"/>
              <w:ind w:right="373"/>
              <w:spacing w:after="0"/>
              <w:rPr>
                <w:sz w:val="20"/>
                <w:szCs w:val="20"/>
                <w:color w:val="auto"/>
              </w:rPr>
            </w:pPr>
            <w:r>
              <w:rPr>
                <w:rFonts w:ascii="Times New Roman" w:cs="Times New Roman" w:eastAsia="Times New Roman" w:hAnsi="Times New Roman"/>
                <w:sz w:val="14"/>
                <w:szCs w:val="14"/>
                <w:b w:val="1"/>
                <w:bCs w:val="1"/>
                <w:color w:val="auto"/>
              </w:rPr>
              <w:t>2019</w:t>
            </w:r>
          </w:p>
        </w:tc>
        <w:tc>
          <w:tcPr>
            <w:tcW w:w="100" w:type="dxa"/>
            <w:vAlign w:val="bottom"/>
          </w:tcPr>
          <w:p>
            <w:pPr>
              <w:spacing w:after="0"/>
              <w:rPr>
                <w:sz w:val="13"/>
                <w:szCs w:val="13"/>
                <w:color w:val="auto"/>
              </w:rPr>
            </w:pPr>
          </w:p>
        </w:tc>
        <w:tc>
          <w:tcPr>
            <w:tcW w:w="1260" w:type="dxa"/>
            <w:vAlign w:val="bottom"/>
            <w:gridSpan w:val="2"/>
            <w:vMerge w:val="restart"/>
          </w:tcPr>
          <w:p>
            <w:pPr>
              <w:ind w:left="40"/>
              <w:spacing w:after="0"/>
              <w:rPr>
                <w:sz w:val="20"/>
                <w:szCs w:val="20"/>
                <w:color w:val="auto"/>
              </w:rPr>
            </w:pPr>
            <w:r>
              <w:rPr>
                <w:rFonts w:ascii="Times New Roman" w:cs="Times New Roman" w:eastAsia="Times New Roman" w:hAnsi="Times New Roman"/>
                <w:sz w:val="14"/>
                <w:szCs w:val="14"/>
                <w:b w:val="1"/>
                <w:bCs w:val="1"/>
                <w:color w:val="auto"/>
              </w:rPr>
              <w:t>% of net revenue</w:t>
            </w:r>
          </w:p>
        </w:tc>
        <w:tc>
          <w:tcPr>
            <w:tcW w:w="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80" w:type="dxa"/>
            <w:vAlign w:val="bottom"/>
            <w:gridSpan w:val="3"/>
          </w:tcPr>
          <w:p>
            <w:pPr>
              <w:jc w:val="center"/>
              <w:ind w:right="340"/>
              <w:spacing w:after="0"/>
              <w:rPr>
                <w:sz w:val="20"/>
                <w:szCs w:val="20"/>
                <w:color w:val="auto"/>
              </w:rPr>
            </w:pPr>
            <w:r>
              <w:rPr>
                <w:rFonts w:ascii="Times New Roman" w:cs="Times New Roman" w:eastAsia="Times New Roman" w:hAnsi="Times New Roman"/>
                <w:sz w:val="14"/>
                <w:szCs w:val="14"/>
                <w:b w:val="1"/>
                <w:bCs w:val="1"/>
                <w:color w:val="auto"/>
                <w:w w:val="99"/>
              </w:rPr>
              <w:t>Increase/</w:t>
            </w: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20" w:type="dxa"/>
            <w:vAlign w:val="bottom"/>
          </w:tcPr>
          <w:p>
            <w:pPr>
              <w:jc w:val="center"/>
              <w:ind w:right="75"/>
              <w:spacing w:after="0"/>
              <w:rPr>
                <w:sz w:val="20"/>
                <w:szCs w:val="20"/>
                <w:color w:val="auto"/>
              </w:rPr>
            </w:pPr>
            <w:r>
              <w:rPr>
                <w:rFonts w:ascii="Times New Roman" w:cs="Times New Roman" w:eastAsia="Times New Roman" w:hAnsi="Times New Roman"/>
                <w:sz w:val="14"/>
                <w:szCs w:val="14"/>
                <w:b w:val="1"/>
                <w:bCs w:val="1"/>
                <w:color w:val="auto"/>
              </w:rPr>
              <w:t>% Increase/</w:t>
            </w:r>
          </w:p>
        </w:tc>
        <w:tc>
          <w:tcPr>
            <w:tcW w:w="0" w:type="dxa"/>
            <w:vAlign w:val="bottom"/>
          </w:tcPr>
          <w:p>
            <w:pPr>
              <w:spacing w:after="0"/>
              <w:rPr>
                <w:sz w:val="1"/>
                <w:szCs w:val="1"/>
                <w:color w:val="auto"/>
              </w:rPr>
            </w:pPr>
          </w:p>
        </w:tc>
      </w:tr>
      <w:tr>
        <w:trPr>
          <w:trHeight w:val="189"/>
        </w:trPr>
        <w:tc>
          <w:tcPr>
            <w:tcW w:w="3600" w:type="dxa"/>
            <w:vAlign w:val="bottom"/>
            <w:vMerge w:val="continue"/>
          </w:tcPr>
          <w:p>
            <w:pPr>
              <w:spacing w:after="0"/>
              <w:rPr>
                <w:sz w:val="16"/>
                <w:szCs w:val="16"/>
                <w:color w:val="auto"/>
              </w:rPr>
            </w:pPr>
          </w:p>
        </w:tc>
        <w:tc>
          <w:tcPr>
            <w:tcW w:w="280" w:type="dxa"/>
            <w:vAlign w:val="bottom"/>
          </w:tcPr>
          <w:p>
            <w:pPr>
              <w:spacing w:after="0"/>
              <w:rPr>
                <w:sz w:val="16"/>
                <w:szCs w:val="16"/>
                <w:color w:val="auto"/>
              </w:rPr>
            </w:pPr>
          </w:p>
        </w:tc>
        <w:tc>
          <w:tcPr>
            <w:tcW w:w="900" w:type="dxa"/>
            <w:vAlign w:val="bottom"/>
            <w:vMerge w:val="continue"/>
          </w:tcPr>
          <w:p>
            <w:pPr>
              <w:spacing w:after="0"/>
              <w:rPr>
                <w:sz w:val="16"/>
                <w:szCs w:val="16"/>
                <w:color w:val="auto"/>
              </w:rPr>
            </w:pPr>
          </w:p>
        </w:tc>
        <w:tc>
          <w:tcPr>
            <w:tcW w:w="120" w:type="dxa"/>
            <w:vAlign w:val="bottom"/>
          </w:tcPr>
          <w:p>
            <w:pPr>
              <w:spacing w:after="0"/>
              <w:rPr>
                <w:sz w:val="16"/>
                <w:szCs w:val="16"/>
                <w:color w:val="auto"/>
              </w:rPr>
            </w:pPr>
          </w:p>
        </w:tc>
        <w:tc>
          <w:tcPr>
            <w:tcW w:w="1260" w:type="dxa"/>
            <w:vAlign w:val="bottom"/>
            <w:gridSpan w:val="2"/>
            <w:vMerge w:val="continue"/>
          </w:tcPr>
          <w:p>
            <w:pPr>
              <w:spacing w:after="0"/>
              <w:rPr>
                <w:sz w:val="16"/>
                <w:szCs w:val="16"/>
                <w:color w:val="auto"/>
              </w:rPr>
            </w:pPr>
          </w:p>
        </w:tc>
        <w:tc>
          <w:tcPr>
            <w:tcW w:w="280" w:type="dxa"/>
            <w:vAlign w:val="bottom"/>
          </w:tcPr>
          <w:p>
            <w:pPr>
              <w:spacing w:after="0"/>
              <w:rPr>
                <w:sz w:val="16"/>
                <w:szCs w:val="16"/>
                <w:color w:val="auto"/>
              </w:rPr>
            </w:pPr>
          </w:p>
        </w:tc>
        <w:tc>
          <w:tcPr>
            <w:tcW w:w="92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260" w:type="dxa"/>
            <w:vAlign w:val="bottom"/>
            <w:gridSpan w:val="2"/>
            <w:vMerge w:val="continue"/>
          </w:tcPr>
          <w:p>
            <w:pPr>
              <w:spacing w:after="0"/>
              <w:rPr>
                <w:sz w:val="16"/>
                <w:szCs w:val="16"/>
                <w:color w:val="auto"/>
              </w:rPr>
            </w:pPr>
          </w:p>
        </w:tc>
        <w:tc>
          <w:tcPr>
            <w:tcW w:w="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80" w:type="dxa"/>
            <w:vAlign w:val="bottom"/>
            <w:gridSpan w:val="3"/>
          </w:tcPr>
          <w:p>
            <w:pPr>
              <w:jc w:val="center"/>
              <w:ind w:right="340"/>
              <w:spacing w:after="0"/>
              <w:rPr>
                <w:sz w:val="20"/>
                <w:szCs w:val="20"/>
                <w:color w:val="auto"/>
              </w:rPr>
            </w:pPr>
            <w:r>
              <w:rPr>
                <w:rFonts w:ascii="Times New Roman" w:cs="Times New Roman" w:eastAsia="Times New Roman" w:hAnsi="Times New Roman"/>
                <w:sz w:val="14"/>
                <w:szCs w:val="14"/>
                <w:b w:val="1"/>
                <w:bCs w:val="1"/>
                <w:color w:val="auto"/>
              </w:rPr>
              <w:t>(decrease)</w:t>
            </w:r>
          </w:p>
        </w:tc>
        <w:tc>
          <w:tcPr>
            <w:tcW w:w="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20" w:type="dxa"/>
            <w:vAlign w:val="bottom"/>
          </w:tcPr>
          <w:p>
            <w:pPr>
              <w:jc w:val="center"/>
              <w:ind w:right="75"/>
              <w:spacing w:after="0"/>
              <w:rPr>
                <w:sz w:val="20"/>
                <w:szCs w:val="20"/>
                <w:color w:val="auto"/>
              </w:rPr>
            </w:pPr>
            <w:r>
              <w:rPr>
                <w:rFonts w:ascii="Times New Roman" w:cs="Times New Roman" w:eastAsia="Times New Roman" w:hAnsi="Times New Roman"/>
                <w:sz w:val="14"/>
                <w:szCs w:val="14"/>
                <w:b w:val="1"/>
                <w:bCs w:val="1"/>
                <w:color w:val="auto"/>
              </w:rPr>
              <w:t>(decrease)</w:t>
            </w:r>
          </w:p>
        </w:tc>
        <w:tc>
          <w:tcPr>
            <w:tcW w:w="0" w:type="dxa"/>
            <w:vAlign w:val="bottom"/>
          </w:tcPr>
          <w:p>
            <w:pPr>
              <w:spacing w:after="0"/>
              <w:rPr>
                <w:sz w:val="1"/>
                <w:szCs w:val="1"/>
                <w:color w:val="auto"/>
              </w:rPr>
            </w:pPr>
          </w:p>
        </w:tc>
      </w:tr>
      <w:tr>
        <w:trPr>
          <w:trHeight w:val="223"/>
        </w:trPr>
        <w:tc>
          <w:tcPr>
            <w:tcW w:w="3600" w:type="dxa"/>
            <w:vAlign w:val="bottom"/>
            <w:tcBorders>
              <w:top w:val="single" w:sz="8" w:color="CCEEFF"/>
            </w:tcBorders>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Selling and marketing</w:t>
            </w:r>
          </w:p>
        </w:tc>
        <w:tc>
          <w:tcPr>
            <w:tcW w:w="280" w:type="dxa"/>
            <w:vAlign w:val="bottom"/>
            <w:tcBorders>
              <w:top w:val="single" w:sz="8" w:color="auto"/>
            </w:tcBorders>
            <w:shd w:val="clear" w:color="auto" w:fill="CCEEFF"/>
          </w:tcPr>
          <w:p>
            <w:pPr>
              <w:jc w:val="right"/>
              <w:ind w:right="9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9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139,906</w:t>
            </w:r>
          </w:p>
        </w:tc>
        <w:tc>
          <w:tcPr>
            <w:tcW w:w="120" w:type="dxa"/>
            <w:vAlign w:val="bottom"/>
            <w:tcBorders>
              <w:top w:val="single" w:sz="8" w:color="CCEEFF"/>
            </w:tcBorders>
            <w:shd w:val="clear" w:color="auto" w:fill="CCEEFF"/>
          </w:tcPr>
          <w:p>
            <w:pPr>
              <w:spacing w:after="0"/>
              <w:rPr>
                <w:sz w:val="19"/>
                <w:szCs w:val="19"/>
                <w:color w:val="auto"/>
              </w:rPr>
            </w:pPr>
          </w:p>
        </w:tc>
        <w:tc>
          <w:tcPr>
            <w:tcW w:w="11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16.3 %</w:t>
            </w:r>
          </w:p>
        </w:tc>
        <w:tc>
          <w:tcPr>
            <w:tcW w:w="100" w:type="dxa"/>
            <w:vAlign w:val="bottom"/>
            <w:tcBorders>
              <w:top w:val="single" w:sz="8" w:color="CCEEFF"/>
            </w:tcBorders>
            <w:shd w:val="clear" w:color="auto" w:fill="CCEEFF"/>
          </w:tcPr>
          <w:p>
            <w:pPr>
              <w:spacing w:after="0"/>
              <w:rPr>
                <w:sz w:val="19"/>
                <w:szCs w:val="19"/>
                <w:color w:val="auto"/>
              </w:rPr>
            </w:pPr>
          </w:p>
        </w:tc>
        <w:tc>
          <w:tcPr>
            <w:tcW w:w="280" w:type="dxa"/>
            <w:vAlign w:val="bottom"/>
            <w:tcBorders>
              <w:top w:val="single" w:sz="8" w:color="auto"/>
            </w:tcBorders>
            <w:shd w:val="clear" w:color="auto" w:fill="CCEEFF"/>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137,068</w:t>
            </w:r>
          </w:p>
        </w:tc>
        <w:tc>
          <w:tcPr>
            <w:tcW w:w="100" w:type="dxa"/>
            <w:vAlign w:val="bottom"/>
            <w:tcBorders>
              <w:top w:val="single" w:sz="8" w:color="CCEEFF"/>
            </w:tcBorders>
            <w:shd w:val="clear" w:color="auto" w:fill="CCEEFF"/>
          </w:tcPr>
          <w:p>
            <w:pPr>
              <w:spacing w:after="0"/>
              <w:rPr>
                <w:sz w:val="19"/>
                <w:szCs w:val="19"/>
                <w:color w:val="auto"/>
              </w:rPr>
            </w:pPr>
          </w:p>
        </w:tc>
        <w:tc>
          <w:tcPr>
            <w:tcW w:w="11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14.7 %</w:t>
            </w:r>
          </w:p>
        </w:tc>
        <w:tc>
          <w:tcPr>
            <w:tcW w:w="120" w:type="dxa"/>
            <w:vAlign w:val="bottom"/>
            <w:tcBorders>
              <w:top w:val="single" w:sz="8" w:color="CCEEFF"/>
            </w:tcBorders>
            <w:shd w:val="clear" w:color="auto" w:fill="CCEEFF"/>
          </w:tcPr>
          <w:p>
            <w:pPr>
              <w:spacing w:after="0"/>
              <w:rPr>
                <w:sz w:val="19"/>
                <w:szCs w:val="19"/>
                <w:color w:val="auto"/>
              </w:rPr>
            </w:pPr>
          </w:p>
        </w:tc>
        <w:tc>
          <w:tcPr>
            <w:tcW w:w="220" w:type="dxa"/>
            <w:vAlign w:val="bottom"/>
            <w:tcBorders>
              <w:top w:val="single" w:sz="8" w:color="auto"/>
            </w:tcBorders>
            <w:gridSpan w:val="2"/>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2,838</w:t>
            </w:r>
          </w:p>
        </w:tc>
        <w:tc>
          <w:tcPr>
            <w:tcW w:w="20" w:type="dxa"/>
            <w:vAlign w:val="bottom"/>
            <w:tcBorders>
              <w:top w:val="single" w:sz="8" w:color="CCEEFF"/>
            </w:tcBorders>
            <w:shd w:val="clear" w:color="auto" w:fill="CCEEFF"/>
          </w:tcPr>
          <w:p>
            <w:pPr>
              <w:spacing w:after="0"/>
              <w:rPr>
                <w:sz w:val="19"/>
                <w:szCs w:val="19"/>
                <w:color w:val="auto"/>
              </w:rPr>
            </w:pPr>
          </w:p>
        </w:tc>
        <w:tc>
          <w:tcPr>
            <w:tcW w:w="100" w:type="dxa"/>
            <w:vAlign w:val="bottom"/>
            <w:tcBorders>
              <w:top w:val="single" w:sz="8" w:color="CCEEFF"/>
            </w:tcBorders>
            <w:shd w:val="clear" w:color="auto" w:fill="CCEEFF"/>
          </w:tcPr>
          <w:p>
            <w:pPr>
              <w:spacing w:after="0"/>
              <w:rPr>
                <w:sz w:val="19"/>
                <w:szCs w:val="19"/>
                <w:color w:val="auto"/>
              </w:rPr>
            </w:pPr>
          </w:p>
        </w:tc>
        <w:tc>
          <w:tcPr>
            <w:tcW w:w="20" w:type="dxa"/>
            <w:vAlign w:val="bottom"/>
            <w:tcBorders>
              <w:top w:val="single" w:sz="8" w:color="auto"/>
            </w:tcBorders>
            <w:shd w:val="clear" w:color="auto" w:fill="CCEEFF"/>
          </w:tcPr>
          <w:p>
            <w:pPr>
              <w:spacing w:after="0"/>
              <w:rPr>
                <w:sz w:val="19"/>
                <w:szCs w:val="19"/>
                <w:color w:val="auto"/>
              </w:rPr>
            </w:pPr>
          </w:p>
        </w:tc>
        <w:tc>
          <w:tcPr>
            <w:tcW w:w="140" w:type="dxa"/>
            <w:vAlign w:val="bottom"/>
            <w:tcBorders>
              <w:top w:val="single" w:sz="8" w:color="auto"/>
            </w:tcBorders>
            <w:shd w:val="clear" w:color="auto" w:fill="CCEEFF"/>
          </w:tcPr>
          <w:p>
            <w:pPr>
              <w:spacing w:after="0"/>
              <w:rPr>
                <w:sz w:val="19"/>
                <w:szCs w:val="19"/>
                <w:color w:val="auto"/>
              </w:rPr>
            </w:pPr>
          </w:p>
        </w:tc>
        <w:tc>
          <w:tcPr>
            <w:tcW w:w="10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2.1 %</w:t>
            </w:r>
          </w:p>
        </w:tc>
        <w:tc>
          <w:tcPr>
            <w:tcW w:w="0" w:type="dxa"/>
            <w:vAlign w:val="bottom"/>
          </w:tcPr>
          <w:p>
            <w:pPr>
              <w:spacing w:after="0"/>
              <w:rPr>
                <w:sz w:val="1"/>
                <w:szCs w:val="1"/>
                <w:color w:val="auto"/>
              </w:rPr>
            </w:pPr>
          </w:p>
        </w:tc>
      </w:tr>
      <w:tr>
        <w:trPr>
          <w:trHeight w:val="229"/>
        </w:trPr>
        <w:tc>
          <w:tcPr>
            <w:tcW w:w="360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General and administrative</w:t>
            </w:r>
          </w:p>
        </w:tc>
        <w:tc>
          <w:tcPr>
            <w:tcW w:w="28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98,624</w:t>
            </w:r>
          </w:p>
        </w:tc>
        <w:tc>
          <w:tcPr>
            <w:tcW w:w="12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11.5 %</w:t>
            </w: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84,531</w:t>
            </w:r>
          </w:p>
        </w:tc>
        <w:tc>
          <w:tcPr>
            <w:tcW w:w="10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9.1 %</w:t>
            </w:r>
          </w:p>
        </w:tc>
        <w:tc>
          <w:tcPr>
            <w:tcW w:w="1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14,093</w:t>
            </w: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16.7 %</w:t>
            </w:r>
          </w:p>
        </w:tc>
        <w:tc>
          <w:tcPr>
            <w:tcW w:w="0" w:type="dxa"/>
            <w:vAlign w:val="bottom"/>
          </w:tcPr>
          <w:p>
            <w:pPr>
              <w:spacing w:after="0"/>
              <w:rPr>
                <w:sz w:val="1"/>
                <w:szCs w:val="1"/>
                <w:color w:val="auto"/>
              </w:rPr>
            </w:pPr>
          </w:p>
        </w:tc>
      </w:tr>
      <w:tr>
        <w:trPr>
          <w:trHeight w:val="229"/>
        </w:trPr>
        <w:tc>
          <w:tcPr>
            <w:tcW w:w="360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Research and development</w:t>
            </w:r>
          </w:p>
        </w:tc>
        <w:tc>
          <w:tcPr>
            <w:tcW w:w="28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86,428</w:t>
            </w:r>
          </w:p>
        </w:tc>
        <w:tc>
          <w:tcPr>
            <w:tcW w:w="120" w:type="dxa"/>
            <w:vAlign w:val="bottom"/>
            <w:shd w:val="clear" w:color="auto" w:fill="CCEEFF"/>
          </w:tcPr>
          <w:p>
            <w:pPr>
              <w:spacing w:after="0"/>
              <w:rPr>
                <w:sz w:val="19"/>
                <w:szCs w:val="19"/>
                <w:color w:val="auto"/>
              </w:rPr>
            </w:pPr>
          </w:p>
        </w:tc>
        <w:tc>
          <w:tcPr>
            <w:tcW w:w="1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10.0 %</w:t>
            </w: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82,520</w:t>
            </w:r>
          </w:p>
        </w:tc>
        <w:tc>
          <w:tcPr>
            <w:tcW w:w="100" w:type="dxa"/>
            <w:vAlign w:val="bottom"/>
            <w:shd w:val="clear" w:color="auto" w:fill="CCEEFF"/>
          </w:tcPr>
          <w:p>
            <w:pPr>
              <w:spacing w:after="0"/>
              <w:rPr>
                <w:sz w:val="19"/>
                <w:szCs w:val="19"/>
                <w:color w:val="auto"/>
              </w:rPr>
            </w:pPr>
          </w:p>
        </w:tc>
        <w:tc>
          <w:tcPr>
            <w:tcW w:w="1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8.9 %</w:t>
            </w:r>
          </w:p>
        </w:tc>
        <w:tc>
          <w:tcPr>
            <w:tcW w:w="12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3,908</w:t>
            </w:r>
          </w:p>
        </w:tc>
        <w:tc>
          <w:tcPr>
            <w:tcW w:w="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0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4.7 %</w:t>
            </w:r>
          </w:p>
        </w:tc>
        <w:tc>
          <w:tcPr>
            <w:tcW w:w="0" w:type="dxa"/>
            <w:vAlign w:val="bottom"/>
          </w:tcPr>
          <w:p>
            <w:pPr>
              <w:spacing w:after="0"/>
              <w:rPr>
                <w:sz w:val="1"/>
                <w:szCs w:val="1"/>
                <w:color w:val="auto"/>
              </w:rPr>
            </w:pPr>
          </w:p>
        </w:tc>
      </w:tr>
      <w:tr>
        <w:trPr>
          <w:trHeight w:val="230"/>
        </w:trPr>
        <w:tc>
          <w:tcPr>
            <w:tcW w:w="360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Depreciation and amortization</w:t>
            </w:r>
          </w:p>
        </w:tc>
        <w:tc>
          <w:tcPr>
            <w:tcW w:w="28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14,007</w:t>
            </w:r>
          </w:p>
        </w:tc>
        <w:tc>
          <w:tcPr>
            <w:tcW w:w="12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1.6 %</w:t>
            </w: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12,330</w:t>
            </w:r>
          </w:p>
        </w:tc>
        <w:tc>
          <w:tcPr>
            <w:tcW w:w="10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1.3 %</w:t>
            </w:r>
          </w:p>
        </w:tc>
        <w:tc>
          <w:tcPr>
            <w:tcW w:w="1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1,677</w:t>
            </w: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13.6 %</w:t>
            </w:r>
          </w:p>
        </w:tc>
        <w:tc>
          <w:tcPr>
            <w:tcW w:w="0" w:type="dxa"/>
            <w:vAlign w:val="bottom"/>
          </w:tcPr>
          <w:p>
            <w:pPr>
              <w:spacing w:after="0"/>
              <w:rPr>
                <w:sz w:val="1"/>
                <w:szCs w:val="1"/>
                <w:color w:val="auto"/>
              </w:rPr>
            </w:pPr>
          </w:p>
        </w:tc>
      </w:tr>
      <w:tr>
        <w:trPr>
          <w:trHeight w:val="229"/>
        </w:trPr>
        <w:tc>
          <w:tcPr>
            <w:tcW w:w="360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Business reorganization</w:t>
            </w:r>
          </w:p>
        </w:tc>
        <w:tc>
          <w:tcPr>
            <w:tcW w:w="28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(377)</w:t>
            </w:r>
          </w:p>
        </w:tc>
        <w:tc>
          <w:tcPr>
            <w:tcW w:w="120" w:type="dxa"/>
            <w:vAlign w:val="bottom"/>
            <w:shd w:val="clear" w:color="auto" w:fill="CCEEFF"/>
          </w:tcPr>
          <w:p>
            <w:pPr>
              <w:spacing w:after="0"/>
              <w:rPr>
                <w:sz w:val="19"/>
                <w:szCs w:val="19"/>
                <w:color w:val="auto"/>
              </w:rPr>
            </w:pPr>
          </w:p>
        </w:tc>
        <w:tc>
          <w:tcPr>
            <w:tcW w:w="126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b w:val="1"/>
                <w:bCs w:val="1"/>
                <w:color w:val="auto"/>
              </w:rPr>
              <w:t>— %</w:t>
            </w:r>
          </w:p>
        </w:tc>
        <w:tc>
          <w:tcPr>
            <w:tcW w:w="28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(246)</w:t>
            </w:r>
          </w:p>
        </w:tc>
        <w:tc>
          <w:tcPr>
            <w:tcW w:w="100" w:type="dxa"/>
            <w:vAlign w:val="bottom"/>
            <w:shd w:val="clear" w:color="auto" w:fill="CCEEFF"/>
          </w:tcPr>
          <w:p>
            <w:pPr>
              <w:spacing w:after="0"/>
              <w:rPr>
                <w:sz w:val="19"/>
                <w:szCs w:val="19"/>
                <w:color w:val="auto"/>
              </w:rPr>
            </w:pPr>
          </w:p>
        </w:tc>
        <w:tc>
          <w:tcPr>
            <w:tcW w:w="126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 %</w:t>
            </w:r>
          </w:p>
        </w:tc>
        <w:tc>
          <w:tcPr>
            <w:tcW w:w="6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(131)</w:t>
            </w:r>
          </w:p>
        </w:tc>
        <w:tc>
          <w:tcPr>
            <w:tcW w:w="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0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53.3 %</w:t>
            </w:r>
          </w:p>
        </w:tc>
        <w:tc>
          <w:tcPr>
            <w:tcW w:w="0" w:type="dxa"/>
            <w:vAlign w:val="bottom"/>
          </w:tcPr>
          <w:p>
            <w:pPr>
              <w:spacing w:after="0"/>
              <w:rPr>
                <w:sz w:val="1"/>
                <w:szCs w:val="1"/>
                <w:color w:val="auto"/>
              </w:rPr>
            </w:pPr>
          </w:p>
        </w:tc>
      </w:tr>
      <w:tr>
        <w:trPr>
          <w:trHeight w:val="223"/>
        </w:trPr>
        <w:tc>
          <w:tcPr>
            <w:tcW w:w="3600" w:type="dxa"/>
            <w:vAlign w:val="bottom"/>
          </w:tcPr>
          <w:p>
            <w:pPr>
              <w:ind w:left="20"/>
              <w:spacing w:after="0" w:line="223" w:lineRule="exact"/>
              <w:rPr>
                <w:sz w:val="20"/>
                <w:szCs w:val="20"/>
                <w:color w:val="auto"/>
              </w:rPr>
            </w:pPr>
            <w:r>
              <w:rPr>
                <w:rFonts w:ascii="Times New Roman" w:cs="Times New Roman" w:eastAsia="Times New Roman" w:hAnsi="Times New Roman"/>
                <w:sz w:val="18"/>
                <w:szCs w:val="18"/>
                <w:b w:val="1"/>
                <w:bCs w:val="1"/>
                <w:color w:val="auto"/>
              </w:rPr>
              <w:t>Total operating expenses</w:t>
            </w:r>
            <w:r>
              <w:rPr>
                <w:rFonts w:ascii="Times New Roman" w:cs="Times New Roman" w:eastAsia="Times New Roman" w:hAnsi="Times New Roman"/>
                <w:sz w:val="23"/>
                <w:szCs w:val="23"/>
                <w:b w:val="1"/>
                <w:bCs w:val="1"/>
                <w:color w:val="auto"/>
                <w:vertAlign w:val="superscript"/>
              </w:rPr>
              <w:t>(1)</w:t>
            </w:r>
          </w:p>
        </w:tc>
        <w:tc>
          <w:tcPr>
            <w:tcW w:w="280" w:type="dxa"/>
            <w:vAlign w:val="bottom"/>
            <w:tcBorders>
              <w:top w:val="single" w:sz="8" w:color="auto"/>
              <w:bottom w:val="single" w:sz="8" w:color="auto"/>
            </w:tcBorders>
          </w:tcPr>
          <w:p>
            <w:pPr>
              <w:jc w:val="right"/>
              <w:ind w:right="9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9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338,588</w:t>
            </w:r>
          </w:p>
        </w:tc>
        <w:tc>
          <w:tcPr>
            <w:tcW w:w="120" w:type="dxa"/>
            <w:vAlign w:val="bottom"/>
          </w:tcPr>
          <w:p>
            <w:pPr>
              <w:spacing w:after="0"/>
              <w:rPr>
                <w:sz w:val="19"/>
                <w:szCs w:val="19"/>
                <w:color w:val="auto"/>
              </w:rPr>
            </w:pPr>
          </w:p>
        </w:tc>
        <w:tc>
          <w:tcPr>
            <w:tcW w:w="11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39.3 %</w:t>
            </w:r>
          </w:p>
        </w:tc>
        <w:tc>
          <w:tcPr>
            <w:tcW w:w="100" w:type="dxa"/>
            <w:vAlign w:val="bottom"/>
          </w:tcPr>
          <w:p>
            <w:pPr>
              <w:spacing w:after="0"/>
              <w:rPr>
                <w:sz w:val="19"/>
                <w:szCs w:val="19"/>
                <w:color w:val="auto"/>
              </w:rPr>
            </w:pPr>
          </w:p>
        </w:tc>
        <w:tc>
          <w:tcPr>
            <w:tcW w:w="280" w:type="dxa"/>
            <w:vAlign w:val="bottom"/>
            <w:tcBorders>
              <w:top w:val="single" w:sz="8" w:color="auto"/>
              <w:bottom w:val="single" w:sz="8" w:color="auto"/>
            </w:tcBorders>
          </w:tcPr>
          <w:p>
            <w:pPr>
              <w:jc w:val="right"/>
              <w:ind w:right="70"/>
              <w:spacing w:after="0"/>
              <w:rPr>
                <w:sz w:val="20"/>
                <w:szCs w:val="20"/>
                <w:color w:val="auto"/>
              </w:rPr>
            </w:pPr>
            <w:r>
              <w:rPr>
                <w:rFonts w:ascii="Times New Roman" w:cs="Times New Roman" w:eastAsia="Times New Roman" w:hAnsi="Times New Roman"/>
                <w:sz w:val="18"/>
                <w:szCs w:val="18"/>
                <w:color w:val="auto"/>
              </w:rPr>
              <w:t>$</w:t>
            </w:r>
          </w:p>
        </w:tc>
        <w:tc>
          <w:tcPr>
            <w:tcW w:w="9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316,203</w:t>
            </w:r>
          </w:p>
        </w:tc>
        <w:tc>
          <w:tcPr>
            <w:tcW w:w="100" w:type="dxa"/>
            <w:vAlign w:val="bottom"/>
          </w:tcPr>
          <w:p>
            <w:pPr>
              <w:spacing w:after="0"/>
              <w:rPr>
                <w:sz w:val="19"/>
                <w:szCs w:val="19"/>
                <w:color w:val="auto"/>
              </w:rPr>
            </w:pPr>
          </w:p>
        </w:tc>
        <w:tc>
          <w:tcPr>
            <w:tcW w:w="1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34.0 %</w:t>
            </w:r>
          </w:p>
        </w:tc>
        <w:tc>
          <w:tcPr>
            <w:tcW w:w="120" w:type="dxa"/>
            <w:vAlign w:val="bottom"/>
          </w:tcPr>
          <w:p>
            <w:pPr>
              <w:spacing w:after="0"/>
              <w:rPr>
                <w:sz w:val="19"/>
                <w:szCs w:val="19"/>
                <w:color w:val="auto"/>
              </w:rPr>
            </w:pPr>
          </w:p>
        </w:tc>
        <w:tc>
          <w:tcPr>
            <w:tcW w:w="220" w:type="dxa"/>
            <w:vAlign w:val="bottom"/>
            <w:tcBorders>
              <w:top w:val="single" w:sz="8" w:color="auto"/>
              <w:bottom w:val="single" w:sz="8" w:color="auto"/>
            </w:tcBorders>
            <w:gridSpan w:val="2"/>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9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22,385</w:t>
            </w: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Borders>
              <w:top w:val="single" w:sz="8" w:color="auto"/>
              <w:bottom w:val="single" w:sz="8" w:color="auto"/>
            </w:tcBorders>
          </w:tcPr>
          <w:p>
            <w:pPr>
              <w:spacing w:after="0"/>
              <w:rPr>
                <w:sz w:val="19"/>
                <w:szCs w:val="19"/>
                <w:color w:val="auto"/>
              </w:rPr>
            </w:pPr>
          </w:p>
        </w:tc>
        <w:tc>
          <w:tcPr>
            <w:tcW w:w="140" w:type="dxa"/>
            <w:vAlign w:val="bottom"/>
            <w:tcBorders>
              <w:top w:val="single" w:sz="8" w:color="auto"/>
              <w:bottom w:val="single" w:sz="8" w:color="auto"/>
            </w:tcBorders>
          </w:tcPr>
          <w:p>
            <w:pPr>
              <w:spacing w:after="0"/>
              <w:rPr>
                <w:sz w:val="19"/>
                <w:szCs w:val="19"/>
                <w:color w:val="auto"/>
              </w:rPr>
            </w:pPr>
          </w:p>
        </w:tc>
        <w:tc>
          <w:tcPr>
            <w:tcW w:w="10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7.1 %</w:t>
            </w:r>
          </w:p>
        </w:tc>
        <w:tc>
          <w:tcPr>
            <w:tcW w:w="0" w:type="dxa"/>
            <w:vAlign w:val="bottom"/>
          </w:tcPr>
          <w:p>
            <w:pPr>
              <w:spacing w:after="0"/>
              <w:rPr>
                <w:sz w:val="1"/>
                <w:szCs w:val="1"/>
                <w:color w:val="auto"/>
              </w:rPr>
            </w:pPr>
          </w:p>
        </w:tc>
      </w:tr>
      <w:tr>
        <w:trPr>
          <w:trHeight w:val="21"/>
        </w:trPr>
        <w:tc>
          <w:tcPr>
            <w:tcW w:w="3600" w:type="dxa"/>
            <w:vAlign w:val="bottom"/>
          </w:tcPr>
          <w:p>
            <w:pPr>
              <w:spacing w:after="0" w:line="20" w:lineRule="exact"/>
              <w:rPr>
                <w:sz w:val="1"/>
                <w:szCs w:val="1"/>
                <w:color w:val="auto"/>
              </w:rPr>
            </w:pPr>
          </w:p>
        </w:tc>
        <w:tc>
          <w:tcPr>
            <w:tcW w:w="1180" w:type="dxa"/>
            <w:vAlign w:val="bottom"/>
            <w:tcBorders>
              <w:bottom w:val="single" w:sz="8" w:color="auto"/>
            </w:tcBorders>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45"/>
        </w:trPr>
        <w:tc>
          <w:tcPr>
            <w:tcW w:w="6060" w:type="dxa"/>
            <w:vAlign w:val="bottom"/>
            <w:gridSpan w:val="5"/>
          </w:tcPr>
          <w:p>
            <w:pPr>
              <w:spacing w:after="0"/>
              <w:rPr>
                <w:sz w:val="20"/>
                <w:szCs w:val="20"/>
                <w:color w:val="auto"/>
              </w:rPr>
            </w:pPr>
            <w:r>
              <w:rPr>
                <w:rFonts w:ascii="Times New Roman" w:cs="Times New Roman" w:eastAsia="Times New Roman" w:hAnsi="Times New Roman"/>
                <w:sz w:val="14"/>
                <w:szCs w:val="14"/>
                <w:color w:val="auto"/>
              </w:rPr>
              <w:t>_______________________________________________________________________________</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0"/>
        </w:trPr>
        <w:tc>
          <w:tcPr>
            <w:tcW w:w="7460" w:type="dxa"/>
            <w:vAlign w:val="bottom"/>
            <w:gridSpan w:val="9"/>
          </w:tcPr>
          <w:p>
            <w:pPr>
              <w:spacing w:after="0" w:line="250" w:lineRule="exact"/>
              <w:rPr>
                <w:sz w:val="20"/>
                <w:szCs w:val="20"/>
                <w:color w:val="auto"/>
              </w:rPr>
            </w:pPr>
            <w:r>
              <w:rPr>
                <w:rFonts w:ascii="Times New Roman" w:cs="Times New Roman" w:eastAsia="Times New Roman" w:hAnsi="Times New Roman"/>
                <w:sz w:val="23"/>
                <w:szCs w:val="23"/>
                <w:color w:val="auto"/>
                <w:vertAlign w:val="superscript"/>
              </w:rPr>
              <w:t>(1)</w:t>
            </w:r>
            <w:r>
              <w:rPr>
                <w:rFonts w:ascii="Times New Roman" w:cs="Times New Roman" w:eastAsia="Times New Roman" w:hAnsi="Times New Roman"/>
                <w:sz w:val="18"/>
                <w:szCs w:val="18"/>
                <w:color w:val="auto"/>
              </w:rPr>
              <w:t xml:space="preserve"> Includes stock-based compensation expense, which was allocated as follows (in thousands):</w:t>
            </w:r>
          </w:p>
        </w:tc>
        <w:tc>
          <w:tcPr>
            <w:tcW w:w="11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5"/>
        </w:trPr>
        <w:tc>
          <w:tcPr>
            <w:tcW w:w="3600" w:type="dxa"/>
            <w:vAlign w:val="bottom"/>
            <w:tcBorders>
              <w:bottom w:val="single" w:sz="8" w:color="CCEEFF"/>
            </w:tcBorders>
          </w:tcPr>
          <w:p>
            <w:pPr>
              <w:spacing w:after="0"/>
              <w:rPr>
                <w:sz w:val="16"/>
                <w:szCs w:val="16"/>
                <w:color w:val="auto"/>
              </w:rPr>
            </w:pPr>
          </w:p>
        </w:tc>
        <w:tc>
          <w:tcPr>
            <w:tcW w:w="280" w:type="dxa"/>
            <w:vAlign w:val="bottom"/>
            <w:tcBorders>
              <w:bottom w:val="single" w:sz="8" w:color="CCEEFF"/>
            </w:tcBorders>
          </w:tcPr>
          <w:p>
            <w:pPr>
              <w:spacing w:after="0"/>
              <w:rPr>
                <w:sz w:val="16"/>
                <w:szCs w:val="16"/>
                <w:color w:val="auto"/>
              </w:rPr>
            </w:pPr>
          </w:p>
        </w:tc>
        <w:tc>
          <w:tcPr>
            <w:tcW w:w="900" w:type="dxa"/>
            <w:vAlign w:val="bottom"/>
            <w:tcBorders>
              <w:bottom w:val="single" w:sz="8" w:color="CCEEFF"/>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1160" w:type="dxa"/>
            <w:vAlign w:val="bottom"/>
            <w:tcBorders>
              <w:bottom w:val="single" w:sz="8" w:color="CCEEFF"/>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80" w:type="dxa"/>
            <w:vAlign w:val="bottom"/>
            <w:tcBorders>
              <w:bottom w:val="single" w:sz="8" w:color="CCEEFF"/>
            </w:tcBorders>
          </w:tcPr>
          <w:p>
            <w:pPr>
              <w:spacing w:after="0"/>
              <w:rPr>
                <w:sz w:val="16"/>
                <w:szCs w:val="16"/>
                <w:color w:val="auto"/>
              </w:rPr>
            </w:pPr>
          </w:p>
        </w:tc>
        <w:tc>
          <w:tcPr>
            <w:tcW w:w="920" w:type="dxa"/>
            <w:vAlign w:val="bottom"/>
            <w:tcBorders>
              <w:bottom w:val="single" w:sz="8" w:color="CCEEFF"/>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140" w:type="dxa"/>
            <w:vAlign w:val="bottom"/>
            <w:tcBorders>
              <w:bottom w:val="single" w:sz="8" w:color="CCEEFF"/>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6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right"/>
              <w:ind w:right="315"/>
              <w:spacing w:after="0"/>
              <w:rPr>
                <w:sz w:val="20"/>
                <w:szCs w:val="20"/>
                <w:color w:val="auto"/>
              </w:rPr>
            </w:pPr>
            <w:r>
              <w:rPr>
                <w:rFonts w:ascii="Times New Roman" w:cs="Times New Roman" w:eastAsia="Times New Roman" w:hAnsi="Times New Roman"/>
                <w:sz w:val="14"/>
                <w:szCs w:val="14"/>
                <w:b w:val="1"/>
                <w:bCs w:val="1"/>
                <w:color w:val="auto"/>
              </w:rPr>
              <w:t>2020</w:t>
            </w:r>
          </w:p>
        </w:tc>
        <w:tc>
          <w:tcPr>
            <w:tcW w:w="2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jc w:val="center"/>
              <w:ind w:right="75"/>
              <w:spacing w:after="0"/>
              <w:rPr>
                <w:sz w:val="20"/>
                <w:szCs w:val="20"/>
                <w:color w:val="auto"/>
              </w:rPr>
            </w:pPr>
            <w:r>
              <w:rPr>
                <w:rFonts w:ascii="Times New Roman" w:cs="Times New Roman" w:eastAsia="Times New Roman" w:hAnsi="Times New Roman"/>
                <w:sz w:val="14"/>
                <w:szCs w:val="14"/>
                <w:b w:val="1"/>
                <w:bCs w:val="1"/>
                <w:color w:val="auto"/>
              </w:rPr>
              <w:t>2019</w:t>
            </w:r>
          </w:p>
        </w:tc>
        <w:tc>
          <w:tcPr>
            <w:tcW w:w="0" w:type="dxa"/>
            <w:vAlign w:val="bottom"/>
          </w:tcPr>
          <w:p>
            <w:pPr>
              <w:spacing w:after="0"/>
              <w:rPr>
                <w:sz w:val="1"/>
                <w:szCs w:val="1"/>
                <w:color w:val="auto"/>
              </w:rPr>
            </w:pPr>
          </w:p>
        </w:tc>
      </w:tr>
      <w:tr>
        <w:trPr>
          <w:trHeight w:val="228"/>
        </w:trPr>
        <w:tc>
          <w:tcPr>
            <w:tcW w:w="36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Selling and marketing</w:t>
            </w:r>
          </w:p>
        </w:tc>
        <w:tc>
          <w:tcPr>
            <w:tcW w:w="28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1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4,131</w:t>
            </w:r>
          </w:p>
        </w:tc>
        <w:tc>
          <w:tcPr>
            <w:tcW w:w="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0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4,113</w:t>
            </w:r>
          </w:p>
        </w:tc>
        <w:tc>
          <w:tcPr>
            <w:tcW w:w="0" w:type="dxa"/>
            <w:vAlign w:val="bottom"/>
          </w:tcPr>
          <w:p>
            <w:pPr>
              <w:spacing w:after="0"/>
              <w:rPr>
                <w:sz w:val="1"/>
                <w:szCs w:val="1"/>
                <w:color w:val="auto"/>
              </w:rPr>
            </w:pPr>
          </w:p>
        </w:tc>
      </w:tr>
      <w:tr>
        <w:trPr>
          <w:trHeight w:val="230"/>
        </w:trPr>
        <w:tc>
          <w:tcPr>
            <w:tcW w:w="36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General and administrative</w:t>
            </w:r>
          </w:p>
        </w:tc>
        <w:tc>
          <w:tcPr>
            <w:tcW w:w="28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15,538</w:t>
            </w: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14,911</w:t>
            </w:r>
          </w:p>
        </w:tc>
        <w:tc>
          <w:tcPr>
            <w:tcW w:w="0" w:type="dxa"/>
            <w:vAlign w:val="bottom"/>
          </w:tcPr>
          <w:p>
            <w:pPr>
              <w:spacing w:after="0"/>
              <w:rPr>
                <w:sz w:val="1"/>
                <w:szCs w:val="1"/>
                <w:color w:val="auto"/>
              </w:rPr>
            </w:pPr>
          </w:p>
        </w:tc>
      </w:tr>
      <w:tr>
        <w:trPr>
          <w:trHeight w:val="229"/>
        </w:trPr>
        <w:tc>
          <w:tcPr>
            <w:tcW w:w="36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Research and development</w:t>
            </w:r>
          </w:p>
        </w:tc>
        <w:tc>
          <w:tcPr>
            <w:tcW w:w="28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1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6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8,347</w:t>
            </w:r>
          </w:p>
        </w:tc>
        <w:tc>
          <w:tcPr>
            <w:tcW w:w="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0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11,327</w:t>
            </w:r>
          </w:p>
        </w:tc>
        <w:tc>
          <w:tcPr>
            <w:tcW w:w="0" w:type="dxa"/>
            <w:vAlign w:val="bottom"/>
          </w:tcPr>
          <w:p>
            <w:pPr>
              <w:spacing w:after="0"/>
              <w:rPr>
                <w:sz w:val="1"/>
                <w:szCs w:val="1"/>
                <w:color w:val="auto"/>
              </w:rPr>
            </w:pPr>
          </w:p>
        </w:tc>
      </w:tr>
    </w:tbl>
    <w:p>
      <w:pPr>
        <w:spacing w:after="0" w:line="130"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Changes in foreign currency exchange rates increased total operating expenses by $3.6 million for the three months ended December 31, 2020, as compared to the prior year period.</w:t>
      </w:r>
    </w:p>
    <w:p>
      <w:pPr>
        <w:spacing w:after="0" w:line="9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Selling and marketing</w:t>
      </w:r>
    </w:p>
    <w:p>
      <w:pPr>
        <w:spacing w:after="0" w:line="144" w:lineRule="exact"/>
        <w:rPr>
          <w:sz w:val="20"/>
          <w:szCs w:val="20"/>
          <w:color w:val="auto"/>
        </w:rPr>
      </w:pPr>
    </w:p>
    <w:p>
      <w:pPr>
        <w:jc w:val="both"/>
        <w:ind w:firstLine="648"/>
        <w:spacing w:after="0" w:line="242" w:lineRule="auto"/>
        <w:rPr>
          <w:sz w:val="20"/>
          <w:szCs w:val="20"/>
          <w:color w:val="auto"/>
        </w:rPr>
      </w:pPr>
      <w:r>
        <w:rPr>
          <w:rFonts w:ascii="Times New Roman" w:cs="Times New Roman" w:eastAsia="Times New Roman" w:hAnsi="Times New Roman"/>
          <w:sz w:val="18"/>
          <w:szCs w:val="18"/>
          <w:color w:val="auto"/>
        </w:rPr>
        <w:t xml:space="preserve">Selling and marketing expenses increased by $2.8 million for the three months ended December 31, 2020, as compared to the prior year period, due primarily to increases in (i) personnel expenses due to increased headcount and higher incentive compensation, (ii) IT expenses for cloud-based services, and (iii) customer service expenses. The increase was partially offset by lower overall marketing expense due to lower marketing expenses for </w:t>
      </w:r>
      <w:r>
        <w:rPr>
          <w:rFonts w:ascii="Times New Roman" w:cs="Times New Roman" w:eastAsia="Times New Roman" w:hAnsi="Times New Roman"/>
          <w:sz w:val="18"/>
          <w:szCs w:val="18"/>
          <w:i w:val="1"/>
          <w:iCs w:val="1"/>
          <w:color w:val="auto"/>
        </w:rPr>
        <w:t xml:space="preserve">Red Dead Redemption 2, The Outer Worlds, </w:t>
      </w:r>
      <w:r>
        <w:rPr>
          <w:rFonts w:ascii="Times New Roman" w:cs="Times New Roman" w:eastAsia="Times New Roman" w:hAnsi="Times New Roman"/>
          <w:sz w:val="18"/>
          <w:szCs w:val="18"/>
          <w:color w:val="auto"/>
        </w:rPr>
        <w:t>our</w:t>
      </w:r>
      <w:r>
        <w:rPr>
          <w:rFonts w:ascii="Times New Roman" w:cs="Times New Roman" w:eastAsia="Times New Roman" w:hAnsi="Times New Roman"/>
          <w:sz w:val="18"/>
          <w:szCs w:val="18"/>
          <w:i w:val="1"/>
          <w:iCs w:val="1"/>
          <w:color w:val="auto"/>
        </w:rPr>
        <w:t xml:space="preserve"> WWE 2K </w:t>
      </w:r>
      <w:r>
        <w:rPr>
          <w:rFonts w:ascii="Times New Roman" w:cs="Times New Roman" w:eastAsia="Times New Roman" w:hAnsi="Times New Roman"/>
          <w:sz w:val="18"/>
          <w:szCs w:val="18"/>
          <w:color w:val="auto"/>
        </w:rPr>
        <w:t>franchise,</w:t>
      </w:r>
      <w:r>
        <w:rPr>
          <w:rFonts w:ascii="Times New Roman" w:cs="Times New Roman" w:eastAsia="Times New Roman" w:hAnsi="Times New Roman"/>
          <w:sz w:val="18"/>
          <w:szCs w:val="18"/>
          <w:i w:val="1"/>
          <w:iCs w:val="1"/>
          <w:color w:val="auto"/>
        </w:rPr>
        <w:t xml:space="preserve"> Borderlands 3, </w:t>
      </w:r>
      <w:r>
        <w:rPr>
          <w:rFonts w:ascii="Times New Roman" w:cs="Times New Roman" w:eastAsia="Times New Roman" w:hAnsi="Times New Roman"/>
          <w:sz w:val="18"/>
          <w:szCs w:val="18"/>
          <w:color w:val="auto"/>
        </w:rPr>
        <w:t>and</w:t>
      </w:r>
      <w:r>
        <w:rPr>
          <w:rFonts w:ascii="Times New Roman" w:cs="Times New Roman" w:eastAsia="Times New Roman" w:hAnsi="Times New Roman"/>
          <w:sz w:val="18"/>
          <w:szCs w:val="18"/>
          <w:i w:val="1"/>
          <w:iCs w:val="1"/>
          <w:color w:val="auto"/>
        </w:rPr>
        <w:t xml:space="preserve"> Civilization VI, </w:t>
      </w:r>
      <w:r>
        <w:rPr>
          <w:rFonts w:ascii="Times New Roman" w:cs="Times New Roman" w:eastAsia="Times New Roman" w:hAnsi="Times New Roman"/>
          <w:sz w:val="18"/>
          <w:szCs w:val="18"/>
          <w:color w:val="auto"/>
        </w:rPr>
        <w:t>partially offset by higher marketing expenses for</w:t>
      </w:r>
      <w:r>
        <w:rPr>
          <w:rFonts w:ascii="Times New Roman" w:cs="Times New Roman" w:eastAsia="Times New Roman" w:hAnsi="Times New Roman"/>
          <w:sz w:val="18"/>
          <w:szCs w:val="18"/>
          <w:i w:val="1"/>
          <w:iCs w:val="1"/>
          <w:color w:val="auto"/>
        </w:rPr>
        <w:t xml:space="preserve"> Grand Theft Auto Online, </w:t>
      </w:r>
      <w:r>
        <w:rPr>
          <w:rFonts w:ascii="Times New Roman" w:cs="Times New Roman" w:eastAsia="Times New Roman" w:hAnsi="Times New Roman"/>
          <w:sz w:val="18"/>
          <w:szCs w:val="18"/>
          <w:color w:val="auto"/>
        </w:rPr>
        <w:t>our</w:t>
      </w:r>
      <w:r>
        <w:rPr>
          <w:rFonts w:ascii="Times New Roman" w:cs="Times New Roman" w:eastAsia="Times New Roman" w:hAnsi="Times New Roman"/>
          <w:sz w:val="18"/>
          <w:szCs w:val="18"/>
          <w:i w:val="1"/>
          <w:iCs w:val="1"/>
          <w:color w:val="auto"/>
        </w:rPr>
        <w:t xml:space="preserve"> NBA 2K </w:t>
      </w:r>
      <w:r>
        <w:rPr>
          <w:rFonts w:ascii="Times New Roman" w:cs="Times New Roman" w:eastAsia="Times New Roman" w:hAnsi="Times New Roman"/>
          <w:sz w:val="18"/>
          <w:szCs w:val="18"/>
          <w:color w:val="auto"/>
        </w:rPr>
        <w:t>franchise,</w:t>
      </w:r>
      <w:r>
        <w:rPr>
          <w:rFonts w:ascii="Times New Roman" w:cs="Times New Roman" w:eastAsia="Times New Roman" w:hAnsi="Times New Roman"/>
          <w:sz w:val="18"/>
          <w:szCs w:val="18"/>
          <w:i w:val="1"/>
          <w:iCs w:val="1"/>
          <w:color w:val="auto"/>
        </w:rPr>
        <w:t xml:space="preserve"> Two Dots, Word Life, Dragon City, Red Dead Online, </w:t>
      </w:r>
      <w:r>
        <w:rPr>
          <w:rFonts w:ascii="Times New Roman" w:cs="Times New Roman" w:eastAsia="Times New Roman" w:hAnsi="Times New Roman"/>
          <w:sz w:val="18"/>
          <w:szCs w:val="18"/>
          <w:color w:val="auto"/>
        </w:rPr>
        <w:t>and our</w:t>
      </w:r>
      <w:r>
        <w:rPr>
          <w:rFonts w:ascii="Times New Roman" w:cs="Times New Roman" w:eastAsia="Times New Roman" w:hAnsi="Times New Roman"/>
          <w:sz w:val="18"/>
          <w:szCs w:val="18"/>
          <w:i w:val="1"/>
          <w:iCs w:val="1"/>
          <w:color w:val="auto"/>
        </w:rPr>
        <w:t xml:space="preserve"> Mafia </w:t>
      </w:r>
      <w:r>
        <w:rPr>
          <w:rFonts w:ascii="Times New Roman" w:cs="Times New Roman" w:eastAsia="Times New Roman" w:hAnsi="Times New Roman"/>
          <w:sz w:val="18"/>
          <w:szCs w:val="18"/>
          <w:color w:val="auto"/>
        </w:rPr>
        <w:t>franchise.</w:t>
      </w:r>
    </w:p>
    <w:p>
      <w:pPr>
        <w:spacing w:after="0" w:line="11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General and administrative</w:t>
      </w:r>
    </w:p>
    <w:p>
      <w:pPr>
        <w:spacing w:after="0" w:line="158"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General and administrative expenses increased by $14.1 million for the three months ended December 31, 2020, as compared to the prior year period, due primarily to increases in (i) personnel expenses for additional headcount and higher incentive compensation, (ii) professional fees related to consulting, including for our offer to acquire Codemasters Group Holdings PLC, a UK-based game publisher and developer, and (iii) IT expenses for cloud-based services.</w:t>
      </w:r>
    </w:p>
    <w:p>
      <w:pPr>
        <w:spacing w:after="0" w:line="99" w:lineRule="exact"/>
        <w:rPr>
          <w:sz w:val="20"/>
          <w:szCs w:val="20"/>
          <w:color w:val="auto"/>
        </w:rPr>
      </w:pPr>
    </w:p>
    <w:p>
      <w:pPr>
        <w:jc w:val="both"/>
        <w:ind w:right="20" w:firstLine="648"/>
        <w:spacing w:after="0" w:line="282" w:lineRule="auto"/>
        <w:rPr>
          <w:sz w:val="20"/>
          <w:szCs w:val="20"/>
          <w:color w:val="auto"/>
        </w:rPr>
      </w:pPr>
      <w:r>
        <w:rPr>
          <w:rFonts w:ascii="Times New Roman" w:cs="Times New Roman" w:eastAsia="Times New Roman" w:hAnsi="Times New Roman"/>
          <w:sz w:val="18"/>
          <w:szCs w:val="18"/>
          <w:color w:val="auto"/>
        </w:rPr>
        <w:t>General and administrative expenses for the three months ended December 31, 2020 and 2019 included occupancy expense (primarily rent, utilities and office expenses) of $6.8 million and $6.6 million, respectively, related to our development studios.</w:t>
      </w: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4" w:right="339" w:bottom="1440" w:gutter="0" w:footer="0" w:header="0"/>
        </w:sectPr>
      </w:pPr>
    </w:p>
    <w:bookmarkStart w:id="29" w:name="page30"/>
    <w:bookmarkEnd w:id="29"/>
    <w:p>
      <w:pPr>
        <w:spacing w:after="0"/>
        <w:rPr>
          <w:rFonts w:ascii="Times New Roman" w:cs="Times New Roman" w:eastAsia="Times New Roman" w:hAnsi="Times New Roman"/>
          <w:sz w:val="18"/>
          <w:szCs w:val="18"/>
          <w:u w:val="single" w:color="auto"/>
          <w:color w:val="0000FF"/>
        </w:rPr>
      </w:pPr>
      <w:hyperlink w:anchor="page1">
        <w:r>
          <w:rPr>
            <w:rFonts w:ascii="Times New Roman" w:cs="Times New Roman" w:eastAsia="Times New Roman" w:hAnsi="Times New Roman"/>
            <w:sz w:val="18"/>
            <w:szCs w:val="18"/>
            <w:u w:val="single" w:color="auto"/>
            <w:color w:val="0000FF"/>
          </w:rPr>
          <w:t>Table of Contents</w:t>
        </w:r>
      </w:hyperlink>
    </w:p>
    <w:p>
      <w:pPr>
        <w:spacing w:after="0" w:line="200" w:lineRule="exact"/>
        <w:rPr>
          <w:sz w:val="20"/>
          <w:szCs w:val="20"/>
          <w:color w:val="auto"/>
        </w:rPr>
      </w:pPr>
    </w:p>
    <w:p>
      <w:pPr>
        <w:spacing w:after="0" w:line="26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Research and development</w:t>
      </w:r>
    </w:p>
    <w:p>
      <w:pPr>
        <w:spacing w:after="0" w:line="144"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Research and development expenses increased by $3.9 million for the three months ended December 31, 2020, as compared to the prior year period, due primarily to increases in (i) personnel expenses for higher incentive compensation and (ii) IT expenses for cloud-based services. These increases were partially offset by (i) lower production and development expenses primarily due to additional capitalization of costs for development on titles having established technological feasibility compared to the prior year, and (iii) lower travel expenses due to restrictions as a result of the COVID-19 pandemic.</w:t>
      </w:r>
    </w:p>
    <w:p>
      <w:pPr>
        <w:spacing w:after="0" w:line="11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Depreciation and Amortization</w:t>
      </w:r>
    </w:p>
    <w:p>
      <w:pPr>
        <w:spacing w:after="0" w:line="158"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Depreciation and amortization expenses increased by $1.7 million for the three months ended December 31, 2020 as compared to the prior year period, due primarily to IT infrastructure and leasehold improvements for new office locations.</w:t>
      </w:r>
    </w:p>
    <w:p>
      <w:pPr>
        <w:spacing w:after="0" w:line="8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Business reorganization</w:t>
      </w:r>
    </w:p>
    <w:p>
      <w:pPr>
        <w:spacing w:after="0" w:line="158"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For the three months ended December 31, 2020, business reorganization expense decreased by $0.1 million as compared to the prior year period and was not material.</w:t>
      </w:r>
    </w:p>
    <w:p>
      <w:pPr>
        <w:spacing w:after="0" w:line="9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Interest and other, net</w:t>
      </w:r>
    </w:p>
    <w:p>
      <w:pPr>
        <w:spacing w:after="0" w:line="148"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Interest and other, net was income of $1.1 million for the three months ended December 31, 2020, as compared to $11.9 million for the prior year period. The change was due primarily to lower interest income due to lower interest rates.</w:t>
      </w:r>
    </w:p>
    <w:p>
      <w:pPr>
        <w:spacing w:after="0" w:line="9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Gain on long-term investments, net</w:t>
      </w:r>
    </w:p>
    <w:p>
      <w:pPr>
        <w:spacing w:after="0" w:line="162" w:lineRule="exact"/>
        <w:rPr>
          <w:sz w:val="20"/>
          <w:szCs w:val="20"/>
          <w:color w:val="auto"/>
        </w:rPr>
      </w:pPr>
    </w:p>
    <w:p>
      <w:pPr>
        <w:jc w:val="both"/>
        <w:ind w:right="20" w:firstLine="648"/>
        <w:spacing w:after="0" w:line="282" w:lineRule="auto"/>
        <w:rPr>
          <w:sz w:val="20"/>
          <w:szCs w:val="20"/>
          <w:color w:val="auto"/>
        </w:rPr>
      </w:pPr>
      <w:r>
        <w:rPr>
          <w:rFonts w:ascii="Times New Roman" w:cs="Times New Roman" w:eastAsia="Times New Roman" w:hAnsi="Times New Roman"/>
          <w:sz w:val="18"/>
          <w:szCs w:val="18"/>
          <w:color w:val="auto"/>
        </w:rPr>
        <w:t>Gain on long-term investments, net for the three months ended December 31, 2020 was $39.3 million and was due primarily to the sale of a portion of one of our investments and the resulting change in value based on the observable price change of the remaining portion of that investment.</w:t>
      </w:r>
    </w:p>
    <w:p>
      <w:pPr>
        <w:spacing w:after="0" w:line="7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Provision for Income Taxes</w:t>
      </w:r>
    </w:p>
    <w:p>
      <w:pPr>
        <w:spacing w:after="0" w:line="162" w:lineRule="exact"/>
        <w:rPr>
          <w:sz w:val="20"/>
          <w:szCs w:val="20"/>
          <w:color w:val="auto"/>
        </w:rPr>
      </w:pPr>
    </w:p>
    <w:p>
      <w:pPr>
        <w:jc w:val="both"/>
        <w:ind w:right="20" w:firstLine="648"/>
        <w:spacing w:after="0" w:line="266" w:lineRule="auto"/>
        <w:rPr>
          <w:sz w:val="20"/>
          <w:szCs w:val="20"/>
          <w:color w:val="auto"/>
        </w:rPr>
      </w:pPr>
      <w:r>
        <w:rPr>
          <w:rFonts w:ascii="Times New Roman" w:cs="Times New Roman" w:eastAsia="Times New Roman" w:hAnsi="Times New Roman"/>
          <w:sz w:val="18"/>
          <w:szCs w:val="18"/>
          <w:color w:val="auto"/>
        </w:rPr>
        <w:t>The provision for income taxes for the three months ended December 31, 2020 is based on our projected annual effective tax rate for fiscal year 2021, adjusted for specific items that are required to be recognized in the period in which they are incurred. The provision for income taxes was $34.2 million for the three months ended December 31, 2020 as compared to $25.1 million for the prior year period.</w:t>
      </w:r>
    </w:p>
    <w:p>
      <w:pPr>
        <w:spacing w:after="0" w:line="203"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When compared to the statutory rate of 21.0%, the effective tax rate of 15.8% for the three months ended December 31, 2020 was due primarily to a tax benefit of $7.1 million from tax credits and excess tax benefits of $3.4 million from employee stock-based compensation offset by the geographic mix of earnings.</w:t>
      </w:r>
    </w:p>
    <w:p>
      <w:pPr>
        <w:spacing w:after="0" w:line="108"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In the prior year period, when compared to our statutory rate of 21%, the effective tax rate of 13.3% for the three months ended December 31, 2019 was due primarily to a tax benefit of $9.1 million as a result of tax credits anticipated to be utilized and $2.6 million due to a geographic mix of earnings.</w:t>
      </w:r>
    </w:p>
    <w:p>
      <w:pPr>
        <w:spacing w:after="0" w:line="95"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The change in the effective tax rate, when compared to the prior year period's effective tax rate, is due primarily to increased expense related to the geographic mix of earnings and decreased tax credits, partially offset by increased excess tax benefits from employee stock-based compensation in the current period.</w:t>
      </w:r>
    </w:p>
    <w:p>
      <w:pPr>
        <w:spacing w:after="0" w:line="108"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The accounting for share-based compensation will increase or decrease our effective tax rate based on the difference between our share-based compensation expense and the deductions taken on our tax return, which depends on the stock price at the time of the employee award vesting. Since we recognize excess tax benefits on a discrete basis, we anticipate that our effective tax rate will vary from quarter to quarter depending on our stock price in each period.</w:t>
      </w:r>
    </w:p>
    <w:p>
      <w:pPr>
        <w:spacing w:after="0" w:line="112"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We anticipate that additional excess tax benefits or shortfalls from employee stock compensation, tax credits, and changes in our geographic mix of earnings could have a significant impact on our effective tax rate in the future. In addition, we are regularly examined by domestic and foreign taxing authorities. Examinations may result in tax assessments in excess of amounts claimed and the payment of additional taxes. We believe our tax positions comply with applicable tax law, and that we have adequately provided for reasonably foreseeable tax assessments. It is possible that settlement of audits and/or the expiration of the statute of limitations could have an impact on our effective tax rate in future periods.</w:t>
      </w:r>
    </w:p>
    <w:p>
      <w:pPr>
        <w:spacing w:after="0" w:line="102" w:lineRule="exact"/>
        <w:rPr>
          <w:sz w:val="20"/>
          <w:szCs w:val="20"/>
          <w:color w:val="auto"/>
        </w:rPr>
      </w:pPr>
    </w:p>
    <w:p>
      <w:pPr>
        <w:jc w:val="both"/>
        <w:ind w:firstLine="648"/>
        <w:spacing w:after="0" w:line="245" w:lineRule="auto"/>
        <w:rPr>
          <w:sz w:val="20"/>
          <w:szCs w:val="20"/>
          <w:color w:val="auto"/>
        </w:rPr>
      </w:pPr>
      <w:r>
        <w:rPr>
          <w:rFonts w:ascii="Times New Roman" w:cs="Times New Roman" w:eastAsia="Times New Roman" w:hAnsi="Times New Roman"/>
          <w:sz w:val="18"/>
          <w:szCs w:val="18"/>
          <w:color w:val="auto"/>
        </w:rPr>
        <w:t>On May 19, 2019, a public referendum held in Switzerland approved the Federal Act on Tax Reform and AVH (Old-Age and Survivors Insurance) Financing ("TRAF"), which was effective for us on January 1, 2020. The TRAF abolished preferential tax regimes at the cantonal level. The cantons established transition rules which provided us a step-up in tax basis for which a deferred tax asset of $45.3 million and valuation allowance of $33.4 million were established. It is possible that</w:t>
      </w:r>
    </w:p>
    <w:p>
      <w:pPr>
        <w:sectPr>
          <w:pgSz w:w="11900" w:h="16838" w:orient="portrait"/>
          <w:cols w:equalWidth="0" w:num="1">
            <w:col w:w="11240"/>
          </w:cols>
          <w:pgMar w:left="320" w:top="364" w:right="339" w:bottom="1440" w:gutter="0" w:footer="0" w:header="0"/>
        </w:sectPr>
      </w:pPr>
    </w:p>
    <w:p>
      <w:pPr>
        <w:spacing w:after="0" w:line="200" w:lineRule="exact"/>
        <w:rPr>
          <w:sz w:val="20"/>
          <w:szCs w:val="20"/>
          <w:color w:val="auto"/>
        </w:rPr>
      </w:pPr>
    </w:p>
    <w:p>
      <w:pPr>
        <w:spacing w:after="0" w:line="31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4" w:right="339" w:bottom="1440" w:gutter="0" w:footer="0" w:header="0"/>
          <w:type w:val="continuous"/>
        </w:sectPr>
      </w:pPr>
    </w:p>
    <w:bookmarkStart w:id="30" w:name="page31"/>
    <w:bookmarkEnd w:id="30"/>
    <w:p>
      <w:pPr>
        <w:spacing w:after="0"/>
        <w:rPr>
          <w:rFonts w:ascii="Times New Roman" w:cs="Times New Roman" w:eastAsia="Times New Roman" w:hAnsi="Times New Roman"/>
          <w:sz w:val="18"/>
          <w:szCs w:val="18"/>
          <w:u w:val="single" w:color="auto"/>
          <w:color w:val="0000FF"/>
        </w:rPr>
      </w:pPr>
      <w:hyperlink w:anchor="page1">
        <w:r>
          <w:rPr>
            <w:rFonts w:ascii="Times New Roman" w:cs="Times New Roman" w:eastAsia="Times New Roman" w:hAnsi="Times New Roman"/>
            <w:sz w:val="18"/>
            <w:szCs w:val="18"/>
            <w:u w:val="single" w:color="auto"/>
            <w:color w:val="0000FF"/>
          </w:rPr>
          <w:t>Table of Contents</w:t>
        </w:r>
      </w:hyperlink>
    </w:p>
    <w:p>
      <w:pPr>
        <w:spacing w:after="0" w:line="32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realization of deferred tax assets relating to the Swiss cantonal basis step-up may change due to changes in forecasted future earnings in Switzerland.</w:t>
      </w:r>
    </w:p>
    <w:p>
      <w:pPr>
        <w:spacing w:after="0" w:line="144" w:lineRule="exact"/>
        <w:rPr>
          <w:sz w:val="20"/>
          <w:szCs w:val="20"/>
          <w:color w:val="auto"/>
        </w:rPr>
      </w:pPr>
    </w:p>
    <w:p>
      <w:pPr>
        <w:jc w:val="both"/>
        <w:ind w:firstLine="648"/>
        <w:spacing w:after="0" w:line="250" w:lineRule="auto"/>
        <w:rPr>
          <w:sz w:val="20"/>
          <w:szCs w:val="20"/>
          <w:color w:val="auto"/>
        </w:rPr>
      </w:pPr>
      <w:r>
        <w:rPr>
          <w:rFonts w:ascii="Times New Roman" w:cs="Times New Roman" w:eastAsia="Times New Roman" w:hAnsi="Times New Roman"/>
          <w:sz w:val="18"/>
          <w:szCs w:val="18"/>
          <w:color w:val="auto"/>
        </w:rPr>
        <w:t>On March 27, 2020, the U.S. enacted the Coronavirus Aid, Relief and Economic Security Act (the "CARES Act"), which provides numerous tax and other stimulus measures. An additional economic stimulus package, the Consolidated Appropriations Act, 2021, was approved on December 27, 2020. We do not expect that these measures will have a material impact to our Consolidated Financial Statements.</w:t>
      </w:r>
    </w:p>
    <w:p>
      <w:pPr>
        <w:spacing w:after="0" w:line="9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Net income and earnings per share</w:t>
      </w:r>
    </w:p>
    <w:p>
      <w:pPr>
        <w:spacing w:after="0" w:line="162"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For the three months ended December 31, 2020, net income was $182.2 million, as compared to $163.6 million in the prior year period. Diluted earnings per share for the three months ended December 31, 2020 was $1.57, as compared to diluted earnings per share of $1.43 in the prior year period. Diluted weighted average shares of 116.1 million were 1.9 million shares higher as compared to the prior year period, due primarily to normal stock compensation activity, including vests as well as grants and forfeitures in the prior year being fully outstanding in the current year period. See Note 11 to our Condensed Consolidated Financial Statements for additional information regarding earnings per share.</w:t>
      </w:r>
    </w:p>
    <w:p>
      <w:pPr>
        <w:spacing w:after="0" w:line="11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Nine Months Ended December 31, 2020 Compared to December 31, 2019</w:t>
      </w:r>
    </w:p>
    <w:p>
      <w:pPr>
        <w:spacing w:after="0" w:line="171"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35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60" w:type="dxa"/>
            <w:vAlign w:val="bottom"/>
            <w:vMerge w:val="restart"/>
          </w:tcPr>
          <w:p>
            <w:pPr>
              <w:jc w:val="right"/>
              <w:ind w:right="299"/>
              <w:spacing w:after="0"/>
              <w:rPr>
                <w:sz w:val="20"/>
                <w:szCs w:val="20"/>
                <w:color w:val="auto"/>
              </w:rPr>
            </w:pPr>
            <w:r>
              <w:rPr>
                <w:rFonts w:ascii="Times New Roman" w:cs="Times New Roman" w:eastAsia="Times New Roman" w:hAnsi="Times New Roman"/>
                <w:sz w:val="16"/>
                <w:szCs w:val="16"/>
                <w:b w:val="1"/>
                <w:bCs w:val="1"/>
                <w:color w:val="auto"/>
              </w:rPr>
              <w:t>2020</w:t>
            </w:r>
          </w:p>
        </w:tc>
        <w:tc>
          <w:tcPr>
            <w:tcW w:w="100" w:type="dxa"/>
            <w:vAlign w:val="bottom"/>
          </w:tcPr>
          <w:p>
            <w:pPr>
              <w:spacing w:after="0"/>
              <w:rPr>
                <w:sz w:val="16"/>
                <w:szCs w:val="16"/>
                <w:color w:val="auto"/>
              </w:rPr>
            </w:pPr>
          </w:p>
        </w:tc>
        <w:tc>
          <w:tcPr>
            <w:tcW w:w="1340" w:type="dxa"/>
            <w:vAlign w:val="bottom"/>
            <w:vMerge w:val="restart"/>
          </w:tcPr>
          <w:p>
            <w:pPr>
              <w:jc w:val="right"/>
              <w:ind w:right="518"/>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40" w:type="dxa"/>
            <w:vAlign w:val="bottom"/>
            <w:vMerge w:val="restart"/>
          </w:tcPr>
          <w:p>
            <w:pPr>
              <w:jc w:val="right"/>
              <w:ind w:right="299"/>
              <w:spacing w:after="0"/>
              <w:rPr>
                <w:sz w:val="20"/>
                <w:szCs w:val="20"/>
                <w:color w:val="auto"/>
              </w:rPr>
            </w:pPr>
            <w:r>
              <w:rPr>
                <w:rFonts w:ascii="Times New Roman" w:cs="Times New Roman" w:eastAsia="Times New Roman" w:hAnsi="Times New Roman"/>
                <w:sz w:val="16"/>
                <w:szCs w:val="16"/>
                <w:b w:val="1"/>
                <w:bCs w:val="1"/>
                <w:color w:val="auto"/>
              </w:rPr>
              <w:t>2019</w:t>
            </w:r>
          </w:p>
        </w:tc>
        <w:tc>
          <w:tcPr>
            <w:tcW w:w="140" w:type="dxa"/>
            <w:vAlign w:val="bottom"/>
          </w:tcPr>
          <w:p>
            <w:pPr>
              <w:spacing w:after="0"/>
              <w:rPr>
                <w:sz w:val="16"/>
                <w:szCs w:val="16"/>
                <w:color w:val="auto"/>
              </w:rPr>
            </w:pPr>
          </w:p>
        </w:tc>
        <w:tc>
          <w:tcPr>
            <w:tcW w:w="1140" w:type="dxa"/>
            <w:vAlign w:val="bottom"/>
            <w:vMerge w:val="restart"/>
          </w:tcPr>
          <w:p>
            <w:pPr>
              <w:jc w:val="right"/>
              <w:ind w:right="419"/>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6"/>
                <w:szCs w:val="16"/>
                <w:color w:val="auto"/>
              </w:rPr>
            </w:pPr>
          </w:p>
        </w:tc>
        <w:tc>
          <w:tcPr>
            <w:tcW w:w="1280" w:type="dxa"/>
            <w:vAlign w:val="bottom"/>
            <w:gridSpan w:val="3"/>
          </w:tcPr>
          <w:p>
            <w:pPr>
              <w:ind w:left="20"/>
              <w:spacing w:after="0"/>
              <w:rPr>
                <w:sz w:val="20"/>
                <w:szCs w:val="20"/>
                <w:color w:val="auto"/>
              </w:rPr>
            </w:pPr>
            <w:r>
              <w:rPr>
                <w:rFonts w:ascii="Times New Roman" w:cs="Times New Roman" w:eastAsia="Times New Roman" w:hAnsi="Times New Roman"/>
                <w:sz w:val="16"/>
                <w:szCs w:val="16"/>
                <w:color w:val="auto"/>
              </w:rPr>
              <w:t>Increase/</w:t>
            </w:r>
          </w:p>
        </w:tc>
        <w:tc>
          <w:tcPr>
            <w:tcW w:w="1360" w:type="dxa"/>
            <w:vAlign w:val="bottom"/>
          </w:tcPr>
          <w:p>
            <w:pPr>
              <w:ind w:left="20"/>
              <w:spacing w:after="0"/>
              <w:rPr>
                <w:sz w:val="20"/>
                <w:szCs w:val="20"/>
                <w:color w:val="auto"/>
              </w:rPr>
            </w:pPr>
            <w:r>
              <w:rPr>
                <w:rFonts w:ascii="Times New Roman" w:cs="Times New Roman" w:eastAsia="Times New Roman" w:hAnsi="Times New Roman"/>
                <w:sz w:val="16"/>
                <w:szCs w:val="16"/>
                <w:color w:val="auto"/>
              </w:rPr>
              <w:t>% Increase/</w:t>
            </w:r>
          </w:p>
        </w:tc>
        <w:tc>
          <w:tcPr>
            <w:tcW w:w="0" w:type="dxa"/>
            <w:vAlign w:val="bottom"/>
          </w:tcPr>
          <w:p>
            <w:pPr>
              <w:spacing w:after="0"/>
              <w:rPr>
                <w:sz w:val="1"/>
                <w:szCs w:val="1"/>
                <w:color w:val="auto"/>
              </w:rPr>
            </w:pPr>
          </w:p>
        </w:tc>
      </w:tr>
      <w:tr>
        <w:trPr>
          <w:trHeight w:val="216"/>
        </w:trPr>
        <w:tc>
          <w:tcPr>
            <w:tcW w:w="3500" w:type="dxa"/>
            <w:vAlign w:val="bottom"/>
          </w:tcPr>
          <w:p>
            <w:pPr>
              <w:ind w:left="20"/>
              <w:spacing w:after="0"/>
              <w:rPr>
                <w:sz w:val="20"/>
                <w:szCs w:val="20"/>
                <w:color w:val="auto"/>
              </w:rPr>
            </w:pPr>
            <w:r>
              <w:rPr>
                <w:rFonts w:ascii="Times New Roman" w:cs="Times New Roman" w:eastAsia="Times New Roman" w:hAnsi="Times New Roman"/>
                <w:sz w:val="14"/>
                <w:szCs w:val="14"/>
                <w:b w:val="1"/>
                <w:bCs w:val="1"/>
                <w:color w:val="auto"/>
              </w:rPr>
              <w:t>(thousands of dollars)</w:t>
            </w:r>
          </w:p>
        </w:tc>
        <w:tc>
          <w:tcPr>
            <w:tcW w:w="220" w:type="dxa"/>
            <w:vAlign w:val="bottom"/>
          </w:tcPr>
          <w:p>
            <w:pPr>
              <w:spacing w:after="0"/>
              <w:rPr>
                <w:sz w:val="18"/>
                <w:szCs w:val="18"/>
                <w:color w:val="auto"/>
              </w:rPr>
            </w:pPr>
          </w:p>
        </w:tc>
        <w:tc>
          <w:tcPr>
            <w:tcW w:w="860" w:type="dxa"/>
            <w:vAlign w:val="bottom"/>
            <w:vMerge w:val="continue"/>
          </w:tcPr>
          <w:p>
            <w:pPr>
              <w:spacing w:after="0"/>
              <w:rPr>
                <w:sz w:val="18"/>
                <w:szCs w:val="18"/>
                <w:color w:val="auto"/>
              </w:rPr>
            </w:pPr>
          </w:p>
        </w:tc>
        <w:tc>
          <w:tcPr>
            <w:tcW w:w="100" w:type="dxa"/>
            <w:vAlign w:val="bottom"/>
          </w:tcPr>
          <w:p>
            <w:pPr>
              <w:spacing w:after="0"/>
              <w:rPr>
                <w:sz w:val="18"/>
                <w:szCs w:val="18"/>
                <w:color w:val="auto"/>
              </w:rPr>
            </w:pPr>
          </w:p>
        </w:tc>
        <w:tc>
          <w:tcPr>
            <w:tcW w:w="1340" w:type="dxa"/>
            <w:vAlign w:val="bottom"/>
            <w:vMerge w:val="continue"/>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vMerge w:val="continue"/>
          </w:tcPr>
          <w:p>
            <w:pPr>
              <w:spacing w:after="0"/>
              <w:rPr>
                <w:sz w:val="18"/>
                <w:szCs w:val="18"/>
                <w:color w:val="auto"/>
              </w:rPr>
            </w:pPr>
          </w:p>
        </w:tc>
        <w:tc>
          <w:tcPr>
            <w:tcW w:w="140" w:type="dxa"/>
            <w:vAlign w:val="bottom"/>
          </w:tcPr>
          <w:p>
            <w:pPr>
              <w:spacing w:after="0"/>
              <w:rPr>
                <w:sz w:val="18"/>
                <w:szCs w:val="18"/>
                <w:color w:val="auto"/>
              </w:rPr>
            </w:pPr>
          </w:p>
        </w:tc>
        <w:tc>
          <w:tcPr>
            <w:tcW w:w="1140" w:type="dxa"/>
            <w:vAlign w:val="bottom"/>
            <w:vMerge w:val="continue"/>
          </w:tcPr>
          <w:p>
            <w:pPr>
              <w:spacing w:after="0"/>
              <w:rPr>
                <w:sz w:val="18"/>
                <w:szCs w:val="18"/>
                <w:color w:val="auto"/>
              </w:rPr>
            </w:pPr>
          </w:p>
        </w:tc>
        <w:tc>
          <w:tcPr>
            <w:tcW w:w="120" w:type="dxa"/>
            <w:vAlign w:val="bottom"/>
          </w:tcPr>
          <w:p>
            <w:pPr>
              <w:spacing w:after="0"/>
              <w:rPr>
                <w:sz w:val="18"/>
                <w:szCs w:val="18"/>
                <w:color w:val="auto"/>
              </w:rPr>
            </w:pPr>
          </w:p>
        </w:tc>
        <w:tc>
          <w:tcPr>
            <w:tcW w:w="1280" w:type="dxa"/>
            <w:vAlign w:val="bottom"/>
            <w:gridSpan w:val="3"/>
          </w:tcPr>
          <w:p>
            <w:pPr>
              <w:ind w:left="20"/>
              <w:spacing w:after="0"/>
              <w:rPr>
                <w:sz w:val="20"/>
                <w:szCs w:val="20"/>
                <w:color w:val="auto"/>
              </w:rPr>
            </w:pPr>
            <w:r>
              <w:rPr>
                <w:rFonts w:ascii="Times New Roman" w:cs="Times New Roman" w:eastAsia="Times New Roman" w:hAnsi="Times New Roman"/>
                <w:sz w:val="16"/>
                <w:szCs w:val="16"/>
                <w:color w:val="auto"/>
              </w:rPr>
              <w:t>(decrease)</w:t>
            </w:r>
          </w:p>
        </w:tc>
        <w:tc>
          <w:tcPr>
            <w:tcW w:w="1360" w:type="dxa"/>
            <w:vAlign w:val="bottom"/>
          </w:tcPr>
          <w:p>
            <w:pPr>
              <w:ind w:left="20"/>
              <w:spacing w:after="0"/>
              <w:rPr>
                <w:sz w:val="20"/>
                <w:szCs w:val="20"/>
                <w:color w:val="auto"/>
              </w:rPr>
            </w:pPr>
            <w:r>
              <w:rPr>
                <w:rFonts w:ascii="Times New Roman" w:cs="Times New Roman" w:eastAsia="Times New Roman" w:hAnsi="Times New Roman"/>
                <w:sz w:val="16"/>
                <w:szCs w:val="16"/>
                <w:color w:val="auto"/>
              </w:rPr>
              <w:t>(decrease)</w:t>
            </w:r>
          </w:p>
        </w:tc>
        <w:tc>
          <w:tcPr>
            <w:tcW w:w="0" w:type="dxa"/>
            <w:vAlign w:val="bottom"/>
          </w:tcPr>
          <w:p>
            <w:pPr>
              <w:spacing w:after="0"/>
              <w:rPr>
                <w:sz w:val="1"/>
                <w:szCs w:val="1"/>
                <w:color w:val="auto"/>
              </w:rPr>
            </w:pPr>
          </w:p>
        </w:tc>
      </w:tr>
      <w:tr>
        <w:trPr>
          <w:trHeight w:val="209"/>
        </w:trPr>
        <w:tc>
          <w:tcPr>
            <w:tcW w:w="350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Net revenue</w:t>
            </w:r>
          </w:p>
        </w:tc>
        <w:tc>
          <w:tcPr>
            <w:tcW w:w="220" w:type="dxa"/>
            <w:vAlign w:val="bottom"/>
            <w:tcBorders>
              <w:top w:val="single" w:sz="8" w:color="auto"/>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b w:val="1"/>
                <w:bCs w:val="1"/>
                <w:color w:val="auto"/>
                <w:w w:val="99"/>
              </w:rPr>
              <w:t>$</w:t>
            </w:r>
          </w:p>
        </w:tc>
        <w:tc>
          <w:tcPr>
            <w:tcW w:w="8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b w:val="1"/>
                <w:bCs w:val="1"/>
                <w:color w:val="auto"/>
              </w:rPr>
              <w:t>2,533,341</w:t>
            </w:r>
          </w:p>
        </w:tc>
        <w:tc>
          <w:tcPr>
            <w:tcW w:w="100" w:type="dxa"/>
            <w:vAlign w:val="bottom"/>
            <w:tcBorders>
              <w:top w:val="single" w:sz="8" w:color="CCEEFF"/>
            </w:tcBorders>
            <w:shd w:val="clear" w:color="auto" w:fill="CCEEFF"/>
          </w:tcPr>
          <w:p>
            <w:pPr>
              <w:spacing w:after="0"/>
              <w:rPr>
                <w:sz w:val="18"/>
                <w:szCs w:val="18"/>
                <w:color w:val="auto"/>
              </w:rPr>
            </w:pPr>
          </w:p>
        </w:tc>
        <w:tc>
          <w:tcPr>
            <w:tcW w:w="13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b w:val="1"/>
                <w:bCs w:val="1"/>
                <w:color w:val="auto"/>
              </w:rPr>
              <w:t>100.0 %</w:t>
            </w:r>
          </w:p>
        </w:tc>
        <w:tc>
          <w:tcPr>
            <w:tcW w:w="10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jc w:val="right"/>
              <w:ind w:right="59"/>
              <w:spacing w:after="0"/>
              <w:rPr>
                <w:sz w:val="20"/>
                <w:szCs w:val="20"/>
                <w:color w:val="auto"/>
              </w:rPr>
            </w:pPr>
            <w:r>
              <w:rPr>
                <w:rFonts w:ascii="Times New Roman" w:cs="Times New Roman" w:eastAsia="Times New Roman" w:hAnsi="Times New Roman"/>
                <w:sz w:val="16"/>
                <w:szCs w:val="16"/>
                <w:color w:val="auto"/>
                <w:w w:val="99"/>
              </w:rPr>
              <w:t>$</w:t>
            </w:r>
          </w:p>
        </w:tc>
        <w:tc>
          <w:tcPr>
            <w:tcW w:w="8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2,328,429</w:t>
            </w:r>
          </w:p>
        </w:tc>
        <w:tc>
          <w:tcPr>
            <w:tcW w:w="140" w:type="dxa"/>
            <w:vAlign w:val="bottom"/>
            <w:tcBorders>
              <w:top w:val="single" w:sz="8" w:color="CCEEFF"/>
            </w:tcBorders>
            <w:shd w:val="clear" w:color="auto" w:fill="CCEEFF"/>
          </w:tcPr>
          <w:p>
            <w:pPr>
              <w:spacing w:after="0"/>
              <w:rPr>
                <w:sz w:val="18"/>
                <w:szCs w:val="18"/>
                <w:color w:val="auto"/>
              </w:rPr>
            </w:pPr>
          </w:p>
        </w:tc>
        <w:tc>
          <w:tcPr>
            <w:tcW w:w="11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100.0 %</w:t>
            </w:r>
          </w:p>
        </w:tc>
        <w:tc>
          <w:tcPr>
            <w:tcW w:w="120" w:type="dxa"/>
            <w:vAlign w:val="bottom"/>
            <w:tcBorders>
              <w:top w:val="single" w:sz="8" w:color="CCEEFF"/>
            </w:tcBorders>
            <w:shd w:val="clear" w:color="auto" w:fill="CCEEFF"/>
          </w:tcPr>
          <w:p>
            <w:pPr>
              <w:spacing w:after="0"/>
              <w:rPr>
                <w:sz w:val="18"/>
                <w:szCs w:val="18"/>
                <w:color w:val="auto"/>
              </w:rPr>
            </w:pPr>
          </w:p>
        </w:tc>
        <w:tc>
          <w:tcPr>
            <w:tcW w:w="340" w:type="dxa"/>
            <w:vAlign w:val="bottom"/>
            <w:tcBorders>
              <w:top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w:t>
            </w:r>
          </w:p>
        </w:tc>
        <w:tc>
          <w:tcPr>
            <w:tcW w:w="8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204,912</w:t>
            </w:r>
          </w:p>
        </w:tc>
        <w:tc>
          <w:tcPr>
            <w:tcW w:w="100" w:type="dxa"/>
            <w:vAlign w:val="bottom"/>
            <w:tcBorders>
              <w:top w:val="single" w:sz="8" w:color="CCEEFF"/>
            </w:tcBorders>
            <w:shd w:val="clear" w:color="auto" w:fill="CCEEFF"/>
          </w:tcPr>
          <w:p>
            <w:pPr>
              <w:spacing w:after="0"/>
              <w:rPr>
                <w:sz w:val="18"/>
                <w:szCs w:val="18"/>
                <w:color w:val="auto"/>
              </w:rPr>
            </w:pPr>
          </w:p>
        </w:tc>
        <w:tc>
          <w:tcPr>
            <w:tcW w:w="13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8.8 %</w:t>
            </w:r>
          </w:p>
        </w:tc>
        <w:tc>
          <w:tcPr>
            <w:tcW w:w="0" w:type="dxa"/>
            <w:vAlign w:val="bottom"/>
          </w:tcPr>
          <w:p>
            <w:pPr>
              <w:spacing w:after="0"/>
              <w:rPr>
                <w:sz w:val="1"/>
                <w:szCs w:val="1"/>
                <w:color w:val="auto"/>
              </w:rPr>
            </w:pPr>
          </w:p>
        </w:tc>
      </w:tr>
      <w:tr>
        <w:trPr>
          <w:trHeight w:val="214"/>
        </w:trPr>
        <w:tc>
          <w:tcPr>
            <w:tcW w:w="3500" w:type="dxa"/>
            <w:vAlign w:val="bottom"/>
          </w:tcPr>
          <w:p>
            <w:pPr>
              <w:ind w:left="20"/>
              <w:spacing w:after="0"/>
              <w:rPr>
                <w:sz w:val="20"/>
                <w:szCs w:val="20"/>
                <w:color w:val="auto"/>
              </w:rPr>
            </w:pPr>
            <w:r>
              <w:rPr>
                <w:rFonts w:ascii="Times New Roman" w:cs="Times New Roman" w:eastAsia="Times New Roman" w:hAnsi="Times New Roman"/>
                <w:sz w:val="16"/>
                <w:szCs w:val="16"/>
                <w:color w:val="auto"/>
              </w:rPr>
              <w:t>Software development costs and royalties (1)</w:t>
            </w:r>
          </w:p>
        </w:tc>
        <w:tc>
          <w:tcPr>
            <w:tcW w:w="22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374,332</w:t>
            </w:r>
          </w:p>
        </w:tc>
        <w:tc>
          <w:tcPr>
            <w:tcW w:w="10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14.8 %</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451,422</w:t>
            </w:r>
          </w:p>
        </w:tc>
        <w:tc>
          <w:tcPr>
            <w:tcW w:w="14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19.4 %</w:t>
            </w:r>
          </w:p>
        </w:tc>
        <w:tc>
          <w:tcPr>
            <w:tcW w:w="1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(77,090)</w:t>
            </w:r>
          </w:p>
        </w:tc>
        <w:tc>
          <w:tcPr>
            <w:tcW w:w="10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(17.1)%</w:t>
            </w:r>
          </w:p>
        </w:tc>
        <w:tc>
          <w:tcPr>
            <w:tcW w:w="0" w:type="dxa"/>
            <w:vAlign w:val="bottom"/>
          </w:tcPr>
          <w:p>
            <w:pPr>
              <w:spacing w:after="0"/>
              <w:rPr>
                <w:sz w:val="1"/>
                <w:szCs w:val="1"/>
                <w:color w:val="auto"/>
              </w:rPr>
            </w:pPr>
          </w:p>
        </w:tc>
      </w:tr>
      <w:tr>
        <w:trPr>
          <w:trHeight w:val="218"/>
        </w:trPr>
        <w:tc>
          <w:tcPr>
            <w:tcW w:w="35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Internal royalties</w:t>
            </w:r>
          </w:p>
        </w:tc>
        <w:tc>
          <w:tcPr>
            <w:tcW w:w="22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b w:val="1"/>
                <w:bCs w:val="1"/>
                <w:color w:val="auto"/>
              </w:rPr>
              <w:t>479,524</w:t>
            </w:r>
          </w:p>
        </w:tc>
        <w:tc>
          <w:tcPr>
            <w:tcW w:w="10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b w:val="1"/>
                <w:bCs w:val="1"/>
                <w:color w:val="auto"/>
              </w:rPr>
              <w:t>18.9 %</w:t>
            </w: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339,312</w:t>
            </w:r>
          </w:p>
        </w:tc>
        <w:tc>
          <w:tcPr>
            <w:tcW w:w="140" w:type="dxa"/>
            <w:vAlign w:val="bottom"/>
            <w:shd w:val="clear" w:color="auto" w:fill="CCEEFF"/>
          </w:tcPr>
          <w:p>
            <w:pPr>
              <w:spacing w:after="0"/>
              <w:rPr>
                <w:sz w:val="18"/>
                <w:szCs w:val="18"/>
                <w:color w:val="auto"/>
              </w:rPr>
            </w:pPr>
          </w:p>
        </w:tc>
        <w:tc>
          <w:tcPr>
            <w:tcW w:w="1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14.6 %</w:t>
            </w:r>
          </w:p>
        </w:tc>
        <w:tc>
          <w:tcPr>
            <w:tcW w:w="1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140,212</w:t>
            </w:r>
          </w:p>
        </w:tc>
        <w:tc>
          <w:tcPr>
            <w:tcW w:w="100" w:type="dxa"/>
            <w:vAlign w:val="bottom"/>
            <w:shd w:val="clear" w:color="auto" w:fill="CCEEFF"/>
          </w:tcPr>
          <w:p>
            <w:pPr>
              <w:spacing w:after="0"/>
              <w:rPr>
                <w:sz w:val="18"/>
                <w:szCs w:val="18"/>
                <w:color w:val="auto"/>
              </w:rPr>
            </w:pPr>
          </w:p>
        </w:tc>
        <w:tc>
          <w:tcPr>
            <w:tcW w:w="13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41.3 %</w:t>
            </w:r>
          </w:p>
        </w:tc>
        <w:tc>
          <w:tcPr>
            <w:tcW w:w="0" w:type="dxa"/>
            <w:vAlign w:val="bottom"/>
          </w:tcPr>
          <w:p>
            <w:pPr>
              <w:spacing w:after="0"/>
              <w:rPr>
                <w:sz w:val="1"/>
                <w:szCs w:val="1"/>
                <w:color w:val="auto"/>
              </w:rPr>
            </w:pPr>
          </w:p>
        </w:tc>
      </w:tr>
      <w:tr>
        <w:trPr>
          <w:trHeight w:val="214"/>
        </w:trPr>
        <w:tc>
          <w:tcPr>
            <w:tcW w:w="3500" w:type="dxa"/>
            <w:vAlign w:val="bottom"/>
          </w:tcPr>
          <w:p>
            <w:pPr>
              <w:ind w:left="20"/>
              <w:spacing w:after="0"/>
              <w:rPr>
                <w:sz w:val="20"/>
                <w:szCs w:val="20"/>
                <w:color w:val="auto"/>
              </w:rPr>
            </w:pPr>
            <w:r>
              <w:rPr>
                <w:rFonts w:ascii="Times New Roman" w:cs="Times New Roman" w:eastAsia="Times New Roman" w:hAnsi="Times New Roman"/>
                <w:sz w:val="16"/>
                <w:szCs w:val="16"/>
                <w:color w:val="auto"/>
              </w:rPr>
              <w:t>Product costs</w:t>
            </w:r>
          </w:p>
        </w:tc>
        <w:tc>
          <w:tcPr>
            <w:tcW w:w="22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194,702</w:t>
            </w:r>
          </w:p>
        </w:tc>
        <w:tc>
          <w:tcPr>
            <w:tcW w:w="10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rPr>
              <w:t>7.7 %</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225,162</w:t>
            </w:r>
          </w:p>
        </w:tc>
        <w:tc>
          <w:tcPr>
            <w:tcW w:w="14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9.7 %</w:t>
            </w:r>
          </w:p>
        </w:tc>
        <w:tc>
          <w:tcPr>
            <w:tcW w:w="1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(30,460)</w:t>
            </w:r>
          </w:p>
        </w:tc>
        <w:tc>
          <w:tcPr>
            <w:tcW w:w="10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(13.5)%</w:t>
            </w:r>
          </w:p>
        </w:tc>
        <w:tc>
          <w:tcPr>
            <w:tcW w:w="0" w:type="dxa"/>
            <w:vAlign w:val="bottom"/>
          </w:tcPr>
          <w:p>
            <w:pPr>
              <w:spacing w:after="0"/>
              <w:rPr>
                <w:sz w:val="1"/>
                <w:szCs w:val="1"/>
                <w:color w:val="auto"/>
              </w:rPr>
            </w:pPr>
          </w:p>
        </w:tc>
      </w:tr>
      <w:tr>
        <w:trPr>
          <w:trHeight w:val="218"/>
        </w:trPr>
        <w:tc>
          <w:tcPr>
            <w:tcW w:w="35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Licenses</w:t>
            </w:r>
          </w:p>
        </w:tc>
        <w:tc>
          <w:tcPr>
            <w:tcW w:w="22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b w:val="1"/>
                <w:bCs w:val="1"/>
                <w:color w:val="auto"/>
              </w:rPr>
              <w:t>206,880</w:t>
            </w:r>
          </w:p>
        </w:tc>
        <w:tc>
          <w:tcPr>
            <w:tcW w:w="100" w:type="dxa"/>
            <w:vAlign w:val="bottom"/>
            <w:shd w:val="clear" w:color="auto" w:fill="CCEEFF"/>
          </w:tcPr>
          <w:p>
            <w:pPr>
              <w:spacing w:after="0"/>
              <w:rPr>
                <w:sz w:val="18"/>
                <w:szCs w:val="18"/>
                <w:color w:val="auto"/>
              </w:rPr>
            </w:pPr>
          </w:p>
        </w:tc>
        <w:tc>
          <w:tcPr>
            <w:tcW w:w="13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b w:val="1"/>
                <w:bCs w:val="1"/>
                <w:color w:val="auto"/>
              </w:rPr>
              <w:t>8.2 %</w:t>
            </w:r>
          </w:p>
        </w:tc>
        <w:tc>
          <w:tcPr>
            <w:tcW w:w="10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130,914</w:t>
            </w:r>
          </w:p>
        </w:tc>
        <w:tc>
          <w:tcPr>
            <w:tcW w:w="140" w:type="dxa"/>
            <w:vAlign w:val="bottom"/>
            <w:shd w:val="clear" w:color="auto" w:fill="CCEEFF"/>
          </w:tcPr>
          <w:p>
            <w:pPr>
              <w:spacing w:after="0"/>
              <w:rPr>
                <w:sz w:val="18"/>
                <w:szCs w:val="18"/>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5.6 %</w:t>
            </w:r>
          </w:p>
        </w:tc>
        <w:tc>
          <w:tcPr>
            <w:tcW w:w="120" w:type="dxa"/>
            <w:vAlign w:val="bottom"/>
            <w:shd w:val="clear" w:color="auto" w:fill="CCEEFF"/>
          </w:tcPr>
          <w:p>
            <w:pPr>
              <w:spacing w:after="0"/>
              <w:rPr>
                <w:sz w:val="18"/>
                <w:szCs w:val="18"/>
                <w:color w:val="auto"/>
              </w:rPr>
            </w:pPr>
          </w:p>
        </w:tc>
        <w:tc>
          <w:tcPr>
            <w:tcW w:w="34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75,966</w:t>
            </w:r>
          </w:p>
        </w:tc>
        <w:tc>
          <w:tcPr>
            <w:tcW w:w="100" w:type="dxa"/>
            <w:vAlign w:val="bottom"/>
            <w:shd w:val="clear" w:color="auto" w:fill="CCEEFF"/>
          </w:tcPr>
          <w:p>
            <w:pPr>
              <w:spacing w:after="0"/>
              <w:rPr>
                <w:sz w:val="18"/>
                <w:szCs w:val="18"/>
                <w:color w:val="auto"/>
              </w:rPr>
            </w:pPr>
          </w:p>
        </w:tc>
        <w:tc>
          <w:tcPr>
            <w:tcW w:w="13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58.0 %</w:t>
            </w:r>
          </w:p>
        </w:tc>
        <w:tc>
          <w:tcPr>
            <w:tcW w:w="0" w:type="dxa"/>
            <w:vAlign w:val="bottom"/>
          </w:tcPr>
          <w:p>
            <w:pPr>
              <w:spacing w:after="0"/>
              <w:rPr>
                <w:sz w:val="1"/>
                <w:szCs w:val="1"/>
                <w:color w:val="auto"/>
              </w:rPr>
            </w:pPr>
          </w:p>
        </w:tc>
      </w:tr>
      <w:tr>
        <w:trPr>
          <w:trHeight w:val="208"/>
        </w:trPr>
        <w:tc>
          <w:tcPr>
            <w:tcW w:w="350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6"/>
                <w:szCs w:val="16"/>
                <w:color w:val="auto"/>
              </w:rPr>
              <w:t>Cost of goods sold</w:t>
            </w:r>
          </w:p>
        </w:tc>
        <w:tc>
          <w:tcPr>
            <w:tcW w:w="22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1,255,438</w:t>
            </w:r>
          </w:p>
        </w:tc>
        <w:tc>
          <w:tcPr>
            <w:tcW w:w="100" w:type="dxa"/>
            <w:vAlign w:val="bottom"/>
            <w:tcBorders>
              <w:bottom w:val="single" w:sz="8" w:color="CCEEFF"/>
            </w:tcBorders>
          </w:tcPr>
          <w:p>
            <w:pPr>
              <w:spacing w:after="0"/>
              <w:rPr>
                <w:sz w:val="18"/>
                <w:szCs w:val="18"/>
                <w:color w:val="auto"/>
              </w:rPr>
            </w:pPr>
          </w:p>
        </w:tc>
        <w:tc>
          <w:tcPr>
            <w:tcW w:w="13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b w:val="1"/>
                <w:bCs w:val="1"/>
                <w:color w:val="auto"/>
              </w:rPr>
              <w:t>49.6 %</w:t>
            </w:r>
          </w:p>
        </w:tc>
        <w:tc>
          <w:tcPr>
            <w:tcW w:w="100" w:type="dxa"/>
            <w:vAlign w:val="bottom"/>
            <w:tcBorders>
              <w:bottom w:val="single" w:sz="8" w:color="CCEEFF"/>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1,146,810</w:t>
            </w:r>
          </w:p>
        </w:tc>
        <w:tc>
          <w:tcPr>
            <w:tcW w:w="140" w:type="dxa"/>
            <w:vAlign w:val="bottom"/>
            <w:tcBorders>
              <w:bottom w:val="single" w:sz="8" w:color="CCEEFF"/>
            </w:tcBorders>
          </w:tcPr>
          <w:p>
            <w:pPr>
              <w:spacing w:after="0"/>
              <w:rPr>
                <w:sz w:val="18"/>
                <w:szCs w:val="18"/>
                <w:color w:val="auto"/>
              </w:rPr>
            </w:pPr>
          </w:p>
        </w:tc>
        <w:tc>
          <w:tcPr>
            <w:tcW w:w="1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49.3 %</w:t>
            </w:r>
          </w:p>
        </w:tc>
        <w:tc>
          <w:tcPr>
            <w:tcW w:w="120" w:type="dxa"/>
            <w:vAlign w:val="bottom"/>
            <w:tcBorders>
              <w:bottom w:val="single" w:sz="8" w:color="CCEEFF"/>
            </w:tcBorders>
          </w:tcPr>
          <w:p>
            <w:pPr>
              <w:spacing w:after="0"/>
              <w:rPr>
                <w:sz w:val="18"/>
                <w:szCs w:val="18"/>
                <w:color w:val="auto"/>
              </w:rPr>
            </w:pPr>
          </w:p>
        </w:tc>
        <w:tc>
          <w:tcPr>
            <w:tcW w:w="34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108,628</w:t>
            </w:r>
          </w:p>
        </w:tc>
        <w:tc>
          <w:tcPr>
            <w:tcW w:w="100" w:type="dxa"/>
            <w:vAlign w:val="bottom"/>
            <w:tcBorders>
              <w:bottom w:val="single" w:sz="8" w:color="CCEEFF"/>
            </w:tcBorders>
          </w:tcPr>
          <w:p>
            <w:pPr>
              <w:spacing w:after="0"/>
              <w:rPr>
                <w:sz w:val="18"/>
                <w:szCs w:val="18"/>
                <w:color w:val="auto"/>
              </w:rPr>
            </w:pPr>
          </w:p>
        </w:tc>
        <w:tc>
          <w:tcPr>
            <w:tcW w:w="13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9.5 %</w:t>
            </w:r>
          </w:p>
        </w:tc>
        <w:tc>
          <w:tcPr>
            <w:tcW w:w="0" w:type="dxa"/>
            <w:vAlign w:val="bottom"/>
          </w:tcPr>
          <w:p>
            <w:pPr>
              <w:spacing w:after="0"/>
              <w:rPr>
                <w:sz w:val="1"/>
                <w:szCs w:val="1"/>
                <w:color w:val="auto"/>
              </w:rPr>
            </w:pPr>
          </w:p>
        </w:tc>
      </w:tr>
      <w:tr>
        <w:trPr>
          <w:trHeight w:val="210"/>
        </w:trPr>
        <w:tc>
          <w:tcPr>
            <w:tcW w:w="35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6"/>
                <w:szCs w:val="16"/>
                <w:b w:val="1"/>
                <w:bCs w:val="1"/>
                <w:color w:val="auto"/>
              </w:rPr>
              <w:t>Gross profit</w:t>
            </w:r>
          </w:p>
        </w:tc>
        <w:tc>
          <w:tcPr>
            <w:tcW w:w="220" w:type="dxa"/>
            <w:vAlign w:val="bottom"/>
            <w:tcBorders>
              <w:bottom w:val="single" w:sz="8" w:color="auto"/>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b w:val="1"/>
                <w:bCs w:val="1"/>
                <w:color w:val="auto"/>
                <w:w w:val="99"/>
              </w:rPr>
              <w:t>$</w:t>
            </w:r>
          </w:p>
        </w:tc>
        <w:tc>
          <w:tcPr>
            <w:tcW w:w="8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b w:val="1"/>
                <w:bCs w:val="1"/>
                <w:color w:val="auto"/>
              </w:rPr>
              <w:t>1,277,903</w:t>
            </w:r>
          </w:p>
        </w:tc>
        <w:tc>
          <w:tcPr>
            <w:tcW w:w="100" w:type="dxa"/>
            <w:vAlign w:val="bottom"/>
            <w:shd w:val="clear" w:color="auto" w:fill="CCEEFF"/>
          </w:tcPr>
          <w:p>
            <w:pPr>
              <w:spacing w:after="0"/>
              <w:rPr>
                <w:sz w:val="18"/>
                <w:szCs w:val="18"/>
                <w:color w:val="auto"/>
              </w:rPr>
            </w:pPr>
          </w:p>
        </w:tc>
        <w:tc>
          <w:tcPr>
            <w:tcW w:w="13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b w:val="1"/>
                <w:bCs w:val="1"/>
                <w:color w:val="auto"/>
              </w:rPr>
              <w:t>50.4 %</w:t>
            </w:r>
          </w:p>
        </w:tc>
        <w:tc>
          <w:tcPr>
            <w:tcW w:w="10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jc w:val="right"/>
              <w:ind w:right="59"/>
              <w:spacing w:after="0"/>
              <w:rPr>
                <w:sz w:val="20"/>
                <w:szCs w:val="20"/>
                <w:color w:val="auto"/>
              </w:rPr>
            </w:pPr>
            <w:r>
              <w:rPr>
                <w:rFonts w:ascii="Times New Roman" w:cs="Times New Roman" w:eastAsia="Times New Roman" w:hAnsi="Times New Roman"/>
                <w:sz w:val="16"/>
                <w:szCs w:val="16"/>
                <w:color w:val="auto"/>
                <w:w w:val="99"/>
              </w:rPr>
              <w:t>$</w:t>
            </w:r>
          </w:p>
        </w:tc>
        <w:tc>
          <w:tcPr>
            <w:tcW w:w="8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1,181,619</w:t>
            </w:r>
          </w:p>
        </w:tc>
        <w:tc>
          <w:tcPr>
            <w:tcW w:w="140" w:type="dxa"/>
            <w:vAlign w:val="bottom"/>
            <w:shd w:val="clear" w:color="auto" w:fill="CCEEFF"/>
          </w:tcPr>
          <w:p>
            <w:pPr>
              <w:spacing w:after="0"/>
              <w:rPr>
                <w:sz w:val="18"/>
                <w:szCs w:val="18"/>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50.7 %</w:t>
            </w:r>
          </w:p>
        </w:tc>
        <w:tc>
          <w:tcPr>
            <w:tcW w:w="120" w:type="dxa"/>
            <w:vAlign w:val="bottom"/>
            <w:shd w:val="clear" w:color="auto" w:fill="CCEEFF"/>
          </w:tcPr>
          <w:p>
            <w:pPr>
              <w:spacing w:after="0"/>
              <w:rPr>
                <w:sz w:val="18"/>
                <w:szCs w:val="18"/>
                <w:color w:val="auto"/>
              </w:rPr>
            </w:pPr>
          </w:p>
        </w:tc>
        <w:tc>
          <w:tcPr>
            <w:tcW w:w="340" w:type="dxa"/>
            <w:vAlign w:val="bottom"/>
            <w:tcBorders>
              <w:bottom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w:t>
            </w:r>
          </w:p>
        </w:tc>
        <w:tc>
          <w:tcPr>
            <w:tcW w:w="8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96,284</w:t>
            </w:r>
          </w:p>
        </w:tc>
        <w:tc>
          <w:tcPr>
            <w:tcW w:w="100" w:type="dxa"/>
            <w:vAlign w:val="bottom"/>
            <w:shd w:val="clear" w:color="auto" w:fill="CCEEFF"/>
          </w:tcPr>
          <w:p>
            <w:pPr>
              <w:spacing w:after="0"/>
              <w:rPr>
                <w:sz w:val="18"/>
                <w:szCs w:val="18"/>
                <w:color w:val="auto"/>
              </w:rPr>
            </w:pPr>
          </w:p>
        </w:tc>
        <w:tc>
          <w:tcPr>
            <w:tcW w:w="13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8.1 %</w:t>
            </w:r>
          </w:p>
        </w:tc>
        <w:tc>
          <w:tcPr>
            <w:tcW w:w="0" w:type="dxa"/>
            <w:vAlign w:val="bottom"/>
          </w:tcPr>
          <w:p>
            <w:pPr>
              <w:spacing w:after="0"/>
              <w:rPr>
                <w:sz w:val="1"/>
                <w:szCs w:val="1"/>
                <w:color w:val="auto"/>
              </w:rPr>
            </w:pPr>
          </w:p>
        </w:tc>
      </w:tr>
    </w:tbl>
    <w:p>
      <w:pPr>
        <w:spacing w:after="0" w:line="114" w:lineRule="exact"/>
        <w:rPr>
          <w:sz w:val="20"/>
          <w:szCs w:val="20"/>
          <w:color w:val="auto"/>
        </w:rPr>
      </w:pPr>
    </w:p>
    <w:p>
      <w:pPr>
        <w:ind w:left="640" w:hanging="308"/>
        <w:spacing w:after="0"/>
        <w:tabs>
          <w:tab w:leader="none" w:pos="640" w:val="left"/>
        </w:tabs>
        <w:numPr>
          <w:ilvl w:val="0"/>
          <w:numId w:val="8"/>
        </w:numPr>
        <w:rPr>
          <w:rFonts w:ascii="Times New Roman" w:cs="Times New Roman" w:eastAsia="Times New Roman" w:hAnsi="Times New Roman"/>
          <w:sz w:val="23"/>
          <w:szCs w:val="23"/>
          <w:color w:val="auto"/>
          <w:vertAlign w:val="superscript"/>
        </w:rPr>
      </w:pPr>
      <w:r>
        <w:rPr>
          <w:rFonts w:ascii="Times New Roman" w:cs="Times New Roman" w:eastAsia="Times New Roman" w:hAnsi="Times New Roman"/>
          <w:sz w:val="18"/>
          <w:szCs w:val="18"/>
          <w:color w:val="auto"/>
        </w:rPr>
        <w:t>Includes $61,529 and $91,678 of stock-based compensation expense in 2020 and 2019, respectively, in software development costs and royalties.</w:t>
      </w:r>
    </w:p>
    <w:p>
      <w:pPr>
        <w:spacing w:after="0" w:line="130" w:lineRule="exact"/>
        <w:rPr>
          <w:sz w:val="20"/>
          <w:szCs w:val="20"/>
          <w:color w:val="auto"/>
        </w:rPr>
      </w:pPr>
    </w:p>
    <w:p>
      <w:pPr>
        <w:jc w:val="both"/>
        <w:ind w:firstLine="445"/>
        <w:spacing w:after="0" w:line="255" w:lineRule="auto"/>
        <w:rPr>
          <w:sz w:val="20"/>
          <w:szCs w:val="20"/>
          <w:color w:val="auto"/>
        </w:rPr>
      </w:pPr>
      <w:r>
        <w:rPr>
          <w:rFonts w:ascii="Times New Roman" w:cs="Times New Roman" w:eastAsia="Times New Roman" w:hAnsi="Times New Roman"/>
          <w:sz w:val="18"/>
          <w:szCs w:val="18"/>
          <w:color w:val="auto"/>
        </w:rPr>
        <w:t xml:space="preserve">For the nine months ended December 31, 2020, net revenue increased by $204.9 million as compared to the prior year period. The increase was due primarily to an increase in net revenue of (i) $258.9 million from our </w:t>
      </w:r>
      <w:r>
        <w:rPr>
          <w:rFonts w:ascii="Times New Roman" w:cs="Times New Roman" w:eastAsia="Times New Roman" w:hAnsi="Times New Roman"/>
          <w:sz w:val="18"/>
          <w:szCs w:val="18"/>
          <w:i w:val="1"/>
          <w:iCs w:val="1"/>
          <w:color w:val="auto"/>
        </w:rPr>
        <w:t>NBA 2K</w:t>
      </w:r>
      <w:r>
        <w:rPr>
          <w:rFonts w:ascii="Times New Roman" w:cs="Times New Roman" w:eastAsia="Times New Roman" w:hAnsi="Times New Roman"/>
          <w:sz w:val="18"/>
          <w:szCs w:val="18"/>
          <w:color w:val="auto"/>
        </w:rPr>
        <w:t xml:space="preserve"> franchise</w:t>
      </w:r>
      <w:r>
        <w:rPr>
          <w:rFonts w:ascii="Times New Roman" w:cs="Times New Roman" w:eastAsia="Times New Roman" w:hAnsi="Times New Roman"/>
          <w:sz w:val="18"/>
          <w:szCs w:val="18"/>
          <w:i w:val="1"/>
          <w:iCs w:val="1"/>
          <w:color w:val="auto"/>
        </w:rPr>
        <w:t>,</w:t>
      </w:r>
      <w:r>
        <w:rPr>
          <w:rFonts w:ascii="Times New Roman" w:cs="Times New Roman" w:eastAsia="Times New Roman" w:hAnsi="Times New Roman"/>
          <w:sz w:val="18"/>
          <w:szCs w:val="18"/>
          <w:color w:val="auto"/>
        </w:rPr>
        <w:t xml:space="preserve"> (ii) $227.0 million from </w:t>
      </w:r>
      <w:r>
        <w:rPr>
          <w:rFonts w:ascii="Times New Roman" w:cs="Times New Roman" w:eastAsia="Times New Roman" w:hAnsi="Times New Roman"/>
          <w:sz w:val="18"/>
          <w:szCs w:val="18"/>
          <w:i w:val="1"/>
          <w:iCs w:val="1"/>
          <w:color w:val="auto"/>
        </w:rPr>
        <w:t>Grand Theft Auto Online</w:t>
      </w:r>
      <w:r>
        <w:rPr>
          <w:rFonts w:ascii="Times New Roman" w:cs="Times New Roman" w:eastAsia="Times New Roman" w:hAnsi="Times New Roman"/>
          <w:sz w:val="18"/>
          <w:szCs w:val="18"/>
          <w:color w:val="auto"/>
        </w:rPr>
        <w:t xml:space="preserve"> and </w:t>
      </w:r>
      <w:r>
        <w:rPr>
          <w:rFonts w:ascii="Times New Roman" w:cs="Times New Roman" w:eastAsia="Times New Roman" w:hAnsi="Times New Roman"/>
          <w:sz w:val="18"/>
          <w:szCs w:val="18"/>
          <w:i w:val="1"/>
          <w:iCs w:val="1"/>
          <w:color w:val="auto"/>
        </w:rPr>
        <w:t>Grand Theft</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 xml:space="preserve">Auto V, </w:t>
      </w:r>
      <w:r>
        <w:rPr>
          <w:rFonts w:ascii="Times New Roman" w:cs="Times New Roman" w:eastAsia="Times New Roman" w:hAnsi="Times New Roman"/>
          <w:sz w:val="18"/>
          <w:szCs w:val="18"/>
          <w:color w:val="auto"/>
        </w:rPr>
        <w:t>(iii) $68.6 million from our</w:t>
      </w:r>
      <w:r>
        <w:rPr>
          <w:rFonts w:ascii="Times New Roman" w:cs="Times New Roman" w:eastAsia="Times New Roman" w:hAnsi="Times New Roman"/>
          <w:sz w:val="18"/>
          <w:szCs w:val="18"/>
          <w:i w:val="1"/>
          <w:iCs w:val="1"/>
          <w:color w:val="auto"/>
        </w:rPr>
        <w:t xml:space="preserve"> Mafia </w:t>
      </w:r>
      <w:r>
        <w:rPr>
          <w:rFonts w:ascii="Times New Roman" w:cs="Times New Roman" w:eastAsia="Times New Roman" w:hAnsi="Times New Roman"/>
          <w:sz w:val="18"/>
          <w:szCs w:val="18"/>
          <w:color w:val="auto"/>
        </w:rPr>
        <w:t>franchise, (iv) $52.4 million from</w:t>
      </w:r>
      <w:r>
        <w:rPr>
          <w:rFonts w:ascii="Times New Roman" w:cs="Times New Roman" w:eastAsia="Times New Roman" w:hAnsi="Times New Roman"/>
          <w:sz w:val="18"/>
          <w:szCs w:val="18"/>
          <w:i w:val="1"/>
          <w:iCs w:val="1"/>
          <w:color w:val="auto"/>
        </w:rPr>
        <w:t xml:space="preserve"> PGA TOUR 2K21, </w:t>
      </w:r>
      <w:r>
        <w:rPr>
          <w:rFonts w:ascii="Times New Roman" w:cs="Times New Roman" w:eastAsia="Times New Roman" w:hAnsi="Times New Roman"/>
          <w:sz w:val="18"/>
          <w:szCs w:val="18"/>
          <w:color w:val="auto"/>
        </w:rPr>
        <w:t>which released in August 2020</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and (vi) $24.7 million from</w:t>
      </w:r>
      <w:r>
        <w:rPr>
          <w:rFonts w:ascii="Times New Roman" w:cs="Times New Roman" w:eastAsia="Times New Roman" w:hAnsi="Times New Roman"/>
          <w:sz w:val="18"/>
          <w:szCs w:val="18"/>
          <w:i w:val="1"/>
          <w:iCs w:val="1"/>
          <w:color w:val="auto"/>
        </w:rPr>
        <w:t xml:space="preserve"> Red Dead Online. </w:t>
      </w:r>
      <w:r>
        <w:rPr>
          <w:rFonts w:ascii="Times New Roman" w:cs="Times New Roman" w:eastAsia="Times New Roman" w:hAnsi="Times New Roman"/>
          <w:sz w:val="18"/>
          <w:szCs w:val="18"/>
          <w:color w:val="auto"/>
        </w:rPr>
        <w:t>These increases were offset by a decrease in net revenue of (i) $193.6 million from</w:t>
      </w:r>
      <w:r>
        <w:rPr>
          <w:rFonts w:ascii="Times New Roman" w:cs="Times New Roman" w:eastAsia="Times New Roman" w:hAnsi="Times New Roman"/>
          <w:sz w:val="18"/>
          <w:szCs w:val="18"/>
          <w:i w:val="1"/>
          <w:iCs w:val="1"/>
          <w:color w:val="auto"/>
        </w:rPr>
        <w:t xml:space="preserve"> Borderlands 3, </w:t>
      </w:r>
      <w:r>
        <w:rPr>
          <w:rFonts w:ascii="Times New Roman" w:cs="Times New Roman" w:eastAsia="Times New Roman" w:hAnsi="Times New Roman"/>
          <w:sz w:val="18"/>
          <w:szCs w:val="18"/>
          <w:color w:val="auto"/>
        </w:rPr>
        <w:t>which released in September 2019,</w:t>
      </w:r>
    </w:p>
    <w:p>
      <w:pPr>
        <w:spacing w:after="0" w:line="3" w:lineRule="exact"/>
        <w:rPr>
          <w:sz w:val="20"/>
          <w:szCs w:val="20"/>
          <w:color w:val="auto"/>
        </w:rPr>
      </w:pPr>
    </w:p>
    <w:p>
      <w:pPr>
        <w:ind w:right="20" w:firstLine="8"/>
        <w:spacing w:after="0" w:line="260" w:lineRule="auto"/>
        <w:tabs>
          <w:tab w:leader="none" w:pos="265"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$134.3 million from </w:t>
      </w:r>
      <w:r>
        <w:rPr>
          <w:rFonts w:ascii="Times New Roman" w:cs="Times New Roman" w:eastAsia="Times New Roman" w:hAnsi="Times New Roman"/>
          <w:sz w:val="18"/>
          <w:szCs w:val="18"/>
          <w:i w:val="1"/>
          <w:iCs w:val="1"/>
          <w:color w:val="auto"/>
        </w:rPr>
        <w:t>Red Dead Redemption 2,</w:t>
      </w:r>
      <w:r>
        <w:rPr>
          <w:rFonts w:ascii="Times New Roman" w:cs="Times New Roman" w:eastAsia="Times New Roman" w:hAnsi="Times New Roman"/>
          <w:sz w:val="18"/>
          <w:szCs w:val="18"/>
          <w:color w:val="auto"/>
        </w:rPr>
        <w:t xml:space="preserve"> which released on PC in November 2019, and (iii) $126.3 million from </w:t>
      </w:r>
      <w:r>
        <w:rPr>
          <w:rFonts w:ascii="Times New Roman" w:cs="Times New Roman" w:eastAsia="Times New Roman" w:hAnsi="Times New Roman"/>
          <w:sz w:val="18"/>
          <w:szCs w:val="18"/>
          <w:i w:val="1"/>
          <w:iCs w:val="1"/>
          <w:color w:val="auto"/>
        </w:rPr>
        <w:t>The Outer Worlds,</w:t>
      </w:r>
      <w:r>
        <w:rPr>
          <w:rFonts w:ascii="Times New Roman" w:cs="Times New Roman" w:eastAsia="Times New Roman" w:hAnsi="Times New Roman"/>
          <w:sz w:val="18"/>
          <w:szCs w:val="18"/>
          <w:color w:val="auto"/>
        </w:rPr>
        <w:t xml:space="preserve"> which released in October 2019.</w:t>
      </w:r>
    </w:p>
    <w:p>
      <w:pPr>
        <w:spacing w:after="0" w:line="114" w:lineRule="exact"/>
        <w:rPr>
          <w:sz w:val="20"/>
          <w:szCs w:val="20"/>
          <w:color w:val="auto"/>
        </w:rPr>
      </w:pPr>
    </w:p>
    <w:p>
      <w:pPr>
        <w:jc w:val="both"/>
        <w:ind w:firstLine="445"/>
        <w:spacing w:after="0" w:line="255" w:lineRule="auto"/>
        <w:rPr>
          <w:sz w:val="20"/>
          <w:szCs w:val="20"/>
          <w:color w:val="auto"/>
        </w:rPr>
      </w:pPr>
      <w:r>
        <w:rPr>
          <w:rFonts w:ascii="Times New Roman" w:cs="Times New Roman" w:eastAsia="Times New Roman" w:hAnsi="Times New Roman"/>
          <w:sz w:val="18"/>
          <w:szCs w:val="18"/>
          <w:color w:val="auto"/>
        </w:rPr>
        <w:t xml:space="preserve">Net revenue from console games increased by $142.6 million and accounted for 75.4% of our total net revenue for the nine months ended December 31, 2020, as compared to 75.9% for the prior year period. The increase was due to an increase in net revenue from our </w:t>
      </w:r>
      <w:r>
        <w:rPr>
          <w:rFonts w:ascii="Times New Roman" w:cs="Times New Roman" w:eastAsia="Times New Roman" w:hAnsi="Times New Roman"/>
          <w:sz w:val="18"/>
          <w:szCs w:val="18"/>
          <w:i w:val="1"/>
          <w:iCs w:val="1"/>
          <w:color w:val="auto"/>
        </w:rPr>
        <w:t>NBA 2K</w:t>
      </w:r>
      <w:r>
        <w:rPr>
          <w:rFonts w:ascii="Times New Roman" w:cs="Times New Roman" w:eastAsia="Times New Roman" w:hAnsi="Times New Roman"/>
          <w:sz w:val="18"/>
          <w:szCs w:val="18"/>
          <w:color w:val="auto"/>
        </w:rPr>
        <w:t xml:space="preserve"> franchise, </w:t>
      </w:r>
      <w:r>
        <w:rPr>
          <w:rFonts w:ascii="Times New Roman" w:cs="Times New Roman" w:eastAsia="Times New Roman" w:hAnsi="Times New Roman"/>
          <w:sz w:val="18"/>
          <w:szCs w:val="18"/>
          <w:i w:val="1"/>
          <w:iCs w:val="1"/>
          <w:color w:val="auto"/>
        </w:rPr>
        <w:t>Grand Theft Auto</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 xml:space="preserve">Online, </w:t>
      </w:r>
      <w:r>
        <w:rPr>
          <w:rFonts w:ascii="Times New Roman" w:cs="Times New Roman" w:eastAsia="Times New Roman" w:hAnsi="Times New Roman"/>
          <w:sz w:val="18"/>
          <w:szCs w:val="18"/>
          <w:color w:val="auto"/>
        </w:rPr>
        <w:t>our</w:t>
      </w:r>
      <w:r>
        <w:rPr>
          <w:rFonts w:ascii="Times New Roman" w:cs="Times New Roman" w:eastAsia="Times New Roman" w:hAnsi="Times New Roman"/>
          <w:sz w:val="18"/>
          <w:szCs w:val="18"/>
          <w:i w:val="1"/>
          <w:iCs w:val="1"/>
          <w:color w:val="auto"/>
        </w:rPr>
        <w:t xml:space="preserve"> Mafia </w:t>
      </w:r>
      <w:r>
        <w:rPr>
          <w:rFonts w:ascii="Times New Roman" w:cs="Times New Roman" w:eastAsia="Times New Roman" w:hAnsi="Times New Roman"/>
          <w:sz w:val="18"/>
          <w:szCs w:val="18"/>
          <w:color w:val="auto"/>
        </w:rPr>
        <w:t>franchise, and</w:t>
      </w:r>
      <w:r>
        <w:rPr>
          <w:rFonts w:ascii="Times New Roman" w:cs="Times New Roman" w:eastAsia="Times New Roman" w:hAnsi="Times New Roman"/>
          <w:sz w:val="18"/>
          <w:szCs w:val="18"/>
          <w:i w:val="1"/>
          <w:iCs w:val="1"/>
          <w:color w:val="auto"/>
        </w:rPr>
        <w:t xml:space="preserve"> PGA TOUR 2K21, </w:t>
      </w:r>
      <w:r>
        <w:rPr>
          <w:rFonts w:ascii="Times New Roman" w:cs="Times New Roman" w:eastAsia="Times New Roman" w:hAnsi="Times New Roman"/>
          <w:sz w:val="18"/>
          <w:szCs w:val="18"/>
          <w:color w:val="auto"/>
        </w:rPr>
        <w:t>partially offset by a decrease in net revenue from</w:t>
      </w:r>
      <w:r>
        <w:rPr>
          <w:rFonts w:ascii="Times New Roman" w:cs="Times New Roman" w:eastAsia="Times New Roman" w:hAnsi="Times New Roman"/>
          <w:sz w:val="18"/>
          <w:szCs w:val="18"/>
          <w:i w:val="1"/>
          <w:iCs w:val="1"/>
          <w:color w:val="auto"/>
        </w:rPr>
        <w:t xml:space="preserve"> Borderlands 3, Red Dead Redemption 2, </w:t>
      </w:r>
      <w:r>
        <w:rPr>
          <w:rFonts w:ascii="Times New Roman" w:cs="Times New Roman" w:eastAsia="Times New Roman" w:hAnsi="Times New Roman"/>
          <w:sz w:val="18"/>
          <w:szCs w:val="18"/>
          <w:color w:val="auto"/>
        </w:rPr>
        <w:t>and</w:t>
      </w:r>
      <w:r>
        <w:rPr>
          <w:rFonts w:ascii="Times New Roman" w:cs="Times New Roman" w:eastAsia="Times New Roman" w:hAnsi="Times New Roman"/>
          <w:sz w:val="18"/>
          <w:szCs w:val="18"/>
          <w:i w:val="1"/>
          <w:iCs w:val="1"/>
          <w:color w:val="auto"/>
        </w:rPr>
        <w:t xml:space="preserve"> The Outer Worlds. </w:t>
      </w:r>
      <w:r>
        <w:rPr>
          <w:rFonts w:ascii="Times New Roman" w:cs="Times New Roman" w:eastAsia="Times New Roman" w:hAnsi="Times New Roman"/>
          <w:sz w:val="18"/>
          <w:szCs w:val="18"/>
          <w:color w:val="auto"/>
        </w:rPr>
        <w:t>Net revenue from PC and other increased by $62.3 million and accounted for 24.6% of our total net revenue for the nine months ended</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 xml:space="preserve">December 31, 2020, as compared to 24.1% for the prior year period. The increase was due to an increase in net revenue from </w:t>
      </w:r>
      <w:r>
        <w:rPr>
          <w:rFonts w:ascii="Times New Roman" w:cs="Times New Roman" w:eastAsia="Times New Roman" w:hAnsi="Times New Roman"/>
          <w:sz w:val="18"/>
          <w:szCs w:val="18"/>
          <w:i w:val="1"/>
          <w:iCs w:val="1"/>
          <w:color w:val="auto"/>
        </w:rPr>
        <w:t>Grand Theft Auto V</w:t>
      </w:r>
      <w:r>
        <w:rPr>
          <w:rFonts w:ascii="Times New Roman" w:cs="Times New Roman" w:eastAsia="Times New Roman" w:hAnsi="Times New Roman"/>
          <w:sz w:val="18"/>
          <w:szCs w:val="18"/>
          <w:color w:val="auto"/>
        </w:rPr>
        <w:t xml:space="preserve"> and </w:t>
      </w:r>
      <w:r>
        <w:rPr>
          <w:rFonts w:ascii="Times New Roman" w:cs="Times New Roman" w:eastAsia="Times New Roman" w:hAnsi="Times New Roman"/>
          <w:sz w:val="18"/>
          <w:szCs w:val="18"/>
          <w:i w:val="1"/>
          <w:iCs w:val="1"/>
          <w:color w:val="auto"/>
        </w:rPr>
        <w:t xml:space="preserve">Grand Theft Auto Online, </w:t>
      </w:r>
      <w:r>
        <w:rPr>
          <w:rFonts w:ascii="Times New Roman" w:cs="Times New Roman" w:eastAsia="Times New Roman" w:hAnsi="Times New Roman"/>
          <w:sz w:val="18"/>
          <w:szCs w:val="18"/>
          <w:color w:val="auto"/>
        </w:rPr>
        <w:t>our</w:t>
      </w:r>
      <w:r>
        <w:rPr>
          <w:rFonts w:ascii="Times New Roman" w:cs="Times New Roman" w:eastAsia="Times New Roman" w:hAnsi="Times New Roman"/>
          <w:sz w:val="18"/>
          <w:szCs w:val="18"/>
          <w:i w:val="1"/>
          <w:iCs w:val="1"/>
          <w:color w:val="auto"/>
        </w:rPr>
        <w:t xml:space="preserve"> NBA 2K </w:t>
      </w:r>
      <w:r>
        <w:rPr>
          <w:rFonts w:ascii="Times New Roman" w:cs="Times New Roman" w:eastAsia="Times New Roman" w:hAnsi="Times New Roman"/>
          <w:sz w:val="18"/>
          <w:szCs w:val="18"/>
          <w:color w:val="auto"/>
        </w:rPr>
        <w:t>franchise,</w:t>
      </w:r>
      <w:r>
        <w:rPr>
          <w:rFonts w:ascii="Times New Roman" w:cs="Times New Roman" w:eastAsia="Times New Roman" w:hAnsi="Times New Roman"/>
          <w:sz w:val="18"/>
          <w:szCs w:val="18"/>
          <w:i w:val="1"/>
          <w:iCs w:val="1"/>
          <w:color w:val="auto"/>
        </w:rPr>
        <w:t xml:space="preserve"> Civilization VI, Dragon City, </w:t>
      </w:r>
      <w:r>
        <w:rPr>
          <w:rFonts w:ascii="Times New Roman" w:cs="Times New Roman" w:eastAsia="Times New Roman" w:hAnsi="Times New Roman"/>
          <w:sz w:val="18"/>
          <w:szCs w:val="18"/>
          <w:color w:val="auto"/>
        </w:rPr>
        <w:t>our</w:t>
      </w:r>
      <w:r>
        <w:rPr>
          <w:rFonts w:ascii="Times New Roman" w:cs="Times New Roman" w:eastAsia="Times New Roman" w:hAnsi="Times New Roman"/>
          <w:sz w:val="18"/>
          <w:szCs w:val="18"/>
          <w:i w:val="1"/>
          <w:iCs w:val="1"/>
          <w:color w:val="auto"/>
        </w:rPr>
        <w:t xml:space="preserve"> Mafia </w:t>
      </w:r>
      <w:r>
        <w:rPr>
          <w:rFonts w:ascii="Times New Roman" w:cs="Times New Roman" w:eastAsia="Times New Roman" w:hAnsi="Times New Roman"/>
          <w:sz w:val="18"/>
          <w:szCs w:val="18"/>
          <w:color w:val="auto"/>
        </w:rPr>
        <w:t>franchise, and</w:t>
      </w:r>
      <w:r>
        <w:rPr>
          <w:rFonts w:ascii="Times New Roman" w:cs="Times New Roman" w:eastAsia="Times New Roman" w:hAnsi="Times New Roman"/>
          <w:sz w:val="18"/>
          <w:szCs w:val="18"/>
          <w:i w:val="1"/>
          <w:iCs w:val="1"/>
          <w:color w:val="auto"/>
        </w:rPr>
        <w:t xml:space="preserve"> Red Dead Online </w:t>
      </w:r>
      <w:r>
        <w:rPr>
          <w:rFonts w:ascii="Times New Roman" w:cs="Times New Roman" w:eastAsia="Times New Roman" w:hAnsi="Times New Roman"/>
          <w:sz w:val="18"/>
          <w:szCs w:val="18"/>
          <w:color w:val="auto"/>
        </w:rPr>
        <w:t>and</w:t>
      </w:r>
      <w:r>
        <w:rPr>
          <w:rFonts w:ascii="Times New Roman" w:cs="Times New Roman" w:eastAsia="Times New Roman" w:hAnsi="Times New Roman"/>
          <w:sz w:val="18"/>
          <w:szCs w:val="18"/>
          <w:i w:val="1"/>
          <w:iCs w:val="1"/>
          <w:color w:val="auto"/>
        </w:rPr>
        <w:t xml:space="preserve"> Red Dead Redemption 2, </w:t>
      </w:r>
      <w:r>
        <w:rPr>
          <w:rFonts w:ascii="Times New Roman" w:cs="Times New Roman" w:eastAsia="Times New Roman" w:hAnsi="Times New Roman"/>
          <w:sz w:val="18"/>
          <w:szCs w:val="18"/>
          <w:color w:val="auto"/>
        </w:rPr>
        <w:t xml:space="preserve">which released on PC in November 2019, partially offset by a decrease in net revenue from </w:t>
      </w:r>
      <w:r>
        <w:rPr>
          <w:rFonts w:ascii="Times New Roman" w:cs="Times New Roman" w:eastAsia="Times New Roman" w:hAnsi="Times New Roman"/>
          <w:sz w:val="18"/>
          <w:szCs w:val="18"/>
          <w:i w:val="1"/>
          <w:iCs w:val="1"/>
          <w:color w:val="auto"/>
        </w:rPr>
        <w:t>Borderlands 3</w:t>
      </w:r>
      <w:r>
        <w:rPr>
          <w:rFonts w:ascii="Times New Roman" w:cs="Times New Roman" w:eastAsia="Times New Roman" w:hAnsi="Times New Roman"/>
          <w:sz w:val="18"/>
          <w:szCs w:val="18"/>
          <w:color w:val="auto"/>
        </w:rPr>
        <w:t xml:space="preserve"> and </w:t>
      </w:r>
      <w:r>
        <w:rPr>
          <w:rFonts w:ascii="Times New Roman" w:cs="Times New Roman" w:eastAsia="Times New Roman" w:hAnsi="Times New Roman"/>
          <w:sz w:val="18"/>
          <w:szCs w:val="18"/>
          <w:i w:val="1"/>
          <w:iCs w:val="1"/>
          <w:color w:val="auto"/>
        </w:rPr>
        <w:t>The Outer Worlds</w:t>
      </w:r>
      <w:r>
        <w:rPr>
          <w:rFonts w:ascii="Times New Roman" w:cs="Times New Roman" w:eastAsia="Times New Roman" w:hAnsi="Times New Roman"/>
          <w:sz w:val="18"/>
          <w:szCs w:val="18"/>
          <w:color w:val="auto"/>
        </w:rPr>
        <w:t>.</w:t>
      </w:r>
    </w:p>
    <w:p>
      <w:pPr>
        <w:spacing w:after="0" w:line="108" w:lineRule="exact"/>
        <w:rPr>
          <w:sz w:val="20"/>
          <w:szCs w:val="20"/>
          <w:color w:val="auto"/>
        </w:rPr>
      </w:pPr>
    </w:p>
    <w:p>
      <w:pPr>
        <w:jc w:val="both"/>
        <w:ind w:firstLine="445"/>
        <w:spacing w:after="0" w:line="256" w:lineRule="auto"/>
        <w:rPr>
          <w:sz w:val="20"/>
          <w:szCs w:val="20"/>
          <w:color w:val="auto"/>
        </w:rPr>
      </w:pPr>
      <w:r>
        <w:rPr>
          <w:rFonts w:ascii="Times New Roman" w:cs="Times New Roman" w:eastAsia="Times New Roman" w:hAnsi="Times New Roman"/>
          <w:sz w:val="18"/>
          <w:szCs w:val="18"/>
          <w:color w:val="auto"/>
        </w:rPr>
        <w:t xml:space="preserve">Net revenue from digital online channels increased by $422.2 million and accounted for 85.5% of our total net revenue for the nine months ended December 31, 2020, as compared to 74.9% for the prior year period. The increase was due to an increase in net revenue from our </w:t>
      </w:r>
      <w:r>
        <w:rPr>
          <w:rFonts w:ascii="Times New Roman" w:cs="Times New Roman" w:eastAsia="Times New Roman" w:hAnsi="Times New Roman"/>
          <w:sz w:val="18"/>
          <w:szCs w:val="18"/>
          <w:i w:val="1"/>
          <w:iCs w:val="1"/>
          <w:color w:val="auto"/>
        </w:rPr>
        <w:t>NBA 2K</w:t>
      </w:r>
      <w:r>
        <w:rPr>
          <w:rFonts w:ascii="Times New Roman" w:cs="Times New Roman" w:eastAsia="Times New Roman" w:hAnsi="Times New Roman"/>
          <w:sz w:val="18"/>
          <w:szCs w:val="18"/>
          <w:color w:val="auto"/>
        </w:rPr>
        <w:t xml:space="preserve"> franchise, </w:t>
      </w:r>
      <w:r>
        <w:rPr>
          <w:rFonts w:ascii="Times New Roman" w:cs="Times New Roman" w:eastAsia="Times New Roman" w:hAnsi="Times New Roman"/>
          <w:sz w:val="18"/>
          <w:szCs w:val="18"/>
          <w:i w:val="1"/>
          <w:iCs w:val="1"/>
          <w:color w:val="auto"/>
        </w:rPr>
        <w:t>Grand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 xml:space="preserve">Theft Auto Online </w:t>
      </w:r>
      <w:r>
        <w:rPr>
          <w:rFonts w:ascii="Times New Roman" w:cs="Times New Roman" w:eastAsia="Times New Roman" w:hAnsi="Times New Roman"/>
          <w:sz w:val="18"/>
          <w:szCs w:val="18"/>
          <w:color w:val="auto"/>
        </w:rPr>
        <w:t>and</w:t>
      </w:r>
      <w:r>
        <w:rPr>
          <w:rFonts w:ascii="Times New Roman" w:cs="Times New Roman" w:eastAsia="Times New Roman" w:hAnsi="Times New Roman"/>
          <w:sz w:val="18"/>
          <w:szCs w:val="18"/>
          <w:i w:val="1"/>
          <w:iCs w:val="1"/>
          <w:color w:val="auto"/>
        </w:rPr>
        <w:t xml:space="preserve"> Grand Theft Auto V, </w:t>
      </w:r>
      <w:r>
        <w:rPr>
          <w:rFonts w:ascii="Times New Roman" w:cs="Times New Roman" w:eastAsia="Times New Roman" w:hAnsi="Times New Roman"/>
          <w:sz w:val="18"/>
          <w:szCs w:val="18"/>
          <w:color w:val="auto"/>
        </w:rPr>
        <w:t>our</w:t>
      </w:r>
      <w:r>
        <w:rPr>
          <w:rFonts w:ascii="Times New Roman" w:cs="Times New Roman" w:eastAsia="Times New Roman" w:hAnsi="Times New Roman"/>
          <w:sz w:val="18"/>
          <w:szCs w:val="18"/>
          <w:i w:val="1"/>
          <w:iCs w:val="1"/>
          <w:color w:val="auto"/>
        </w:rPr>
        <w:t xml:space="preserve"> Mafia </w:t>
      </w:r>
      <w:r>
        <w:rPr>
          <w:rFonts w:ascii="Times New Roman" w:cs="Times New Roman" w:eastAsia="Times New Roman" w:hAnsi="Times New Roman"/>
          <w:sz w:val="18"/>
          <w:szCs w:val="18"/>
          <w:color w:val="auto"/>
        </w:rPr>
        <w:t>franchise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and</w:t>
      </w:r>
      <w:r>
        <w:rPr>
          <w:rFonts w:ascii="Times New Roman" w:cs="Times New Roman" w:eastAsia="Times New Roman" w:hAnsi="Times New Roman"/>
          <w:sz w:val="18"/>
          <w:szCs w:val="18"/>
          <w:i w:val="1"/>
          <w:iCs w:val="1"/>
          <w:color w:val="auto"/>
        </w:rPr>
        <w:t xml:space="preserve"> PGA TOUR 2K21, </w:t>
      </w:r>
      <w:r>
        <w:rPr>
          <w:rFonts w:ascii="Times New Roman" w:cs="Times New Roman" w:eastAsia="Times New Roman" w:hAnsi="Times New Roman"/>
          <w:sz w:val="18"/>
          <w:szCs w:val="18"/>
          <w:color w:val="auto"/>
        </w:rPr>
        <w:t>partially offset by a decrease in net revenue from</w:t>
      </w:r>
      <w:r>
        <w:rPr>
          <w:rFonts w:ascii="Times New Roman" w:cs="Times New Roman" w:eastAsia="Times New Roman" w:hAnsi="Times New Roman"/>
          <w:sz w:val="18"/>
          <w:szCs w:val="18"/>
          <w:i w:val="1"/>
          <w:iCs w:val="1"/>
          <w:color w:val="auto"/>
        </w:rPr>
        <w:t xml:space="preserve"> Borderlands 3 </w:t>
      </w:r>
      <w:r>
        <w:rPr>
          <w:rFonts w:ascii="Times New Roman" w:cs="Times New Roman" w:eastAsia="Times New Roman" w:hAnsi="Times New Roman"/>
          <w:sz w:val="18"/>
          <w:szCs w:val="18"/>
          <w:color w:val="auto"/>
        </w:rPr>
        <w:t xml:space="preserve">and </w:t>
      </w:r>
      <w:r>
        <w:rPr>
          <w:rFonts w:ascii="Times New Roman" w:cs="Times New Roman" w:eastAsia="Times New Roman" w:hAnsi="Times New Roman"/>
          <w:sz w:val="18"/>
          <w:szCs w:val="18"/>
          <w:i w:val="1"/>
          <w:iCs w:val="1"/>
          <w:color w:val="auto"/>
        </w:rPr>
        <w:t>The Outer Worlds</w:t>
      </w:r>
      <w:r>
        <w:rPr>
          <w:rFonts w:ascii="Times New Roman" w:cs="Times New Roman" w:eastAsia="Times New Roman" w:hAnsi="Times New Roman"/>
          <w:sz w:val="18"/>
          <w:szCs w:val="18"/>
          <w:color w:val="auto"/>
        </w:rPr>
        <w:t xml:space="preserve">. Net revenue from physical retail and other channels decreased by $217.2 million and accounted for 14.5% of our total net revenue for the nine months ended December 31, 2020, as compared to 25.1% for the prior year period. The decrease was due to a decrease in net revenue from </w:t>
      </w:r>
      <w:r>
        <w:rPr>
          <w:rFonts w:ascii="Times New Roman" w:cs="Times New Roman" w:eastAsia="Times New Roman" w:hAnsi="Times New Roman"/>
          <w:sz w:val="18"/>
          <w:szCs w:val="18"/>
          <w:i w:val="1"/>
          <w:iCs w:val="1"/>
          <w:color w:val="auto"/>
        </w:rPr>
        <w:t>Red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 xml:space="preserve">Dead Redemption 2, Borderlands 3, </w:t>
      </w:r>
      <w:r>
        <w:rPr>
          <w:rFonts w:ascii="Times New Roman" w:cs="Times New Roman" w:eastAsia="Times New Roman" w:hAnsi="Times New Roman"/>
          <w:sz w:val="18"/>
          <w:szCs w:val="18"/>
          <w:color w:val="auto"/>
        </w:rPr>
        <w:t>and</w:t>
      </w:r>
      <w:r>
        <w:rPr>
          <w:rFonts w:ascii="Times New Roman" w:cs="Times New Roman" w:eastAsia="Times New Roman" w:hAnsi="Times New Roman"/>
          <w:sz w:val="18"/>
          <w:szCs w:val="18"/>
          <w:i w:val="1"/>
          <w:iCs w:val="1"/>
          <w:color w:val="auto"/>
        </w:rPr>
        <w:t xml:space="preserve"> The Outer Worlds, </w:t>
      </w:r>
      <w:r>
        <w:rPr>
          <w:rFonts w:ascii="Times New Roman" w:cs="Times New Roman" w:eastAsia="Times New Roman" w:hAnsi="Times New Roman"/>
          <w:sz w:val="18"/>
          <w:szCs w:val="18"/>
          <w:color w:val="auto"/>
        </w:rPr>
        <w:t>partially offset by an increase in net revenue from our</w:t>
      </w:r>
      <w:r>
        <w:rPr>
          <w:rFonts w:ascii="Times New Roman" w:cs="Times New Roman" w:eastAsia="Times New Roman" w:hAnsi="Times New Roman"/>
          <w:sz w:val="18"/>
          <w:szCs w:val="18"/>
          <w:i w:val="1"/>
          <w:iCs w:val="1"/>
          <w:color w:val="auto"/>
        </w:rPr>
        <w:t xml:space="preserve"> Mafia </w:t>
      </w:r>
      <w:r>
        <w:rPr>
          <w:rFonts w:ascii="Times New Roman" w:cs="Times New Roman" w:eastAsia="Times New Roman" w:hAnsi="Times New Roman"/>
          <w:sz w:val="18"/>
          <w:szCs w:val="18"/>
          <w:color w:val="auto"/>
        </w:rPr>
        <w:t>franchise.</w:t>
      </w: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4" w:right="339" w:bottom="1440" w:gutter="0" w:footer="0" w:header="0"/>
        </w:sectPr>
      </w:pPr>
    </w:p>
    <w:bookmarkStart w:id="31" w:name="page32"/>
    <w:bookmarkEnd w:id="31"/>
    <w:p>
      <w:pPr>
        <w:spacing w:after="0"/>
        <w:rPr>
          <w:rFonts w:ascii="Times New Roman" w:cs="Times New Roman" w:eastAsia="Times New Roman" w:hAnsi="Times New Roman"/>
          <w:sz w:val="18"/>
          <w:szCs w:val="18"/>
          <w:u w:val="single" w:color="auto"/>
          <w:color w:val="0000FF"/>
        </w:rPr>
      </w:pPr>
      <w:hyperlink w:anchor="page1">
        <w:r>
          <w:rPr>
            <w:rFonts w:ascii="Times New Roman" w:cs="Times New Roman" w:eastAsia="Times New Roman" w:hAnsi="Times New Roman"/>
            <w:sz w:val="18"/>
            <w:szCs w:val="18"/>
            <w:u w:val="single" w:color="auto"/>
            <w:color w:val="0000FF"/>
          </w:rPr>
          <w:t>Table of Contents</w:t>
        </w:r>
      </w:hyperlink>
    </w:p>
    <w:p>
      <w:pPr>
        <w:spacing w:after="0" w:line="200" w:lineRule="exact"/>
        <w:rPr>
          <w:sz w:val="20"/>
          <w:szCs w:val="20"/>
          <w:color w:val="auto"/>
        </w:rPr>
      </w:pPr>
    </w:p>
    <w:p>
      <w:pPr>
        <w:spacing w:after="0" w:line="268" w:lineRule="exact"/>
        <w:rPr>
          <w:sz w:val="20"/>
          <w:szCs w:val="20"/>
          <w:color w:val="auto"/>
        </w:rPr>
      </w:pPr>
    </w:p>
    <w:p>
      <w:pPr>
        <w:jc w:val="both"/>
        <w:ind w:firstLine="445"/>
        <w:spacing w:after="0" w:line="255" w:lineRule="auto"/>
        <w:rPr>
          <w:sz w:val="20"/>
          <w:szCs w:val="20"/>
          <w:color w:val="auto"/>
        </w:rPr>
      </w:pPr>
      <w:r>
        <w:rPr>
          <w:rFonts w:ascii="Times New Roman" w:cs="Times New Roman" w:eastAsia="Times New Roman" w:hAnsi="Times New Roman"/>
          <w:sz w:val="18"/>
          <w:szCs w:val="18"/>
          <w:color w:val="auto"/>
        </w:rPr>
        <w:t xml:space="preserve">Recurrent consumer spending is generated from ongoing consumer engagement and includes revenue from virtual currency, add-on content, and in-game purchases. Net revenue from recurrent consumer spending increased by $534.8 million and accounted for 59.5% of net revenue for the nine months ended December 31, 2020, as compared to 41.8% of net revenue for the prior year period. The increase was due to an increase in net revenue from our </w:t>
      </w:r>
      <w:r>
        <w:rPr>
          <w:rFonts w:ascii="Times New Roman" w:cs="Times New Roman" w:eastAsia="Times New Roman" w:hAnsi="Times New Roman"/>
          <w:sz w:val="18"/>
          <w:szCs w:val="18"/>
          <w:i w:val="1"/>
          <w:iCs w:val="1"/>
          <w:color w:val="auto"/>
        </w:rPr>
        <w:t>NBA</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 xml:space="preserve">2K </w:t>
      </w:r>
      <w:r>
        <w:rPr>
          <w:rFonts w:ascii="Times New Roman" w:cs="Times New Roman" w:eastAsia="Times New Roman" w:hAnsi="Times New Roman"/>
          <w:sz w:val="18"/>
          <w:szCs w:val="18"/>
          <w:color w:val="auto"/>
        </w:rPr>
        <w:t>franchise,</w:t>
      </w:r>
      <w:r>
        <w:rPr>
          <w:rFonts w:ascii="Times New Roman" w:cs="Times New Roman" w:eastAsia="Times New Roman" w:hAnsi="Times New Roman"/>
          <w:sz w:val="18"/>
          <w:szCs w:val="18"/>
          <w:i w:val="1"/>
          <w:iCs w:val="1"/>
          <w:color w:val="auto"/>
        </w:rPr>
        <w:t xml:space="preserve"> Grand Theft Auto Online </w:t>
      </w:r>
      <w:r>
        <w:rPr>
          <w:rFonts w:ascii="Times New Roman" w:cs="Times New Roman" w:eastAsia="Times New Roman" w:hAnsi="Times New Roman"/>
          <w:sz w:val="18"/>
          <w:szCs w:val="18"/>
          <w:color w:val="auto"/>
        </w:rPr>
        <w:t>and</w:t>
      </w:r>
      <w:r>
        <w:rPr>
          <w:rFonts w:ascii="Times New Roman" w:cs="Times New Roman" w:eastAsia="Times New Roman" w:hAnsi="Times New Roman"/>
          <w:sz w:val="18"/>
          <w:szCs w:val="18"/>
          <w:i w:val="1"/>
          <w:iCs w:val="1"/>
          <w:color w:val="auto"/>
        </w:rPr>
        <w:t xml:space="preserve"> Grand Theft Auto V</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 xml:space="preserve"> Red Dead Online, Civilization VI, </w:t>
      </w:r>
      <w:r>
        <w:rPr>
          <w:rFonts w:ascii="Times New Roman" w:cs="Times New Roman" w:eastAsia="Times New Roman" w:hAnsi="Times New Roman"/>
          <w:sz w:val="18"/>
          <w:szCs w:val="18"/>
          <w:color w:val="auto"/>
        </w:rPr>
        <w:t>and</w:t>
      </w:r>
      <w:r>
        <w:rPr>
          <w:rFonts w:ascii="Times New Roman" w:cs="Times New Roman" w:eastAsia="Times New Roman" w:hAnsi="Times New Roman"/>
          <w:sz w:val="18"/>
          <w:szCs w:val="18"/>
          <w:i w:val="1"/>
          <w:iCs w:val="1"/>
          <w:color w:val="auto"/>
        </w:rPr>
        <w:t xml:space="preserve"> Dragon City. </w:t>
      </w:r>
      <w:r>
        <w:rPr>
          <w:rFonts w:ascii="Times New Roman" w:cs="Times New Roman" w:eastAsia="Times New Roman" w:hAnsi="Times New Roman"/>
          <w:sz w:val="18"/>
          <w:szCs w:val="18"/>
          <w:color w:val="auto"/>
        </w:rPr>
        <w:t>Net revenue from full game and other</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 xml:space="preserve">decreased by $329.9 million and accounted for 40.5% of net revenue for the nine months ended December 31, 2020 as compared to 58.2% of net revenue for the prior year period. The decrease was due to a decrease in net revenue from </w:t>
      </w:r>
      <w:r>
        <w:rPr>
          <w:rFonts w:ascii="Times New Roman" w:cs="Times New Roman" w:eastAsia="Times New Roman" w:hAnsi="Times New Roman"/>
          <w:sz w:val="18"/>
          <w:szCs w:val="18"/>
          <w:i w:val="1"/>
          <w:iCs w:val="1"/>
          <w:color w:val="auto"/>
        </w:rPr>
        <w:t>Borderlands 3, Red Dead Redemption 2,</w:t>
      </w:r>
      <w:r>
        <w:rPr>
          <w:rFonts w:ascii="Times New Roman" w:cs="Times New Roman" w:eastAsia="Times New Roman" w:hAnsi="Times New Roman"/>
          <w:sz w:val="18"/>
          <w:szCs w:val="18"/>
          <w:color w:val="auto"/>
        </w:rPr>
        <w:t xml:space="preserve"> and </w:t>
      </w:r>
      <w:r>
        <w:rPr>
          <w:rFonts w:ascii="Times New Roman" w:cs="Times New Roman" w:eastAsia="Times New Roman" w:hAnsi="Times New Roman"/>
          <w:sz w:val="18"/>
          <w:szCs w:val="18"/>
          <w:i w:val="1"/>
          <w:iCs w:val="1"/>
          <w:color w:val="auto"/>
        </w:rPr>
        <w:t>The Outer Worlds,</w:t>
      </w:r>
      <w:r>
        <w:rPr>
          <w:rFonts w:ascii="Times New Roman" w:cs="Times New Roman" w:eastAsia="Times New Roman" w:hAnsi="Times New Roman"/>
          <w:sz w:val="18"/>
          <w:szCs w:val="18"/>
          <w:color w:val="auto"/>
        </w:rPr>
        <w:t xml:space="preserve"> partially offset by an increase in net revenue from our </w:t>
      </w:r>
      <w:r>
        <w:rPr>
          <w:rFonts w:ascii="Times New Roman" w:cs="Times New Roman" w:eastAsia="Times New Roman" w:hAnsi="Times New Roman"/>
          <w:sz w:val="18"/>
          <w:szCs w:val="18"/>
          <w:i w:val="1"/>
          <w:iCs w:val="1"/>
          <w:color w:val="auto"/>
        </w:rPr>
        <w:t>Mafia</w:t>
      </w:r>
      <w:r>
        <w:rPr>
          <w:rFonts w:ascii="Times New Roman" w:cs="Times New Roman" w:eastAsia="Times New Roman" w:hAnsi="Times New Roman"/>
          <w:sz w:val="18"/>
          <w:szCs w:val="18"/>
          <w:color w:val="auto"/>
        </w:rPr>
        <w:t xml:space="preserve"> franchise, and </w:t>
      </w:r>
      <w:r>
        <w:rPr>
          <w:rFonts w:ascii="Times New Roman" w:cs="Times New Roman" w:eastAsia="Times New Roman" w:hAnsi="Times New Roman"/>
          <w:sz w:val="18"/>
          <w:szCs w:val="18"/>
          <w:i w:val="1"/>
          <w:iCs w:val="1"/>
          <w:color w:val="auto"/>
        </w:rPr>
        <w:t>PGA TOUR 2K21</w:t>
      </w:r>
      <w:r>
        <w:rPr>
          <w:rFonts w:ascii="Times New Roman" w:cs="Times New Roman" w:eastAsia="Times New Roman" w:hAnsi="Times New Roman"/>
          <w:sz w:val="18"/>
          <w:szCs w:val="18"/>
          <w:color w:val="auto"/>
        </w:rPr>
        <w:t>.</w:t>
      </w:r>
    </w:p>
    <w:p>
      <w:pPr>
        <w:spacing w:after="0" w:line="108" w:lineRule="exact"/>
        <w:rPr>
          <w:sz w:val="20"/>
          <w:szCs w:val="20"/>
          <w:color w:val="auto"/>
        </w:rPr>
      </w:pPr>
    </w:p>
    <w:p>
      <w:pPr>
        <w:jc w:val="both"/>
        <w:ind w:right="20" w:firstLine="445"/>
        <w:spacing w:after="0" w:line="266" w:lineRule="auto"/>
        <w:rPr>
          <w:sz w:val="20"/>
          <w:szCs w:val="20"/>
          <w:color w:val="auto"/>
        </w:rPr>
      </w:pPr>
      <w:r>
        <w:rPr>
          <w:rFonts w:ascii="Times New Roman" w:cs="Times New Roman" w:eastAsia="Times New Roman" w:hAnsi="Times New Roman"/>
          <w:sz w:val="18"/>
          <w:szCs w:val="18"/>
          <w:color w:val="auto"/>
        </w:rPr>
        <w:t>Gross profit as a percentage of net revenue for the nine months ended December 31, 2020 was 50.4% as compared to 50.7% for the prior year period. The decrease in gross profit as a percentage of net revenue was due to higher internal royalties and license royalties due primarily to the timing of when royalties are earned, partially offset by lower development royalties, capitalized software amortization, and product costs based on the timing of releases.</w:t>
      </w:r>
    </w:p>
    <w:p>
      <w:pPr>
        <w:spacing w:after="0" w:line="108" w:lineRule="exact"/>
        <w:rPr>
          <w:sz w:val="20"/>
          <w:szCs w:val="20"/>
          <w:color w:val="auto"/>
        </w:rPr>
      </w:pPr>
    </w:p>
    <w:p>
      <w:pPr>
        <w:ind w:firstLine="445"/>
        <w:spacing w:after="0" w:line="256" w:lineRule="auto"/>
        <w:rPr>
          <w:sz w:val="20"/>
          <w:szCs w:val="20"/>
          <w:color w:val="auto"/>
        </w:rPr>
      </w:pPr>
      <w:r>
        <w:rPr>
          <w:rFonts w:ascii="Times New Roman" w:cs="Times New Roman" w:eastAsia="Times New Roman" w:hAnsi="Times New Roman"/>
          <w:sz w:val="18"/>
          <w:szCs w:val="18"/>
          <w:color w:val="auto"/>
        </w:rPr>
        <w:t xml:space="preserve">Net revenue earned outside of the United States increased by $64.5 million, and accounted for 40.7% of our total net revenue for the nine months ended December 31, 2020, as compared to 41.5% in the prior year period. The increase in net revenue outside of the United States was due to an increase in net revenue from </w:t>
      </w:r>
      <w:r>
        <w:rPr>
          <w:rFonts w:ascii="Times New Roman" w:cs="Times New Roman" w:eastAsia="Times New Roman" w:hAnsi="Times New Roman"/>
          <w:sz w:val="18"/>
          <w:szCs w:val="18"/>
          <w:i w:val="1"/>
          <w:iCs w:val="1"/>
          <w:color w:val="auto"/>
        </w:rPr>
        <w:t>Grand Theft Auto Online</w:t>
      </w:r>
      <w:r>
        <w:rPr>
          <w:rFonts w:ascii="Times New Roman" w:cs="Times New Roman" w:eastAsia="Times New Roman" w:hAnsi="Times New Roman"/>
          <w:sz w:val="18"/>
          <w:szCs w:val="18"/>
          <w:color w:val="auto"/>
        </w:rPr>
        <w:t xml:space="preserve"> and </w:t>
      </w:r>
      <w:r>
        <w:rPr>
          <w:rFonts w:ascii="Times New Roman" w:cs="Times New Roman" w:eastAsia="Times New Roman" w:hAnsi="Times New Roman"/>
          <w:sz w:val="18"/>
          <w:szCs w:val="18"/>
          <w:i w:val="1"/>
          <w:iCs w:val="1"/>
          <w:color w:val="auto"/>
        </w:rPr>
        <w:t>Grand Theft Auto V,</w:t>
      </w:r>
      <w:r>
        <w:rPr>
          <w:rFonts w:ascii="Times New Roman" w:cs="Times New Roman" w:eastAsia="Times New Roman" w:hAnsi="Times New Roman"/>
          <w:sz w:val="18"/>
          <w:szCs w:val="18"/>
          <w:color w:val="auto"/>
        </w:rPr>
        <w:t xml:space="preserve"> our </w:t>
      </w:r>
      <w:r>
        <w:rPr>
          <w:rFonts w:ascii="Times New Roman" w:cs="Times New Roman" w:eastAsia="Times New Roman" w:hAnsi="Times New Roman"/>
          <w:sz w:val="18"/>
          <w:szCs w:val="18"/>
          <w:i w:val="1"/>
          <w:iCs w:val="1"/>
          <w:color w:val="auto"/>
        </w:rPr>
        <w:t>NBA 2K</w:t>
      </w:r>
      <w:r>
        <w:rPr>
          <w:rFonts w:ascii="Times New Roman" w:cs="Times New Roman" w:eastAsia="Times New Roman" w:hAnsi="Times New Roman"/>
          <w:sz w:val="18"/>
          <w:szCs w:val="18"/>
          <w:color w:val="auto"/>
        </w:rPr>
        <w:t xml:space="preserve"> franchise, our </w:t>
      </w:r>
      <w:r>
        <w:rPr>
          <w:rFonts w:ascii="Times New Roman" w:cs="Times New Roman" w:eastAsia="Times New Roman" w:hAnsi="Times New Roman"/>
          <w:sz w:val="18"/>
          <w:szCs w:val="18"/>
          <w:i w:val="1"/>
          <w:iCs w:val="1"/>
          <w:color w:val="auto"/>
        </w:rPr>
        <w:t>Mafia</w:t>
      </w:r>
      <w:r>
        <w:rPr>
          <w:rFonts w:ascii="Times New Roman" w:cs="Times New Roman" w:eastAsia="Times New Roman" w:hAnsi="Times New Roman"/>
          <w:sz w:val="18"/>
          <w:szCs w:val="18"/>
          <w:color w:val="auto"/>
        </w:rPr>
        <w:t xml:space="preserve"> franchise, </w:t>
      </w:r>
      <w:r>
        <w:rPr>
          <w:rFonts w:ascii="Times New Roman" w:cs="Times New Roman" w:eastAsia="Times New Roman" w:hAnsi="Times New Roman"/>
          <w:sz w:val="18"/>
          <w:szCs w:val="18"/>
          <w:i w:val="1"/>
          <w:iCs w:val="1"/>
          <w:color w:val="auto"/>
        </w:rPr>
        <w:t>PGA TOUR 2K21,</w:t>
      </w:r>
      <w:r>
        <w:rPr>
          <w:rFonts w:ascii="Times New Roman" w:cs="Times New Roman" w:eastAsia="Times New Roman" w:hAnsi="Times New Roman"/>
          <w:sz w:val="18"/>
          <w:szCs w:val="18"/>
          <w:color w:val="auto"/>
        </w:rPr>
        <w:t xml:space="preserve"> and </w:t>
      </w:r>
      <w:r>
        <w:rPr>
          <w:rFonts w:ascii="Times New Roman" w:cs="Times New Roman" w:eastAsia="Times New Roman" w:hAnsi="Times New Roman"/>
          <w:sz w:val="18"/>
          <w:szCs w:val="18"/>
          <w:i w:val="1"/>
          <w:iCs w:val="1"/>
          <w:color w:val="auto"/>
        </w:rPr>
        <w:t>Dragon City,</w:t>
      </w:r>
      <w:r>
        <w:rPr>
          <w:rFonts w:ascii="Times New Roman" w:cs="Times New Roman" w:eastAsia="Times New Roman" w:hAnsi="Times New Roman"/>
          <w:sz w:val="18"/>
          <w:szCs w:val="18"/>
          <w:color w:val="auto"/>
        </w:rPr>
        <w:t xml:space="preserve"> partially offset by a decrease in net revenue from </w:t>
      </w:r>
      <w:r>
        <w:rPr>
          <w:rFonts w:ascii="Times New Roman" w:cs="Times New Roman" w:eastAsia="Times New Roman" w:hAnsi="Times New Roman"/>
          <w:sz w:val="18"/>
          <w:szCs w:val="18"/>
          <w:i w:val="1"/>
          <w:iCs w:val="1"/>
          <w:color w:val="auto"/>
        </w:rPr>
        <w:t>Red Dead Redemption 2, Borderlands 3,</w:t>
      </w:r>
      <w:r>
        <w:rPr>
          <w:rFonts w:ascii="Times New Roman" w:cs="Times New Roman" w:eastAsia="Times New Roman" w:hAnsi="Times New Roman"/>
          <w:sz w:val="18"/>
          <w:szCs w:val="18"/>
          <w:color w:val="auto"/>
        </w:rPr>
        <w:t xml:space="preserve"> and </w:t>
      </w:r>
      <w:r>
        <w:rPr>
          <w:rFonts w:ascii="Times New Roman" w:cs="Times New Roman" w:eastAsia="Times New Roman" w:hAnsi="Times New Roman"/>
          <w:sz w:val="18"/>
          <w:szCs w:val="18"/>
          <w:i w:val="1"/>
          <w:iCs w:val="1"/>
          <w:color w:val="auto"/>
        </w:rPr>
        <w:t>The Outer Worlds</w:t>
      </w:r>
      <w:r>
        <w:rPr>
          <w:rFonts w:ascii="Times New Roman" w:cs="Times New Roman" w:eastAsia="Times New Roman" w:hAnsi="Times New Roman"/>
          <w:sz w:val="18"/>
          <w:szCs w:val="18"/>
          <w:color w:val="auto"/>
        </w:rPr>
        <w:t>. Changes in foreign currency exchange rates increased net revenue by $6.4 million and increased gross profit by $4.7 million for the nine months ended December 31, 2020 as compared to the prior year period.</w:t>
      </w:r>
    </w:p>
    <w:p>
      <w:pPr>
        <w:spacing w:after="0" w:line="116"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398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i w:val="1"/>
                <w:iCs w:val="1"/>
                <w:color w:val="auto"/>
              </w:rPr>
              <w:t>Operating Expenses</w:t>
            </w:r>
          </w:p>
        </w:tc>
        <w:tc>
          <w:tcPr>
            <w:tcW w:w="22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8"/>
        </w:trPr>
        <w:tc>
          <w:tcPr>
            <w:tcW w:w="40" w:type="dxa"/>
            <w:vAlign w:val="bottom"/>
          </w:tcPr>
          <w:p>
            <w:pPr>
              <w:spacing w:after="0"/>
              <w:rPr>
                <w:sz w:val="24"/>
                <w:szCs w:val="24"/>
                <w:color w:val="auto"/>
              </w:rPr>
            </w:pPr>
          </w:p>
        </w:tc>
        <w:tc>
          <w:tcPr>
            <w:tcW w:w="3940" w:type="dxa"/>
            <w:vAlign w:val="bottom"/>
            <w:vMerge w:val="restart"/>
          </w:tcPr>
          <w:p>
            <w:pPr>
              <w:ind w:left="20"/>
              <w:spacing w:after="0"/>
              <w:rPr>
                <w:sz w:val="20"/>
                <w:szCs w:val="20"/>
                <w:color w:val="auto"/>
              </w:rPr>
            </w:pPr>
            <w:r>
              <w:rPr>
                <w:rFonts w:ascii="Times New Roman" w:cs="Times New Roman" w:eastAsia="Times New Roman" w:hAnsi="Times New Roman"/>
                <w:sz w:val="14"/>
                <w:szCs w:val="14"/>
                <w:b w:val="1"/>
                <w:bCs w:val="1"/>
                <w:color w:val="auto"/>
              </w:rPr>
              <w:t>(thousands of dollars)</w:t>
            </w:r>
          </w:p>
        </w:tc>
        <w:tc>
          <w:tcPr>
            <w:tcW w:w="220" w:type="dxa"/>
            <w:vAlign w:val="bottom"/>
          </w:tcPr>
          <w:p>
            <w:pPr>
              <w:spacing w:after="0"/>
              <w:rPr>
                <w:sz w:val="24"/>
                <w:szCs w:val="24"/>
                <w:color w:val="auto"/>
              </w:rPr>
            </w:pPr>
          </w:p>
        </w:tc>
        <w:tc>
          <w:tcPr>
            <w:tcW w:w="760" w:type="dxa"/>
            <w:vAlign w:val="bottom"/>
            <w:vMerge w:val="restart"/>
          </w:tcPr>
          <w:p>
            <w:pPr>
              <w:jc w:val="right"/>
              <w:ind w:right="253"/>
              <w:spacing w:after="0"/>
              <w:rPr>
                <w:sz w:val="20"/>
                <w:szCs w:val="20"/>
                <w:color w:val="auto"/>
              </w:rPr>
            </w:pPr>
            <w:r>
              <w:rPr>
                <w:rFonts w:ascii="Times New Roman" w:cs="Times New Roman" w:eastAsia="Times New Roman" w:hAnsi="Times New Roman"/>
                <w:sz w:val="14"/>
                <w:szCs w:val="14"/>
                <w:b w:val="1"/>
                <w:bCs w:val="1"/>
                <w:color w:val="auto"/>
              </w:rPr>
              <w:t>2020</w:t>
            </w:r>
          </w:p>
        </w:tc>
        <w:tc>
          <w:tcPr>
            <w:tcW w:w="120" w:type="dxa"/>
            <w:vAlign w:val="bottom"/>
          </w:tcPr>
          <w:p>
            <w:pPr>
              <w:spacing w:after="0"/>
              <w:rPr>
                <w:sz w:val="24"/>
                <w:szCs w:val="24"/>
                <w:color w:val="auto"/>
              </w:rPr>
            </w:pPr>
          </w:p>
        </w:tc>
        <w:tc>
          <w:tcPr>
            <w:tcW w:w="1340" w:type="dxa"/>
            <w:vAlign w:val="bottom"/>
            <w:gridSpan w:val="2"/>
          </w:tcPr>
          <w:p>
            <w:pPr>
              <w:ind w:left="300"/>
              <w:spacing w:after="0"/>
              <w:rPr>
                <w:sz w:val="20"/>
                <w:szCs w:val="20"/>
                <w:color w:val="auto"/>
              </w:rPr>
            </w:pPr>
            <w:r>
              <w:rPr>
                <w:rFonts w:ascii="Times New Roman" w:cs="Times New Roman" w:eastAsia="Times New Roman" w:hAnsi="Times New Roman"/>
                <w:sz w:val="18"/>
                <w:szCs w:val="18"/>
                <w:color w:val="auto"/>
              </w:rPr>
              <w:t>% of net</w:t>
            </w:r>
          </w:p>
        </w:tc>
        <w:tc>
          <w:tcPr>
            <w:tcW w:w="240" w:type="dxa"/>
            <w:vAlign w:val="bottom"/>
          </w:tcPr>
          <w:p>
            <w:pPr>
              <w:spacing w:after="0"/>
              <w:rPr>
                <w:sz w:val="24"/>
                <w:szCs w:val="24"/>
                <w:color w:val="auto"/>
              </w:rPr>
            </w:pPr>
          </w:p>
        </w:tc>
        <w:tc>
          <w:tcPr>
            <w:tcW w:w="780" w:type="dxa"/>
            <w:vAlign w:val="bottom"/>
            <w:vMerge w:val="restart"/>
          </w:tcPr>
          <w:p>
            <w:pPr>
              <w:jc w:val="right"/>
              <w:ind w:right="273"/>
              <w:spacing w:after="0"/>
              <w:rPr>
                <w:sz w:val="20"/>
                <w:szCs w:val="20"/>
                <w:color w:val="auto"/>
              </w:rPr>
            </w:pPr>
            <w:r>
              <w:rPr>
                <w:rFonts w:ascii="Times New Roman" w:cs="Times New Roman" w:eastAsia="Times New Roman" w:hAnsi="Times New Roman"/>
                <w:sz w:val="14"/>
                <w:szCs w:val="14"/>
                <w:b w:val="1"/>
                <w:bCs w:val="1"/>
                <w:color w:val="auto"/>
              </w:rPr>
              <w:t>2019</w:t>
            </w:r>
          </w:p>
        </w:tc>
        <w:tc>
          <w:tcPr>
            <w:tcW w:w="100" w:type="dxa"/>
            <w:vAlign w:val="bottom"/>
          </w:tcPr>
          <w:p>
            <w:pPr>
              <w:spacing w:after="0"/>
              <w:rPr>
                <w:sz w:val="24"/>
                <w:szCs w:val="24"/>
                <w:color w:val="auto"/>
              </w:rPr>
            </w:pPr>
          </w:p>
        </w:tc>
        <w:tc>
          <w:tcPr>
            <w:tcW w:w="1180" w:type="dxa"/>
            <w:vAlign w:val="bottom"/>
            <w:gridSpan w:val="2"/>
          </w:tcPr>
          <w:p>
            <w:pPr>
              <w:ind w:left="220"/>
              <w:spacing w:after="0"/>
              <w:rPr>
                <w:sz w:val="20"/>
                <w:szCs w:val="20"/>
                <w:color w:val="auto"/>
              </w:rPr>
            </w:pPr>
            <w:r>
              <w:rPr>
                <w:rFonts w:ascii="Times New Roman" w:cs="Times New Roman" w:eastAsia="Times New Roman" w:hAnsi="Times New Roman"/>
                <w:sz w:val="18"/>
                <w:szCs w:val="18"/>
                <w:color w:val="auto"/>
              </w:rPr>
              <w:t>% of net</w:t>
            </w:r>
          </w:p>
        </w:tc>
        <w:tc>
          <w:tcPr>
            <w:tcW w:w="160" w:type="dxa"/>
            <w:vAlign w:val="bottom"/>
          </w:tcPr>
          <w:p>
            <w:pPr>
              <w:spacing w:after="0"/>
              <w:rPr>
                <w:sz w:val="24"/>
                <w:szCs w:val="24"/>
                <w:color w:val="auto"/>
              </w:rPr>
            </w:pPr>
          </w:p>
        </w:tc>
        <w:tc>
          <w:tcPr>
            <w:tcW w:w="960" w:type="dxa"/>
            <w:vAlign w:val="bottom"/>
            <w:gridSpan w:val="2"/>
          </w:tcPr>
          <w:p>
            <w:pPr>
              <w:jc w:val="center"/>
              <w:ind w:right="260"/>
              <w:spacing w:after="0"/>
              <w:rPr>
                <w:sz w:val="20"/>
                <w:szCs w:val="20"/>
                <w:color w:val="auto"/>
              </w:rPr>
            </w:pPr>
            <w:r>
              <w:rPr>
                <w:rFonts w:ascii="Times New Roman" w:cs="Times New Roman" w:eastAsia="Times New Roman" w:hAnsi="Times New Roman"/>
                <w:sz w:val="14"/>
                <w:szCs w:val="14"/>
                <w:b w:val="1"/>
                <w:bCs w:val="1"/>
                <w:color w:val="auto"/>
                <w:w w:val="99"/>
              </w:rPr>
              <w:t>Increase/</w:t>
            </w:r>
          </w:p>
        </w:tc>
        <w:tc>
          <w:tcPr>
            <w:tcW w:w="1380" w:type="dxa"/>
            <w:vAlign w:val="bottom"/>
          </w:tcPr>
          <w:p>
            <w:pPr>
              <w:jc w:val="right"/>
              <w:ind w:right="170"/>
              <w:spacing w:after="0"/>
              <w:rPr>
                <w:sz w:val="20"/>
                <w:szCs w:val="20"/>
                <w:color w:val="auto"/>
              </w:rPr>
            </w:pPr>
            <w:r>
              <w:rPr>
                <w:rFonts w:ascii="Times New Roman" w:cs="Times New Roman" w:eastAsia="Times New Roman" w:hAnsi="Times New Roman"/>
                <w:sz w:val="18"/>
                <w:szCs w:val="18"/>
                <w:color w:val="auto"/>
              </w:rPr>
              <w:t>% Increase/</w:t>
            </w:r>
          </w:p>
        </w:tc>
        <w:tc>
          <w:tcPr>
            <w:tcW w:w="0" w:type="dxa"/>
            <w:vAlign w:val="bottom"/>
          </w:tcPr>
          <w:p>
            <w:pPr>
              <w:spacing w:after="0"/>
              <w:rPr>
                <w:sz w:val="1"/>
                <w:szCs w:val="1"/>
                <w:color w:val="auto"/>
              </w:rPr>
            </w:pPr>
          </w:p>
        </w:tc>
      </w:tr>
      <w:tr>
        <w:trPr>
          <w:trHeight w:val="189"/>
        </w:trPr>
        <w:tc>
          <w:tcPr>
            <w:tcW w:w="40" w:type="dxa"/>
            <w:vAlign w:val="bottom"/>
          </w:tcPr>
          <w:p>
            <w:pPr>
              <w:spacing w:after="0"/>
              <w:rPr>
                <w:sz w:val="16"/>
                <w:szCs w:val="16"/>
                <w:color w:val="auto"/>
              </w:rPr>
            </w:pPr>
          </w:p>
        </w:tc>
        <w:tc>
          <w:tcPr>
            <w:tcW w:w="3940" w:type="dxa"/>
            <w:vAlign w:val="bottom"/>
            <w:vMerge w:val="continue"/>
          </w:tcPr>
          <w:p>
            <w:pPr>
              <w:spacing w:after="0"/>
              <w:rPr>
                <w:sz w:val="16"/>
                <w:szCs w:val="16"/>
                <w:color w:val="auto"/>
              </w:rPr>
            </w:pPr>
          </w:p>
        </w:tc>
        <w:tc>
          <w:tcPr>
            <w:tcW w:w="220" w:type="dxa"/>
            <w:vAlign w:val="bottom"/>
          </w:tcPr>
          <w:p>
            <w:pPr>
              <w:spacing w:after="0"/>
              <w:rPr>
                <w:sz w:val="16"/>
                <w:szCs w:val="16"/>
                <w:color w:val="auto"/>
              </w:rPr>
            </w:pPr>
          </w:p>
        </w:tc>
        <w:tc>
          <w:tcPr>
            <w:tcW w:w="760" w:type="dxa"/>
            <w:vAlign w:val="bottom"/>
            <w:vMerge w:val="continue"/>
          </w:tcPr>
          <w:p>
            <w:pPr>
              <w:spacing w:after="0"/>
              <w:rPr>
                <w:sz w:val="16"/>
                <w:szCs w:val="16"/>
                <w:color w:val="auto"/>
              </w:rPr>
            </w:pPr>
          </w:p>
        </w:tc>
        <w:tc>
          <w:tcPr>
            <w:tcW w:w="120" w:type="dxa"/>
            <w:vAlign w:val="bottom"/>
          </w:tcPr>
          <w:p>
            <w:pPr>
              <w:spacing w:after="0"/>
              <w:rPr>
                <w:sz w:val="16"/>
                <w:szCs w:val="16"/>
                <w:color w:val="auto"/>
              </w:rPr>
            </w:pPr>
          </w:p>
        </w:tc>
        <w:tc>
          <w:tcPr>
            <w:tcW w:w="1340" w:type="dxa"/>
            <w:vAlign w:val="bottom"/>
            <w:gridSpan w:val="2"/>
          </w:tcPr>
          <w:p>
            <w:pPr>
              <w:ind w:left="320"/>
              <w:spacing w:after="0" w:line="189" w:lineRule="exact"/>
              <w:rPr>
                <w:sz w:val="20"/>
                <w:szCs w:val="20"/>
                <w:color w:val="auto"/>
              </w:rPr>
            </w:pPr>
            <w:r>
              <w:rPr>
                <w:rFonts w:ascii="Times New Roman" w:cs="Times New Roman" w:eastAsia="Times New Roman" w:hAnsi="Times New Roman"/>
                <w:sz w:val="18"/>
                <w:szCs w:val="18"/>
                <w:color w:val="auto"/>
              </w:rPr>
              <w:t>revenue</w:t>
            </w:r>
          </w:p>
        </w:tc>
        <w:tc>
          <w:tcPr>
            <w:tcW w:w="240" w:type="dxa"/>
            <w:vAlign w:val="bottom"/>
          </w:tcPr>
          <w:p>
            <w:pPr>
              <w:spacing w:after="0"/>
              <w:rPr>
                <w:sz w:val="16"/>
                <w:szCs w:val="16"/>
                <w:color w:val="auto"/>
              </w:rPr>
            </w:pPr>
          </w:p>
        </w:tc>
        <w:tc>
          <w:tcPr>
            <w:tcW w:w="78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180" w:type="dxa"/>
            <w:vAlign w:val="bottom"/>
            <w:gridSpan w:val="2"/>
          </w:tcPr>
          <w:p>
            <w:pPr>
              <w:ind w:left="240"/>
              <w:spacing w:after="0" w:line="189" w:lineRule="exact"/>
              <w:rPr>
                <w:sz w:val="20"/>
                <w:szCs w:val="20"/>
                <w:color w:val="auto"/>
              </w:rPr>
            </w:pPr>
            <w:r>
              <w:rPr>
                <w:rFonts w:ascii="Times New Roman" w:cs="Times New Roman" w:eastAsia="Times New Roman" w:hAnsi="Times New Roman"/>
                <w:sz w:val="18"/>
                <w:szCs w:val="18"/>
                <w:color w:val="auto"/>
              </w:rPr>
              <w:t>revenue</w:t>
            </w:r>
          </w:p>
        </w:tc>
        <w:tc>
          <w:tcPr>
            <w:tcW w:w="160" w:type="dxa"/>
            <w:vAlign w:val="bottom"/>
          </w:tcPr>
          <w:p>
            <w:pPr>
              <w:spacing w:after="0"/>
              <w:rPr>
                <w:sz w:val="16"/>
                <w:szCs w:val="16"/>
                <w:color w:val="auto"/>
              </w:rPr>
            </w:pPr>
          </w:p>
        </w:tc>
        <w:tc>
          <w:tcPr>
            <w:tcW w:w="960" w:type="dxa"/>
            <w:vAlign w:val="bottom"/>
            <w:gridSpan w:val="2"/>
          </w:tcPr>
          <w:p>
            <w:pPr>
              <w:jc w:val="center"/>
              <w:ind w:right="260"/>
              <w:spacing w:after="0"/>
              <w:rPr>
                <w:sz w:val="20"/>
                <w:szCs w:val="20"/>
                <w:color w:val="auto"/>
              </w:rPr>
            </w:pPr>
            <w:r>
              <w:rPr>
                <w:rFonts w:ascii="Times New Roman" w:cs="Times New Roman" w:eastAsia="Times New Roman" w:hAnsi="Times New Roman"/>
                <w:sz w:val="14"/>
                <w:szCs w:val="14"/>
                <w:b w:val="1"/>
                <w:bCs w:val="1"/>
                <w:color w:val="auto"/>
              </w:rPr>
              <w:t>(decrease)</w:t>
            </w:r>
          </w:p>
        </w:tc>
        <w:tc>
          <w:tcPr>
            <w:tcW w:w="1380" w:type="dxa"/>
            <w:vAlign w:val="bottom"/>
          </w:tcPr>
          <w:p>
            <w:pPr>
              <w:jc w:val="right"/>
              <w:ind w:right="230"/>
              <w:spacing w:after="0" w:line="189" w:lineRule="exact"/>
              <w:rPr>
                <w:sz w:val="20"/>
                <w:szCs w:val="20"/>
                <w:color w:val="auto"/>
              </w:rPr>
            </w:pPr>
            <w:r>
              <w:rPr>
                <w:rFonts w:ascii="Times New Roman" w:cs="Times New Roman" w:eastAsia="Times New Roman" w:hAnsi="Times New Roman"/>
                <w:sz w:val="18"/>
                <w:szCs w:val="18"/>
                <w:color w:val="auto"/>
              </w:rPr>
              <w:t>(decrease)</w:t>
            </w:r>
          </w:p>
        </w:tc>
        <w:tc>
          <w:tcPr>
            <w:tcW w:w="0" w:type="dxa"/>
            <w:vAlign w:val="bottom"/>
          </w:tcPr>
          <w:p>
            <w:pPr>
              <w:spacing w:after="0"/>
              <w:rPr>
                <w:sz w:val="1"/>
                <w:szCs w:val="1"/>
                <w:color w:val="auto"/>
              </w:rPr>
            </w:pPr>
          </w:p>
        </w:tc>
      </w:tr>
      <w:tr>
        <w:trPr>
          <w:trHeight w:val="223"/>
        </w:trPr>
        <w:tc>
          <w:tcPr>
            <w:tcW w:w="40" w:type="dxa"/>
            <w:vAlign w:val="bottom"/>
          </w:tcPr>
          <w:p>
            <w:pPr>
              <w:spacing w:after="0"/>
              <w:rPr>
                <w:sz w:val="19"/>
                <w:szCs w:val="19"/>
                <w:color w:val="auto"/>
              </w:rPr>
            </w:pPr>
          </w:p>
        </w:tc>
        <w:tc>
          <w:tcPr>
            <w:tcW w:w="394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Selling and marketing</w:t>
            </w:r>
          </w:p>
        </w:tc>
        <w:tc>
          <w:tcPr>
            <w:tcW w:w="220" w:type="dxa"/>
            <w:vAlign w:val="bottom"/>
            <w:tcBorders>
              <w:top w:val="single" w:sz="8" w:color="auto"/>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7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338,376</w:t>
            </w:r>
          </w:p>
        </w:tc>
        <w:tc>
          <w:tcPr>
            <w:tcW w:w="120" w:type="dxa"/>
            <w:vAlign w:val="bottom"/>
            <w:tcBorders>
              <w:top w:val="single" w:sz="8" w:color="CCEEFF"/>
            </w:tcBorders>
            <w:shd w:val="clear" w:color="auto" w:fill="CCEEFF"/>
          </w:tcPr>
          <w:p>
            <w:pPr>
              <w:spacing w:after="0"/>
              <w:rPr>
                <w:sz w:val="19"/>
                <w:szCs w:val="19"/>
                <w:color w:val="auto"/>
              </w:rPr>
            </w:pPr>
          </w:p>
        </w:tc>
        <w:tc>
          <w:tcPr>
            <w:tcW w:w="12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13.4 %</w:t>
            </w:r>
          </w:p>
        </w:tc>
        <w:tc>
          <w:tcPr>
            <w:tcW w:w="100" w:type="dxa"/>
            <w:vAlign w:val="bottom"/>
            <w:tcBorders>
              <w:top w:val="single" w:sz="8" w:color="CCEEFF"/>
            </w:tcBorders>
            <w:shd w:val="clear" w:color="auto" w:fill="CCEEFF"/>
          </w:tcPr>
          <w:p>
            <w:pPr>
              <w:spacing w:after="0"/>
              <w:rPr>
                <w:sz w:val="19"/>
                <w:szCs w:val="19"/>
                <w:color w:val="auto"/>
              </w:rPr>
            </w:pPr>
          </w:p>
        </w:tc>
        <w:tc>
          <w:tcPr>
            <w:tcW w:w="240" w:type="dxa"/>
            <w:vAlign w:val="bottom"/>
            <w:tcBorders>
              <w:top w:val="single" w:sz="8" w:color="auto"/>
            </w:tcBorders>
            <w:shd w:val="clear" w:color="auto" w:fill="CCEEFF"/>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378,455</w:t>
            </w:r>
          </w:p>
        </w:tc>
        <w:tc>
          <w:tcPr>
            <w:tcW w:w="100" w:type="dxa"/>
            <w:vAlign w:val="bottom"/>
            <w:tcBorders>
              <w:top w:val="single" w:sz="8" w:color="auto"/>
            </w:tcBorders>
            <w:shd w:val="clear" w:color="auto" w:fill="CCEEFF"/>
          </w:tcPr>
          <w:p>
            <w:pPr>
              <w:spacing w:after="0"/>
              <w:rPr>
                <w:sz w:val="19"/>
                <w:szCs w:val="19"/>
                <w:color w:val="auto"/>
              </w:rPr>
            </w:pPr>
          </w:p>
        </w:tc>
        <w:tc>
          <w:tcPr>
            <w:tcW w:w="10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16.3 %</w:t>
            </w:r>
          </w:p>
        </w:tc>
        <w:tc>
          <w:tcPr>
            <w:tcW w:w="120" w:type="dxa"/>
            <w:vAlign w:val="bottom"/>
            <w:tcBorders>
              <w:top w:val="single" w:sz="8" w:color="auto"/>
            </w:tcBorders>
            <w:shd w:val="clear" w:color="auto" w:fill="CCEEFF"/>
          </w:tcPr>
          <w:p>
            <w:pPr>
              <w:spacing w:after="0"/>
              <w:rPr>
                <w:sz w:val="19"/>
                <w:szCs w:val="19"/>
                <w:color w:val="auto"/>
              </w:rPr>
            </w:pPr>
          </w:p>
        </w:tc>
        <w:tc>
          <w:tcPr>
            <w:tcW w:w="1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(40,079)</w:t>
            </w:r>
          </w:p>
        </w:tc>
        <w:tc>
          <w:tcPr>
            <w:tcW w:w="100" w:type="dxa"/>
            <w:vAlign w:val="bottom"/>
            <w:tcBorders>
              <w:top w:val="single" w:sz="8" w:color="auto"/>
            </w:tcBorders>
            <w:shd w:val="clear" w:color="auto" w:fill="CCEEFF"/>
          </w:tcPr>
          <w:p>
            <w:pPr>
              <w:spacing w:after="0"/>
              <w:rPr>
                <w:sz w:val="19"/>
                <w:szCs w:val="19"/>
                <w:color w:val="auto"/>
              </w:rPr>
            </w:pPr>
          </w:p>
        </w:tc>
        <w:tc>
          <w:tcPr>
            <w:tcW w:w="13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(10.6)%</w:t>
            </w:r>
          </w:p>
        </w:tc>
        <w:tc>
          <w:tcPr>
            <w:tcW w:w="0" w:type="dxa"/>
            <w:vAlign w:val="bottom"/>
          </w:tcPr>
          <w:p>
            <w:pPr>
              <w:spacing w:after="0"/>
              <w:rPr>
                <w:sz w:val="1"/>
                <w:szCs w:val="1"/>
                <w:color w:val="auto"/>
              </w:rPr>
            </w:pPr>
          </w:p>
        </w:tc>
      </w:tr>
      <w:tr>
        <w:trPr>
          <w:trHeight w:val="229"/>
        </w:trPr>
        <w:tc>
          <w:tcPr>
            <w:tcW w:w="40" w:type="dxa"/>
            <w:vAlign w:val="bottom"/>
          </w:tcPr>
          <w:p>
            <w:pPr>
              <w:spacing w:after="0"/>
              <w:rPr>
                <w:sz w:val="19"/>
                <w:szCs w:val="19"/>
                <w:color w:val="auto"/>
              </w:rPr>
            </w:pPr>
          </w:p>
        </w:tc>
        <w:tc>
          <w:tcPr>
            <w:tcW w:w="39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General and administrative</w:t>
            </w:r>
          </w:p>
        </w:tc>
        <w:tc>
          <w:tcPr>
            <w:tcW w:w="22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292,230</w:t>
            </w:r>
          </w:p>
        </w:tc>
        <w:tc>
          <w:tcPr>
            <w:tcW w:w="12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11.5 %</w:t>
            </w: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236,023</w:t>
            </w:r>
          </w:p>
        </w:tc>
        <w:tc>
          <w:tcPr>
            <w:tcW w:w="10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10.1 %</w:t>
            </w: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56,207</w:t>
            </w:r>
          </w:p>
        </w:tc>
        <w:tc>
          <w:tcPr>
            <w:tcW w:w="10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23.8 %</w:t>
            </w:r>
          </w:p>
        </w:tc>
        <w:tc>
          <w:tcPr>
            <w:tcW w:w="0" w:type="dxa"/>
            <w:vAlign w:val="bottom"/>
          </w:tcPr>
          <w:p>
            <w:pPr>
              <w:spacing w:after="0"/>
              <w:rPr>
                <w:sz w:val="1"/>
                <w:szCs w:val="1"/>
                <w:color w:val="auto"/>
              </w:rPr>
            </w:pPr>
          </w:p>
        </w:tc>
      </w:tr>
      <w:tr>
        <w:trPr>
          <w:trHeight w:val="230"/>
        </w:trPr>
        <w:tc>
          <w:tcPr>
            <w:tcW w:w="40" w:type="dxa"/>
            <w:vAlign w:val="bottom"/>
          </w:tcPr>
          <w:p>
            <w:pPr>
              <w:spacing w:after="0"/>
              <w:rPr>
                <w:sz w:val="19"/>
                <w:szCs w:val="19"/>
                <w:color w:val="auto"/>
              </w:rPr>
            </w:pPr>
          </w:p>
        </w:tc>
        <w:tc>
          <w:tcPr>
            <w:tcW w:w="39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Research and development</w:t>
            </w:r>
          </w:p>
        </w:tc>
        <w:tc>
          <w:tcPr>
            <w:tcW w:w="220" w:type="dxa"/>
            <w:vAlign w:val="bottom"/>
            <w:shd w:val="clear" w:color="auto" w:fill="CCEEFF"/>
          </w:tcPr>
          <w:p>
            <w:pPr>
              <w:spacing w:after="0"/>
              <w:rPr>
                <w:sz w:val="19"/>
                <w:szCs w:val="19"/>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233,752</w:t>
            </w:r>
          </w:p>
        </w:tc>
        <w:tc>
          <w:tcPr>
            <w:tcW w:w="120" w:type="dxa"/>
            <w:vAlign w:val="bottom"/>
            <w:shd w:val="clear" w:color="auto" w:fill="CCEEFF"/>
          </w:tcPr>
          <w:p>
            <w:pPr>
              <w:spacing w:after="0"/>
              <w:rPr>
                <w:sz w:val="19"/>
                <w:szCs w:val="19"/>
                <w:color w:val="auto"/>
              </w:rPr>
            </w:pPr>
          </w:p>
        </w:tc>
        <w:tc>
          <w:tcPr>
            <w:tcW w:w="12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9.2 %</w:t>
            </w: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227,680</w:t>
            </w:r>
          </w:p>
        </w:tc>
        <w:tc>
          <w:tcPr>
            <w:tcW w:w="10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9.8 %</w:t>
            </w: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6,072</w:t>
            </w:r>
          </w:p>
        </w:tc>
        <w:tc>
          <w:tcPr>
            <w:tcW w:w="100" w:type="dxa"/>
            <w:vAlign w:val="bottom"/>
            <w:shd w:val="clear" w:color="auto" w:fill="CCEEFF"/>
          </w:tcPr>
          <w:p>
            <w:pPr>
              <w:spacing w:after="0"/>
              <w:rPr>
                <w:sz w:val="19"/>
                <w:szCs w:val="19"/>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2.7 %</w:t>
            </w:r>
          </w:p>
        </w:tc>
        <w:tc>
          <w:tcPr>
            <w:tcW w:w="0" w:type="dxa"/>
            <w:vAlign w:val="bottom"/>
          </w:tcPr>
          <w:p>
            <w:pPr>
              <w:spacing w:after="0"/>
              <w:rPr>
                <w:sz w:val="1"/>
                <w:szCs w:val="1"/>
                <w:color w:val="auto"/>
              </w:rPr>
            </w:pPr>
          </w:p>
        </w:tc>
      </w:tr>
      <w:tr>
        <w:trPr>
          <w:trHeight w:val="229"/>
        </w:trPr>
        <w:tc>
          <w:tcPr>
            <w:tcW w:w="40" w:type="dxa"/>
            <w:vAlign w:val="bottom"/>
          </w:tcPr>
          <w:p>
            <w:pPr>
              <w:spacing w:after="0"/>
              <w:rPr>
                <w:sz w:val="19"/>
                <w:szCs w:val="19"/>
                <w:color w:val="auto"/>
              </w:rPr>
            </w:pPr>
          </w:p>
        </w:tc>
        <w:tc>
          <w:tcPr>
            <w:tcW w:w="39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Depreciation and amortization</w:t>
            </w:r>
          </w:p>
        </w:tc>
        <w:tc>
          <w:tcPr>
            <w:tcW w:w="220" w:type="dxa"/>
            <w:vAlign w:val="bottom"/>
          </w:tcPr>
          <w:p>
            <w:pPr>
              <w:spacing w:after="0"/>
              <w:rPr>
                <w:sz w:val="19"/>
                <w:szCs w:val="19"/>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40,116</w:t>
            </w:r>
          </w:p>
        </w:tc>
        <w:tc>
          <w:tcPr>
            <w:tcW w:w="12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1.6 %</w:t>
            </w: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35,611</w:t>
            </w:r>
          </w:p>
        </w:tc>
        <w:tc>
          <w:tcPr>
            <w:tcW w:w="10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1.5 %</w:t>
            </w: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4,505</w:t>
            </w:r>
          </w:p>
        </w:tc>
        <w:tc>
          <w:tcPr>
            <w:tcW w:w="10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12.7 %</w:t>
            </w:r>
          </w:p>
        </w:tc>
        <w:tc>
          <w:tcPr>
            <w:tcW w:w="0" w:type="dxa"/>
            <w:vAlign w:val="bottom"/>
          </w:tcPr>
          <w:p>
            <w:pPr>
              <w:spacing w:after="0"/>
              <w:rPr>
                <w:sz w:val="1"/>
                <w:szCs w:val="1"/>
                <w:color w:val="auto"/>
              </w:rPr>
            </w:pPr>
          </w:p>
        </w:tc>
      </w:tr>
      <w:tr>
        <w:trPr>
          <w:trHeight w:val="230"/>
        </w:trPr>
        <w:tc>
          <w:tcPr>
            <w:tcW w:w="40" w:type="dxa"/>
            <w:vAlign w:val="bottom"/>
          </w:tcPr>
          <w:p>
            <w:pPr>
              <w:spacing w:after="0"/>
              <w:rPr>
                <w:sz w:val="19"/>
                <w:szCs w:val="19"/>
                <w:color w:val="auto"/>
              </w:rPr>
            </w:pPr>
          </w:p>
        </w:tc>
        <w:tc>
          <w:tcPr>
            <w:tcW w:w="39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Business reorganization</w:t>
            </w:r>
          </w:p>
        </w:tc>
        <w:tc>
          <w:tcPr>
            <w:tcW w:w="220" w:type="dxa"/>
            <w:vAlign w:val="bottom"/>
            <w:shd w:val="clear" w:color="auto" w:fill="CCEEFF"/>
          </w:tcPr>
          <w:p>
            <w:pPr>
              <w:spacing w:after="0"/>
              <w:rPr>
                <w:sz w:val="19"/>
                <w:szCs w:val="19"/>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(138)</w:t>
            </w:r>
          </w:p>
        </w:tc>
        <w:tc>
          <w:tcPr>
            <w:tcW w:w="120" w:type="dxa"/>
            <w:vAlign w:val="bottom"/>
            <w:shd w:val="clear" w:color="auto" w:fill="CCEEFF"/>
          </w:tcPr>
          <w:p>
            <w:pPr>
              <w:spacing w:after="0"/>
              <w:rPr>
                <w:sz w:val="19"/>
                <w:szCs w:val="19"/>
                <w:color w:val="auto"/>
              </w:rPr>
            </w:pPr>
          </w:p>
        </w:tc>
        <w:tc>
          <w:tcPr>
            <w:tcW w:w="134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b w:val="1"/>
                <w:bCs w:val="1"/>
                <w:color w:val="auto"/>
              </w:rPr>
              <w:t>— %</w:t>
            </w:r>
          </w:p>
        </w:tc>
        <w:tc>
          <w:tcPr>
            <w:tcW w:w="240" w:type="dxa"/>
            <w:vAlign w:val="bottom"/>
            <w:shd w:val="clear" w:color="auto" w:fill="CCEEFF"/>
          </w:tcPr>
          <w:p>
            <w:pPr>
              <w:spacing w:after="0"/>
              <w:rPr>
                <w:sz w:val="19"/>
                <w:szCs w:val="19"/>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467</w:t>
            </w:r>
          </w:p>
        </w:tc>
        <w:tc>
          <w:tcPr>
            <w:tcW w:w="100" w:type="dxa"/>
            <w:vAlign w:val="bottom"/>
            <w:shd w:val="clear" w:color="auto" w:fill="CCEEFF"/>
          </w:tcPr>
          <w:p>
            <w:pPr>
              <w:spacing w:after="0"/>
              <w:rPr>
                <w:sz w:val="19"/>
                <w:szCs w:val="19"/>
                <w:color w:val="auto"/>
              </w:rPr>
            </w:pPr>
          </w:p>
        </w:tc>
        <w:tc>
          <w:tcPr>
            <w:tcW w:w="118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8"/>
                <w:szCs w:val="18"/>
                <w:color w:val="auto"/>
              </w:rPr>
              <w:t>— %</w:t>
            </w:r>
          </w:p>
        </w:tc>
        <w:tc>
          <w:tcPr>
            <w:tcW w:w="16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(605)</w:t>
            </w:r>
          </w:p>
        </w:tc>
        <w:tc>
          <w:tcPr>
            <w:tcW w:w="100" w:type="dxa"/>
            <w:vAlign w:val="bottom"/>
            <w:shd w:val="clear" w:color="auto" w:fill="CCEEFF"/>
          </w:tcPr>
          <w:p>
            <w:pPr>
              <w:spacing w:after="0"/>
              <w:rPr>
                <w:sz w:val="19"/>
                <w:szCs w:val="19"/>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(129.6)%</w:t>
            </w:r>
          </w:p>
        </w:tc>
        <w:tc>
          <w:tcPr>
            <w:tcW w:w="0" w:type="dxa"/>
            <w:vAlign w:val="bottom"/>
          </w:tcPr>
          <w:p>
            <w:pPr>
              <w:spacing w:after="0"/>
              <w:rPr>
                <w:sz w:val="1"/>
                <w:szCs w:val="1"/>
                <w:color w:val="auto"/>
              </w:rPr>
            </w:pPr>
          </w:p>
        </w:tc>
      </w:tr>
      <w:tr>
        <w:trPr>
          <w:trHeight w:val="223"/>
        </w:trPr>
        <w:tc>
          <w:tcPr>
            <w:tcW w:w="40" w:type="dxa"/>
            <w:vAlign w:val="bottom"/>
          </w:tcPr>
          <w:p>
            <w:pPr>
              <w:spacing w:after="0"/>
              <w:rPr>
                <w:sz w:val="19"/>
                <w:szCs w:val="19"/>
                <w:color w:val="auto"/>
              </w:rPr>
            </w:pPr>
          </w:p>
        </w:tc>
        <w:tc>
          <w:tcPr>
            <w:tcW w:w="3940" w:type="dxa"/>
            <w:vAlign w:val="bottom"/>
          </w:tcPr>
          <w:p>
            <w:pPr>
              <w:ind w:left="20"/>
              <w:spacing w:after="0" w:line="223" w:lineRule="exact"/>
              <w:rPr>
                <w:sz w:val="20"/>
                <w:szCs w:val="20"/>
                <w:color w:val="auto"/>
              </w:rPr>
            </w:pPr>
            <w:r>
              <w:rPr>
                <w:rFonts w:ascii="Times New Roman" w:cs="Times New Roman" w:eastAsia="Times New Roman" w:hAnsi="Times New Roman"/>
                <w:sz w:val="18"/>
                <w:szCs w:val="18"/>
                <w:b w:val="1"/>
                <w:bCs w:val="1"/>
                <w:color w:val="auto"/>
              </w:rPr>
              <w:t xml:space="preserve">Total operating expenses </w:t>
            </w:r>
            <w:r>
              <w:rPr>
                <w:rFonts w:ascii="Times New Roman" w:cs="Times New Roman" w:eastAsia="Times New Roman" w:hAnsi="Times New Roman"/>
                <w:sz w:val="23"/>
                <w:szCs w:val="23"/>
                <w:b w:val="1"/>
                <w:bCs w:val="1"/>
                <w:color w:val="auto"/>
                <w:vertAlign w:val="superscript"/>
              </w:rPr>
              <w:t>(1)</w:t>
            </w:r>
          </w:p>
        </w:tc>
        <w:tc>
          <w:tcPr>
            <w:tcW w:w="220" w:type="dxa"/>
            <w:vAlign w:val="bottom"/>
            <w:tcBorders>
              <w:top w:val="single" w:sz="8" w:color="auto"/>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7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904,336</w:t>
            </w:r>
          </w:p>
        </w:tc>
        <w:tc>
          <w:tcPr>
            <w:tcW w:w="120" w:type="dxa"/>
            <w:vAlign w:val="bottom"/>
          </w:tcPr>
          <w:p>
            <w:pPr>
              <w:spacing w:after="0"/>
              <w:rPr>
                <w:sz w:val="19"/>
                <w:szCs w:val="19"/>
                <w:color w:val="auto"/>
              </w:rPr>
            </w:pPr>
          </w:p>
        </w:tc>
        <w:tc>
          <w:tcPr>
            <w:tcW w:w="12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35.7 %</w:t>
            </w:r>
          </w:p>
        </w:tc>
        <w:tc>
          <w:tcPr>
            <w:tcW w:w="100" w:type="dxa"/>
            <w:vAlign w:val="bottom"/>
          </w:tcPr>
          <w:p>
            <w:pPr>
              <w:spacing w:after="0"/>
              <w:rPr>
                <w:sz w:val="19"/>
                <w:szCs w:val="19"/>
                <w:color w:val="auto"/>
              </w:rPr>
            </w:pPr>
          </w:p>
        </w:tc>
        <w:tc>
          <w:tcPr>
            <w:tcW w:w="240" w:type="dxa"/>
            <w:vAlign w:val="bottom"/>
            <w:tcBorders>
              <w:top w:val="single" w:sz="8" w:color="auto"/>
              <w:bottom w:val="single" w:sz="8" w:color="auto"/>
            </w:tcBorders>
          </w:tcPr>
          <w:p>
            <w:pPr>
              <w:jc w:val="right"/>
              <w:ind w:right="50"/>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878,236</w:t>
            </w:r>
          </w:p>
        </w:tc>
        <w:tc>
          <w:tcPr>
            <w:tcW w:w="100" w:type="dxa"/>
            <w:vAlign w:val="bottom"/>
          </w:tcPr>
          <w:p>
            <w:pPr>
              <w:spacing w:after="0"/>
              <w:rPr>
                <w:sz w:val="19"/>
                <w:szCs w:val="19"/>
                <w:color w:val="auto"/>
              </w:rPr>
            </w:pPr>
          </w:p>
        </w:tc>
        <w:tc>
          <w:tcPr>
            <w:tcW w:w="10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37.7 %</w:t>
            </w:r>
          </w:p>
        </w:tc>
        <w:tc>
          <w:tcPr>
            <w:tcW w:w="120" w:type="dxa"/>
            <w:vAlign w:val="bottom"/>
          </w:tcPr>
          <w:p>
            <w:pPr>
              <w:spacing w:after="0"/>
              <w:rPr>
                <w:sz w:val="19"/>
                <w:szCs w:val="19"/>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26,100</w:t>
            </w:r>
          </w:p>
        </w:tc>
        <w:tc>
          <w:tcPr>
            <w:tcW w:w="100" w:type="dxa"/>
            <w:vAlign w:val="bottom"/>
          </w:tcPr>
          <w:p>
            <w:pPr>
              <w:spacing w:after="0"/>
              <w:rPr>
                <w:sz w:val="19"/>
                <w:szCs w:val="19"/>
                <w:color w:val="auto"/>
              </w:rPr>
            </w:pPr>
          </w:p>
        </w:tc>
        <w:tc>
          <w:tcPr>
            <w:tcW w:w="13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3.0 %</w:t>
            </w:r>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394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168" w:lineRule="exact"/>
        <w:rPr>
          <w:sz w:val="20"/>
          <w:szCs w:val="20"/>
          <w:color w:val="auto"/>
        </w:rPr>
      </w:pPr>
    </w:p>
    <w:p>
      <w:pPr>
        <w:ind w:left="640" w:hanging="308"/>
        <w:spacing w:after="0"/>
        <w:tabs>
          <w:tab w:leader="none" w:pos="640" w:val="left"/>
        </w:tabs>
        <w:numPr>
          <w:ilvl w:val="0"/>
          <w:numId w:val="10"/>
        </w:numPr>
        <w:rPr>
          <w:rFonts w:ascii="Times New Roman" w:cs="Times New Roman" w:eastAsia="Times New Roman" w:hAnsi="Times New Roman"/>
          <w:sz w:val="23"/>
          <w:szCs w:val="23"/>
          <w:color w:val="auto"/>
          <w:vertAlign w:val="superscript"/>
        </w:rPr>
      </w:pPr>
      <w:r>
        <w:rPr>
          <w:rFonts w:ascii="Times New Roman" w:cs="Times New Roman" w:eastAsia="Times New Roman" w:hAnsi="Times New Roman"/>
          <w:sz w:val="18"/>
          <w:szCs w:val="18"/>
          <w:color w:val="auto"/>
        </w:rPr>
        <w:t>Includes stock-based compensation expense, which was allocated as follows (in thousands):</w:t>
      </w:r>
    </w:p>
    <w:p>
      <w:pPr>
        <w:spacing w:after="0" w:line="164"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6760" w:type="dxa"/>
            <w:vAlign w:val="bottom"/>
            <w:tcBorders>
              <w:bottom w:val="single" w:sz="8" w:color="CCEEFF"/>
            </w:tcBorders>
          </w:tcPr>
          <w:p>
            <w:pPr>
              <w:spacing w:after="0"/>
              <w:rPr>
                <w:sz w:val="16"/>
                <w:szCs w:val="16"/>
                <w:color w:val="auto"/>
              </w:rPr>
            </w:pPr>
          </w:p>
        </w:tc>
        <w:tc>
          <w:tcPr>
            <w:tcW w:w="1420" w:type="dxa"/>
            <w:vAlign w:val="bottom"/>
            <w:tcBorders>
              <w:bottom w:val="single" w:sz="8" w:color="auto"/>
            </w:tcBorders>
          </w:tcPr>
          <w:p>
            <w:pPr>
              <w:jc w:val="right"/>
              <w:ind w:right="99"/>
              <w:spacing w:after="0"/>
              <w:rPr>
                <w:sz w:val="20"/>
                <w:szCs w:val="20"/>
                <w:color w:val="auto"/>
              </w:rPr>
            </w:pPr>
            <w:r>
              <w:rPr>
                <w:rFonts w:ascii="Times New Roman" w:cs="Times New Roman" w:eastAsia="Times New Roman" w:hAnsi="Times New Roman"/>
                <w:sz w:val="14"/>
                <w:szCs w:val="14"/>
                <w:b w:val="1"/>
                <w:bCs w:val="1"/>
                <w:color w:val="auto"/>
              </w:rPr>
              <w:t>2020</w:t>
            </w:r>
          </w:p>
        </w:tc>
        <w:tc>
          <w:tcPr>
            <w:tcW w:w="76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520" w:type="dxa"/>
            <w:vAlign w:val="bottom"/>
            <w:tcBorders>
              <w:bottom w:val="single" w:sz="8" w:color="auto"/>
            </w:tcBorders>
          </w:tcPr>
          <w:p>
            <w:pPr>
              <w:spacing w:after="0"/>
              <w:rPr>
                <w:sz w:val="16"/>
                <w:szCs w:val="16"/>
                <w:color w:val="auto"/>
              </w:rPr>
            </w:pPr>
          </w:p>
        </w:tc>
        <w:tc>
          <w:tcPr>
            <w:tcW w:w="1660" w:type="dxa"/>
            <w:vAlign w:val="bottom"/>
            <w:tcBorders>
              <w:bottom w:val="single" w:sz="8" w:color="auto"/>
            </w:tcBorders>
          </w:tcPr>
          <w:p>
            <w:pPr>
              <w:jc w:val="right"/>
              <w:ind w:right="855"/>
              <w:spacing w:after="0"/>
              <w:rPr>
                <w:sz w:val="20"/>
                <w:szCs w:val="20"/>
                <w:color w:val="auto"/>
              </w:rPr>
            </w:pPr>
            <w:r>
              <w:rPr>
                <w:rFonts w:ascii="Times New Roman" w:cs="Times New Roman" w:eastAsia="Times New Roman" w:hAnsi="Times New Roman"/>
                <w:sz w:val="14"/>
                <w:szCs w:val="14"/>
                <w:b w:val="1"/>
                <w:bCs w:val="1"/>
                <w:color w:val="auto"/>
              </w:rPr>
              <w:t>2019</w:t>
            </w:r>
          </w:p>
        </w:tc>
      </w:tr>
      <w:tr>
        <w:trPr>
          <w:trHeight w:val="228"/>
        </w:trPr>
        <w:tc>
          <w:tcPr>
            <w:tcW w:w="67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Selling and marketing</w:t>
            </w:r>
          </w:p>
        </w:tc>
        <w:tc>
          <w:tcPr>
            <w:tcW w:w="1420" w:type="dxa"/>
            <w:vAlign w:val="bottom"/>
            <w:shd w:val="clear" w:color="auto" w:fill="CCEEFF"/>
          </w:tcPr>
          <w:p>
            <w:pPr>
              <w:spacing w:after="0"/>
              <w:rPr>
                <w:sz w:val="19"/>
                <w:szCs w:val="19"/>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13,298</w:t>
            </w:r>
          </w:p>
        </w:tc>
        <w:tc>
          <w:tcPr>
            <w:tcW w:w="120" w:type="dxa"/>
            <w:vAlign w:val="bottom"/>
            <w:shd w:val="clear" w:color="auto" w:fill="CCEEFF"/>
          </w:tcPr>
          <w:p>
            <w:pPr>
              <w:spacing w:after="0"/>
              <w:rPr>
                <w:sz w:val="19"/>
                <w:szCs w:val="19"/>
                <w:color w:val="auto"/>
              </w:rPr>
            </w:pPr>
          </w:p>
        </w:tc>
        <w:tc>
          <w:tcPr>
            <w:tcW w:w="520" w:type="dxa"/>
            <w:vAlign w:val="bottom"/>
            <w:shd w:val="clear" w:color="auto" w:fill="CCEEFF"/>
          </w:tcPr>
          <w:p>
            <w:pPr>
              <w:spacing w:after="0"/>
              <w:rPr>
                <w:sz w:val="19"/>
                <w:szCs w:val="19"/>
                <w:color w:val="auto"/>
              </w:rPr>
            </w:pPr>
          </w:p>
        </w:tc>
        <w:tc>
          <w:tcPr>
            <w:tcW w:w="1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14,333</w:t>
            </w:r>
          </w:p>
        </w:tc>
      </w:tr>
      <w:tr>
        <w:trPr>
          <w:trHeight w:val="230"/>
        </w:trPr>
        <w:tc>
          <w:tcPr>
            <w:tcW w:w="67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General and administrative</w:t>
            </w:r>
          </w:p>
        </w:tc>
        <w:tc>
          <w:tcPr>
            <w:tcW w:w="1420" w:type="dxa"/>
            <w:vAlign w:val="bottom"/>
          </w:tcPr>
          <w:p>
            <w:pPr>
              <w:jc w:val="right"/>
              <w:ind w:right="1239"/>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42,568</w:t>
            </w:r>
          </w:p>
        </w:tc>
        <w:tc>
          <w:tcPr>
            <w:tcW w:w="120" w:type="dxa"/>
            <w:vAlign w:val="bottom"/>
          </w:tcPr>
          <w:p>
            <w:pPr>
              <w:spacing w:after="0"/>
              <w:rPr>
                <w:sz w:val="19"/>
                <w:szCs w:val="19"/>
                <w:color w:val="auto"/>
              </w:rPr>
            </w:pPr>
          </w:p>
        </w:tc>
        <w:tc>
          <w:tcPr>
            <w:tcW w:w="520" w:type="dxa"/>
            <w:vAlign w:val="bottom"/>
          </w:tcPr>
          <w:p>
            <w:pPr>
              <w:jc w:val="right"/>
              <w:ind w:right="330"/>
              <w:spacing w:after="0"/>
              <w:rPr>
                <w:sz w:val="20"/>
                <w:szCs w:val="20"/>
                <w:color w:val="auto"/>
              </w:rPr>
            </w:pPr>
            <w:r>
              <w:rPr>
                <w:rFonts w:ascii="Times New Roman" w:cs="Times New Roman" w:eastAsia="Times New Roman" w:hAnsi="Times New Roman"/>
                <w:sz w:val="18"/>
                <w:szCs w:val="18"/>
                <w:color w:val="auto"/>
                <w:w w:val="88"/>
              </w:rPr>
              <w:t>$</w:t>
            </w:r>
          </w:p>
        </w:tc>
        <w:tc>
          <w:tcPr>
            <w:tcW w:w="16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42,054</w:t>
            </w:r>
          </w:p>
        </w:tc>
      </w:tr>
      <w:tr>
        <w:trPr>
          <w:trHeight w:val="230"/>
        </w:trPr>
        <w:tc>
          <w:tcPr>
            <w:tcW w:w="67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Research and development</w:t>
            </w:r>
          </w:p>
        </w:tc>
        <w:tc>
          <w:tcPr>
            <w:tcW w:w="1420" w:type="dxa"/>
            <w:vAlign w:val="bottom"/>
            <w:shd w:val="clear" w:color="auto" w:fill="CCEEFF"/>
          </w:tcPr>
          <w:p>
            <w:pPr>
              <w:spacing w:after="0"/>
              <w:rPr>
                <w:sz w:val="19"/>
                <w:szCs w:val="19"/>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22,440</w:t>
            </w:r>
          </w:p>
        </w:tc>
        <w:tc>
          <w:tcPr>
            <w:tcW w:w="120" w:type="dxa"/>
            <w:vAlign w:val="bottom"/>
            <w:shd w:val="clear" w:color="auto" w:fill="CCEEFF"/>
          </w:tcPr>
          <w:p>
            <w:pPr>
              <w:spacing w:after="0"/>
              <w:rPr>
                <w:sz w:val="19"/>
                <w:szCs w:val="19"/>
                <w:color w:val="auto"/>
              </w:rPr>
            </w:pPr>
          </w:p>
        </w:tc>
        <w:tc>
          <w:tcPr>
            <w:tcW w:w="520" w:type="dxa"/>
            <w:vAlign w:val="bottom"/>
            <w:shd w:val="clear" w:color="auto" w:fill="CCEEFF"/>
          </w:tcPr>
          <w:p>
            <w:pPr>
              <w:spacing w:after="0"/>
              <w:rPr>
                <w:sz w:val="19"/>
                <w:szCs w:val="19"/>
                <w:color w:val="auto"/>
              </w:rPr>
            </w:pPr>
          </w:p>
        </w:tc>
        <w:tc>
          <w:tcPr>
            <w:tcW w:w="1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28,633</w:t>
            </w:r>
          </w:p>
        </w:tc>
      </w:tr>
    </w:tbl>
    <w:p>
      <w:pPr>
        <w:spacing w:after="0" w:line="198" w:lineRule="exact"/>
        <w:rPr>
          <w:sz w:val="20"/>
          <w:szCs w:val="20"/>
          <w:color w:val="auto"/>
        </w:rPr>
      </w:pPr>
    </w:p>
    <w:p>
      <w:pPr>
        <w:jc w:val="both"/>
        <w:ind w:firstLine="445"/>
        <w:spacing w:after="0" w:line="282" w:lineRule="auto"/>
        <w:rPr>
          <w:sz w:val="20"/>
          <w:szCs w:val="20"/>
          <w:color w:val="auto"/>
        </w:rPr>
      </w:pPr>
      <w:r>
        <w:rPr>
          <w:rFonts w:ascii="Times New Roman" w:cs="Times New Roman" w:eastAsia="Times New Roman" w:hAnsi="Times New Roman"/>
          <w:sz w:val="18"/>
          <w:szCs w:val="18"/>
          <w:color w:val="auto"/>
        </w:rPr>
        <w:t>Changes in foreign currency exchange rates increased total operating expenses by $4.3 million for the nine months ended December 31, 2020, as compared to the prior year period.</w:t>
      </w:r>
    </w:p>
    <w:p>
      <w:pPr>
        <w:spacing w:after="0" w:line="9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Selling and marketing</w:t>
      </w:r>
    </w:p>
    <w:p>
      <w:pPr>
        <w:spacing w:after="0" w:line="144" w:lineRule="exact"/>
        <w:rPr>
          <w:sz w:val="20"/>
          <w:szCs w:val="20"/>
          <w:color w:val="auto"/>
        </w:rPr>
      </w:pPr>
    </w:p>
    <w:p>
      <w:pPr>
        <w:jc w:val="both"/>
        <w:ind w:firstLine="445"/>
        <w:spacing w:after="0" w:line="245" w:lineRule="auto"/>
        <w:rPr>
          <w:sz w:val="20"/>
          <w:szCs w:val="20"/>
          <w:color w:val="auto"/>
        </w:rPr>
      </w:pPr>
      <w:r>
        <w:rPr>
          <w:rFonts w:ascii="Times New Roman" w:cs="Times New Roman" w:eastAsia="Times New Roman" w:hAnsi="Times New Roman"/>
          <w:sz w:val="18"/>
          <w:szCs w:val="18"/>
          <w:color w:val="auto"/>
        </w:rPr>
        <w:t xml:space="preserve">Selling and marketing expenses decreased by $40.1 million for the nine months ended December 31, 2020, as compared to the prior year period, due primarily to lower overall marketing expenses due to lower marketing expenses for </w:t>
      </w:r>
      <w:r>
        <w:rPr>
          <w:rFonts w:ascii="Times New Roman" w:cs="Times New Roman" w:eastAsia="Times New Roman" w:hAnsi="Times New Roman"/>
          <w:sz w:val="18"/>
          <w:szCs w:val="18"/>
          <w:i w:val="1"/>
          <w:iCs w:val="1"/>
          <w:color w:val="auto"/>
        </w:rPr>
        <w:t>Borderlands 3</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Red Dead Redemption 2</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The Outer Worlds</w:t>
      </w:r>
      <w:r>
        <w:rPr>
          <w:rFonts w:ascii="Times New Roman" w:cs="Times New Roman" w:eastAsia="Times New Roman" w:hAnsi="Times New Roman"/>
          <w:sz w:val="18"/>
          <w:szCs w:val="18"/>
          <w:color w:val="auto"/>
        </w:rPr>
        <w:t xml:space="preserve">, and our </w:t>
      </w:r>
      <w:r>
        <w:rPr>
          <w:rFonts w:ascii="Times New Roman" w:cs="Times New Roman" w:eastAsia="Times New Roman" w:hAnsi="Times New Roman"/>
          <w:sz w:val="18"/>
          <w:szCs w:val="18"/>
          <w:i w:val="1"/>
          <w:iCs w:val="1"/>
          <w:color w:val="auto"/>
        </w:rPr>
        <w:t xml:space="preserve">WWE 2K </w:t>
      </w:r>
      <w:r>
        <w:rPr>
          <w:rFonts w:ascii="Times New Roman" w:cs="Times New Roman" w:eastAsia="Times New Roman" w:hAnsi="Times New Roman"/>
          <w:sz w:val="18"/>
          <w:szCs w:val="18"/>
          <w:color w:val="auto"/>
        </w:rPr>
        <w:t>franchise, partially offset by higher marketing expenses for</w:t>
      </w:r>
      <w:r>
        <w:rPr>
          <w:rFonts w:ascii="Times New Roman" w:cs="Times New Roman" w:eastAsia="Times New Roman" w:hAnsi="Times New Roman"/>
          <w:sz w:val="18"/>
          <w:szCs w:val="18"/>
          <w:i w:val="1"/>
          <w:iCs w:val="1"/>
          <w:color w:val="auto"/>
        </w:rPr>
        <w:t xml:space="preserve"> Dragon City, Word Life, </w:t>
      </w:r>
      <w:r>
        <w:rPr>
          <w:rFonts w:ascii="Times New Roman" w:cs="Times New Roman" w:eastAsia="Times New Roman" w:hAnsi="Times New Roman"/>
          <w:sz w:val="18"/>
          <w:szCs w:val="18"/>
          <w:color w:val="auto"/>
        </w:rPr>
        <w:t>and</w:t>
      </w:r>
      <w:r>
        <w:rPr>
          <w:rFonts w:ascii="Times New Roman" w:cs="Times New Roman" w:eastAsia="Times New Roman" w:hAnsi="Times New Roman"/>
          <w:sz w:val="18"/>
          <w:szCs w:val="18"/>
          <w:i w:val="1"/>
          <w:iCs w:val="1"/>
          <w:color w:val="auto"/>
        </w:rPr>
        <w:t xml:space="preserve"> Two Dots</w:t>
      </w:r>
      <w:r>
        <w:rPr>
          <w:rFonts w:ascii="Times New Roman" w:cs="Times New Roman" w:eastAsia="Times New Roman" w:hAnsi="Times New Roman"/>
          <w:sz w:val="18"/>
          <w:szCs w:val="18"/>
          <w:color w:val="auto"/>
        </w:rPr>
        <w:t>. This decrease was partially offset by higher</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personnel expenses due to increased headcount and higher incentive compensation.</w:t>
      </w:r>
    </w:p>
    <w:p>
      <w:pPr>
        <w:spacing w:after="0" w:line="11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General and administrative</w:t>
      </w:r>
    </w:p>
    <w:p>
      <w:pPr>
        <w:spacing w:after="0" w:line="158" w:lineRule="exact"/>
        <w:rPr>
          <w:sz w:val="20"/>
          <w:szCs w:val="20"/>
          <w:color w:val="auto"/>
        </w:rPr>
      </w:pPr>
    </w:p>
    <w:p>
      <w:pPr>
        <w:jc w:val="both"/>
        <w:ind w:firstLine="445"/>
        <w:spacing w:after="0" w:line="261" w:lineRule="auto"/>
        <w:rPr>
          <w:sz w:val="20"/>
          <w:szCs w:val="20"/>
          <w:color w:val="auto"/>
        </w:rPr>
      </w:pPr>
      <w:r>
        <w:rPr>
          <w:rFonts w:ascii="Times New Roman" w:cs="Times New Roman" w:eastAsia="Times New Roman" w:hAnsi="Times New Roman"/>
          <w:sz w:val="18"/>
          <w:szCs w:val="18"/>
          <w:color w:val="auto"/>
        </w:rPr>
        <w:t>General and administrative expenses increased by $56.2 million for the nine months ended December 31, 2020, as compared to the prior year period, due to increases in (i) charitable contributions made in connection with our COVID-19 pandemic response and relief efforts, (ii) personnel expenses for additional headcount and higher incentive compensation, and (iii) professional fees related to consulting, including for our acquisition of Playdots and our offer to acquire Codemasters Group Holdings PLC.</w:t>
      </w: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4" w:right="339" w:bottom="1440" w:gutter="0" w:footer="0" w:header="0"/>
        </w:sectPr>
      </w:pPr>
    </w:p>
    <w:bookmarkStart w:id="32" w:name="page33"/>
    <w:bookmarkEnd w:id="32"/>
    <w:p>
      <w:pPr>
        <w:spacing w:after="0"/>
        <w:rPr>
          <w:rFonts w:ascii="Times New Roman" w:cs="Times New Roman" w:eastAsia="Times New Roman" w:hAnsi="Times New Roman"/>
          <w:sz w:val="18"/>
          <w:szCs w:val="18"/>
          <w:u w:val="single" w:color="auto"/>
          <w:color w:val="0000FF"/>
        </w:rPr>
      </w:pPr>
      <w:hyperlink w:anchor="page1">
        <w:r>
          <w:rPr>
            <w:rFonts w:ascii="Times New Roman" w:cs="Times New Roman" w:eastAsia="Times New Roman" w:hAnsi="Times New Roman"/>
            <w:sz w:val="18"/>
            <w:szCs w:val="18"/>
            <w:u w:val="single" w:color="auto"/>
            <w:color w:val="0000FF"/>
          </w:rPr>
          <w:t>Table of Contents</w:t>
        </w:r>
      </w:hyperlink>
    </w:p>
    <w:p>
      <w:pPr>
        <w:spacing w:after="0" w:line="200" w:lineRule="exact"/>
        <w:rPr>
          <w:sz w:val="20"/>
          <w:szCs w:val="20"/>
          <w:color w:val="auto"/>
        </w:rPr>
      </w:pPr>
    </w:p>
    <w:p>
      <w:pPr>
        <w:spacing w:after="0" w:line="268" w:lineRule="exact"/>
        <w:rPr>
          <w:sz w:val="20"/>
          <w:szCs w:val="20"/>
          <w:color w:val="auto"/>
        </w:rPr>
      </w:pPr>
    </w:p>
    <w:p>
      <w:pPr>
        <w:jc w:val="both"/>
        <w:ind w:firstLine="445"/>
        <w:spacing w:after="0" w:line="282" w:lineRule="auto"/>
        <w:rPr>
          <w:sz w:val="20"/>
          <w:szCs w:val="20"/>
          <w:color w:val="auto"/>
        </w:rPr>
      </w:pPr>
      <w:r>
        <w:rPr>
          <w:rFonts w:ascii="Times New Roman" w:cs="Times New Roman" w:eastAsia="Times New Roman" w:hAnsi="Times New Roman"/>
          <w:sz w:val="18"/>
          <w:szCs w:val="18"/>
          <w:color w:val="auto"/>
        </w:rPr>
        <w:t>General and administrative expenses for the nine months ended December 31, 2020 and 2019 included occupancy expense (primarily rent, utilities and office expenses) of $20.5 million and $18.9 million, respectively, related to our development studios.</w:t>
      </w:r>
    </w:p>
    <w:p>
      <w:pPr>
        <w:spacing w:after="0" w:line="8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Research and development</w:t>
      </w:r>
    </w:p>
    <w:p>
      <w:pPr>
        <w:spacing w:after="0" w:line="158" w:lineRule="exact"/>
        <w:rPr>
          <w:sz w:val="20"/>
          <w:szCs w:val="20"/>
          <w:color w:val="auto"/>
        </w:rPr>
      </w:pPr>
    </w:p>
    <w:p>
      <w:pPr>
        <w:jc w:val="both"/>
        <w:ind w:firstLine="445"/>
        <w:spacing w:after="0" w:line="242" w:lineRule="auto"/>
        <w:rPr>
          <w:sz w:val="20"/>
          <w:szCs w:val="20"/>
          <w:color w:val="auto"/>
        </w:rPr>
      </w:pPr>
      <w:r>
        <w:rPr>
          <w:rFonts w:ascii="Times New Roman" w:cs="Times New Roman" w:eastAsia="Times New Roman" w:hAnsi="Times New Roman"/>
          <w:sz w:val="18"/>
          <w:szCs w:val="18"/>
          <w:color w:val="auto"/>
        </w:rPr>
        <w:t>Research and development expenses increased by $6.1 million for the nine months ended December 31, 2020, as compared to the prior year period, due primarily to increases in (i) personnel expenses for higher headcount and higher incentive compensation, (ii) IT expenses for cloud-based services, (iii) online support costs, and (iv) professional fees. These increases were partially offset by (i) lower production and development expenses primarily due to additional capitalization of costs for development on titles having established technological feasibility compared to the prior year and (ii) lower travel expenses due to restrictions as a result of the COVID-19 pandemic.</w:t>
      </w:r>
    </w:p>
    <w:p>
      <w:pPr>
        <w:spacing w:after="0" w:line="11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Depreciation and Amortization</w:t>
      </w:r>
    </w:p>
    <w:p>
      <w:pPr>
        <w:spacing w:after="0" w:line="144" w:lineRule="exact"/>
        <w:rPr>
          <w:sz w:val="20"/>
          <w:szCs w:val="20"/>
          <w:color w:val="auto"/>
        </w:rPr>
      </w:pPr>
    </w:p>
    <w:p>
      <w:pPr>
        <w:jc w:val="both"/>
        <w:ind w:firstLine="445"/>
        <w:spacing w:after="0" w:line="282" w:lineRule="auto"/>
        <w:rPr>
          <w:sz w:val="20"/>
          <w:szCs w:val="20"/>
          <w:color w:val="auto"/>
        </w:rPr>
      </w:pPr>
      <w:r>
        <w:rPr>
          <w:rFonts w:ascii="Times New Roman" w:cs="Times New Roman" w:eastAsia="Times New Roman" w:hAnsi="Times New Roman"/>
          <w:sz w:val="18"/>
          <w:szCs w:val="18"/>
          <w:color w:val="auto"/>
        </w:rPr>
        <w:t>Depreciation and amortization expenses for the nine months ended December 31, 2020 increased by $4.5 million, as compared to the prior year period, due primarily to leasehold improvements for new office locations and IT infrastructure.</w:t>
      </w:r>
    </w:p>
    <w:p>
      <w:pPr>
        <w:spacing w:after="0" w:line="9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Business reorganization</w:t>
      </w:r>
    </w:p>
    <w:p>
      <w:pPr>
        <w:spacing w:after="0" w:line="158" w:lineRule="exact"/>
        <w:rPr>
          <w:sz w:val="20"/>
          <w:szCs w:val="20"/>
          <w:color w:val="auto"/>
        </w:rPr>
      </w:pPr>
    </w:p>
    <w:p>
      <w:pPr>
        <w:jc w:val="both"/>
        <w:ind w:firstLine="445"/>
        <w:spacing w:after="0" w:line="282" w:lineRule="auto"/>
        <w:rPr>
          <w:sz w:val="20"/>
          <w:szCs w:val="20"/>
          <w:color w:val="auto"/>
        </w:rPr>
      </w:pPr>
      <w:r>
        <w:rPr>
          <w:rFonts w:ascii="Times New Roman" w:cs="Times New Roman" w:eastAsia="Times New Roman" w:hAnsi="Times New Roman"/>
          <w:sz w:val="18"/>
          <w:szCs w:val="18"/>
          <w:color w:val="auto"/>
        </w:rPr>
        <w:t>During the nine months ended December 31, 2020, as compared to the prior year period, business reorganization expense decreased $0.6 million and was not material.</w:t>
      </w:r>
    </w:p>
    <w:p>
      <w:pPr>
        <w:spacing w:after="0" w:line="7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Interest and other, net</w:t>
      </w:r>
    </w:p>
    <w:p>
      <w:pPr>
        <w:spacing w:after="0" w:line="162" w:lineRule="exact"/>
        <w:rPr>
          <w:sz w:val="20"/>
          <w:szCs w:val="20"/>
          <w:color w:val="auto"/>
        </w:rPr>
      </w:pPr>
    </w:p>
    <w:p>
      <w:pPr>
        <w:ind w:firstLine="445"/>
        <w:spacing w:after="0" w:line="250" w:lineRule="auto"/>
        <w:rPr>
          <w:sz w:val="20"/>
          <w:szCs w:val="20"/>
          <w:color w:val="auto"/>
        </w:rPr>
      </w:pPr>
      <w:r>
        <w:rPr>
          <w:rFonts w:ascii="Times New Roman" w:cs="Times New Roman" w:eastAsia="Times New Roman" w:hAnsi="Times New Roman"/>
          <w:sz w:val="18"/>
          <w:szCs w:val="18"/>
          <w:color w:val="auto"/>
        </w:rPr>
        <w:t>Interest and other, net was income of $12.0 million for the nine months ended December 31, 2020, as compared to $30.4 million for the prior year period. The change was due primarily to lower interest income due to lower interest rates, partially offset by foreign currency gains including a $3.1 million reclassification from Accumulated other comprehensive loss as a result of discontinuing our cash flow hedge related to our cross-currency swap.</w:t>
      </w:r>
    </w:p>
    <w:p>
      <w:pPr>
        <w:spacing w:after="0" w:line="20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Gain on long-term investments, net</w:t>
      </w:r>
    </w:p>
    <w:p>
      <w:pPr>
        <w:spacing w:after="0" w:line="148" w:lineRule="exact"/>
        <w:rPr>
          <w:sz w:val="20"/>
          <w:szCs w:val="20"/>
          <w:color w:val="auto"/>
        </w:rPr>
      </w:pPr>
    </w:p>
    <w:p>
      <w:pPr>
        <w:jc w:val="both"/>
        <w:ind w:right="20" w:firstLine="648"/>
        <w:spacing w:after="0" w:line="282" w:lineRule="auto"/>
        <w:rPr>
          <w:sz w:val="20"/>
          <w:szCs w:val="20"/>
          <w:color w:val="auto"/>
        </w:rPr>
      </w:pPr>
      <w:r>
        <w:rPr>
          <w:rFonts w:ascii="Times New Roman" w:cs="Times New Roman" w:eastAsia="Times New Roman" w:hAnsi="Times New Roman"/>
          <w:sz w:val="18"/>
          <w:szCs w:val="18"/>
          <w:color w:val="auto"/>
        </w:rPr>
        <w:t>Gain on long-term investments, net for the nine months ended December 31, 2020 was $38.6 million and was due primarily to the sale of a portion of one of our investments and the resulting change in value based on the observable price change of the remaining portion of that investment.</w:t>
      </w:r>
    </w:p>
    <w:p>
      <w:pPr>
        <w:spacing w:after="0" w:line="7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b w:val="1"/>
          <w:bCs w:val="1"/>
          <w:i w:val="1"/>
          <w:iCs w:val="1"/>
          <w:color w:val="auto"/>
        </w:rPr>
        <w:t>Provision for Income Taxes</w:t>
      </w:r>
    </w:p>
    <w:p>
      <w:pPr>
        <w:spacing w:after="0" w:line="162" w:lineRule="exact"/>
        <w:rPr>
          <w:sz w:val="20"/>
          <w:szCs w:val="20"/>
          <w:color w:val="auto"/>
        </w:rPr>
      </w:pPr>
    </w:p>
    <w:p>
      <w:pPr>
        <w:jc w:val="both"/>
        <w:ind w:firstLine="648"/>
        <w:spacing w:after="0" w:line="250" w:lineRule="auto"/>
        <w:rPr>
          <w:sz w:val="20"/>
          <w:szCs w:val="20"/>
          <w:color w:val="auto"/>
        </w:rPr>
      </w:pPr>
      <w:r>
        <w:rPr>
          <w:rFonts w:ascii="Times New Roman" w:cs="Times New Roman" w:eastAsia="Times New Roman" w:hAnsi="Times New Roman"/>
          <w:sz w:val="18"/>
          <w:szCs w:val="18"/>
          <w:color w:val="auto"/>
        </w:rPr>
        <w:t>The provision for income taxes for the nine months ended December 31, 2020 is based on our projected annual effective tax rate for fiscal year 2021, adjusted for specific items that are required to be recognized in the period in which they are incurred. The provision for income taxes was $54.2 million for the nine months ended December 31, 2020 as compared to a provision for income taxes of $52.1 million for the prior year period.</w:t>
      </w:r>
    </w:p>
    <w:p>
      <w:pPr>
        <w:spacing w:after="0" w:line="204" w:lineRule="exact"/>
        <w:rPr>
          <w:sz w:val="20"/>
          <w:szCs w:val="20"/>
          <w:color w:val="auto"/>
        </w:rPr>
      </w:pPr>
    </w:p>
    <w:p>
      <w:pPr>
        <w:jc w:val="both"/>
        <w:ind w:right="20" w:firstLine="648"/>
        <w:spacing w:after="0" w:line="266" w:lineRule="auto"/>
        <w:rPr>
          <w:sz w:val="20"/>
          <w:szCs w:val="20"/>
          <w:color w:val="auto"/>
        </w:rPr>
      </w:pPr>
      <w:r>
        <w:rPr>
          <w:rFonts w:ascii="Times New Roman" w:cs="Times New Roman" w:eastAsia="Times New Roman" w:hAnsi="Times New Roman"/>
          <w:sz w:val="18"/>
          <w:szCs w:val="18"/>
          <w:color w:val="auto"/>
        </w:rPr>
        <w:t>When compared to the statutory rate of 21.0%, the effective tax rate of 12.8% for the nine months ended December 31, 2020 was due primarily to a benefit of $17.8 million as a result of tax credits anticipated to be utilized and excess tax benefits of $13.6 million from employee stock-based compensation.</w:t>
      </w:r>
    </w:p>
    <w:p>
      <w:pPr>
        <w:spacing w:after="0" w:line="203" w:lineRule="exact"/>
        <w:rPr>
          <w:sz w:val="20"/>
          <w:szCs w:val="20"/>
          <w:color w:val="auto"/>
        </w:rPr>
      </w:pPr>
    </w:p>
    <w:p>
      <w:pPr>
        <w:jc w:val="both"/>
        <w:ind w:right="20" w:firstLine="648"/>
        <w:spacing w:after="0" w:line="258" w:lineRule="auto"/>
        <w:rPr>
          <w:sz w:val="20"/>
          <w:szCs w:val="20"/>
          <w:color w:val="auto"/>
        </w:rPr>
      </w:pPr>
      <w:r>
        <w:rPr>
          <w:rFonts w:ascii="Times New Roman" w:cs="Times New Roman" w:eastAsia="Times New Roman" w:hAnsi="Times New Roman"/>
          <w:sz w:val="18"/>
          <w:szCs w:val="18"/>
          <w:color w:val="auto"/>
        </w:rPr>
        <w:t>In the prior year period, when compared to our blended statutory rate of 21%, the effective tax rate of 15.6% for the nine months ended December 31, 2019 was due primarily to a benefit of $15.1 million as a result of tax credits anticipated to be utilized, a tax benefit of $11.6 million from changes in unrecognized tax benefits due to audit settlements, and a benefit of $5.8 million from our geographic mix of earnings. To a lesser extent, the rate was also affected by excess tax benefits from employee stock-based compensation. These benefits were partially offset by a tax expense of $19.8 million from the reversal of net deferred tax benefits relating to the Altera case, discussed below.</w:t>
      </w:r>
    </w:p>
    <w:p>
      <w:pPr>
        <w:spacing w:after="0" w:line="210"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The change in the effective tax rate, when compared to the prior year period's effective tax rate, is due primarily to increased benefits related to excess tax benefits from employee stock-based compensation and to tax credits offset by decreased tax expense relating to the Altera case, discussed below, and decreased tax benefits related to the changes in unrecognized tax benefits due to audit settlements.</w:t>
      </w:r>
    </w:p>
    <w:p>
      <w:pPr>
        <w:spacing w:after="0" w:line="203"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The accounting for share-based compensation will increase or decrease our effective tax rate based on the difference between our share-based compensation expense and the deductions taken on our tax return, which depends on the stock price at the time of the employee award vesting. Since we recognize excess tax benefits on a discrete basis, we anticipate that our effective tax rate will vary from quarter to quarter depending on our stock price in each period.</w:t>
      </w:r>
    </w:p>
    <w:p>
      <w:pPr>
        <w:spacing w:after="0" w:line="200" w:lineRule="exact"/>
        <w:rPr>
          <w:sz w:val="20"/>
          <w:szCs w:val="20"/>
          <w:color w:val="auto"/>
        </w:rPr>
      </w:pPr>
    </w:p>
    <w:p>
      <w:pPr>
        <w:spacing w:after="0" w:line="3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4" w:right="339" w:bottom="1440" w:gutter="0" w:footer="0" w:header="0"/>
        </w:sectPr>
      </w:pPr>
    </w:p>
    <w:bookmarkStart w:id="33" w:name="page34"/>
    <w:bookmarkEnd w:id="33"/>
    <w:p>
      <w:pPr>
        <w:spacing w:after="0"/>
        <w:rPr>
          <w:rFonts w:ascii="Times New Roman" w:cs="Times New Roman" w:eastAsia="Times New Roman" w:hAnsi="Times New Roman"/>
          <w:sz w:val="18"/>
          <w:szCs w:val="18"/>
          <w:u w:val="single" w:color="auto"/>
          <w:color w:val="0000FF"/>
        </w:rPr>
      </w:pPr>
      <w:hyperlink w:anchor="page1">
        <w:r>
          <w:rPr>
            <w:rFonts w:ascii="Times New Roman" w:cs="Times New Roman" w:eastAsia="Times New Roman" w:hAnsi="Times New Roman"/>
            <w:sz w:val="18"/>
            <w:szCs w:val="18"/>
            <w:u w:val="single" w:color="auto"/>
            <w:color w:val="0000FF"/>
          </w:rPr>
          <w:t>Table of Contents</w:t>
        </w:r>
      </w:hyperlink>
    </w:p>
    <w:p>
      <w:pPr>
        <w:spacing w:after="0" w:line="200" w:lineRule="exact"/>
        <w:rPr>
          <w:sz w:val="20"/>
          <w:szCs w:val="20"/>
          <w:color w:val="auto"/>
        </w:rPr>
      </w:pPr>
    </w:p>
    <w:p>
      <w:pPr>
        <w:spacing w:after="0" w:line="363"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We anticipate that additional excess tax benefits or shortfalls from employee stock compensation, tax credits, and changes in our geographic mix of earnings could have a significant impact on our effective tax rate in the future. In addition, we are regularly examined by domestic and foreign taxing authorities. Examinations may result in tax assessments in excess of amounts claimed and the payment of additional taxes. We believe our tax positions comply with applicable tax law, and that we have adequately provided for reasonably foreseeable tax assessments. It is possible that settlement of audits and/or the expiration of the statute of limitations could have an impact on our effective tax rate in future periods.</w:t>
      </w:r>
    </w:p>
    <w:p>
      <w:pPr>
        <w:spacing w:after="0" w:line="210"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On July 27, 2015, the U.S. Tax Court issued an opinion in Altera Corp. v. Commissioner, which concluded that related parties in an intercompany cost-sharing arrangement are not required to share costs related to stock-based compensation. In February 2016, the U.S. Internal Revenue Service appealed the decision to the U.S. Court of Appeals for the Ninth Circuit. On June 7, 2019, the Ninth Circuit reversed the 2015 decision of the U.S. Tax Court. As a result of this decision, we are no longer reflecting a net tax benefit within our financial statements related to the removal of stock-based compensation from our intercompany cost-sharing arrangement. During the nine months ended December 31, 2020, we removed the deferred tax asset and a deferred tax liability associated with this matter, resulting in a cumulative net discrete income tax expense of $19.8 million. The taxpayer in the case requested a rehearing before the full Ninth Circuit which was denied on November 12, 2019. In February 2020, the taxpayer appealed to the U.S. Supreme Court, which denied certiorari on June 22, 2020.</w:t>
      </w:r>
    </w:p>
    <w:p>
      <w:pPr>
        <w:spacing w:after="0" w:line="124"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On May 19, 2019, a public referendum held in Switzerland approved the Federal Act on Tax Reform and AVH (Old-Age and Survivors Insurance) Financing ("TRAF"), which was effective for us on January 1, 2020. The TRAF abolished preferential tax regimes at the cantonal level. The cantons established transition rules which provided us a step-up in tax basis for which a deferred tax asset of $45.3 million and valuation allowance of $33.4 million were established. It is possible that realization of deferred tax assets relating to the Swiss cantonal basis step-up may change due to changes in forecasted future earnings in Switzerland.</w:t>
      </w:r>
    </w:p>
    <w:p>
      <w:pPr>
        <w:spacing w:after="0" w:line="102"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On March 27, 2020, the U.S. enacted the Coronavirus Aid, Relief and Economic Security Act (the "CARES Act"), which provides numerous tax and other stimulus measures. An additional economic stimulus package, the Consolidated Appropriations Act, 2021, was approved on December 27, 2020. We do not expect that these measures will have a material impact to our Consolidated Financial Statements.</w:t>
      </w:r>
    </w:p>
    <w:p>
      <w:pPr>
        <w:spacing w:after="0" w:line="10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Net income and earnings per share</w:t>
      </w:r>
    </w:p>
    <w:p>
      <w:pPr>
        <w:spacing w:after="0" w:line="162" w:lineRule="exact"/>
        <w:rPr>
          <w:sz w:val="20"/>
          <w:szCs w:val="20"/>
          <w:color w:val="auto"/>
        </w:rPr>
      </w:pPr>
    </w:p>
    <w:p>
      <w:pPr>
        <w:jc w:val="both"/>
        <w:ind w:firstLine="445"/>
        <w:spacing w:after="0" w:line="258" w:lineRule="auto"/>
        <w:rPr>
          <w:sz w:val="20"/>
          <w:szCs w:val="20"/>
          <w:color w:val="auto"/>
        </w:rPr>
      </w:pPr>
      <w:r>
        <w:rPr>
          <w:rFonts w:ascii="Times New Roman" w:cs="Times New Roman" w:eastAsia="Times New Roman" w:hAnsi="Times New Roman"/>
          <w:sz w:val="18"/>
          <w:szCs w:val="18"/>
          <w:color w:val="auto"/>
        </w:rPr>
        <w:t>For the nine months ended December 31, 2020, net income was $370.1 million, as compared to $281.7 million in the prior year period. For the nine months ended December 31, 2020, diluted earnings per share was $3.20 as compared to diluted earnings per share of $2.47 in the prior year period. Diluted weighted average shares of 115.6 million were 1.6 million shares higher as compared to the prior year period, due primarily to normal stock compensation activity, including vests as well as grants and forfeitures in the prior year being fully outstanding in the current year period. See Note 11 to our Condensed Consolidated Financial Statements for additional information regarding earnings per share.</w:t>
      </w:r>
    </w:p>
    <w:p>
      <w:pPr>
        <w:spacing w:after="0" w:line="9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Liquidity and Capital Resources</w:t>
      </w:r>
    </w:p>
    <w:p>
      <w:pPr>
        <w:spacing w:after="0" w:line="162"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Our primary cash requirements have been to fund (i) the development, manufacturing, and marketing of our published products, (ii) working capital, (iii) acquisitions, and (iv) capital expenditures. We expect to rely on cash and cash equivalents as well as on short-term investments, funds provided by our operating activities, and our Credit Agreement to satisfy our working capital needs.</w:t>
      </w:r>
    </w:p>
    <w:p>
      <w:pPr>
        <w:spacing w:after="0" w:line="10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Short-term Investments</w:t>
      </w:r>
    </w:p>
    <w:p>
      <w:pPr>
        <w:spacing w:after="0" w:line="148"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As of December 31, 2020, we had $772.7 million of short-term investments, which are highly liquid in nature and represent an investment of cash that is available for current operations. From time to time, we may purchase additional short-term investments depending on future market conditions and liquidity needs. As of December 31, 2020, based on the composition of our investment portfolio and relatively lower interest rates as a result of the recent actions by central banks around the world, including the interest rate cuts by the U.S. Federal Reserve, in response to the COVID-19 pandemic and related adverse economic conditions, we anticipate investment yields may remain low, which would lower our future interest income. Such impact is not expected to be material to our liquidity.</w:t>
      </w:r>
    </w:p>
    <w:p>
      <w:pPr>
        <w:spacing w:after="0" w:line="11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Credit Agreement</w:t>
      </w:r>
    </w:p>
    <w:p>
      <w:pPr>
        <w:spacing w:after="0" w:line="162"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On February 8, 2019, we entered into an unsecured Credit Agreement (the “Credit Agreement”) that runs through February 8, 2024. The Credit Agreement provides for an unsecured five-year revolving credit facility with commitments of $200 million, including sublimits for (i) the issuance of letters of credit in an aggregate face amount of up to $25 million and (ii) borrowings and letters of credit denominated in Pounds Sterling, Euros, and Canadian Dollars in an aggregate principal</w:t>
      </w: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4" w:right="339" w:bottom="1440" w:gutter="0" w:footer="0" w:header="0"/>
        </w:sectPr>
      </w:pPr>
    </w:p>
    <w:bookmarkStart w:id="34" w:name="page35"/>
    <w:bookmarkEnd w:id="34"/>
    <w:p>
      <w:pPr>
        <w:spacing w:after="0"/>
        <w:rPr>
          <w:rFonts w:ascii="Times New Roman" w:cs="Times New Roman" w:eastAsia="Times New Roman" w:hAnsi="Times New Roman"/>
          <w:sz w:val="18"/>
          <w:szCs w:val="18"/>
          <w:u w:val="single" w:color="auto"/>
          <w:color w:val="0000FF"/>
        </w:rPr>
      </w:pPr>
      <w:hyperlink w:anchor="page1">
        <w:r>
          <w:rPr>
            <w:rFonts w:ascii="Times New Roman" w:cs="Times New Roman" w:eastAsia="Times New Roman" w:hAnsi="Times New Roman"/>
            <w:sz w:val="18"/>
            <w:szCs w:val="18"/>
            <w:u w:val="single" w:color="auto"/>
            <w:color w:val="0000FF"/>
          </w:rPr>
          <w:t>Table of Contents</w:t>
        </w:r>
      </w:hyperlink>
    </w:p>
    <w:p>
      <w:pPr>
        <w:spacing w:after="0" w:line="200" w:lineRule="exact"/>
        <w:rPr>
          <w:sz w:val="20"/>
          <w:szCs w:val="20"/>
          <w:color w:val="auto"/>
        </w:rPr>
      </w:pPr>
    </w:p>
    <w:p>
      <w:pPr>
        <w:spacing w:after="0" w:line="268"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amount of up to $25 million. In addition, the Credit Agreement contains uncommitted incremental capacity permitting the incurrence of up to an additional $250 million in term loans or revolving credit facilities.</w:t>
      </w:r>
    </w:p>
    <w:p>
      <w:pPr>
        <w:spacing w:after="0" w:line="81"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Loans under the Credit Agreement will bear interest at a rate of (a) 0.250% to 0.750% above a certain base rate (3.25% at December 31, 2020) or</w:t>
      </w:r>
    </w:p>
    <w:p>
      <w:pPr>
        <w:spacing w:after="0" w:line="27" w:lineRule="exact"/>
        <w:rPr>
          <w:sz w:val="20"/>
          <w:szCs w:val="20"/>
          <w:color w:val="auto"/>
        </w:rPr>
      </w:pPr>
    </w:p>
    <w:p>
      <w:pPr>
        <w:ind w:firstLine="8"/>
        <w:spacing w:after="0" w:line="260" w:lineRule="auto"/>
        <w:tabs>
          <w:tab w:leader="none" w:pos="264"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1.125% to 1.750% above LIBOR (approximately 1.44% at December 31, 2020), which rates are determined by reference to our consolidated total net leverage ratio.</w:t>
      </w:r>
    </w:p>
    <w:p>
      <w:pPr>
        <w:spacing w:after="0" w:line="114" w:lineRule="exact"/>
        <w:rPr>
          <w:sz w:val="20"/>
          <w:szCs w:val="20"/>
          <w:color w:val="auto"/>
        </w:rPr>
      </w:pPr>
    </w:p>
    <w:p>
      <w:pPr>
        <w:jc w:val="both"/>
        <w:ind w:right="20" w:firstLine="648"/>
        <w:spacing w:after="0" w:line="282" w:lineRule="auto"/>
        <w:rPr>
          <w:sz w:val="20"/>
          <w:szCs w:val="20"/>
          <w:color w:val="auto"/>
        </w:rPr>
      </w:pPr>
      <w:r>
        <w:rPr>
          <w:rFonts w:ascii="Times New Roman" w:cs="Times New Roman" w:eastAsia="Times New Roman" w:hAnsi="Times New Roman"/>
          <w:sz w:val="18"/>
          <w:szCs w:val="18"/>
          <w:color w:val="auto"/>
        </w:rPr>
        <w:t>As of December 31, 2020, there was $197.9 million available to borrow under the Credit Agreement, and we had $2.1 million of letters of credit outstanding. At December 31, 2020, we had no outstanding borrowings under the Credit Agreement.</w:t>
      </w:r>
    </w:p>
    <w:p>
      <w:pPr>
        <w:spacing w:after="0" w:line="94" w:lineRule="exact"/>
        <w:rPr>
          <w:sz w:val="20"/>
          <w:szCs w:val="20"/>
          <w:color w:val="auto"/>
        </w:rPr>
      </w:pPr>
    </w:p>
    <w:p>
      <w:pPr>
        <w:jc w:val="both"/>
        <w:ind w:firstLine="648"/>
        <w:spacing w:after="0" w:line="255" w:lineRule="auto"/>
        <w:rPr>
          <w:sz w:val="20"/>
          <w:szCs w:val="20"/>
          <w:color w:val="auto"/>
        </w:rPr>
      </w:pPr>
      <w:r>
        <w:rPr>
          <w:rFonts w:ascii="Times New Roman" w:cs="Times New Roman" w:eastAsia="Times New Roman" w:hAnsi="Times New Roman"/>
          <w:sz w:val="18"/>
          <w:szCs w:val="18"/>
          <w:color w:val="auto"/>
        </w:rPr>
        <w:t>The Credit Agreement also includes, among other terms and conditions, maximum leverage ratio, minimum cash reserves and, in certain circumstances, minimum interest coverage ratio financial covenants, as well as limitations on the Company’s and each of its subsidiaries’ ability to: create, incur, assume or be liable for indebtedness; dispose of assets outside the ordinary course; acquire, merge or consolidate with or into another person or entity; create, incur or allow any lien on any of its property; make investments; or pay dividends or make distributions, in each case subject to certain exceptions. In addition, the Credit Agreement provides for certain events of default such as nonpayment of principal and interest when due thereunder, breaches of representations and warranties, noncompliance with covenants, acts of insolvency, and default on indebtedness held by third parties (subject to certain limitations and cure periods).</w:t>
      </w:r>
    </w:p>
    <w:p>
      <w:pPr>
        <w:spacing w:after="0" w:line="10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Financial Condition</w:t>
      </w:r>
    </w:p>
    <w:p>
      <w:pPr>
        <w:spacing w:after="0" w:line="162"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7"/>
          <w:szCs w:val="17"/>
          <w:color w:val="auto"/>
        </w:rPr>
        <w:t>We are subject to credit risks, particularly if any of our receivables represent a limited number of customers or are concentrated in foreign markets.</w:t>
      </w:r>
    </w:p>
    <w:p>
      <w:pPr>
        <w:spacing w:after="0" w:line="3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If we are unable to collect our accounts receivable as they become due, it could adversely affect our liquidity and working capital position.</w:t>
      </w:r>
    </w:p>
    <w:p>
      <w:pPr>
        <w:spacing w:after="0" w:line="139"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Generally, we have been able to collect our accounts receivable in the ordinary course of business. We do not hold any collateral to secure payment from customers. We have trade credit insurance on the majority of our customers to mitigate accounts receivable risk.</w:t>
      </w:r>
    </w:p>
    <w:p>
      <w:pPr>
        <w:spacing w:after="0" w:line="81" w:lineRule="exact"/>
        <w:rPr>
          <w:sz w:val="20"/>
          <w:szCs w:val="20"/>
          <w:color w:val="auto"/>
        </w:rPr>
      </w:pPr>
    </w:p>
    <w:p>
      <w:pPr>
        <w:jc w:val="both"/>
        <w:ind w:firstLine="648"/>
        <w:spacing w:after="0" w:line="253" w:lineRule="auto"/>
        <w:rPr>
          <w:sz w:val="20"/>
          <w:szCs w:val="20"/>
          <w:color w:val="auto"/>
        </w:rPr>
      </w:pPr>
      <w:r>
        <w:rPr>
          <w:rFonts w:ascii="Times New Roman" w:cs="Times New Roman" w:eastAsia="Times New Roman" w:hAnsi="Times New Roman"/>
          <w:sz w:val="18"/>
          <w:szCs w:val="18"/>
          <w:color w:val="auto"/>
        </w:rPr>
        <w:t>A majority of our trade receivables are derived from sales to major retailers, including digital storefronts and platform partners, and distributors. Our five largest customers accounted for 77.4% and 70.0% of net revenue during the nine months ended December 31, 2020 and 2019, respectively. As of December 31, 2020 and March 31, 2020, five customers accounted for 71.8% and 58.1% of our gross accounts receivable, respectively. Customers that individually accounted for more than 10% of our gross accounts receivable balance comprised 59.1% and 48.8% of such balances at December 31, 2020 and March 31, 2020, respectively. We had two customers who accounted for 39.5% and 19.6% of our gross accounts receivable as of December 31, 2020, respectively, and two customers who accounted for 29.4% and 19.4% of our gross accounts receivable as of March 31, 2020, respectively. Based upon performing ongoing credit evaluations, maintaining trade credit insurance on a majority of our customers and our past collection experience, we believe that the receivable balances from these largest customers do not represent a significant credit risk, although we actively monitor each customer's credit worthiness and economic conditions that may affect our customers' business and access to capital. We are monitoring the current global economic conditions, including credit markets and other factors as it relates to our customers in order to manage the risk of uncollectible accounts receivable, including as a result of the COVID-19 pandemic.</w:t>
      </w:r>
    </w:p>
    <w:p>
      <w:pPr>
        <w:spacing w:after="0" w:line="124"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We believe our current cash and cash equivalents, short-term investments and projected cash flows from operations, along with availability under our Credit Agreement, will provide us with sufficient liquidity to satisfy our cash requirements for working capital, capital expenditures, and commitments on both a short-term and long-term basis. Our liquidity and capital resources were not materially affected by the COVID-19 pandemic and related volatility and slowdown in the global financial markets during the first two quarters of fiscal year 2021. Included in our Restricted cash as of December 31, 2020, was the cash portion of our offer to acquire Codemasters Group Holdings PLC, a UK-based game publisher and developer. As of January 13, 2021, the offer lapsed, and the cash was no longer restricted.</w:t>
      </w:r>
    </w:p>
    <w:p>
      <w:pPr>
        <w:spacing w:after="0" w:line="120"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As of December 31, 2020, the amount of cash and cash equivalents held outside of the U.S. by our foreign subsidiaries was $845.3 million. These balances are dispersed across various locations around the world. We believe that such dispersion meets the business and liquidity needs of our foreign affiliates. In addition, we expect to have the ability to generate sufficient cash domestically to support ongoing operations for the foreseeable future.</w:t>
      </w:r>
    </w:p>
    <w:p>
      <w:pPr>
        <w:spacing w:after="0" w:line="95"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The Tax Cuts and Jobs Act, as enacted in December 2017, includes a number of provisions, which generally establish a territorial-style system for taxing foreign income of domestic multinational corporations. Our current intention is to reinvest indefinitely earnings of our foreign subsidiaries, and therefore we have not recorded any tax liabilities associated with the repatriation of foreign earnings.</w:t>
      </w: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4" w:right="339" w:bottom="1440" w:gutter="0" w:footer="0" w:header="0"/>
        </w:sectPr>
      </w:pPr>
    </w:p>
    <w:bookmarkStart w:id="35" w:name="page36"/>
    <w:bookmarkEnd w:id="35"/>
    <w:p>
      <w:pPr>
        <w:spacing w:after="0"/>
        <w:rPr>
          <w:rFonts w:ascii="Times New Roman" w:cs="Times New Roman" w:eastAsia="Times New Roman" w:hAnsi="Times New Roman"/>
          <w:sz w:val="18"/>
          <w:szCs w:val="18"/>
          <w:u w:val="single" w:color="auto"/>
          <w:color w:val="0000FF"/>
        </w:rPr>
      </w:pPr>
      <w:hyperlink w:anchor="page1">
        <w:r>
          <w:rPr>
            <w:rFonts w:ascii="Times New Roman" w:cs="Times New Roman" w:eastAsia="Times New Roman" w:hAnsi="Times New Roman"/>
            <w:sz w:val="18"/>
            <w:szCs w:val="18"/>
            <w:u w:val="single" w:color="auto"/>
            <w:color w:val="0000FF"/>
          </w:rPr>
          <w:t>Table of Contents</w:t>
        </w:r>
      </w:hyperlink>
    </w:p>
    <w:p>
      <w:pPr>
        <w:spacing w:after="0" w:line="200" w:lineRule="exact"/>
        <w:rPr>
          <w:sz w:val="20"/>
          <w:szCs w:val="20"/>
          <w:color w:val="auto"/>
        </w:rPr>
      </w:pPr>
    </w:p>
    <w:p>
      <w:pPr>
        <w:spacing w:after="0" w:line="268"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Our Board of Directors has authorized the repurchase of up to 14.2 million shares of our common stock. Under this program, we may purchase shares from time to time through a variety of methods, including in the open market or through privately negotiated transactions, in accordance with applicable securities laws. Repurchases are subject to the availability of stock, prevailing market conditions, the trading price of the stock, our financial performance, and other conditions. The program does not require us to repurchase shares and may be suspended or discontinued at any time for any reason.</w:t>
      </w:r>
    </w:p>
    <w:p>
      <w:pPr>
        <w:spacing w:after="0" w:line="99"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During the nine months ended December 31, 2020, we did not make any repurchases of our common stock in the open market. We have repurchased a total of 10.4 million shares of our common stock under the program, and as of December 31, 2020, 3.8 million shares of our common stock remained available for repurchase under the share repurchase program.</w:t>
      </w:r>
    </w:p>
    <w:p>
      <w:pPr>
        <w:spacing w:after="0" w:line="108"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color w:val="auto"/>
        </w:rPr>
        <w:t>Our changes in cash flows were as follows:</w:t>
      </w:r>
    </w:p>
    <w:p>
      <w:pPr>
        <w:spacing w:after="0" w:line="181"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83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2580" w:type="dxa"/>
            <w:vAlign w:val="bottom"/>
            <w:gridSpan w:val="4"/>
          </w:tcPr>
          <w:p>
            <w:pPr>
              <w:jc w:val="right"/>
              <w:ind w:right="673"/>
              <w:spacing w:after="0"/>
              <w:rPr>
                <w:sz w:val="20"/>
                <w:szCs w:val="20"/>
                <w:color w:val="auto"/>
              </w:rPr>
            </w:pPr>
            <w:r>
              <w:rPr>
                <w:rFonts w:ascii="Times New Roman" w:cs="Times New Roman" w:eastAsia="Times New Roman" w:hAnsi="Times New Roman"/>
                <w:sz w:val="16"/>
                <w:szCs w:val="16"/>
                <w:b w:val="1"/>
                <w:bCs w:val="1"/>
                <w:color w:val="auto"/>
              </w:rPr>
              <w:t>Nine Months Ended</w:t>
            </w:r>
          </w:p>
        </w:tc>
      </w:tr>
      <w:tr>
        <w:trPr>
          <w:trHeight w:val="212"/>
        </w:trPr>
        <w:tc>
          <w:tcPr>
            <w:tcW w:w="8320" w:type="dxa"/>
            <w:vAlign w:val="bottom"/>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166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6"/>
                <w:szCs w:val="16"/>
                <w:b w:val="1"/>
                <w:bCs w:val="1"/>
                <w:color w:val="auto"/>
              </w:rPr>
              <w:t>December 31,</w:t>
            </w:r>
          </w:p>
        </w:tc>
        <w:tc>
          <w:tcPr>
            <w:tcW w:w="920" w:type="dxa"/>
            <w:vAlign w:val="bottom"/>
            <w:tcBorders>
              <w:bottom w:val="single" w:sz="8" w:color="auto"/>
            </w:tcBorders>
          </w:tcPr>
          <w:p>
            <w:pPr>
              <w:spacing w:after="0"/>
              <w:rPr>
                <w:sz w:val="18"/>
                <w:szCs w:val="18"/>
                <w:color w:val="auto"/>
              </w:rPr>
            </w:pPr>
          </w:p>
        </w:tc>
      </w:tr>
      <w:tr>
        <w:trPr>
          <w:trHeight w:val="186"/>
        </w:trPr>
        <w:tc>
          <w:tcPr>
            <w:tcW w:w="832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4"/>
                <w:szCs w:val="14"/>
                <w:b w:val="1"/>
                <w:bCs w:val="1"/>
                <w:color w:val="auto"/>
              </w:rPr>
              <w:t>(thousands of dollars)</w:t>
            </w:r>
          </w:p>
        </w:tc>
        <w:tc>
          <w:tcPr>
            <w:tcW w:w="30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jc w:val="right"/>
              <w:ind w:right="435"/>
              <w:spacing w:after="0"/>
              <w:rPr>
                <w:sz w:val="20"/>
                <w:szCs w:val="20"/>
                <w:color w:val="auto"/>
              </w:rPr>
            </w:pPr>
            <w:r>
              <w:rPr>
                <w:rFonts w:ascii="Times New Roman" w:cs="Times New Roman" w:eastAsia="Times New Roman" w:hAnsi="Times New Roman"/>
                <w:sz w:val="14"/>
                <w:szCs w:val="14"/>
                <w:b w:val="1"/>
                <w:bCs w:val="1"/>
                <w:color w:val="auto"/>
              </w:rPr>
              <w:t>2020</w:t>
            </w:r>
          </w:p>
        </w:tc>
        <w:tc>
          <w:tcPr>
            <w:tcW w:w="120" w:type="dxa"/>
            <w:vAlign w:val="bottom"/>
            <w:tcBorders>
              <w:bottom w:val="single" w:sz="8" w:color="CCEEFF"/>
            </w:tcBorders>
          </w:tcPr>
          <w:p>
            <w:pPr>
              <w:spacing w:after="0"/>
              <w:rPr>
                <w:sz w:val="16"/>
                <w:szCs w:val="16"/>
                <w:color w:val="auto"/>
              </w:rPr>
            </w:pPr>
          </w:p>
        </w:tc>
        <w:tc>
          <w:tcPr>
            <w:tcW w:w="52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ind w:right="493"/>
              <w:spacing w:after="0"/>
              <w:rPr>
                <w:sz w:val="20"/>
                <w:szCs w:val="20"/>
                <w:color w:val="auto"/>
              </w:rPr>
            </w:pPr>
            <w:r>
              <w:rPr>
                <w:rFonts w:ascii="Times New Roman" w:cs="Times New Roman" w:eastAsia="Times New Roman" w:hAnsi="Times New Roman"/>
                <w:sz w:val="14"/>
                <w:szCs w:val="14"/>
                <w:b w:val="1"/>
                <w:bCs w:val="1"/>
                <w:color w:val="auto"/>
              </w:rPr>
              <w:t>2019</w:t>
            </w:r>
          </w:p>
        </w:tc>
      </w:tr>
      <w:tr>
        <w:trPr>
          <w:trHeight w:val="223"/>
        </w:trPr>
        <w:tc>
          <w:tcPr>
            <w:tcW w:w="832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Net cash provided by operating activities</w:t>
            </w:r>
          </w:p>
        </w:tc>
        <w:tc>
          <w:tcPr>
            <w:tcW w:w="300" w:type="dxa"/>
            <w:vAlign w:val="bottom"/>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0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787,661</w:t>
            </w:r>
          </w:p>
        </w:tc>
        <w:tc>
          <w:tcPr>
            <w:tcW w:w="120" w:type="dxa"/>
            <w:vAlign w:val="bottom"/>
            <w:shd w:val="clear" w:color="auto" w:fill="CCEEFF"/>
          </w:tcPr>
          <w:p>
            <w:pPr>
              <w:spacing w:after="0"/>
              <w:rPr>
                <w:sz w:val="19"/>
                <w:szCs w:val="19"/>
                <w:color w:val="auto"/>
              </w:rPr>
            </w:pPr>
          </w:p>
        </w:tc>
        <w:tc>
          <w:tcPr>
            <w:tcW w:w="520" w:type="dxa"/>
            <w:vAlign w:val="bottom"/>
            <w:shd w:val="clear" w:color="auto" w:fill="CCEEFF"/>
          </w:tcPr>
          <w:p>
            <w:pPr>
              <w:jc w:val="right"/>
              <w:ind w:right="330"/>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439,975</w:t>
            </w:r>
          </w:p>
        </w:tc>
      </w:tr>
      <w:tr>
        <w:trPr>
          <w:trHeight w:val="229"/>
        </w:trPr>
        <w:tc>
          <w:tcPr>
            <w:tcW w:w="8320" w:type="dxa"/>
            <w:vAlign w:val="bottom"/>
          </w:tcPr>
          <w:p>
            <w:pPr>
              <w:ind w:left="140"/>
              <w:spacing w:after="0"/>
              <w:rPr>
                <w:sz w:val="20"/>
                <w:szCs w:val="20"/>
                <w:color w:val="auto"/>
              </w:rPr>
            </w:pPr>
            <w:r>
              <w:rPr>
                <w:rFonts w:ascii="Times New Roman" w:cs="Times New Roman" w:eastAsia="Times New Roman" w:hAnsi="Times New Roman"/>
                <w:sz w:val="18"/>
                <w:szCs w:val="18"/>
                <w:color w:val="auto"/>
              </w:rPr>
              <w:t>Net cash used in investing activities</w:t>
            </w:r>
          </w:p>
        </w:tc>
        <w:tc>
          <w:tcPr>
            <w:tcW w:w="30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(240,899)</w:t>
            </w:r>
          </w:p>
        </w:tc>
        <w:tc>
          <w:tcPr>
            <w:tcW w:w="12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(27,077)</w:t>
            </w:r>
          </w:p>
        </w:tc>
      </w:tr>
      <w:tr>
        <w:trPr>
          <w:trHeight w:val="230"/>
        </w:trPr>
        <w:tc>
          <w:tcPr>
            <w:tcW w:w="832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rPr>
              <w:t>Net cash used in financing activities</w:t>
            </w:r>
          </w:p>
        </w:tc>
        <w:tc>
          <w:tcPr>
            <w:tcW w:w="300" w:type="dxa"/>
            <w:vAlign w:val="bottom"/>
            <w:shd w:val="clear" w:color="auto" w:fill="CCEEFF"/>
          </w:tcPr>
          <w:p>
            <w:pPr>
              <w:spacing w:after="0"/>
              <w:rPr>
                <w:sz w:val="19"/>
                <w:szCs w:val="19"/>
                <w:color w:val="auto"/>
              </w:rPr>
            </w:pPr>
          </w:p>
        </w:tc>
        <w:tc>
          <w:tcPr>
            <w:tcW w:w="10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(46,371)</w:t>
            </w:r>
          </w:p>
        </w:tc>
        <w:tc>
          <w:tcPr>
            <w:tcW w:w="120" w:type="dxa"/>
            <w:vAlign w:val="bottom"/>
            <w:shd w:val="clear" w:color="auto" w:fill="CCEEFF"/>
          </w:tcPr>
          <w:p>
            <w:pPr>
              <w:spacing w:after="0"/>
              <w:rPr>
                <w:sz w:val="19"/>
                <w:szCs w:val="19"/>
                <w:color w:val="auto"/>
              </w:rPr>
            </w:pPr>
          </w:p>
        </w:tc>
        <w:tc>
          <w:tcPr>
            <w:tcW w:w="520" w:type="dxa"/>
            <w:vAlign w:val="bottom"/>
            <w:shd w:val="clear" w:color="auto" w:fill="CCEEFF"/>
          </w:tcPr>
          <w:p>
            <w:pPr>
              <w:spacing w:after="0"/>
              <w:rPr>
                <w:sz w:val="19"/>
                <w:szCs w:val="19"/>
                <w:color w:val="auto"/>
              </w:rPr>
            </w:pPr>
          </w:p>
        </w:tc>
        <w:tc>
          <w:tcPr>
            <w:tcW w:w="9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(60,745)</w:t>
            </w:r>
          </w:p>
        </w:tc>
      </w:tr>
      <w:tr>
        <w:trPr>
          <w:trHeight w:val="229"/>
        </w:trPr>
        <w:tc>
          <w:tcPr>
            <w:tcW w:w="8320" w:type="dxa"/>
            <w:vAlign w:val="bottom"/>
            <w:tcBorders>
              <w:bottom w:val="single" w:sz="8" w:color="CCEEFF"/>
            </w:tcBorders>
          </w:tcPr>
          <w:p>
            <w:pPr>
              <w:ind w:left="140"/>
              <w:spacing w:after="0"/>
              <w:rPr>
                <w:sz w:val="20"/>
                <w:szCs w:val="20"/>
                <w:color w:val="auto"/>
              </w:rPr>
            </w:pPr>
            <w:r>
              <w:rPr>
                <w:rFonts w:ascii="Times New Roman" w:cs="Times New Roman" w:eastAsia="Times New Roman" w:hAnsi="Times New Roman"/>
                <w:sz w:val="18"/>
                <w:szCs w:val="18"/>
                <w:color w:val="auto"/>
              </w:rPr>
              <w:t>Effects of foreign currency exchange rates on cash, cash equivalents, and restricted cash and cash equivalents</w:t>
            </w:r>
          </w:p>
        </w:tc>
        <w:tc>
          <w:tcPr>
            <w:tcW w:w="30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19,006</w:t>
            </w:r>
          </w:p>
        </w:tc>
        <w:tc>
          <w:tcPr>
            <w:tcW w:w="120" w:type="dxa"/>
            <w:vAlign w:val="bottom"/>
            <w:tcBorders>
              <w:bottom w:val="single" w:sz="8" w:color="CCEEFF"/>
            </w:tcBorders>
          </w:tcPr>
          <w:p>
            <w:pPr>
              <w:spacing w:after="0"/>
              <w:rPr>
                <w:sz w:val="19"/>
                <w:szCs w:val="19"/>
                <w:color w:val="auto"/>
              </w:rPr>
            </w:pPr>
          </w:p>
        </w:tc>
        <w:tc>
          <w:tcPr>
            <w:tcW w:w="52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(1,705)</w:t>
            </w:r>
          </w:p>
        </w:tc>
      </w:tr>
      <w:tr>
        <w:trPr>
          <w:trHeight w:val="248"/>
        </w:trPr>
        <w:tc>
          <w:tcPr>
            <w:tcW w:w="832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Net change in cash, cash equivalents, and restricted cash and cash equivalents</w:t>
            </w:r>
          </w:p>
        </w:tc>
        <w:tc>
          <w:tcPr>
            <w:tcW w:w="300" w:type="dxa"/>
            <w:vAlign w:val="bottom"/>
            <w:tcBorders>
              <w:bottom w:val="single" w:sz="8" w:color="auto"/>
            </w:tcBorders>
            <w:shd w:val="clear" w:color="auto" w:fill="CCEEFF"/>
          </w:tcPr>
          <w:p>
            <w:pPr>
              <w:jc w:val="right"/>
              <w:ind w:right="110"/>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0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b w:val="1"/>
                <w:bCs w:val="1"/>
                <w:color w:val="auto"/>
              </w:rPr>
              <w:t>519,397</w:t>
            </w:r>
          </w:p>
        </w:tc>
        <w:tc>
          <w:tcPr>
            <w:tcW w:w="120" w:type="dxa"/>
            <w:vAlign w:val="bottom"/>
            <w:tcBorders>
              <w:bottom w:val="single" w:sz="8" w:color="CCEEFF"/>
            </w:tcBorders>
            <w:shd w:val="clear" w:color="auto" w:fill="CCEEFF"/>
          </w:tcPr>
          <w:p>
            <w:pPr>
              <w:spacing w:after="0"/>
              <w:rPr>
                <w:sz w:val="21"/>
                <w:szCs w:val="21"/>
                <w:color w:val="auto"/>
              </w:rPr>
            </w:pPr>
          </w:p>
        </w:tc>
        <w:tc>
          <w:tcPr>
            <w:tcW w:w="520" w:type="dxa"/>
            <w:vAlign w:val="bottom"/>
            <w:tcBorders>
              <w:bottom w:val="single" w:sz="8" w:color="auto"/>
            </w:tcBorders>
            <w:shd w:val="clear" w:color="auto" w:fill="CCEEFF"/>
          </w:tcPr>
          <w:p>
            <w:pPr>
              <w:jc w:val="right"/>
              <w:ind w:right="330"/>
              <w:spacing w:after="0"/>
              <w:rPr>
                <w:sz w:val="20"/>
                <w:szCs w:val="20"/>
                <w:color w:val="auto"/>
              </w:rPr>
            </w:pPr>
            <w:r>
              <w:rPr>
                <w:rFonts w:ascii="Times New Roman" w:cs="Times New Roman" w:eastAsia="Times New Roman" w:hAnsi="Times New Roman"/>
                <w:sz w:val="18"/>
                <w:szCs w:val="18"/>
                <w:color w:val="auto"/>
                <w:w w:val="88"/>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350,448</w:t>
            </w:r>
          </w:p>
        </w:tc>
      </w:tr>
      <w:tr>
        <w:trPr>
          <w:trHeight w:val="20"/>
        </w:trPr>
        <w:tc>
          <w:tcPr>
            <w:tcW w:w="832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52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r>
    </w:tbl>
    <w:p>
      <w:pPr>
        <w:spacing w:after="0" w:line="117"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At December 31, 2020, we had $2,512.8 million of cash and cash equivalents and restricted cash and cash equivalents, compared to $1,993.4 million at March 31, 2020. The increase was due to Net cash provided by operating activities from sales of our products, partially offset by the timing of payments. This net increase was partially offset by (1) Net cash used in investing activities primarily related to changes in bank time deposits and net purchases of available for sale securities, our purchase of Playdots, as well as purchases of fixed assets and (2) Net cash used in financing activities, which was primarily for tax payments related to net share settlements of our restricted stock awards.</w:t>
      </w:r>
    </w:p>
    <w:p>
      <w:pPr>
        <w:spacing w:after="0" w:line="11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Contractual Obligations and Commitments</w:t>
      </w:r>
    </w:p>
    <w:p>
      <w:pPr>
        <w:spacing w:after="0" w:line="162"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We have entered into various agreements in the ordinary course of business that require substantial cash commitments over the next several years. Other than agreements entered into in the ordinary course of business and in addition to the agreements requiring known cash commitments as reported in Part II, Item 7 of our Annual Report on Form 10-K for the fiscal year ended March 31, 2020, we did not have any significant changes to our commitments since March 31, 2020.</w:t>
      </w:r>
    </w:p>
    <w:p>
      <w:pPr>
        <w:spacing w:after="0" w:line="97"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i w:val="1"/>
          <w:iCs w:val="1"/>
          <w:color w:val="auto"/>
        </w:rPr>
        <w:t xml:space="preserve">Legal and Other Proceedings: </w:t>
      </w:r>
      <w:r>
        <w:rPr>
          <w:rFonts w:ascii="Times New Roman" w:cs="Times New Roman" w:eastAsia="Times New Roman" w:hAnsi="Times New Roman"/>
          <w:sz w:val="18"/>
          <w:szCs w:val="18"/>
          <w:color w:val="auto"/>
        </w:rPr>
        <w:t>We are, or may become, subject to demands and claims (including intellectual property and employment related</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claims) and are involved in routine litigation in the ordinary course of business which we do not believe to be material to our business or financial statements. We have appropriately accrued amounts related to certain of these claims and legal and other proceedings. While it is reasonably possible that a loss may be incurred in excess of the amounts accrued in our financial statements, we believe that such losses, unless otherwise disclosed, would not be material.</w:t>
      </w:r>
    </w:p>
    <w:p>
      <w:pPr>
        <w:spacing w:after="0" w:line="11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Off-Balance Sheet Arrangements</w:t>
      </w:r>
    </w:p>
    <w:p>
      <w:pPr>
        <w:spacing w:after="0" w:line="162"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As of December 31, 2020 and March 31, 2020, we did not have any material relationships with unconsolidated entities or financial parties, such as entities often referred to as structured finance or variable interest entities, which would have been established for the purpose of facilitating off-balance sheet arrangements or other contractually narrow or limited purposes. As such, we are not exposed to any financing, liquidity, market, or credit risk that could arise if we had engaged in such relationships.</w:t>
      </w:r>
    </w:p>
    <w:p>
      <w:pPr>
        <w:spacing w:after="0" w:line="9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International Operations</w:t>
      </w:r>
    </w:p>
    <w:p>
      <w:pPr>
        <w:spacing w:after="0" w:line="162"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Net revenue earned outside of the United States is principally generated by our operations in Europe, Asia, Australia, Canada, and Latin America. For the three months ended December 31, 2020 and 2019, 38.6% and 42.3%, respectively, of our net revenue was earned outside of the United States. We are subject to risks inherent in foreign trade, including increased credit risks, tariffs and duties, fluctuations in foreign currency exchange rates, shipping delays, and international political, regulatory and economic developments, all of which can have a significant effect on our operating results.</w:t>
      </w:r>
    </w:p>
    <w:p>
      <w:pPr>
        <w:spacing w:after="0" w:line="10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Fluctuations in Quarterly Operating Results and Seasonality</w:t>
      </w:r>
    </w:p>
    <w:p>
      <w:pPr>
        <w:spacing w:after="0" w:line="148" w:lineRule="exact"/>
        <w:rPr>
          <w:sz w:val="20"/>
          <w:szCs w:val="20"/>
          <w:color w:val="auto"/>
        </w:rPr>
      </w:pPr>
    </w:p>
    <w:p>
      <w:pPr>
        <w:jc w:val="both"/>
        <w:ind w:right="20" w:firstLine="648"/>
        <w:spacing w:after="0" w:line="266" w:lineRule="auto"/>
        <w:rPr>
          <w:sz w:val="20"/>
          <w:szCs w:val="20"/>
          <w:color w:val="auto"/>
        </w:rPr>
      </w:pPr>
      <w:r>
        <w:rPr>
          <w:rFonts w:ascii="Times New Roman" w:cs="Times New Roman" w:eastAsia="Times New Roman" w:hAnsi="Times New Roman"/>
          <w:sz w:val="18"/>
          <w:szCs w:val="18"/>
          <w:color w:val="auto"/>
        </w:rPr>
        <w:t>We have experienced fluctuations in quarterly and annual operating results as a result of the timing of the introduction of new titles; variations in sales of titles developed for particular platforms; market acceptance of our titles; development and promotional expenses relating to the introduction of new titles; sequels or enhancements of existing titles; projected and actual</w:t>
      </w:r>
    </w:p>
    <w:p>
      <w:pPr>
        <w:sectPr>
          <w:pgSz w:w="11900" w:h="16838" w:orient="portrait"/>
          <w:cols w:equalWidth="0" w:num="1">
            <w:col w:w="11240"/>
          </w:cols>
          <w:pgMar w:left="320" w:top="364"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4" w:right="339" w:bottom="1440" w:gutter="0" w:footer="0" w:header="0"/>
          <w:type w:val="continuous"/>
        </w:sectPr>
      </w:pPr>
    </w:p>
    <w:bookmarkStart w:id="36" w:name="page37"/>
    <w:bookmarkEnd w:id="36"/>
    <w:p>
      <w:pPr>
        <w:spacing w:after="0"/>
        <w:rPr>
          <w:rFonts w:ascii="Times New Roman" w:cs="Times New Roman" w:eastAsia="Times New Roman" w:hAnsi="Times New Roman"/>
          <w:sz w:val="18"/>
          <w:szCs w:val="18"/>
          <w:u w:val="single" w:color="auto"/>
          <w:color w:val="0000FF"/>
        </w:rPr>
      </w:pPr>
      <w:hyperlink w:anchor="page1">
        <w:r>
          <w:rPr>
            <w:rFonts w:ascii="Times New Roman" w:cs="Times New Roman" w:eastAsia="Times New Roman" w:hAnsi="Times New Roman"/>
            <w:sz w:val="18"/>
            <w:szCs w:val="18"/>
            <w:u w:val="single" w:color="auto"/>
            <w:color w:val="0000FF"/>
          </w:rPr>
          <w:t>Table of Contents</w:t>
        </w:r>
      </w:hyperlink>
    </w:p>
    <w:p>
      <w:pPr>
        <w:spacing w:after="0" w:line="200" w:lineRule="exact"/>
        <w:rPr>
          <w:sz w:val="20"/>
          <w:szCs w:val="20"/>
          <w:color w:val="auto"/>
        </w:rPr>
      </w:pPr>
    </w:p>
    <w:p>
      <w:pPr>
        <w:spacing w:after="0" w:line="268"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changes in platforms; the timing and success of title introductions by our competitors; product returns; changes in pricing policies by us and our competitors; the accuracy of retailers' forecasts of consumer demand; the size and timing of acquisitions; the timing of orders from major customers; and order cancellations and delays in product shipment. Sales of our full game products are also seasonal, with peak demand typically occurring in the fourth calendar quarter during the holiday season. For certain of our software products with multiple performance obligations, we defer the recognition of our net revenue over an estimated service period, which generally ranges from 6 to 15 months. As a result, the quarter in which we generate the highest net bookings may be different from the quarter in which we recognize the highest amount of net revenue. Quarterly comparisons of operating results are not necessarily indicative of future operating results.</w:t>
      </w:r>
    </w:p>
    <w:p>
      <w:pPr>
        <w:spacing w:after="0" w:line="104" w:lineRule="exact"/>
        <w:rPr>
          <w:sz w:val="20"/>
          <w:szCs w:val="20"/>
          <w:color w:val="auto"/>
        </w:rPr>
      </w:pPr>
    </w:p>
    <w:p>
      <w:pPr>
        <w:spacing w:after="0"/>
        <w:tabs>
          <w:tab w:leader="none" w:pos="700" w:val="left"/>
        </w:tabs>
        <w:rPr>
          <w:sz w:val="20"/>
          <w:szCs w:val="20"/>
          <w:color w:val="auto"/>
        </w:rPr>
      </w:pPr>
      <w:r>
        <w:rPr>
          <w:rFonts w:ascii="Times New Roman" w:cs="Times New Roman" w:eastAsia="Times New Roman" w:hAnsi="Times New Roman"/>
          <w:sz w:val="18"/>
          <w:szCs w:val="18"/>
          <w:b w:val="1"/>
          <w:bCs w:val="1"/>
          <w:color w:val="auto"/>
        </w:rPr>
        <w:t>Item 3.</w:t>
        <w:tab/>
        <w:t>Quantitative and Qualitative Disclosures About Market Risk</w:t>
      </w:r>
    </w:p>
    <w:p>
      <w:pPr>
        <w:spacing w:after="0" w:line="162" w:lineRule="exact"/>
        <w:rPr>
          <w:sz w:val="20"/>
          <w:szCs w:val="20"/>
          <w:color w:val="auto"/>
        </w:rPr>
      </w:pPr>
    </w:p>
    <w:p>
      <w:pPr>
        <w:jc w:val="both"/>
        <w:ind w:right="20" w:firstLine="648"/>
        <w:spacing w:after="0" w:line="282" w:lineRule="auto"/>
        <w:rPr>
          <w:sz w:val="20"/>
          <w:szCs w:val="20"/>
          <w:color w:val="auto"/>
        </w:rPr>
      </w:pPr>
      <w:r>
        <w:rPr>
          <w:rFonts w:ascii="Times New Roman" w:cs="Times New Roman" w:eastAsia="Times New Roman" w:hAnsi="Times New Roman"/>
          <w:sz w:val="18"/>
          <w:szCs w:val="18"/>
          <w:color w:val="auto"/>
        </w:rPr>
        <w:t>Market risk is the potential loss arising from fluctuations in market rates and prices. Our market risk exposures primarily include fluctuations in interest rates and foreign currency exchange rates.</w:t>
      </w:r>
    </w:p>
    <w:p>
      <w:pPr>
        <w:spacing w:after="0" w:line="9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Interest Rate Risk</w:t>
      </w:r>
    </w:p>
    <w:p>
      <w:pPr>
        <w:spacing w:after="0" w:line="146" w:lineRule="exact"/>
        <w:rPr>
          <w:sz w:val="20"/>
          <w:szCs w:val="20"/>
          <w:color w:val="auto"/>
        </w:rPr>
      </w:pPr>
    </w:p>
    <w:p>
      <w:pPr>
        <w:jc w:val="both"/>
        <w:ind w:firstLine="648"/>
        <w:spacing w:after="0" w:line="282" w:lineRule="auto"/>
        <w:rPr>
          <w:sz w:val="20"/>
          <w:szCs w:val="20"/>
          <w:color w:val="auto"/>
        </w:rPr>
      </w:pPr>
      <w:r>
        <w:rPr>
          <w:rFonts w:ascii="Times New Roman" w:cs="Times New Roman" w:eastAsia="Times New Roman" w:hAnsi="Times New Roman"/>
          <w:sz w:val="18"/>
          <w:szCs w:val="18"/>
          <w:color w:val="auto"/>
        </w:rPr>
        <w:t>Our exposure to fluctuations in interest rates relates primarily to our short-term investment portfolio and variable rate debt under the Credit Agreement.</w:t>
      </w:r>
    </w:p>
    <w:p>
      <w:pPr>
        <w:spacing w:after="0" w:line="94"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We seek to manage our interest rate risk by maintaining a short-term investment portfolio that includes corporate bonds with high credit quality and maturities less than two years. Since short-term investments mature relatively quickly and can be reinvested at the then-current market rates, interest income on a portfolio consisting of short-term securities is more subject to market fluctuations than a portfolio of longer-term maturities. However, the fair value of a short-term portfolio is less sensitive to market fluctuations than a portfolio of longer-term securities. We do not currently use derivative financial instruments in our short-term investment portfolio. Our investments are held for purposes other than trading.</w:t>
      </w:r>
    </w:p>
    <w:p>
      <w:pPr>
        <w:spacing w:after="0" w:line="116"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As of December 31, 2020, we had $772.7 million of short-term investments, which included $654.7 million of available-for-sale securities. The available-for-sale securities were recorded at fair market value with unrealized gains or losses resulting from changes in fair value reported as a separate component of Accumulated other comprehensive income (loss), net of tax, in Stockholders' equity. We also had $1,649.8 million of cash and cash equivalents that are comprised primarily of money market funds and bank-time deposits. We determined that, based on the composition of our investment portfolio, there was no material interest rate risk exposure to our Condensed Consolidated Financial Statements or liquidity as of December 31, 2020.</w:t>
      </w:r>
    </w:p>
    <w:p>
      <w:pPr>
        <w:spacing w:after="0" w:line="102"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Historically, fluctuations in interest rates have not had a significant effect on our operating results. Under our Credit Agreement, loans will bear interest at our election of (a) 0.250% to 0.750% above a certain base rate (3.25% at December 31, 2020), or (b) 1.125% to 1.750% above the LIBOR rate (approximately 1.44% at December 31, 2020), with the margin rate subject to the achievement of certain average liquidity levels. Changes in market rates may affect our future interest expense if there is an outstanding balance on our line of credit. At December 31, 2020, there were no outstanding borrowings under our Credit Agreement.</w:t>
      </w:r>
    </w:p>
    <w:p>
      <w:pPr>
        <w:spacing w:after="0" w:line="11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Foreign Currency Exchange Rate Risk</w:t>
      </w:r>
    </w:p>
    <w:p>
      <w:pPr>
        <w:spacing w:after="0" w:line="160"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We transact business in foreign currencies and are exposed to risks resulting from fluctuations in foreign currency exchange rates. Accounts relating to foreign operations are translated into U.S. dollars using prevailing exchange rates at the relevant period end. Translation adjustments are included as a separate component of Stockholders' equity on our Condensed Consolidated Balance Sheets. For the three months ended December 31, 2020 and 2019, our foreign currency translation adjustment was a gain of $30.1 million and a gain of $18.2 million, respectively. For the nine months ended December 31, 2020 and 2019, our foreign currency translation adjustment was a gain of $53.7 million and a loss of $3.2 million, respectively. For the three months ended December 31, 2020 and 2019, we recognized a foreign currency exchange transaction gain of $0.4 million and a gain of $1.0 million, respectively, and for the nine months ended December 31, 2020 and 2019, we recognized a foreign currency exchange transaction gain of $5.4 million and a loss of $1.7 million, respectively, included in Interest and other, net in our Condensed Consolidated Statements of Operations.</w:t>
      </w:r>
    </w:p>
    <w:p>
      <w:pPr>
        <w:spacing w:after="0" w:line="10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Balance Sheet Hedging Activities</w:t>
      </w:r>
    </w:p>
    <w:p>
      <w:pPr>
        <w:spacing w:after="0" w:line="160"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We use foreign currency forward contracts to mitigate foreign currency exchange rate risk associated with non-functional currency denominated cash balances and intercompany funding loans, non-functional currency denominated accounts receivable and non-functional currency denominated accounts payable. These transactions are not designated as hedging instruments and are accounted for as derivatives whereby the fair value of the contracts is reported as either assets or liabilities on our Condensed Consolidated Balance Sheets, and gains and losses resulting from changes in the fair value are reported in Interest and other, net, in our Condensed Consolidated Statements of Operations. We do not enter into derivative</w:t>
      </w:r>
    </w:p>
    <w:p>
      <w:pPr>
        <w:spacing w:after="0" w:line="200" w:lineRule="exact"/>
        <w:rPr>
          <w:sz w:val="20"/>
          <w:szCs w:val="20"/>
          <w:color w:val="auto"/>
        </w:rPr>
      </w:pPr>
    </w:p>
    <w:p>
      <w:pPr>
        <w:spacing w:after="0" w:line="200" w:lineRule="exact"/>
        <w:rPr>
          <w:sz w:val="20"/>
          <w:szCs w:val="20"/>
          <w:color w:val="auto"/>
        </w:rPr>
      </w:pPr>
    </w:p>
    <w:p>
      <w:pPr>
        <w:spacing w:after="0" w:line="26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4" w:right="339" w:bottom="1440" w:gutter="0" w:footer="0" w:header="0"/>
        </w:sectPr>
      </w:pPr>
    </w:p>
    <w:bookmarkStart w:id="37" w:name="page38"/>
    <w:bookmarkEnd w:id="37"/>
    <w:p>
      <w:pPr>
        <w:spacing w:after="0"/>
        <w:rPr>
          <w:rFonts w:ascii="Times New Roman" w:cs="Times New Roman" w:eastAsia="Times New Roman" w:hAnsi="Times New Roman"/>
          <w:sz w:val="18"/>
          <w:szCs w:val="18"/>
          <w:u w:val="single" w:color="auto"/>
          <w:color w:val="0000FF"/>
        </w:rPr>
      </w:pPr>
      <w:hyperlink w:anchor="page1">
        <w:r>
          <w:rPr>
            <w:rFonts w:ascii="Times New Roman" w:cs="Times New Roman" w:eastAsia="Times New Roman" w:hAnsi="Times New Roman"/>
            <w:sz w:val="18"/>
            <w:szCs w:val="18"/>
            <w:u w:val="single" w:color="auto"/>
            <w:color w:val="0000FF"/>
          </w:rPr>
          <w:t>Table of Contents</w:t>
        </w:r>
      </w:hyperlink>
    </w:p>
    <w:p>
      <w:pPr>
        <w:spacing w:after="0" w:line="200" w:lineRule="exact"/>
        <w:rPr>
          <w:sz w:val="20"/>
          <w:szCs w:val="20"/>
          <w:color w:val="auto"/>
        </w:rPr>
      </w:pPr>
    </w:p>
    <w:p>
      <w:pPr>
        <w:spacing w:after="0" w:line="268"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financial contracts for speculative or trading purposes. At December 31, 2020, we had $114.1 million of forward contracts outstanding to sell foreign currencies in exchange for U.S. dollars and $81.1 million of forward contracts outstanding to buy foreign currencies in exchange for U.S. dollars, all of which have maturities of less than one year. At March 31, 2020, we had $122.0 million of forward contracts outstanding to sell foreign currencies in exchange for U.S. dollars and $52.6 million of forward contracts outstanding to buy foreign currencies in exchange for U.S. dollars, all of which have maturities of less than one year. For the three months ended December 31, 2020 and 2019, we recorded a loss of $5.8 million and a loss of $0.6 million, respectively. For the nine months ended December 31, 2020 and 2019, we recorded a loss of $9.5 million and a loss of $1.6 million. As of December 31, 2020, the fair value of these outstanding forward contracts was an immaterial gain and was included in Accrued expenses and other current liabilities, and, as of March 31, 2020, the fair value of outstanding forward contracts was an immaterial loss and was included in Accrued expenses and other current liabilities. The fair value of these outstanding forward contracts is estimated based on the prevailing exchange rates of the various hedged currencies as of the end of the period.</w:t>
      </w:r>
    </w:p>
    <w:p>
      <w:pPr>
        <w:spacing w:after="0" w:line="113" w:lineRule="exact"/>
        <w:rPr>
          <w:sz w:val="20"/>
          <w:szCs w:val="20"/>
          <w:color w:val="auto"/>
        </w:rPr>
      </w:pPr>
    </w:p>
    <w:p>
      <w:pPr>
        <w:jc w:val="both"/>
        <w:ind w:firstLine="648"/>
        <w:spacing w:after="0" w:line="254" w:lineRule="auto"/>
        <w:rPr>
          <w:sz w:val="20"/>
          <w:szCs w:val="20"/>
          <w:color w:val="auto"/>
        </w:rPr>
      </w:pPr>
      <w:r>
        <w:rPr>
          <w:rFonts w:ascii="Times New Roman" w:cs="Times New Roman" w:eastAsia="Times New Roman" w:hAnsi="Times New Roman"/>
          <w:sz w:val="18"/>
          <w:szCs w:val="18"/>
          <w:color w:val="auto"/>
        </w:rPr>
        <w:t>Our hedging programs are designed to reduce, but do not entirely eliminate, the effect of currency exchange rate movements. We believe that the counterparties to these foreign currency forward contracts are creditworthy multinational commercial banks and that the risk of counterparty nonperformance is not material. Notwithstanding our efforts to mitigate some foreign currency exchange rate risks, there can be no assurance that our hedging activities will adequately protect us against the risks associated with foreign currency fluctuations, which may be more volatile as a result of the COVID-19 pandemic. For the three months ended December 31, 2020, 38.6% of our revenue was generated outside the United States. Using sensitivity analysis, a hypothetical 10% increase in the value of the U.S. dollar against all currencies would decrease revenues by 3.9%, while a hypothetical 10% decrease in the value of the U.S. dollar against all currencies would increase revenues by 3.9%. In our opinion, a substantial portion of this fluctuation would be offset by cost of goods sold and operating expenses incurred in local currency.</w:t>
      </w:r>
    </w:p>
    <w:p>
      <w:pPr>
        <w:spacing w:after="0" w:line="120" w:lineRule="exact"/>
        <w:rPr>
          <w:sz w:val="20"/>
          <w:szCs w:val="20"/>
          <w:color w:val="auto"/>
        </w:rPr>
      </w:pPr>
    </w:p>
    <w:p>
      <w:pPr>
        <w:spacing w:after="0"/>
        <w:tabs>
          <w:tab w:leader="none" w:pos="700" w:val="left"/>
        </w:tabs>
        <w:rPr>
          <w:sz w:val="20"/>
          <w:szCs w:val="20"/>
          <w:color w:val="auto"/>
        </w:rPr>
      </w:pPr>
      <w:r>
        <w:rPr>
          <w:rFonts w:ascii="Times New Roman" w:cs="Times New Roman" w:eastAsia="Times New Roman" w:hAnsi="Times New Roman"/>
          <w:sz w:val="18"/>
          <w:szCs w:val="18"/>
          <w:b w:val="1"/>
          <w:bCs w:val="1"/>
          <w:color w:val="auto"/>
        </w:rPr>
        <w:t>Item 4.</w:t>
      </w:r>
      <w:r>
        <w:rPr>
          <w:sz w:val="20"/>
          <w:szCs w:val="20"/>
          <w:color w:val="auto"/>
        </w:rPr>
        <w:tab/>
      </w:r>
      <w:r>
        <w:rPr>
          <w:rFonts w:ascii="Times New Roman" w:cs="Times New Roman" w:eastAsia="Times New Roman" w:hAnsi="Times New Roman"/>
          <w:sz w:val="17"/>
          <w:szCs w:val="17"/>
          <w:b w:val="1"/>
          <w:bCs w:val="1"/>
          <w:color w:val="auto"/>
        </w:rPr>
        <w:t>Controls and Procedures</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Evaluation of Disclosure Controls and Procedures</w:t>
      </w:r>
    </w:p>
    <w:p>
      <w:pPr>
        <w:spacing w:after="0" w:line="146"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color w:val="auto"/>
        </w:rPr>
        <w:t>Based on an evaluation under the supervision and with the participation of management, our principal executive officer and principal financial officer have concluded that our disclosure controls and procedures as defined in rules 13a-15(e) and 15d-15(e) under the Securities Exchange Act of 1934, as amended ("Exchange Act") were effective as of the end of the period covered by this report to ensure that information required to be disclosed by us in reports that we file or submit under the Exchange Act is (i) recorded, processed, summarized and reported within the time periods specified in the Securities and Exchange Commission rules and forms and (ii) accumulated and communicated to our management, including our principal executive officer and principal financial officer, as appropriate to allow timely decisions regarding required disclosure.</w:t>
      </w:r>
    </w:p>
    <w:p>
      <w:pPr>
        <w:spacing w:after="0" w:line="11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Changes in Internal Control Over Financial Reporting</w:t>
      </w:r>
    </w:p>
    <w:p>
      <w:pPr>
        <w:spacing w:after="0" w:line="160" w:lineRule="exact"/>
        <w:rPr>
          <w:sz w:val="20"/>
          <w:szCs w:val="20"/>
          <w:color w:val="auto"/>
        </w:rPr>
      </w:pPr>
    </w:p>
    <w:p>
      <w:pPr>
        <w:jc w:val="both"/>
        <w:ind w:firstLine="648"/>
        <w:spacing w:after="0" w:line="266" w:lineRule="auto"/>
        <w:rPr>
          <w:sz w:val="20"/>
          <w:szCs w:val="20"/>
          <w:color w:val="auto"/>
        </w:rPr>
      </w:pPr>
      <w:r>
        <w:rPr>
          <w:rFonts w:ascii="Times New Roman" w:cs="Times New Roman" w:eastAsia="Times New Roman" w:hAnsi="Times New Roman"/>
          <w:sz w:val="18"/>
          <w:szCs w:val="18"/>
          <w:color w:val="auto"/>
        </w:rPr>
        <w:t>There were no changes in our internal control over financial reporting during the quarter ended December 31, 2020, which were identified in connection with management's evaluation required by paragraph (d) of Rules 13a-15 and 15d-15 under the Exchange Act, that have materially affected, or are reasonably likely to materially affect, our internal control over financial reporting.</w:t>
      </w:r>
    </w:p>
    <w:p>
      <w:pPr>
        <w:spacing w:after="0" w:line="95"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On September 4, 2020, we acquired Playdots. Our management plans to exclude Playdots from its assessment of and report on internal control over financial reporting for the fiscal year ending March 31, 2021. We are currently in the process of incorporating the internal controls and procedures of Playdots into our internal control over financial reporting for purposes of our assessment of and report on internal control over financial reporting for the fiscal year ending March 31, 2022.</w:t>
      </w:r>
    </w:p>
    <w:p>
      <w:pPr>
        <w:spacing w:after="0" w:line="11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Limitations on Effectiveness of Controls and Procedures</w:t>
      </w:r>
    </w:p>
    <w:p>
      <w:pPr>
        <w:spacing w:after="0" w:line="160"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In designing and evaluating the disclosure controls and procedures, management recognizes that any controls and procedures, no matter how well designed and operated, can provide only reasonable assurance of achieving the desired control objectives. Inherent limitations to any system of disclosure controls and procedures include, but are not limited to, the possibility of human error and the circumvention or overriding of such controls by one or more persons. In addition, we have designed our system of controls based on certain assumptions, which we believe are reasonable, about the likelihood of future events, and our system of controls may therefore not achieve its desired objectives under all possible future events.</w:t>
      </w: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4" w:right="339" w:bottom="1440" w:gutter="0" w:footer="0" w:header="0"/>
        </w:sectPr>
      </w:pPr>
    </w:p>
    <w:bookmarkStart w:id="38" w:name="page39"/>
    <w:bookmarkEnd w:id="38"/>
    <w:p>
      <w:pPr>
        <w:spacing w:after="0"/>
        <w:rPr>
          <w:sz w:val="20"/>
          <w:szCs w:val="20"/>
          <w:color w:val="auto"/>
        </w:rPr>
      </w:pPr>
      <w:r>
        <w:rPr>
          <w:rFonts w:ascii="Times New Roman" w:cs="Times New Roman" w:eastAsia="Times New Roman" w:hAnsi="Times New Roman"/>
          <w:sz w:val="18"/>
          <w:szCs w:val="18"/>
          <w:b w:val="1"/>
          <w:bCs w:val="1"/>
          <w:color w:val="auto"/>
        </w:rPr>
        <w:t>PART II. OTHER INFORMATION</w:t>
      </w:r>
    </w:p>
    <w:p>
      <w:pPr>
        <w:spacing w:after="0" w:line="158" w:lineRule="exact"/>
        <w:rPr>
          <w:sz w:val="20"/>
          <w:szCs w:val="20"/>
          <w:color w:val="auto"/>
        </w:rPr>
      </w:pPr>
    </w:p>
    <w:p>
      <w:pPr>
        <w:spacing w:after="0"/>
        <w:tabs>
          <w:tab w:leader="none" w:pos="700" w:val="left"/>
        </w:tabs>
        <w:rPr>
          <w:sz w:val="20"/>
          <w:szCs w:val="20"/>
          <w:color w:val="auto"/>
        </w:rPr>
      </w:pPr>
      <w:r>
        <w:rPr>
          <w:rFonts w:ascii="Times New Roman" w:cs="Times New Roman" w:eastAsia="Times New Roman" w:hAnsi="Times New Roman"/>
          <w:sz w:val="18"/>
          <w:szCs w:val="18"/>
          <w:b w:val="1"/>
          <w:bCs w:val="1"/>
          <w:color w:val="auto"/>
        </w:rPr>
        <w:t>Item 1.</w:t>
      </w:r>
      <w:r>
        <w:rPr>
          <w:sz w:val="20"/>
          <w:szCs w:val="20"/>
          <w:color w:val="auto"/>
        </w:rPr>
        <w:tab/>
      </w:r>
      <w:r>
        <w:rPr>
          <w:rFonts w:ascii="Times New Roman" w:cs="Times New Roman" w:eastAsia="Times New Roman" w:hAnsi="Times New Roman"/>
          <w:sz w:val="17"/>
          <w:szCs w:val="17"/>
          <w:b w:val="1"/>
          <w:bCs w:val="1"/>
          <w:color w:val="auto"/>
        </w:rPr>
        <w:t>Legal Proceedings</w:t>
      </w:r>
    </w:p>
    <w:p>
      <w:pPr>
        <w:spacing w:after="0" w:line="162" w:lineRule="exact"/>
        <w:rPr>
          <w:sz w:val="20"/>
          <w:szCs w:val="20"/>
          <w:color w:val="auto"/>
        </w:rPr>
      </w:pPr>
    </w:p>
    <w:p>
      <w:pPr>
        <w:jc w:val="both"/>
        <w:ind w:firstLine="648"/>
        <w:spacing w:after="0" w:line="261" w:lineRule="auto"/>
        <w:rPr>
          <w:sz w:val="20"/>
          <w:szCs w:val="20"/>
          <w:color w:val="auto"/>
        </w:rPr>
      </w:pPr>
      <w:r>
        <w:rPr>
          <w:rFonts w:ascii="Times New Roman" w:cs="Times New Roman" w:eastAsia="Times New Roman" w:hAnsi="Times New Roman"/>
          <w:sz w:val="18"/>
          <w:szCs w:val="18"/>
          <w:color w:val="auto"/>
        </w:rPr>
        <w:t>We are, or may become, subject to demands and claims (including intellectual property and employment related claims) and are involved in routine litigation in the ordinary course of business which we do not believe to be material to our business or financial statements. We have appropriately accrued amounts related to certain of these claims and legal and other proceedings. While it is reasonably possible that a loss may be incurred in excess of the amounts accrued in our financial statements, we believe that such losses, unless otherwise disclosed, would not be material.</w:t>
      </w:r>
    </w:p>
    <w:p>
      <w:pPr>
        <w:spacing w:after="0" w:line="95" w:lineRule="exact"/>
        <w:rPr>
          <w:sz w:val="20"/>
          <w:szCs w:val="20"/>
          <w:color w:val="auto"/>
        </w:rPr>
      </w:pPr>
    </w:p>
    <w:p>
      <w:pPr>
        <w:spacing w:after="0"/>
        <w:tabs>
          <w:tab w:leader="none" w:pos="840" w:val="left"/>
        </w:tabs>
        <w:rPr>
          <w:sz w:val="20"/>
          <w:szCs w:val="20"/>
          <w:color w:val="auto"/>
        </w:rPr>
      </w:pPr>
      <w:r>
        <w:rPr>
          <w:rFonts w:ascii="Times New Roman" w:cs="Times New Roman" w:eastAsia="Times New Roman" w:hAnsi="Times New Roman"/>
          <w:sz w:val="18"/>
          <w:szCs w:val="18"/>
          <w:b w:val="1"/>
          <w:bCs w:val="1"/>
          <w:color w:val="auto"/>
        </w:rPr>
        <w:t>Item 1A.</w:t>
        <w:tab/>
        <w:t>Risk Factors</w:t>
      </w:r>
    </w:p>
    <w:p>
      <w:pPr>
        <w:spacing w:after="0" w:line="162" w:lineRule="exact"/>
        <w:rPr>
          <w:sz w:val="20"/>
          <w:szCs w:val="20"/>
          <w:color w:val="auto"/>
        </w:rPr>
      </w:pPr>
    </w:p>
    <w:p>
      <w:pPr>
        <w:jc w:val="both"/>
        <w:ind w:right="20" w:firstLine="648"/>
        <w:spacing w:after="0" w:line="282" w:lineRule="auto"/>
        <w:rPr>
          <w:sz w:val="20"/>
          <w:szCs w:val="20"/>
          <w:color w:val="auto"/>
        </w:rPr>
      </w:pPr>
      <w:r>
        <w:rPr>
          <w:rFonts w:ascii="Times New Roman" w:cs="Times New Roman" w:eastAsia="Times New Roman" w:hAnsi="Times New Roman"/>
          <w:sz w:val="18"/>
          <w:szCs w:val="18"/>
          <w:color w:val="auto"/>
        </w:rPr>
        <w:t>There have been no material changes to the Risk Factors disclosed in Item 1A of our Annual Report on Form 10-K for the fiscal year ended March 31, 2020.</w:t>
      </w:r>
    </w:p>
    <w:p>
      <w:pPr>
        <w:spacing w:after="0" w:line="90" w:lineRule="exact"/>
        <w:rPr>
          <w:sz w:val="20"/>
          <w:szCs w:val="20"/>
          <w:color w:val="auto"/>
        </w:rPr>
      </w:pPr>
    </w:p>
    <w:p>
      <w:pPr>
        <w:spacing w:after="0"/>
        <w:tabs>
          <w:tab w:leader="none" w:pos="700" w:val="left"/>
        </w:tabs>
        <w:rPr>
          <w:sz w:val="20"/>
          <w:szCs w:val="20"/>
          <w:color w:val="auto"/>
        </w:rPr>
      </w:pPr>
      <w:r>
        <w:rPr>
          <w:rFonts w:ascii="Times New Roman" w:cs="Times New Roman" w:eastAsia="Times New Roman" w:hAnsi="Times New Roman"/>
          <w:sz w:val="18"/>
          <w:szCs w:val="18"/>
          <w:b w:val="1"/>
          <w:bCs w:val="1"/>
          <w:color w:val="auto"/>
        </w:rPr>
        <w:t>Item 2.</w:t>
      </w:r>
      <w:r>
        <w:rPr>
          <w:sz w:val="20"/>
          <w:szCs w:val="20"/>
          <w:color w:val="auto"/>
        </w:rPr>
        <w:tab/>
      </w:r>
      <w:r>
        <w:rPr>
          <w:rFonts w:ascii="Times New Roman" w:cs="Times New Roman" w:eastAsia="Times New Roman" w:hAnsi="Times New Roman"/>
          <w:sz w:val="17"/>
          <w:szCs w:val="17"/>
          <w:b w:val="1"/>
          <w:bCs w:val="1"/>
          <w:color w:val="auto"/>
        </w:rPr>
        <w:t>Unregistered Sales of Equity Securities and Use of Proceeds</w:t>
      </w:r>
    </w:p>
    <w:p>
      <w:pPr>
        <w:spacing w:after="0" w:line="14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Issuer Purchases of Equity Securities</w:t>
      </w:r>
    </w:p>
    <w:p>
      <w:pPr>
        <w:spacing w:after="0" w:line="158" w:lineRule="exact"/>
        <w:rPr>
          <w:sz w:val="20"/>
          <w:szCs w:val="20"/>
          <w:color w:val="auto"/>
        </w:rPr>
      </w:pPr>
    </w:p>
    <w:p>
      <w:pPr>
        <w:jc w:val="both"/>
        <w:ind w:firstLine="648"/>
        <w:spacing w:after="0" w:line="256" w:lineRule="auto"/>
        <w:rPr>
          <w:sz w:val="20"/>
          <w:szCs w:val="20"/>
          <w:color w:val="auto"/>
        </w:rPr>
      </w:pPr>
      <w:r>
        <w:rPr>
          <w:rFonts w:ascii="Times New Roman" w:cs="Times New Roman" w:eastAsia="Times New Roman" w:hAnsi="Times New Roman"/>
          <w:sz w:val="18"/>
          <w:szCs w:val="18"/>
          <w:i w:val="1"/>
          <w:iCs w:val="1"/>
          <w:color w:val="auto"/>
        </w:rPr>
        <w:t>Share Repurchase Program</w:t>
      </w:r>
      <w:r>
        <w:rPr>
          <w:rFonts w:ascii="Times New Roman" w:cs="Times New Roman" w:eastAsia="Times New Roman" w:hAnsi="Times New Roman"/>
          <w:sz w:val="18"/>
          <w:szCs w:val="18"/>
          <w:color w:val="auto"/>
        </w:rPr>
        <w:t>—Our Board of Directors previously authorized the repurchase of up to 14,218 shares of our common stock. The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authorizations permit us to purchase shares from time to time through a variety of methods, including in the open market or through privately negotiated transactions, in accordance with applicable securities laws. Repurchases are subject to the availability of stock, prevailing market conditions, the trading price of the stock, our financial performance and other conditions. The program may be suspended or discontinued at any time for any reason. During the three months ended December 31, 2020, we did not make any repurchases of our common stock in the open market. As of December 31, 2020, we have repurchased a total of 10,400 shares of our common stock under this program and 3,818 shares of common stock remained available for repurchase under our share repurchase program. The table below details the share repurchases made by us during the three months ended December 31, 2020:</w:t>
      </w:r>
    </w:p>
    <w:p>
      <w:pPr>
        <w:spacing w:after="0" w:line="13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22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60" w:type="dxa"/>
            <w:vAlign w:val="bottom"/>
            <w:gridSpan w:val="2"/>
            <w:vMerge w:val="restart"/>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rPr>
              <w:t>Total number of</w:t>
            </w:r>
          </w:p>
        </w:tc>
        <w:tc>
          <w:tcPr>
            <w:tcW w:w="162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Maximum number</w:t>
            </w:r>
          </w:p>
        </w:tc>
        <w:tc>
          <w:tcPr>
            <w:tcW w:w="0" w:type="dxa"/>
            <w:vAlign w:val="bottom"/>
          </w:tcPr>
          <w:p>
            <w:pPr>
              <w:spacing w:after="0"/>
              <w:rPr>
                <w:sz w:val="1"/>
                <w:szCs w:val="1"/>
                <w:color w:val="auto"/>
              </w:rPr>
            </w:pPr>
          </w:p>
        </w:tc>
      </w:tr>
      <w:tr>
        <w:trPr>
          <w:trHeight w:val="135"/>
        </w:trPr>
        <w:tc>
          <w:tcPr>
            <w:tcW w:w="522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60" w:type="dxa"/>
            <w:vAlign w:val="bottom"/>
            <w:gridSpan w:val="2"/>
            <w:vMerge w:val="continue"/>
          </w:tcPr>
          <w:p>
            <w:pPr>
              <w:spacing w:after="0"/>
              <w:rPr>
                <w:sz w:val="11"/>
                <w:szCs w:val="11"/>
                <w:color w:val="auto"/>
              </w:rPr>
            </w:pPr>
          </w:p>
        </w:tc>
        <w:tc>
          <w:tcPr>
            <w:tcW w:w="1620" w:type="dxa"/>
            <w:vAlign w:val="bottom"/>
          </w:tcPr>
          <w:p>
            <w:pPr>
              <w:jc w:val="center"/>
              <w:spacing w:after="0" w:line="135" w:lineRule="exact"/>
              <w:rPr>
                <w:sz w:val="20"/>
                <w:szCs w:val="20"/>
                <w:color w:val="auto"/>
              </w:rPr>
            </w:pPr>
            <w:r>
              <w:rPr>
                <w:rFonts w:ascii="Times New Roman" w:cs="Times New Roman" w:eastAsia="Times New Roman" w:hAnsi="Times New Roman"/>
                <w:sz w:val="14"/>
                <w:szCs w:val="14"/>
                <w:b w:val="1"/>
                <w:bCs w:val="1"/>
                <w:color w:val="auto"/>
              </w:rPr>
              <w:t>of shares that</w:t>
            </w:r>
          </w:p>
        </w:tc>
        <w:tc>
          <w:tcPr>
            <w:tcW w:w="0" w:type="dxa"/>
            <w:vAlign w:val="bottom"/>
          </w:tcPr>
          <w:p>
            <w:pPr>
              <w:spacing w:after="0"/>
              <w:rPr>
                <w:sz w:val="1"/>
                <w:szCs w:val="1"/>
                <w:color w:val="auto"/>
              </w:rPr>
            </w:pPr>
          </w:p>
        </w:tc>
      </w:tr>
      <w:tr>
        <w:trPr>
          <w:trHeight w:val="135"/>
        </w:trPr>
        <w:tc>
          <w:tcPr>
            <w:tcW w:w="522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60" w:type="dxa"/>
            <w:vAlign w:val="bottom"/>
            <w:gridSpan w:val="2"/>
          </w:tcPr>
          <w:p>
            <w:pPr>
              <w:jc w:val="center"/>
              <w:ind w:right="120"/>
              <w:spacing w:after="0" w:line="135" w:lineRule="exact"/>
              <w:rPr>
                <w:sz w:val="20"/>
                <w:szCs w:val="20"/>
                <w:color w:val="auto"/>
              </w:rPr>
            </w:pPr>
            <w:r>
              <w:rPr>
                <w:rFonts w:ascii="Times New Roman" w:cs="Times New Roman" w:eastAsia="Times New Roman" w:hAnsi="Times New Roman"/>
                <w:sz w:val="14"/>
                <w:szCs w:val="14"/>
                <w:b w:val="1"/>
                <w:bCs w:val="1"/>
                <w:color w:val="auto"/>
              </w:rPr>
              <w:t>shares purchased</w:t>
            </w:r>
          </w:p>
        </w:tc>
        <w:tc>
          <w:tcPr>
            <w:tcW w:w="1620" w:type="dxa"/>
            <w:vAlign w:val="bottom"/>
          </w:tcPr>
          <w:p>
            <w:pPr>
              <w:jc w:val="center"/>
              <w:spacing w:after="0" w:line="135" w:lineRule="exact"/>
              <w:rPr>
                <w:sz w:val="20"/>
                <w:szCs w:val="20"/>
                <w:color w:val="auto"/>
              </w:rPr>
            </w:pPr>
            <w:r>
              <w:rPr>
                <w:rFonts w:ascii="Times New Roman" w:cs="Times New Roman" w:eastAsia="Times New Roman" w:hAnsi="Times New Roman"/>
                <w:sz w:val="14"/>
                <w:szCs w:val="14"/>
                <w:b w:val="1"/>
                <w:bCs w:val="1"/>
                <w:color w:val="auto"/>
              </w:rPr>
              <w:t>may yet be</w:t>
            </w:r>
          </w:p>
        </w:tc>
        <w:tc>
          <w:tcPr>
            <w:tcW w:w="0" w:type="dxa"/>
            <w:vAlign w:val="bottom"/>
          </w:tcPr>
          <w:p>
            <w:pPr>
              <w:spacing w:after="0"/>
              <w:rPr>
                <w:sz w:val="1"/>
                <w:szCs w:val="1"/>
                <w:color w:val="auto"/>
              </w:rPr>
            </w:pPr>
          </w:p>
        </w:tc>
      </w:tr>
      <w:tr>
        <w:trPr>
          <w:trHeight w:val="135"/>
        </w:trPr>
        <w:tc>
          <w:tcPr>
            <w:tcW w:w="5220" w:type="dxa"/>
            <w:vAlign w:val="bottom"/>
          </w:tcPr>
          <w:p>
            <w:pPr>
              <w:spacing w:after="0"/>
              <w:rPr>
                <w:sz w:val="11"/>
                <w:szCs w:val="11"/>
                <w:color w:val="auto"/>
              </w:rPr>
            </w:pPr>
          </w:p>
        </w:tc>
        <w:tc>
          <w:tcPr>
            <w:tcW w:w="940" w:type="dxa"/>
            <w:vAlign w:val="bottom"/>
            <w:vMerge w:val="restart"/>
          </w:tcPr>
          <w:p>
            <w:pPr>
              <w:jc w:val="center"/>
              <w:ind w:left="188"/>
              <w:spacing w:after="0"/>
              <w:rPr>
                <w:sz w:val="20"/>
                <w:szCs w:val="20"/>
                <w:color w:val="auto"/>
              </w:rPr>
            </w:pPr>
            <w:r>
              <w:rPr>
                <w:rFonts w:ascii="Times New Roman" w:cs="Times New Roman" w:eastAsia="Times New Roman" w:hAnsi="Times New Roman"/>
                <w:sz w:val="14"/>
                <w:szCs w:val="14"/>
                <w:b w:val="1"/>
                <w:bCs w:val="1"/>
                <w:color w:val="auto"/>
                <w:w w:val="98"/>
              </w:rPr>
              <w:t>Shares</w:t>
            </w:r>
          </w:p>
        </w:tc>
        <w:tc>
          <w:tcPr>
            <w:tcW w:w="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20" w:type="dxa"/>
            <w:vAlign w:val="bottom"/>
            <w:gridSpan w:val="2"/>
            <w:vMerge w:val="restart"/>
          </w:tcPr>
          <w:p>
            <w:pPr>
              <w:jc w:val="center"/>
              <w:ind w:right="260"/>
              <w:spacing w:after="0"/>
              <w:rPr>
                <w:sz w:val="20"/>
                <w:szCs w:val="20"/>
                <w:color w:val="auto"/>
              </w:rPr>
            </w:pPr>
            <w:r>
              <w:rPr>
                <w:rFonts w:ascii="Times New Roman" w:cs="Times New Roman" w:eastAsia="Times New Roman" w:hAnsi="Times New Roman"/>
                <w:sz w:val="14"/>
                <w:szCs w:val="14"/>
                <w:b w:val="1"/>
                <w:bCs w:val="1"/>
                <w:color w:val="auto"/>
              </w:rPr>
              <w:t>Average price</w:t>
            </w:r>
          </w:p>
        </w:tc>
        <w:tc>
          <w:tcPr>
            <w:tcW w:w="1660" w:type="dxa"/>
            <w:vAlign w:val="bottom"/>
            <w:gridSpan w:val="2"/>
          </w:tcPr>
          <w:p>
            <w:pPr>
              <w:jc w:val="center"/>
              <w:ind w:right="100"/>
              <w:spacing w:after="0" w:line="135" w:lineRule="exact"/>
              <w:rPr>
                <w:sz w:val="20"/>
                <w:szCs w:val="20"/>
                <w:color w:val="auto"/>
              </w:rPr>
            </w:pPr>
            <w:r>
              <w:rPr>
                <w:rFonts w:ascii="Times New Roman" w:cs="Times New Roman" w:eastAsia="Times New Roman" w:hAnsi="Times New Roman"/>
                <w:sz w:val="14"/>
                <w:szCs w:val="14"/>
                <w:b w:val="1"/>
                <w:bCs w:val="1"/>
                <w:color w:val="auto"/>
              </w:rPr>
              <w:t>as part of publicly</w:t>
            </w:r>
          </w:p>
        </w:tc>
        <w:tc>
          <w:tcPr>
            <w:tcW w:w="1620" w:type="dxa"/>
            <w:vAlign w:val="bottom"/>
          </w:tcPr>
          <w:p>
            <w:pPr>
              <w:jc w:val="center"/>
              <w:spacing w:after="0" w:line="135" w:lineRule="exact"/>
              <w:rPr>
                <w:sz w:val="20"/>
                <w:szCs w:val="20"/>
                <w:color w:val="auto"/>
              </w:rPr>
            </w:pPr>
            <w:r>
              <w:rPr>
                <w:rFonts w:ascii="Times New Roman" w:cs="Times New Roman" w:eastAsia="Times New Roman" w:hAnsi="Times New Roman"/>
                <w:sz w:val="14"/>
                <w:szCs w:val="14"/>
                <w:b w:val="1"/>
                <w:bCs w:val="1"/>
                <w:color w:val="auto"/>
              </w:rPr>
              <w:t>purchased under</w:t>
            </w:r>
          </w:p>
        </w:tc>
        <w:tc>
          <w:tcPr>
            <w:tcW w:w="0" w:type="dxa"/>
            <w:vAlign w:val="bottom"/>
          </w:tcPr>
          <w:p>
            <w:pPr>
              <w:spacing w:after="0"/>
              <w:rPr>
                <w:sz w:val="1"/>
                <w:szCs w:val="1"/>
                <w:color w:val="auto"/>
              </w:rPr>
            </w:pPr>
          </w:p>
        </w:tc>
      </w:tr>
      <w:tr>
        <w:trPr>
          <w:trHeight w:val="135"/>
        </w:trPr>
        <w:tc>
          <w:tcPr>
            <w:tcW w:w="5220" w:type="dxa"/>
            <w:vAlign w:val="bottom"/>
            <w:vMerge w:val="restart"/>
          </w:tcPr>
          <w:p>
            <w:pPr>
              <w:ind w:left="20"/>
              <w:spacing w:after="0"/>
              <w:rPr>
                <w:sz w:val="20"/>
                <w:szCs w:val="20"/>
                <w:color w:val="auto"/>
              </w:rPr>
            </w:pPr>
            <w:r>
              <w:rPr>
                <w:rFonts w:ascii="Times New Roman" w:cs="Times New Roman" w:eastAsia="Times New Roman" w:hAnsi="Times New Roman"/>
                <w:sz w:val="14"/>
                <w:szCs w:val="14"/>
                <w:b w:val="1"/>
                <w:bCs w:val="1"/>
                <w:color w:val="auto"/>
              </w:rPr>
              <w:t>Period</w:t>
            </w:r>
          </w:p>
        </w:tc>
        <w:tc>
          <w:tcPr>
            <w:tcW w:w="940" w:type="dxa"/>
            <w:vAlign w:val="bottom"/>
            <w:vMerge w:val="continue"/>
          </w:tcPr>
          <w:p>
            <w:pPr>
              <w:spacing w:after="0"/>
              <w:rPr>
                <w:sz w:val="11"/>
                <w:szCs w:val="11"/>
                <w:color w:val="auto"/>
              </w:rPr>
            </w:pPr>
          </w:p>
        </w:tc>
        <w:tc>
          <w:tcPr>
            <w:tcW w:w="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20" w:type="dxa"/>
            <w:vAlign w:val="bottom"/>
            <w:gridSpan w:val="2"/>
            <w:vMerge w:val="continue"/>
          </w:tcPr>
          <w:p>
            <w:pPr>
              <w:spacing w:after="0"/>
              <w:rPr>
                <w:sz w:val="11"/>
                <w:szCs w:val="11"/>
                <w:color w:val="auto"/>
              </w:rPr>
            </w:pPr>
          </w:p>
        </w:tc>
        <w:tc>
          <w:tcPr>
            <w:tcW w:w="1660" w:type="dxa"/>
            <w:vAlign w:val="bottom"/>
            <w:gridSpan w:val="2"/>
          </w:tcPr>
          <w:p>
            <w:pPr>
              <w:jc w:val="center"/>
              <w:ind w:right="100"/>
              <w:spacing w:after="0" w:line="135" w:lineRule="exact"/>
              <w:rPr>
                <w:sz w:val="20"/>
                <w:szCs w:val="20"/>
                <w:color w:val="auto"/>
              </w:rPr>
            </w:pPr>
            <w:r>
              <w:rPr>
                <w:rFonts w:ascii="Times New Roman" w:cs="Times New Roman" w:eastAsia="Times New Roman" w:hAnsi="Times New Roman"/>
                <w:sz w:val="14"/>
                <w:szCs w:val="14"/>
                <w:b w:val="1"/>
                <w:bCs w:val="1"/>
                <w:color w:val="auto"/>
              </w:rPr>
              <w:t>announced plans</w:t>
            </w:r>
          </w:p>
        </w:tc>
        <w:tc>
          <w:tcPr>
            <w:tcW w:w="1620" w:type="dxa"/>
            <w:vAlign w:val="bottom"/>
          </w:tcPr>
          <w:p>
            <w:pPr>
              <w:jc w:val="center"/>
              <w:spacing w:after="0" w:line="135" w:lineRule="exact"/>
              <w:rPr>
                <w:sz w:val="20"/>
                <w:szCs w:val="20"/>
                <w:color w:val="auto"/>
              </w:rPr>
            </w:pPr>
            <w:r>
              <w:rPr>
                <w:rFonts w:ascii="Times New Roman" w:cs="Times New Roman" w:eastAsia="Times New Roman" w:hAnsi="Times New Roman"/>
                <w:sz w:val="14"/>
                <w:szCs w:val="14"/>
                <w:b w:val="1"/>
                <w:bCs w:val="1"/>
                <w:color w:val="auto"/>
              </w:rPr>
              <w:t>the repurchase</w:t>
            </w:r>
          </w:p>
        </w:tc>
        <w:tc>
          <w:tcPr>
            <w:tcW w:w="0" w:type="dxa"/>
            <w:vAlign w:val="bottom"/>
          </w:tcPr>
          <w:p>
            <w:pPr>
              <w:spacing w:after="0"/>
              <w:rPr>
                <w:sz w:val="1"/>
                <w:szCs w:val="1"/>
                <w:color w:val="auto"/>
              </w:rPr>
            </w:pPr>
          </w:p>
        </w:tc>
      </w:tr>
      <w:tr>
        <w:trPr>
          <w:trHeight w:val="189"/>
        </w:trPr>
        <w:tc>
          <w:tcPr>
            <w:tcW w:w="5220" w:type="dxa"/>
            <w:vAlign w:val="bottom"/>
            <w:vMerge w:val="continue"/>
          </w:tcPr>
          <w:p>
            <w:pPr>
              <w:spacing w:after="0"/>
              <w:rPr>
                <w:sz w:val="16"/>
                <w:szCs w:val="16"/>
                <w:color w:val="auto"/>
              </w:rPr>
            </w:pPr>
          </w:p>
        </w:tc>
        <w:tc>
          <w:tcPr>
            <w:tcW w:w="940" w:type="dxa"/>
            <w:vAlign w:val="bottom"/>
          </w:tcPr>
          <w:p>
            <w:pPr>
              <w:jc w:val="center"/>
              <w:ind w:left="188"/>
              <w:spacing w:after="0"/>
              <w:rPr>
                <w:sz w:val="20"/>
                <w:szCs w:val="20"/>
                <w:color w:val="auto"/>
              </w:rPr>
            </w:pPr>
            <w:r>
              <w:rPr>
                <w:rFonts w:ascii="Times New Roman" w:cs="Times New Roman" w:eastAsia="Times New Roman" w:hAnsi="Times New Roman"/>
                <w:sz w:val="14"/>
                <w:szCs w:val="14"/>
                <w:b w:val="1"/>
                <w:bCs w:val="1"/>
                <w:color w:val="auto"/>
              </w:rPr>
              <w:t>purchased</w:t>
            </w:r>
          </w:p>
        </w:tc>
        <w:tc>
          <w:tcPr>
            <w:tcW w:w="2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220" w:type="dxa"/>
            <w:vAlign w:val="bottom"/>
            <w:gridSpan w:val="2"/>
          </w:tcPr>
          <w:p>
            <w:pPr>
              <w:jc w:val="center"/>
              <w:ind w:right="280"/>
              <w:spacing w:after="0"/>
              <w:rPr>
                <w:sz w:val="20"/>
                <w:szCs w:val="20"/>
                <w:color w:val="auto"/>
              </w:rPr>
            </w:pPr>
            <w:r>
              <w:rPr>
                <w:rFonts w:ascii="Times New Roman" w:cs="Times New Roman" w:eastAsia="Times New Roman" w:hAnsi="Times New Roman"/>
                <w:sz w:val="14"/>
                <w:szCs w:val="14"/>
                <w:b w:val="1"/>
                <w:bCs w:val="1"/>
                <w:color w:val="auto"/>
              </w:rPr>
              <w:t>per share</w:t>
            </w:r>
          </w:p>
        </w:tc>
        <w:tc>
          <w:tcPr>
            <w:tcW w:w="1660" w:type="dxa"/>
            <w:vAlign w:val="bottom"/>
            <w:gridSpan w:val="2"/>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rPr>
              <w:t>or programs</w:t>
            </w:r>
          </w:p>
        </w:tc>
        <w:tc>
          <w:tcPr>
            <w:tcW w:w="162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program</w:t>
            </w:r>
          </w:p>
        </w:tc>
        <w:tc>
          <w:tcPr>
            <w:tcW w:w="0" w:type="dxa"/>
            <w:vAlign w:val="bottom"/>
          </w:tcPr>
          <w:p>
            <w:pPr>
              <w:spacing w:after="0"/>
              <w:rPr>
                <w:sz w:val="1"/>
                <w:szCs w:val="1"/>
                <w:color w:val="auto"/>
              </w:rPr>
            </w:pPr>
          </w:p>
        </w:tc>
      </w:tr>
      <w:tr>
        <w:trPr>
          <w:trHeight w:val="223"/>
        </w:trPr>
        <w:tc>
          <w:tcPr>
            <w:tcW w:w="522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October 1-31, 2020</w:t>
            </w:r>
          </w:p>
        </w:tc>
        <w:tc>
          <w:tcPr>
            <w:tcW w:w="940" w:type="dxa"/>
            <w:vAlign w:val="bottom"/>
            <w:tcBorders>
              <w:top w:val="single" w:sz="8" w:color="auto"/>
            </w:tcBorders>
            <w:shd w:val="clear" w:color="auto" w:fill="CCEEFF"/>
          </w:tcPr>
          <w:p>
            <w:pPr>
              <w:spacing w:after="0"/>
              <w:rPr>
                <w:sz w:val="19"/>
                <w:szCs w:val="19"/>
                <w:color w:val="auto"/>
              </w:rPr>
            </w:pPr>
          </w:p>
        </w:tc>
        <w:tc>
          <w:tcPr>
            <w:tcW w:w="260" w:type="dxa"/>
            <w:vAlign w:val="bottom"/>
            <w:tcBorders>
              <w:top w:val="single" w:sz="8" w:color="auto"/>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Borders>
              <w:top w:val="single" w:sz="8" w:color="CCEEFF"/>
            </w:tcBorders>
            <w:shd w:val="clear" w:color="auto" w:fill="CCEEFF"/>
          </w:tcPr>
          <w:p>
            <w:pPr>
              <w:spacing w:after="0"/>
              <w:rPr>
                <w:sz w:val="19"/>
                <w:szCs w:val="19"/>
                <w:color w:val="auto"/>
              </w:rPr>
            </w:pPr>
          </w:p>
        </w:tc>
        <w:tc>
          <w:tcPr>
            <w:tcW w:w="1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tcBorders>
              <w:top w:val="single" w:sz="8" w:color="auto"/>
            </w:tcBorders>
            <w:shd w:val="clear" w:color="auto" w:fill="CCEEFF"/>
          </w:tcPr>
          <w:p>
            <w:pPr>
              <w:ind w:left="86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tcBorders>
              <w:top w:val="single" w:sz="8" w:color="CCEEFF"/>
            </w:tcBorders>
            <w:shd w:val="clear" w:color="auto" w:fill="CCEEFF"/>
          </w:tcPr>
          <w:p>
            <w:pPr>
              <w:spacing w:after="0"/>
              <w:rPr>
                <w:sz w:val="19"/>
                <w:szCs w:val="19"/>
                <w:color w:val="auto"/>
              </w:rPr>
            </w:pPr>
          </w:p>
        </w:tc>
        <w:tc>
          <w:tcPr>
            <w:tcW w:w="1560" w:type="dxa"/>
            <w:vAlign w:val="bottom"/>
            <w:tcBorders>
              <w:top w:val="single" w:sz="8" w:color="auto"/>
            </w:tcBorders>
            <w:shd w:val="clear" w:color="auto" w:fill="CCEEFF"/>
          </w:tcPr>
          <w:p>
            <w:pPr>
              <w:ind w:left="130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Borders>
              <w:top w:val="single" w:sz="8" w:color="CCEEFF"/>
            </w:tcBorders>
            <w:shd w:val="clear" w:color="auto" w:fill="CCEEFF"/>
          </w:tcPr>
          <w:p>
            <w:pPr>
              <w:spacing w:after="0"/>
              <w:rPr>
                <w:sz w:val="19"/>
                <w:szCs w:val="19"/>
                <w:color w:val="auto"/>
              </w:rPr>
            </w:pPr>
          </w:p>
        </w:tc>
        <w:tc>
          <w:tcPr>
            <w:tcW w:w="16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3,818</w:t>
            </w:r>
          </w:p>
        </w:tc>
        <w:tc>
          <w:tcPr>
            <w:tcW w:w="0" w:type="dxa"/>
            <w:vAlign w:val="bottom"/>
          </w:tcPr>
          <w:p>
            <w:pPr>
              <w:spacing w:after="0"/>
              <w:rPr>
                <w:sz w:val="1"/>
                <w:szCs w:val="1"/>
                <w:color w:val="auto"/>
              </w:rPr>
            </w:pPr>
          </w:p>
        </w:tc>
      </w:tr>
      <w:tr>
        <w:trPr>
          <w:trHeight w:val="229"/>
        </w:trPr>
        <w:tc>
          <w:tcPr>
            <w:tcW w:w="522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November 1-30, 2020</w:t>
            </w:r>
          </w:p>
        </w:tc>
        <w:tc>
          <w:tcPr>
            <w:tcW w:w="940" w:type="dxa"/>
            <w:vAlign w:val="bottom"/>
          </w:tcPr>
          <w:p>
            <w:pPr>
              <w:spacing w:after="0"/>
              <w:rPr>
                <w:sz w:val="19"/>
                <w:szCs w:val="19"/>
                <w:color w:val="auto"/>
              </w:rPr>
            </w:pPr>
          </w:p>
        </w:tc>
        <w:tc>
          <w:tcPr>
            <w:tcW w:w="3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gridSpan w:val="2"/>
          </w:tcPr>
          <w:p>
            <w:pPr>
              <w:ind w:left="860"/>
              <w:spacing w:after="0"/>
              <w:rPr>
                <w:sz w:val="20"/>
                <w:szCs w:val="20"/>
                <w:color w:val="auto"/>
              </w:rPr>
            </w:pPr>
            <w:r>
              <w:rPr>
                <w:rFonts w:ascii="Times New Roman" w:cs="Times New Roman" w:eastAsia="Times New Roman" w:hAnsi="Times New Roman"/>
                <w:sz w:val="18"/>
                <w:szCs w:val="18"/>
                <w:color w:val="auto"/>
              </w:rPr>
              <w:t>—</w:t>
            </w:r>
          </w:p>
        </w:tc>
        <w:tc>
          <w:tcPr>
            <w:tcW w:w="1660" w:type="dxa"/>
            <w:vAlign w:val="bottom"/>
            <w:gridSpan w:val="2"/>
          </w:tcPr>
          <w:p>
            <w:pPr>
              <w:ind w:left="1300"/>
              <w:spacing w:after="0"/>
              <w:rPr>
                <w:sz w:val="20"/>
                <w:szCs w:val="20"/>
                <w:color w:val="auto"/>
              </w:rPr>
            </w:pPr>
            <w:r>
              <w:rPr>
                <w:rFonts w:ascii="Times New Roman" w:cs="Times New Roman" w:eastAsia="Times New Roman" w:hAnsi="Times New Roman"/>
                <w:sz w:val="18"/>
                <w:szCs w:val="18"/>
                <w:color w:val="auto"/>
              </w:rPr>
              <w:t>—</w:t>
            </w: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3,818</w:t>
            </w:r>
          </w:p>
        </w:tc>
        <w:tc>
          <w:tcPr>
            <w:tcW w:w="0" w:type="dxa"/>
            <w:vAlign w:val="bottom"/>
          </w:tcPr>
          <w:p>
            <w:pPr>
              <w:spacing w:after="0"/>
              <w:rPr>
                <w:sz w:val="1"/>
                <w:szCs w:val="1"/>
                <w:color w:val="auto"/>
              </w:rPr>
            </w:pPr>
          </w:p>
        </w:tc>
      </w:tr>
      <w:tr>
        <w:trPr>
          <w:trHeight w:val="230"/>
        </w:trPr>
        <w:tc>
          <w:tcPr>
            <w:tcW w:w="522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rPr>
              <w:t>December 1-31, 2020</w:t>
            </w:r>
          </w:p>
        </w:tc>
        <w:tc>
          <w:tcPr>
            <w:tcW w:w="940" w:type="dxa"/>
            <w:vAlign w:val="bottom"/>
            <w:shd w:val="clear" w:color="auto" w:fill="CCEEFF"/>
          </w:tcPr>
          <w:p>
            <w:pPr>
              <w:spacing w:after="0"/>
              <w:rPr>
                <w:sz w:val="19"/>
                <w:szCs w:val="19"/>
                <w:color w:val="auto"/>
              </w:rPr>
            </w:pPr>
          </w:p>
        </w:tc>
        <w:tc>
          <w:tcPr>
            <w:tcW w:w="3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20" w:type="dxa"/>
            <w:vAlign w:val="bottom"/>
            <w:gridSpan w:val="2"/>
            <w:shd w:val="clear" w:color="auto" w:fill="CCEEFF"/>
          </w:tcPr>
          <w:p>
            <w:pPr>
              <w:ind w:left="860"/>
              <w:spacing w:after="0"/>
              <w:rPr>
                <w:sz w:val="20"/>
                <w:szCs w:val="20"/>
                <w:color w:val="auto"/>
              </w:rPr>
            </w:pPr>
            <w:r>
              <w:rPr>
                <w:rFonts w:ascii="Times New Roman" w:cs="Times New Roman" w:eastAsia="Times New Roman" w:hAnsi="Times New Roman"/>
                <w:sz w:val="18"/>
                <w:szCs w:val="18"/>
                <w:color w:val="auto"/>
              </w:rPr>
              <w:t>—</w:t>
            </w:r>
          </w:p>
        </w:tc>
        <w:tc>
          <w:tcPr>
            <w:tcW w:w="1660" w:type="dxa"/>
            <w:vAlign w:val="bottom"/>
            <w:gridSpan w:val="2"/>
            <w:shd w:val="clear" w:color="auto" w:fill="CCEEFF"/>
          </w:tcPr>
          <w:p>
            <w:pPr>
              <w:ind w:left="1300"/>
              <w:spacing w:after="0"/>
              <w:rPr>
                <w:sz w:val="20"/>
                <w:szCs w:val="20"/>
                <w:color w:val="auto"/>
              </w:rPr>
            </w:pPr>
            <w:r>
              <w:rPr>
                <w:rFonts w:ascii="Times New Roman" w:cs="Times New Roman" w:eastAsia="Times New Roman" w:hAnsi="Times New Roman"/>
                <w:sz w:val="18"/>
                <w:szCs w:val="18"/>
                <w:color w:val="auto"/>
              </w:rPr>
              <w:t>—</w:t>
            </w:r>
          </w:p>
        </w:tc>
        <w:tc>
          <w:tcPr>
            <w:tcW w:w="16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3,818</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70" w:right="339" w:bottom="1440" w:gutter="0" w:footer="0" w:header="0"/>
        </w:sectPr>
      </w:pPr>
    </w:p>
    <w:bookmarkStart w:id="39" w:name="page40"/>
    <w:bookmarkEnd w:id="39"/>
    <w:p>
      <w:pPr>
        <w:spacing w:after="0"/>
        <w:rPr>
          <w:rFonts w:ascii="Times New Roman" w:cs="Times New Roman" w:eastAsia="Times New Roman" w:hAnsi="Times New Roman"/>
          <w:sz w:val="18"/>
          <w:szCs w:val="18"/>
          <w:u w:val="single" w:color="auto"/>
          <w:color w:val="0000FF"/>
        </w:rPr>
      </w:pPr>
      <w:hyperlink w:anchor="page1">
        <w:r>
          <w:rPr>
            <w:rFonts w:ascii="Times New Roman" w:cs="Times New Roman" w:eastAsia="Times New Roman" w:hAnsi="Times New Roman"/>
            <w:sz w:val="18"/>
            <w:szCs w:val="18"/>
            <w:u w:val="single" w:color="auto"/>
            <w:color w:val="0000FF"/>
          </w:rPr>
          <w:t>Table of Contents</w:t>
        </w:r>
      </w:hyperlink>
    </w:p>
    <w:p>
      <w:pPr>
        <w:spacing w:after="0" w:line="200" w:lineRule="exact"/>
        <w:rPr>
          <w:sz w:val="20"/>
          <w:szCs w:val="20"/>
          <w:color w:val="auto"/>
        </w:rPr>
      </w:pPr>
    </w:p>
    <w:p>
      <w:pPr>
        <w:spacing w:after="0" w:line="264" w:lineRule="exact"/>
        <w:rPr>
          <w:sz w:val="20"/>
          <w:szCs w:val="20"/>
          <w:color w:val="auto"/>
        </w:rPr>
      </w:pPr>
    </w:p>
    <w:p>
      <w:pPr>
        <w:jc w:val="center"/>
        <w:ind w:right="9880"/>
        <w:spacing w:after="0"/>
        <w:tabs>
          <w:tab w:leader="none" w:pos="160" w:val="left"/>
        </w:tabs>
        <w:rPr>
          <w:sz w:val="20"/>
          <w:szCs w:val="20"/>
          <w:color w:val="auto"/>
        </w:rPr>
      </w:pPr>
      <w:r>
        <w:rPr>
          <w:rFonts w:ascii="Times New Roman" w:cs="Times New Roman" w:eastAsia="Times New Roman" w:hAnsi="Times New Roman"/>
          <w:sz w:val="18"/>
          <w:szCs w:val="18"/>
          <w:b w:val="1"/>
          <w:bCs w:val="1"/>
          <w:color w:val="auto"/>
        </w:rPr>
        <w:t>Item 6.</w:t>
      </w:r>
      <w:r>
        <w:rPr>
          <w:sz w:val="20"/>
          <w:szCs w:val="20"/>
          <w:color w:val="auto"/>
        </w:rPr>
        <w:tab/>
      </w:r>
      <w:r>
        <w:rPr>
          <w:rFonts w:ascii="Times New Roman" w:cs="Times New Roman" w:eastAsia="Times New Roman" w:hAnsi="Times New Roman"/>
          <w:sz w:val="17"/>
          <w:szCs w:val="17"/>
          <w:b w:val="1"/>
          <w:bCs w:val="1"/>
          <w:color w:val="auto"/>
        </w:rPr>
        <w:t>Exhibits</w:t>
      </w:r>
    </w:p>
    <w:p>
      <w:pPr>
        <w:spacing w:after="0" w:line="182"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14"/>
          <w:szCs w:val="14"/>
          <w:b w:val="1"/>
          <w:bCs w:val="1"/>
          <w:color w:val="auto"/>
        </w:rPr>
        <w:t>Exhibits:</w:t>
      </w:r>
    </w:p>
    <w:p>
      <w:pPr>
        <w:spacing w:after="0" w:line="34" w:lineRule="exact"/>
        <w:rPr>
          <w:sz w:val="20"/>
          <w:szCs w:val="20"/>
          <w:color w:val="auto"/>
        </w:rPr>
      </w:pPr>
    </w:p>
    <w:p>
      <w:pPr>
        <w:ind w:left="100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31.1 </w:t>
      </w:r>
      <w:hyperlink w:anchor="page42">
        <w:r>
          <w:rPr>
            <w:rFonts w:ascii="Times New Roman" w:cs="Times New Roman" w:eastAsia="Times New Roman" w:hAnsi="Times New Roman"/>
            <w:sz w:val="18"/>
            <w:szCs w:val="18"/>
            <w:u w:val="single" w:color="auto"/>
            <w:color w:val="0000FF"/>
          </w:rPr>
          <w:t>Chief Executive Officer Certification Pursuant to Section 302 of the Sarbanes-Oxley Act of 2002</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-127635</wp:posOffset>
            </wp:positionV>
            <wp:extent cx="874395" cy="825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874395" cy="8255"/>
                    </a:xfrm>
                    <a:prstGeom prst="rect">
                      <a:avLst/>
                    </a:prstGeom>
                    <a:noFill/>
                  </pic:spPr>
                </pic:pic>
              </a:graphicData>
            </a:graphic>
          </wp:anchor>
        </w:drawing>
      </w:r>
    </w:p>
    <w:p>
      <w:pPr>
        <w:spacing w:after="0" w:line="21" w:lineRule="exact"/>
        <w:rPr>
          <w:sz w:val="20"/>
          <w:szCs w:val="20"/>
          <w:color w:val="auto"/>
        </w:rPr>
      </w:pPr>
    </w:p>
    <w:p>
      <w:pPr>
        <w:ind w:left="100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31.2 </w:t>
      </w:r>
      <w:hyperlink w:anchor="page43">
        <w:r>
          <w:rPr>
            <w:rFonts w:ascii="Times New Roman" w:cs="Times New Roman" w:eastAsia="Times New Roman" w:hAnsi="Times New Roman"/>
            <w:sz w:val="18"/>
            <w:szCs w:val="18"/>
            <w:u w:val="single" w:color="auto"/>
            <w:color w:val="0000FF"/>
          </w:rPr>
          <w:t>Chief Financial Officer Certification Pursuant to Section 302 of the Sarbanes-Oxley Act of 2002</w:t>
        </w:r>
      </w:hyperlink>
    </w:p>
    <w:p>
      <w:pPr>
        <w:spacing w:after="0" w:line="23" w:lineRule="exact"/>
        <w:rPr>
          <w:sz w:val="20"/>
          <w:szCs w:val="20"/>
          <w:color w:val="auto"/>
        </w:rPr>
      </w:pPr>
    </w:p>
    <w:p>
      <w:pPr>
        <w:ind w:left="1400" w:right="300" w:hanging="404"/>
        <w:spacing w:after="0" w:line="234" w:lineRule="auto"/>
        <w:rPr>
          <w:rFonts w:ascii="Times New Roman" w:cs="Times New Roman" w:eastAsia="Times New Roman" w:hAnsi="Times New Roman"/>
          <w:sz w:val="18"/>
          <w:szCs w:val="18"/>
          <w:u w:val="single" w:color="auto"/>
          <w:color w:val="0000FF"/>
        </w:rPr>
      </w:pPr>
      <w:r>
        <w:rPr>
          <w:rFonts w:ascii="Times New Roman" w:cs="Times New Roman" w:eastAsia="Times New Roman" w:hAnsi="Times New Roman"/>
          <w:sz w:val="18"/>
          <w:szCs w:val="18"/>
          <w:color w:val="auto"/>
        </w:rPr>
        <w:t xml:space="preserve">32.1 </w:t>
      </w:r>
      <w:hyperlink w:anchor="page44">
        <w:r>
          <w:rPr>
            <w:rFonts w:ascii="Times New Roman" w:cs="Times New Roman" w:eastAsia="Times New Roman" w:hAnsi="Times New Roman"/>
            <w:sz w:val="18"/>
            <w:szCs w:val="18"/>
            <w:u w:val="single" w:color="auto"/>
            <w:color w:val="0000FF"/>
          </w:rPr>
          <w:t>Chief Executive Officer Certification pursuant to 18 U.S.C. Section 1350, as adopted Pursuant to Section 906 of the Sarbanes-Oxley</w:t>
        </w:r>
      </w:hyperlink>
      <w:r>
        <w:rPr>
          <w:rFonts w:ascii="Times New Roman" w:cs="Times New Roman" w:eastAsia="Times New Roman" w:hAnsi="Times New Roman"/>
          <w:sz w:val="18"/>
          <w:szCs w:val="18"/>
          <w:color w:val="auto"/>
        </w:rPr>
        <w:t xml:space="preserve"> </w:t>
      </w:r>
      <w:hyperlink w:anchor="page44">
        <w:r>
          <w:rPr>
            <w:rFonts w:ascii="Times New Roman" w:cs="Times New Roman" w:eastAsia="Times New Roman" w:hAnsi="Times New Roman"/>
            <w:sz w:val="18"/>
            <w:szCs w:val="18"/>
            <w:u w:val="single" w:color="auto"/>
            <w:color w:val="0000FF"/>
          </w:rPr>
          <w:t>Act of 2002</w:t>
        </w:r>
      </w:hyperlink>
    </w:p>
    <w:p>
      <w:pPr>
        <w:spacing w:after="0" w:line="1" w:lineRule="exact"/>
        <w:rPr>
          <w:sz w:val="20"/>
          <w:szCs w:val="20"/>
          <w:color w:val="auto"/>
        </w:rPr>
      </w:pPr>
    </w:p>
    <w:p>
      <w:pPr>
        <w:ind w:left="1400" w:right="340" w:hanging="404"/>
        <w:spacing w:after="0" w:line="234" w:lineRule="auto"/>
        <w:rPr>
          <w:rFonts w:ascii="Times New Roman" w:cs="Times New Roman" w:eastAsia="Times New Roman" w:hAnsi="Times New Roman"/>
          <w:sz w:val="18"/>
          <w:szCs w:val="18"/>
          <w:u w:val="single" w:color="auto"/>
          <w:color w:val="0000FF"/>
        </w:rPr>
      </w:pPr>
      <w:r>
        <w:rPr>
          <w:rFonts w:ascii="Times New Roman" w:cs="Times New Roman" w:eastAsia="Times New Roman" w:hAnsi="Times New Roman"/>
          <w:sz w:val="18"/>
          <w:szCs w:val="18"/>
          <w:color w:val="auto"/>
        </w:rPr>
        <w:t xml:space="preserve">32.2 </w:t>
      </w:r>
      <w:hyperlink w:anchor="page45">
        <w:r>
          <w:rPr>
            <w:rFonts w:ascii="Times New Roman" w:cs="Times New Roman" w:eastAsia="Times New Roman" w:hAnsi="Times New Roman"/>
            <w:sz w:val="18"/>
            <w:szCs w:val="18"/>
            <w:u w:val="single" w:color="auto"/>
            <w:color w:val="0000FF"/>
          </w:rPr>
          <w:t>Chief Financial Officer Certification pursuant to 18 U.S.C. Section 1350, as adopted Pursuant to Section 906 of the Sarbanes-Oxley</w:t>
        </w:r>
      </w:hyperlink>
      <w:r>
        <w:rPr>
          <w:rFonts w:ascii="Times New Roman" w:cs="Times New Roman" w:eastAsia="Times New Roman" w:hAnsi="Times New Roman"/>
          <w:sz w:val="18"/>
          <w:szCs w:val="18"/>
          <w:color w:val="auto"/>
        </w:rPr>
        <w:t xml:space="preserve"> </w:t>
      </w:r>
      <w:hyperlink w:anchor="page45">
        <w:r>
          <w:rPr>
            <w:rFonts w:ascii="Times New Roman" w:cs="Times New Roman" w:eastAsia="Times New Roman" w:hAnsi="Times New Roman"/>
            <w:sz w:val="18"/>
            <w:szCs w:val="18"/>
            <w:u w:val="single" w:color="auto"/>
            <w:color w:val="0000FF"/>
          </w:rPr>
          <w:t>Act of 2002</w:t>
        </w:r>
      </w:hyperlink>
    </w:p>
    <w:p>
      <w:pPr>
        <w:spacing w:after="0" w:line="1" w:lineRule="exact"/>
        <w:rPr>
          <w:sz w:val="20"/>
          <w:szCs w:val="20"/>
          <w:color w:val="auto"/>
        </w:rPr>
      </w:pPr>
    </w:p>
    <w:p>
      <w:pPr>
        <w:ind w:left="1400" w:right="480" w:hanging="640"/>
        <w:spacing w:after="0" w:line="234" w:lineRule="auto"/>
        <w:rPr>
          <w:sz w:val="20"/>
          <w:szCs w:val="20"/>
          <w:color w:val="auto"/>
        </w:rPr>
      </w:pPr>
      <w:r>
        <w:rPr>
          <w:rFonts w:ascii="Times New Roman" w:cs="Times New Roman" w:eastAsia="Times New Roman" w:hAnsi="Times New Roman"/>
          <w:sz w:val="18"/>
          <w:szCs w:val="18"/>
          <w:color w:val="auto"/>
        </w:rPr>
        <w:t>101.INS The Instance Document does not appear in the Interactive Data File because its XBRL tags are embedded within the Inline XBRL document.</w:t>
      </w:r>
    </w:p>
    <w:p>
      <w:pPr>
        <w:spacing w:after="0" w:line="1"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18"/>
          <w:szCs w:val="18"/>
          <w:color w:val="auto"/>
        </w:rPr>
        <w:t>101.SCH Inline XBRL Taxonomy Extension Schema Document</w:t>
      </w:r>
    </w:p>
    <w:p>
      <w:pPr>
        <w:spacing w:after="0" w:line="23"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18"/>
          <w:szCs w:val="18"/>
          <w:color w:val="auto"/>
        </w:rPr>
        <w:t>101.CAL Inline XBRL Taxonomy Calculation Linkbase Document</w:t>
      </w:r>
    </w:p>
    <w:p>
      <w:pPr>
        <w:spacing w:after="0" w:line="23"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18"/>
          <w:szCs w:val="18"/>
          <w:color w:val="auto"/>
        </w:rPr>
        <w:t>101.LAB Inline XBRL Taxonomy Label Linkbase Document</w:t>
      </w:r>
    </w:p>
    <w:p>
      <w:pPr>
        <w:spacing w:after="0" w:line="23"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18"/>
          <w:szCs w:val="18"/>
          <w:color w:val="auto"/>
        </w:rPr>
        <w:t>101.PRE Inline XBRL Taxonomy Presentation Linkbase Document</w:t>
      </w:r>
    </w:p>
    <w:p>
      <w:pPr>
        <w:spacing w:after="0" w:line="23"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18"/>
          <w:szCs w:val="18"/>
          <w:color w:val="auto"/>
        </w:rPr>
        <w:t>101.DEF Inline XBRL Taxonomy Extension Definition Document</w:t>
      </w:r>
    </w:p>
    <w:p>
      <w:pPr>
        <w:spacing w:after="0" w:line="108" w:lineRule="exact"/>
        <w:rPr>
          <w:sz w:val="20"/>
          <w:szCs w:val="20"/>
          <w:color w:val="auto"/>
        </w:rPr>
      </w:pPr>
    </w:p>
    <w:p>
      <w:pPr>
        <w:ind w:left="120" w:hanging="112"/>
        <w:spacing w:after="0"/>
        <w:tabs>
          <w:tab w:leader="none" w:pos="120" w:val="left"/>
        </w:tabs>
        <w:numPr>
          <w:ilvl w:val="0"/>
          <w:numId w:val="12"/>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Portions of this exhibit have been redacted in compliance with Regulation S-K Item 601(b)(10).</w:t>
      </w:r>
    </w:p>
    <w:p>
      <w:pPr>
        <w:spacing w:after="0" w:line="17" w:lineRule="exact"/>
        <w:rPr>
          <w:rFonts w:ascii="Times New Roman" w:cs="Times New Roman" w:eastAsia="Times New Roman" w:hAnsi="Times New Roman"/>
          <w:sz w:val="14"/>
          <w:szCs w:val="14"/>
          <w:color w:val="auto"/>
        </w:rPr>
      </w:pPr>
    </w:p>
    <w:p>
      <w:pPr>
        <w:spacing w:after="0"/>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________________________________________________________________________________________________________________________________</w:t>
      </w:r>
    </w:p>
    <w:p>
      <w:pPr>
        <w:spacing w:after="0" w:line="138"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Attached as Exhibit 101 to this report are the following formatted in Inline XBRL (Extensible Business Reporting Language): (i) Condensed Consolidated Balance Sheets at December 31, 2020 and March 31, 2020, (ii) Condensed Consolidated Statements of Operations for the three and nine months ended December 31, 2020 and 2019, (iii) Condensed Consolidated Statements of Comprehensive Income for the three and nine months ended December 31, 2020 and 2019, (iv) Condensed Consolidated Statements of Cash Flows for the nine months ended December 31, 2020 and 2019, (v) Condensed Consolidated Statements of Stockholders' Equity for the three and nine months ended December 31, 2020 and 2019; and (vi) Notes to Condensed Consolidated Financial Statements (Unaudited).</w:t>
      </w: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132320" cy="171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364" w:right="339" w:bottom="1440" w:gutter="0" w:footer="0" w:header="0"/>
        </w:sectPr>
      </w:pPr>
    </w:p>
    <w:bookmarkStart w:id="40" w:name="page41"/>
    <w:bookmarkEnd w:id="40"/>
    <w:p>
      <w:pPr>
        <w:spacing w:after="0"/>
        <w:rPr>
          <w:sz w:val="20"/>
          <w:szCs w:val="20"/>
          <w:color w:val="auto"/>
        </w:rPr>
      </w:pPr>
      <w:r>
        <w:rPr>
          <w:rFonts w:ascii="Times New Roman" w:cs="Times New Roman" w:eastAsia="Times New Roman" w:hAnsi="Times New Roman"/>
          <w:sz w:val="14"/>
          <w:szCs w:val="14"/>
          <w:color w:val="auto"/>
        </w:rPr>
        <w:t>________________________________________________________________________________________________________________________________</w:t>
      </w:r>
    </w:p>
    <w:p>
      <w:pPr>
        <w:spacing w:after="0" w:line="150" w:lineRule="exact"/>
        <w:rPr>
          <w:sz w:val="20"/>
          <w:szCs w:val="20"/>
          <w:color w:val="auto"/>
        </w:rPr>
      </w:pPr>
    </w:p>
    <w:p>
      <w:pPr>
        <w:ind w:left="5040"/>
        <w:spacing w:after="0"/>
        <w:rPr>
          <w:sz w:val="20"/>
          <w:szCs w:val="20"/>
          <w:color w:val="auto"/>
        </w:rPr>
      </w:pPr>
      <w:r>
        <w:rPr>
          <w:rFonts w:ascii="Times New Roman" w:cs="Times New Roman" w:eastAsia="Times New Roman" w:hAnsi="Times New Roman"/>
          <w:sz w:val="18"/>
          <w:szCs w:val="18"/>
          <w:b w:val="1"/>
          <w:bCs w:val="1"/>
          <w:color w:val="auto"/>
        </w:rPr>
        <w:t>SIGNATURES</w:t>
      </w:r>
    </w:p>
    <w:p>
      <w:pPr>
        <w:spacing w:after="0" w:line="162"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thereunto duly authorized.</w:t>
      </w:r>
    </w:p>
    <w:p>
      <w:pPr>
        <w:spacing w:after="0" w:line="110" w:lineRule="exact"/>
        <w:rPr>
          <w:sz w:val="20"/>
          <w:szCs w:val="20"/>
          <w:color w:val="auto"/>
        </w:rPr>
      </w:pPr>
    </w:p>
    <w:p>
      <w:pPr>
        <w:ind w:left="4100"/>
        <w:spacing w:after="0"/>
        <w:rPr>
          <w:sz w:val="20"/>
          <w:szCs w:val="20"/>
          <w:color w:val="auto"/>
        </w:rPr>
      </w:pPr>
      <w:r>
        <w:rPr>
          <w:rFonts w:ascii="Times New Roman" w:cs="Times New Roman" w:eastAsia="Times New Roman" w:hAnsi="Times New Roman"/>
          <w:sz w:val="18"/>
          <w:szCs w:val="18"/>
          <w:b w:val="1"/>
          <w:bCs w:val="1"/>
          <w:color w:val="auto"/>
        </w:rPr>
        <w:t>TAKE-TWO INTERACTIVE SOFTWARE, INC.</w:t>
      </w:r>
    </w:p>
    <w:p>
      <w:pPr>
        <w:ind w:left="4100"/>
        <w:spacing w:after="0"/>
        <w:rPr>
          <w:sz w:val="20"/>
          <w:szCs w:val="20"/>
          <w:color w:val="auto"/>
        </w:rPr>
      </w:pPr>
      <w:r>
        <w:rPr>
          <w:rFonts w:ascii="Times New Roman" w:cs="Times New Roman" w:eastAsia="Times New Roman" w:hAnsi="Times New Roman"/>
          <w:sz w:val="18"/>
          <w:szCs w:val="18"/>
          <w:color w:val="auto"/>
        </w:rPr>
        <w:t>(Registrant)</w:t>
      </w:r>
    </w:p>
    <w:p>
      <w:pPr>
        <w:spacing w:after="0" w:line="7" w:lineRule="exact"/>
        <w:rPr>
          <w:sz w:val="20"/>
          <w:szCs w:val="20"/>
          <w:color w:val="auto"/>
        </w:rPr>
      </w:pPr>
    </w:p>
    <w:p>
      <w:pPr>
        <w:ind w:left="20"/>
        <w:spacing w:after="0"/>
        <w:tabs>
          <w:tab w:leader="none" w:pos="600" w:val="left"/>
          <w:tab w:leader="none" w:pos="4200" w:val="left"/>
          <w:tab w:leader="none" w:pos="6420" w:val="left"/>
        </w:tabs>
        <w:rPr>
          <w:sz w:val="20"/>
          <w:szCs w:val="20"/>
          <w:color w:val="auto"/>
        </w:rPr>
      </w:pPr>
      <w:r>
        <w:rPr>
          <w:rFonts w:ascii="Times New Roman" w:cs="Times New Roman" w:eastAsia="Times New Roman" w:hAnsi="Times New Roman"/>
          <w:sz w:val="18"/>
          <w:szCs w:val="18"/>
          <w:color w:val="auto"/>
        </w:rPr>
        <w:t>Date:</w:t>
        <w:tab/>
        <w:t>February 8, 2021</w:t>
      </w:r>
      <w:r>
        <w:rPr>
          <w:sz w:val="20"/>
          <w:szCs w:val="20"/>
          <w:color w:val="auto"/>
        </w:rPr>
        <w:tab/>
      </w:r>
      <w:r>
        <w:rPr>
          <w:rFonts w:ascii="Times New Roman" w:cs="Times New Roman" w:eastAsia="Times New Roman" w:hAnsi="Times New Roman"/>
          <w:sz w:val="18"/>
          <w:szCs w:val="18"/>
          <w:color w:val="auto"/>
        </w:rPr>
        <w:t>By:</w:t>
      </w:r>
      <w:r>
        <w:rPr>
          <w:sz w:val="20"/>
          <w:szCs w:val="20"/>
          <w:color w:val="auto"/>
        </w:rPr>
        <w:tab/>
      </w:r>
      <w:r>
        <w:rPr>
          <w:rFonts w:ascii="Times New Roman" w:cs="Times New Roman" w:eastAsia="Times New Roman" w:hAnsi="Times New Roman"/>
          <w:sz w:val="17"/>
          <w:szCs w:val="17"/>
          <w:color w:val="auto"/>
        </w:rPr>
        <w:t>/s/ STRAUSS ZELNICK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2919730</wp:posOffset>
            </wp:positionH>
            <wp:positionV relativeFrom="paragraph">
              <wp:posOffset>14605</wp:posOffset>
            </wp:positionV>
            <wp:extent cx="3505835" cy="825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3505835" cy="8255"/>
                    </a:xfrm>
                    <a:prstGeom prst="rect">
                      <a:avLst/>
                    </a:prstGeom>
                    <a:noFill/>
                  </pic:spPr>
                </pic:pic>
              </a:graphicData>
            </a:graphic>
          </wp:anchor>
        </w:drawing>
      </w:r>
    </w:p>
    <w:p>
      <w:pPr>
        <w:jc w:val="center"/>
        <w:ind w:left="3460"/>
        <w:spacing w:after="0"/>
        <w:rPr>
          <w:sz w:val="20"/>
          <w:szCs w:val="20"/>
          <w:color w:val="auto"/>
        </w:rPr>
      </w:pPr>
      <w:r>
        <w:rPr>
          <w:rFonts w:ascii="Times New Roman" w:cs="Times New Roman" w:eastAsia="Times New Roman" w:hAnsi="Times New Roman"/>
          <w:sz w:val="18"/>
          <w:szCs w:val="18"/>
          <w:color w:val="auto"/>
        </w:rPr>
        <w:t>Strauss Zelnick</w:t>
      </w:r>
    </w:p>
    <w:p>
      <w:pPr>
        <w:jc w:val="center"/>
        <w:ind w:left="3460"/>
        <w:spacing w:after="0" w:line="203" w:lineRule="auto"/>
        <w:rPr>
          <w:sz w:val="20"/>
          <w:szCs w:val="20"/>
          <w:color w:val="auto"/>
        </w:rPr>
      </w:pPr>
      <w:r>
        <w:rPr>
          <w:rFonts w:ascii="Times New Roman" w:cs="Times New Roman" w:eastAsia="Times New Roman" w:hAnsi="Times New Roman"/>
          <w:sz w:val="18"/>
          <w:szCs w:val="18"/>
          <w:i w:val="1"/>
          <w:iCs w:val="1"/>
          <w:color w:val="auto"/>
        </w:rPr>
        <w:t>Chairman and Chief Executive Officer</w:t>
      </w:r>
    </w:p>
    <w:p>
      <w:pPr>
        <w:jc w:val="center"/>
        <w:ind w:left="3460"/>
        <w:spacing w:after="0"/>
        <w:rPr>
          <w:sz w:val="20"/>
          <w:szCs w:val="20"/>
          <w:color w:val="auto"/>
        </w:rPr>
      </w:pPr>
      <w:r>
        <w:rPr>
          <w:rFonts w:ascii="Times New Roman" w:cs="Times New Roman" w:eastAsia="Times New Roman" w:hAnsi="Times New Roman"/>
          <w:sz w:val="18"/>
          <w:szCs w:val="18"/>
          <w:i w:val="1"/>
          <w:iCs w:val="1"/>
          <w:color w:val="auto"/>
        </w:rPr>
        <w:t>(Principal Executive Officer)</w:t>
      </w:r>
    </w:p>
    <w:p>
      <w:pPr>
        <w:spacing w:after="0" w:line="219" w:lineRule="exact"/>
        <w:rPr>
          <w:sz w:val="20"/>
          <w:szCs w:val="20"/>
          <w:color w:val="auto"/>
        </w:rPr>
      </w:pPr>
    </w:p>
    <w:p>
      <w:pPr>
        <w:ind w:left="20"/>
        <w:spacing w:after="0"/>
        <w:tabs>
          <w:tab w:leader="none" w:pos="600" w:val="left"/>
          <w:tab w:leader="none" w:pos="4200" w:val="left"/>
          <w:tab w:leader="none" w:pos="6400" w:val="left"/>
        </w:tabs>
        <w:rPr>
          <w:sz w:val="20"/>
          <w:szCs w:val="20"/>
          <w:color w:val="auto"/>
        </w:rPr>
      </w:pPr>
      <w:r>
        <w:rPr>
          <w:rFonts w:ascii="Times New Roman" w:cs="Times New Roman" w:eastAsia="Times New Roman" w:hAnsi="Times New Roman"/>
          <w:sz w:val="18"/>
          <w:szCs w:val="18"/>
          <w:color w:val="auto"/>
        </w:rPr>
        <w:t>Date:</w:t>
        <w:tab/>
        <w:t>February 8, 2021</w:t>
      </w:r>
      <w:r>
        <w:rPr>
          <w:sz w:val="20"/>
          <w:szCs w:val="20"/>
          <w:color w:val="auto"/>
        </w:rPr>
        <w:tab/>
      </w:r>
      <w:r>
        <w:rPr>
          <w:rFonts w:ascii="Times New Roman" w:cs="Times New Roman" w:eastAsia="Times New Roman" w:hAnsi="Times New Roman"/>
          <w:sz w:val="18"/>
          <w:szCs w:val="18"/>
          <w:color w:val="auto"/>
        </w:rPr>
        <w:t>By:</w:t>
      </w:r>
      <w:r>
        <w:rPr>
          <w:sz w:val="20"/>
          <w:szCs w:val="20"/>
          <w:color w:val="auto"/>
        </w:rPr>
        <w:tab/>
      </w:r>
      <w:r>
        <w:rPr>
          <w:rFonts w:ascii="Times New Roman" w:cs="Times New Roman" w:eastAsia="Times New Roman" w:hAnsi="Times New Roman"/>
          <w:sz w:val="18"/>
          <w:szCs w:val="18"/>
          <w:color w:val="auto"/>
        </w:rPr>
        <w:t>/s/ LAINIE GOLDSTEIN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2919730</wp:posOffset>
            </wp:positionH>
            <wp:positionV relativeFrom="paragraph">
              <wp:posOffset>17145</wp:posOffset>
            </wp:positionV>
            <wp:extent cx="3505835" cy="825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3505835" cy="8255"/>
                    </a:xfrm>
                    <a:prstGeom prst="rect">
                      <a:avLst/>
                    </a:prstGeom>
                    <a:noFill/>
                  </pic:spPr>
                </pic:pic>
              </a:graphicData>
            </a:graphic>
          </wp:anchor>
        </w:drawing>
      </w:r>
    </w:p>
    <w:p>
      <w:pPr>
        <w:spacing w:after="0" w:line="5" w:lineRule="exact"/>
        <w:rPr>
          <w:sz w:val="20"/>
          <w:szCs w:val="20"/>
          <w:color w:val="auto"/>
        </w:rPr>
      </w:pPr>
    </w:p>
    <w:p>
      <w:pPr>
        <w:jc w:val="center"/>
        <w:ind w:left="3460"/>
        <w:spacing w:after="0"/>
        <w:rPr>
          <w:sz w:val="20"/>
          <w:szCs w:val="20"/>
          <w:color w:val="auto"/>
        </w:rPr>
      </w:pPr>
      <w:r>
        <w:rPr>
          <w:rFonts w:ascii="Times New Roman" w:cs="Times New Roman" w:eastAsia="Times New Roman" w:hAnsi="Times New Roman"/>
          <w:sz w:val="18"/>
          <w:szCs w:val="18"/>
          <w:color w:val="auto"/>
        </w:rPr>
        <w:t>Lainie Goldstein</w:t>
      </w:r>
    </w:p>
    <w:p>
      <w:pPr>
        <w:jc w:val="center"/>
        <w:ind w:left="3460"/>
        <w:spacing w:after="0" w:line="203" w:lineRule="auto"/>
        <w:rPr>
          <w:sz w:val="20"/>
          <w:szCs w:val="20"/>
          <w:color w:val="auto"/>
        </w:rPr>
      </w:pPr>
      <w:r>
        <w:rPr>
          <w:rFonts w:ascii="Times New Roman" w:cs="Times New Roman" w:eastAsia="Times New Roman" w:hAnsi="Times New Roman"/>
          <w:sz w:val="18"/>
          <w:szCs w:val="18"/>
          <w:i w:val="1"/>
          <w:iCs w:val="1"/>
          <w:color w:val="auto"/>
        </w:rPr>
        <w:t>Chief Financial Officer</w:t>
      </w:r>
    </w:p>
    <w:p>
      <w:pPr>
        <w:jc w:val="center"/>
        <w:ind w:left="3460"/>
        <w:spacing w:after="0"/>
        <w:rPr>
          <w:sz w:val="20"/>
          <w:szCs w:val="20"/>
          <w:color w:val="auto"/>
        </w:rPr>
      </w:pPr>
      <w:r>
        <w:rPr>
          <w:rFonts w:ascii="Times New Roman" w:cs="Times New Roman" w:eastAsia="Times New Roman" w:hAnsi="Times New Roman"/>
          <w:sz w:val="18"/>
          <w:szCs w:val="18"/>
          <w:i w:val="1"/>
          <w:iCs w:val="1"/>
          <w:color w:val="auto"/>
        </w:rPr>
        <w:t>(Principal Financial Officer)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4" w:lineRule="exact"/>
        <w:rPr>
          <w:sz w:val="20"/>
          <w:szCs w:val="20"/>
          <w:color w:val="auto"/>
        </w:rPr>
      </w:pPr>
    </w:p>
    <w:p>
      <w:pPr>
        <w:ind w:left="5540"/>
        <w:spacing w:after="0"/>
        <w:rPr>
          <w:sz w:val="20"/>
          <w:szCs w:val="20"/>
          <w:color w:val="auto"/>
        </w:rPr>
      </w:pPr>
      <w:r>
        <w:rPr>
          <w:rFonts w:ascii="Times New Roman" w:cs="Times New Roman" w:eastAsia="Times New Roman" w:hAnsi="Times New Roman"/>
          <w:sz w:val="18"/>
          <w:szCs w:val="18"/>
          <w:color w:val="auto"/>
        </w:rPr>
        <w:t>40</w:t>
      </w:r>
    </w:p>
    <w:p>
      <w:pPr>
        <w:sectPr>
          <w:pgSz w:w="11900" w:h="16838" w:orient="portrait"/>
          <w:cols w:equalWidth="0" w:num="1">
            <w:col w:w="10340"/>
          </w:cols>
          <w:pgMar w:left="320" w:top="1170" w:right="1239" w:bottom="1440" w:gutter="0" w:footer="0" w:header="0"/>
        </w:sectPr>
      </w:pPr>
    </w:p>
    <w:bookmarkStart w:id="41" w:name="page42"/>
    <w:bookmarkEnd w:id="41"/>
    <w:p>
      <w:pPr>
        <w:jc w:val="right"/>
        <w:spacing w:after="0"/>
        <w:rPr>
          <w:sz w:val="20"/>
          <w:szCs w:val="20"/>
          <w:color w:val="auto"/>
        </w:rPr>
      </w:pPr>
      <w:r>
        <w:rPr>
          <w:rFonts w:ascii="Times New Roman" w:cs="Times New Roman" w:eastAsia="Times New Roman" w:hAnsi="Times New Roman"/>
          <w:sz w:val="18"/>
          <w:szCs w:val="18"/>
          <w:b w:val="1"/>
          <w:bCs w:val="1"/>
          <w:color w:val="auto"/>
        </w:rPr>
        <w:t>Exhibit 31.1</w:t>
      </w:r>
    </w:p>
    <w:p>
      <w:pPr>
        <w:spacing w:after="0" w:line="117" w:lineRule="exact"/>
        <w:rPr>
          <w:sz w:val="20"/>
          <w:szCs w:val="20"/>
          <w:color w:val="auto"/>
        </w:rPr>
      </w:pPr>
    </w:p>
    <w:p>
      <w:pPr>
        <w:ind w:left="2880"/>
        <w:spacing w:after="0"/>
        <w:rPr>
          <w:sz w:val="20"/>
          <w:szCs w:val="20"/>
          <w:color w:val="auto"/>
        </w:rPr>
      </w:pPr>
      <w:r>
        <w:rPr>
          <w:rFonts w:ascii="Times New Roman" w:cs="Times New Roman" w:eastAsia="Times New Roman" w:hAnsi="Times New Roman"/>
          <w:sz w:val="18"/>
          <w:szCs w:val="18"/>
          <w:b w:val="1"/>
          <w:bCs w:val="1"/>
          <w:color w:val="auto"/>
        </w:rPr>
        <w:t>TAKE-TWO INTERACTIVE SOFTWARE, INC. and SUBSIDIARIES</w:t>
      </w:r>
    </w:p>
    <w:p>
      <w:pPr>
        <w:spacing w:after="0" w:line="117" w:lineRule="exact"/>
        <w:rPr>
          <w:sz w:val="20"/>
          <w:szCs w:val="20"/>
          <w:color w:val="auto"/>
        </w:rPr>
      </w:pPr>
    </w:p>
    <w:p>
      <w:pPr>
        <w:ind w:left="3460"/>
        <w:spacing w:after="0"/>
        <w:rPr>
          <w:sz w:val="20"/>
          <w:szCs w:val="20"/>
          <w:color w:val="auto"/>
        </w:rPr>
      </w:pPr>
      <w:r>
        <w:rPr>
          <w:rFonts w:ascii="Times New Roman" w:cs="Times New Roman" w:eastAsia="Times New Roman" w:hAnsi="Times New Roman"/>
          <w:sz w:val="18"/>
          <w:szCs w:val="18"/>
          <w:b w:val="1"/>
          <w:bCs w:val="1"/>
          <w:color w:val="auto"/>
        </w:rPr>
        <w:t>CERTIFICATION OF CHIEF EXECUTIVE OFFICER</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Section 302 Certification</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 Strauss Zelnick, certify that:</w:t>
      </w:r>
    </w:p>
    <w:p>
      <w:pPr>
        <w:spacing w:after="0" w:line="225" w:lineRule="exact"/>
        <w:rPr>
          <w:sz w:val="20"/>
          <w:szCs w:val="20"/>
          <w:color w:val="auto"/>
        </w:rPr>
      </w:pPr>
    </w:p>
    <w:p>
      <w:pPr>
        <w:ind w:left="480" w:hanging="310"/>
        <w:spacing w:after="0"/>
        <w:tabs>
          <w:tab w:leader="none" w:pos="480" w:val="left"/>
        </w:tabs>
        <w:numPr>
          <w:ilvl w:val="1"/>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 have reviewed this Quarterly Report on Form 10-Q of Take-Two Interactive Software, Inc. (the “registrant”);</w:t>
      </w:r>
    </w:p>
    <w:p>
      <w:pPr>
        <w:spacing w:after="0" w:line="225" w:lineRule="exact"/>
        <w:rPr>
          <w:rFonts w:ascii="Times New Roman" w:cs="Times New Roman" w:eastAsia="Times New Roman" w:hAnsi="Times New Roman"/>
          <w:sz w:val="18"/>
          <w:szCs w:val="18"/>
          <w:color w:val="auto"/>
        </w:rPr>
      </w:pPr>
    </w:p>
    <w:p>
      <w:pPr>
        <w:ind w:firstLine="170"/>
        <w:spacing w:after="0" w:line="282" w:lineRule="auto"/>
        <w:tabs>
          <w:tab w:leader="none" w:pos="515" w:val="left"/>
        </w:tabs>
        <w:numPr>
          <w:ilvl w:val="1"/>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61" w:lineRule="exact"/>
        <w:rPr>
          <w:rFonts w:ascii="Times New Roman" w:cs="Times New Roman" w:eastAsia="Times New Roman" w:hAnsi="Times New Roman"/>
          <w:sz w:val="18"/>
          <w:szCs w:val="18"/>
          <w:color w:val="auto"/>
        </w:rPr>
      </w:pPr>
    </w:p>
    <w:p>
      <w:pPr>
        <w:ind w:firstLine="170"/>
        <w:spacing w:after="0" w:line="282" w:lineRule="auto"/>
        <w:tabs>
          <w:tab w:leader="none" w:pos="516" w:val="left"/>
        </w:tabs>
        <w:numPr>
          <w:ilvl w:val="1"/>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61" w:lineRule="exact"/>
        <w:rPr>
          <w:rFonts w:ascii="Times New Roman" w:cs="Times New Roman" w:eastAsia="Times New Roman" w:hAnsi="Times New Roman"/>
          <w:sz w:val="18"/>
          <w:szCs w:val="18"/>
          <w:color w:val="auto"/>
        </w:rPr>
      </w:pPr>
    </w:p>
    <w:p>
      <w:pPr>
        <w:jc w:val="both"/>
        <w:ind w:firstLine="170"/>
        <w:spacing w:after="0" w:line="266" w:lineRule="auto"/>
        <w:tabs>
          <w:tab w:leader="none" w:pos="556" w:val="left"/>
        </w:tabs>
        <w:numPr>
          <w:ilvl w:val="1"/>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75" w:lineRule="exact"/>
        <w:rPr>
          <w:rFonts w:ascii="Times New Roman" w:cs="Times New Roman" w:eastAsia="Times New Roman" w:hAnsi="Times New Roman"/>
          <w:sz w:val="18"/>
          <w:szCs w:val="18"/>
          <w:color w:val="auto"/>
        </w:rPr>
      </w:pPr>
    </w:p>
    <w:p>
      <w:pPr>
        <w:jc w:val="both"/>
        <w:ind w:left="420" w:hanging="7"/>
        <w:spacing w:after="0" w:line="266" w:lineRule="auto"/>
        <w:tabs>
          <w:tab w:leader="none" w:pos="798" w:val="left"/>
        </w:tabs>
        <w:numPr>
          <w:ilvl w:val="2"/>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75" w:lineRule="exact"/>
        <w:rPr>
          <w:rFonts w:ascii="Times New Roman" w:cs="Times New Roman" w:eastAsia="Times New Roman" w:hAnsi="Times New Roman"/>
          <w:sz w:val="18"/>
          <w:szCs w:val="18"/>
          <w:color w:val="auto"/>
        </w:rPr>
      </w:pPr>
    </w:p>
    <w:p>
      <w:pPr>
        <w:jc w:val="both"/>
        <w:ind w:left="420" w:hanging="7"/>
        <w:spacing w:after="0" w:line="266" w:lineRule="auto"/>
        <w:tabs>
          <w:tab w:leader="none" w:pos="874" w:val="left"/>
        </w:tabs>
        <w:numPr>
          <w:ilvl w:val="2"/>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75" w:lineRule="exact"/>
        <w:rPr>
          <w:rFonts w:ascii="Times New Roman" w:cs="Times New Roman" w:eastAsia="Times New Roman" w:hAnsi="Times New Roman"/>
          <w:sz w:val="18"/>
          <w:szCs w:val="18"/>
          <w:color w:val="auto"/>
        </w:rPr>
      </w:pPr>
    </w:p>
    <w:p>
      <w:pPr>
        <w:ind w:left="420" w:hanging="7"/>
        <w:spacing w:after="0" w:line="282" w:lineRule="auto"/>
        <w:tabs>
          <w:tab w:leader="none" w:pos="892" w:val="left"/>
        </w:tabs>
        <w:numPr>
          <w:ilvl w:val="2"/>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61" w:lineRule="exact"/>
        <w:rPr>
          <w:rFonts w:ascii="Times New Roman" w:cs="Times New Roman" w:eastAsia="Times New Roman" w:hAnsi="Times New Roman"/>
          <w:sz w:val="18"/>
          <w:szCs w:val="18"/>
          <w:color w:val="auto"/>
        </w:rPr>
      </w:pPr>
    </w:p>
    <w:p>
      <w:pPr>
        <w:jc w:val="both"/>
        <w:ind w:left="420" w:hanging="7"/>
        <w:spacing w:after="0" w:line="266" w:lineRule="auto"/>
        <w:tabs>
          <w:tab w:leader="none" w:pos="804" w:val="left"/>
        </w:tabs>
        <w:numPr>
          <w:ilvl w:val="2"/>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75" w:lineRule="exact"/>
        <w:rPr>
          <w:rFonts w:ascii="Times New Roman" w:cs="Times New Roman" w:eastAsia="Times New Roman" w:hAnsi="Times New Roman"/>
          <w:sz w:val="18"/>
          <w:szCs w:val="18"/>
          <w:color w:val="auto"/>
        </w:rPr>
      </w:pPr>
    </w:p>
    <w:p>
      <w:pPr>
        <w:ind w:firstLine="8"/>
        <w:spacing w:after="0" w:line="282" w:lineRule="auto"/>
        <w:tabs>
          <w:tab w:leader="none" w:pos="364"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161" w:lineRule="exact"/>
        <w:rPr>
          <w:rFonts w:ascii="Times New Roman" w:cs="Times New Roman" w:eastAsia="Times New Roman" w:hAnsi="Times New Roman"/>
          <w:sz w:val="18"/>
          <w:szCs w:val="18"/>
          <w:color w:val="auto"/>
        </w:rPr>
      </w:pPr>
    </w:p>
    <w:p>
      <w:pPr>
        <w:ind w:left="420" w:hanging="7"/>
        <w:spacing w:after="0" w:line="282" w:lineRule="auto"/>
        <w:tabs>
          <w:tab w:leader="none" w:pos="765" w:val="left"/>
        </w:tabs>
        <w:numPr>
          <w:ilvl w:val="2"/>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61" w:lineRule="exact"/>
        <w:rPr>
          <w:rFonts w:ascii="Times New Roman" w:cs="Times New Roman" w:eastAsia="Times New Roman" w:hAnsi="Times New Roman"/>
          <w:sz w:val="18"/>
          <w:szCs w:val="18"/>
          <w:color w:val="auto"/>
        </w:rPr>
      </w:pPr>
    </w:p>
    <w:p>
      <w:pPr>
        <w:ind w:left="420" w:right="20" w:hanging="7"/>
        <w:spacing w:after="0" w:line="282" w:lineRule="auto"/>
        <w:tabs>
          <w:tab w:leader="none" w:pos="808" w:val="left"/>
        </w:tabs>
        <w:numPr>
          <w:ilvl w:val="2"/>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fraud, whether or not material, that involves management or other employees who have a significant role in the registrant’s internal control over financial reporting.</w:t>
      </w:r>
    </w:p>
    <w:p>
      <w:pPr>
        <w:spacing w:after="0" w:line="216" w:lineRule="exact"/>
        <w:rPr>
          <w:sz w:val="20"/>
          <w:szCs w:val="20"/>
          <w:color w:val="auto"/>
        </w:rPr>
      </w:pPr>
    </w:p>
    <w:p>
      <w:pPr>
        <w:ind w:left="60"/>
        <w:spacing w:after="0"/>
        <w:tabs>
          <w:tab w:leader="none" w:pos="5820" w:val="left"/>
        </w:tabs>
        <w:rPr>
          <w:sz w:val="20"/>
          <w:szCs w:val="20"/>
          <w:color w:val="auto"/>
        </w:rPr>
      </w:pPr>
      <w:r>
        <w:rPr>
          <w:rFonts w:ascii="Times New Roman" w:cs="Times New Roman" w:eastAsia="Times New Roman" w:hAnsi="Times New Roman"/>
          <w:sz w:val="18"/>
          <w:szCs w:val="18"/>
          <w:color w:val="auto"/>
        </w:rPr>
        <w:t>February 8, 2021</w:t>
      </w:r>
      <w:r>
        <w:rPr>
          <w:sz w:val="20"/>
          <w:szCs w:val="20"/>
          <w:color w:val="auto"/>
        </w:rPr>
        <w:tab/>
      </w:r>
      <w:r>
        <w:rPr>
          <w:rFonts w:ascii="Times New Roman" w:cs="Times New Roman" w:eastAsia="Times New Roman" w:hAnsi="Times New Roman"/>
          <w:sz w:val="17"/>
          <w:szCs w:val="17"/>
          <w:color w:val="auto"/>
        </w:rPr>
        <w:t>/s/ STRAUSS ZELNICK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3699510</wp:posOffset>
            </wp:positionH>
            <wp:positionV relativeFrom="paragraph">
              <wp:posOffset>43180</wp:posOffset>
            </wp:positionV>
            <wp:extent cx="3437255" cy="825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3437255" cy="8255"/>
                    </a:xfrm>
                    <a:prstGeom prst="rect">
                      <a:avLst/>
                    </a:prstGeom>
                    <a:noFill/>
                  </pic:spPr>
                </pic:pic>
              </a:graphicData>
            </a:graphic>
          </wp:anchor>
        </w:drawing>
      </w:r>
    </w:p>
    <w:p>
      <w:pPr>
        <w:spacing w:after="0" w:line="70" w:lineRule="exact"/>
        <w:rPr>
          <w:sz w:val="20"/>
          <w:szCs w:val="20"/>
          <w:color w:val="auto"/>
        </w:rPr>
      </w:pPr>
    </w:p>
    <w:p>
      <w:pPr>
        <w:ind w:left="5840"/>
        <w:spacing w:after="0"/>
        <w:rPr>
          <w:sz w:val="20"/>
          <w:szCs w:val="20"/>
          <w:color w:val="auto"/>
        </w:rPr>
      </w:pPr>
      <w:r>
        <w:rPr>
          <w:rFonts w:ascii="Times New Roman" w:cs="Times New Roman" w:eastAsia="Times New Roman" w:hAnsi="Times New Roman"/>
          <w:sz w:val="18"/>
          <w:szCs w:val="18"/>
          <w:color w:val="auto"/>
        </w:rPr>
        <w:t>Strauss Zelnick</w:t>
      </w:r>
    </w:p>
    <w:p>
      <w:pPr>
        <w:spacing w:after="0" w:line="27" w:lineRule="exact"/>
        <w:rPr>
          <w:sz w:val="20"/>
          <w:szCs w:val="20"/>
          <w:color w:val="auto"/>
        </w:rPr>
      </w:pPr>
    </w:p>
    <w:p>
      <w:pPr>
        <w:ind w:left="5840"/>
        <w:spacing w:after="0"/>
        <w:rPr>
          <w:sz w:val="20"/>
          <w:szCs w:val="20"/>
          <w:color w:val="auto"/>
        </w:rPr>
      </w:pPr>
      <w:r>
        <w:rPr>
          <w:rFonts w:ascii="Times New Roman" w:cs="Times New Roman" w:eastAsia="Times New Roman" w:hAnsi="Times New Roman"/>
          <w:sz w:val="18"/>
          <w:szCs w:val="18"/>
          <w:i w:val="1"/>
          <w:iCs w:val="1"/>
          <w:color w:val="auto"/>
        </w:rPr>
        <w:t>Chairman and Chief Executive Officer</w:t>
      </w:r>
    </w:p>
    <w:p>
      <w:pPr>
        <w:sectPr>
          <w:pgSz w:w="11900" w:h="16838" w:orient="portrait"/>
          <w:cols w:equalWidth="0" w:num="1">
            <w:col w:w="11240"/>
          </w:cols>
          <w:pgMar w:left="320" w:top="1238" w:right="339" w:bottom="1440" w:gutter="0" w:footer="0" w:header="0"/>
        </w:sectPr>
      </w:pPr>
    </w:p>
    <w:bookmarkStart w:id="42" w:name="page43"/>
    <w:bookmarkEnd w:id="42"/>
    <w:p>
      <w:pPr>
        <w:ind w:left="10320"/>
        <w:spacing w:after="0"/>
        <w:rPr>
          <w:sz w:val="20"/>
          <w:szCs w:val="20"/>
          <w:color w:val="auto"/>
        </w:rPr>
      </w:pPr>
      <w:r>
        <w:rPr>
          <w:rFonts w:ascii="Times New Roman" w:cs="Times New Roman" w:eastAsia="Times New Roman" w:hAnsi="Times New Roman"/>
          <w:sz w:val="17"/>
          <w:szCs w:val="17"/>
          <w:b w:val="1"/>
          <w:bCs w:val="1"/>
          <w:color w:val="auto"/>
        </w:rPr>
        <w:t>Exhibit 31.2</w:t>
      </w:r>
    </w:p>
    <w:p>
      <w:pPr>
        <w:spacing w:after="0" w:line="129" w:lineRule="exact"/>
        <w:rPr>
          <w:sz w:val="20"/>
          <w:szCs w:val="20"/>
          <w:color w:val="auto"/>
        </w:rPr>
      </w:pPr>
    </w:p>
    <w:p>
      <w:pPr>
        <w:ind w:left="2880"/>
        <w:spacing w:after="0"/>
        <w:rPr>
          <w:sz w:val="20"/>
          <w:szCs w:val="20"/>
          <w:color w:val="auto"/>
        </w:rPr>
      </w:pPr>
      <w:r>
        <w:rPr>
          <w:rFonts w:ascii="Times New Roman" w:cs="Times New Roman" w:eastAsia="Times New Roman" w:hAnsi="Times New Roman"/>
          <w:sz w:val="18"/>
          <w:szCs w:val="18"/>
          <w:b w:val="1"/>
          <w:bCs w:val="1"/>
          <w:color w:val="auto"/>
        </w:rPr>
        <w:t>TAKE-TWO INTERACTIVE SOFTWARE, INC. and SUBSIDIARIES</w:t>
      </w:r>
    </w:p>
    <w:p>
      <w:pPr>
        <w:spacing w:after="0" w:line="117" w:lineRule="exact"/>
        <w:rPr>
          <w:sz w:val="20"/>
          <w:szCs w:val="20"/>
          <w:color w:val="auto"/>
        </w:rPr>
      </w:pPr>
    </w:p>
    <w:p>
      <w:pPr>
        <w:ind w:left="3480"/>
        <w:spacing w:after="0"/>
        <w:rPr>
          <w:sz w:val="20"/>
          <w:szCs w:val="20"/>
          <w:color w:val="auto"/>
        </w:rPr>
      </w:pPr>
      <w:r>
        <w:rPr>
          <w:rFonts w:ascii="Times New Roman" w:cs="Times New Roman" w:eastAsia="Times New Roman" w:hAnsi="Times New Roman"/>
          <w:sz w:val="18"/>
          <w:szCs w:val="18"/>
          <w:b w:val="1"/>
          <w:bCs w:val="1"/>
          <w:color w:val="auto"/>
        </w:rPr>
        <w:t>CERTIFICATION OF CHIEF FINANCIAL OFFICER</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Section 302 Certification</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 Lainie Goldstein, certify that:</w:t>
      </w:r>
    </w:p>
    <w:p>
      <w:pPr>
        <w:spacing w:after="0" w:line="225" w:lineRule="exact"/>
        <w:rPr>
          <w:sz w:val="20"/>
          <w:szCs w:val="20"/>
          <w:color w:val="auto"/>
        </w:rPr>
      </w:pPr>
    </w:p>
    <w:p>
      <w:pPr>
        <w:ind w:left="500" w:hanging="330"/>
        <w:spacing w:after="0"/>
        <w:tabs>
          <w:tab w:leader="none" w:pos="50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 have reviewed this Quarterly Report on Form 10-Q of Take-Two Interactive Software, Inc. (the “registrant”);</w:t>
      </w:r>
    </w:p>
    <w:p>
      <w:pPr>
        <w:spacing w:after="0" w:line="225" w:lineRule="exact"/>
        <w:rPr>
          <w:rFonts w:ascii="Times New Roman" w:cs="Times New Roman" w:eastAsia="Times New Roman" w:hAnsi="Times New Roman"/>
          <w:sz w:val="18"/>
          <w:szCs w:val="18"/>
          <w:color w:val="auto"/>
        </w:rPr>
      </w:pPr>
    </w:p>
    <w:p>
      <w:pPr>
        <w:ind w:firstLine="170"/>
        <w:spacing w:after="0" w:line="282" w:lineRule="auto"/>
        <w:tabs>
          <w:tab w:leader="none" w:pos="648"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61" w:lineRule="exact"/>
        <w:rPr>
          <w:rFonts w:ascii="Times New Roman" w:cs="Times New Roman" w:eastAsia="Times New Roman" w:hAnsi="Times New Roman"/>
          <w:sz w:val="18"/>
          <w:szCs w:val="18"/>
          <w:color w:val="auto"/>
        </w:rPr>
      </w:pPr>
    </w:p>
    <w:p>
      <w:pPr>
        <w:ind w:firstLine="170"/>
        <w:spacing w:after="0" w:line="282" w:lineRule="auto"/>
        <w:tabs>
          <w:tab w:leader="none" w:pos="648"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61" w:lineRule="exact"/>
        <w:rPr>
          <w:rFonts w:ascii="Times New Roman" w:cs="Times New Roman" w:eastAsia="Times New Roman" w:hAnsi="Times New Roman"/>
          <w:sz w:val="18"/>
          <w:szCs w:val="18"/>
          <w:color w:val="auto"/>
        </w:rPr>
      </w:pPr>
    </w:p>
    <w:p>
      <w:pPr>
        <w:jc w:val="both"/>
        <w:ind w:firstLine="170"/>
        <w:spacing w:after="0" w:line="266" w:lineRule="auto"/>
        <w:tabs>
          <w:tab w:leader="none" w:pos="648"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75" w:lineRule="exact"/>
        <w:rPr>
          <w:rFonts w:ascii="Times New Roman" w:cs="Times New Roman" w:eastAsia="Times New Roman" w:hAnsi="Times New Roman"/>
          <w:sz w:val="18"/>
          <w:szCs w:val="18"/>
          <w:color w:val="auto"/>
        </w:rPr>
      </w:pPr>
    </w:p>
    <w:p>
      <w:pPr>
        <w:jc w:val="both"/>
        <w:ind w:left="420" w:firstLine="155"/>
        <w:spacing w:after="0" w:line="266" w:lineRule="auto"/>
        <w:tabs>
          <w:tab w:leader="none" w:pos="1302" w:val="left"/>
        </w:tabs>
        <w:numPr>
          <w:ilvl w:val="1"/>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67" w:lineRule="exact"/>
        <w:rPr>
          <w:rFonts w:ascii="Times New Roman" w:cs="Times New Roman" w:eastAsia="Times New Roman" w:hAnsi="Times New Roman"/>
          <w:sz w:val="18"/>
          <w:szCs w:val="18"/>
          <w:color w:val="auto"/>
        </w:rPr>
      </w:pPr>
    </w:p>
    <w:p>
      <w:pPr>
        <w:jc w:val="both"/>
        <w:ind w:left="420" w:firstLine="155"/>
        <w:spacing w:after="0" w:line="266" w:lineRule="auto"/>
        <w:tabs>
          <w:tab w:leader="none" w:pos="1299" w:val="left"/>
        </w:tabs>
        <w:numPr>
          <w:ilvl w:val="1"/>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75" w:lineRule="exact"/>
        <w:rPr>
          <w:rFonts w:ascii="Times New Roman" w:cs="Times New Roman" w:eastAsia="Times New Roman" w:hAnsi="Times New Roman"/>
          <w:sz w:val="18"/>
          <w:szCs w:val="18"/>
          <w:color w:val="auto"/>
        </w:rPr>
      </w:pPr>
    </w:p>
    <w:p>
      <w:pPr>
        <w:ind w:left="420" w:firstLine="155"/>
        <w:spacing w:after="0" w:line="282" w:lineRule="auto"/>
        <w:tabs>
          <w:tab w:leader="none" w:pos="1302" w:val="left"/>
        </w:tabs>
        <w:numPr>
          <w:ilvl w:val="1"/>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61" w:lineRule="exact"/>
        <w:rPr>
          <w:rFonts w:ascii="Times New Roman" w:cs="Times New Roman" w:eastAsia="Times New Roman" w:hAnsi="Times New Roman"/>
          <w:sz w:val="18"/>
          <w:szCs w:val="18"/>
          <w:color w:val="auto"/>
        </w:rPr>
      </w:pPr>
    </w:p>
    <w:p>
      <w:pPr>
        <w:jc w:val="both"/>
        <w:ind w:left="420" w:firstLine="155"/>
        <w:spacing w:after="0" w:line="266" w:lineRule="auto"/>
        <w:tabs>
          <w:tab w:leader="none" w:pos="1299" w:val="left"/>
        </w:tabs>
        <w:numPr>
          <w:ilvl w:val="1"/>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75" w:lineRule="exact"/>
        <w:rPr>
          <w:rFonts w:ascii="Times New Roman" w:cs="Times New Roman" w:eastAsia="Times New Roman" w:hAnsi="Times New Roman"/>
          <w:sz w:val="18"/>
          <w:szCs w:val="18"/>
          <w:color w:val="auto"/>
        </w:rPr>
      </w:pPr>
    </w:p>
    <w:p>
      <w:pPr>
        <w:ind w:firstLine="170"/>
        <w:spacing w:after="0" w:line="282" w:lineRule="auto"/>
        <w:tabs>
          <w:tab w:leader="none" w:pos="501"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161" w:lineRule="exact"/>
        <w:rPr>
          <w:rFonts w:ascii="Times New Roman" w:cs="Times New Roman" w:eastAsia="Times New Roman" w:hAnsi="Times New Roman"/>
          <w:sz w:val="18"/>
          <w:szCs w:val="18"/>
          <w:color w:val="auto"/>
        </w:rPr>
      </w:pPr>
    </w:p>
    <w:p>
      <w:pPr>
        <w:ind w:left="420" w:firstLine="155"/>
        <w:spacing w:after="0" w:line="282" w:lineRule="auto"/>
        <w:tabs>
          <w:tab w:leader="none" w:pos="1302" w:val="left"/>
        </w:tabs>
        <w:numPr>
          <w:ilvl w:val="1"/>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61" w:lineRule="exact"/>
        <w:rPr>
          <w:rFonts w:ascii="Times New Roman" w:cs="Times New Roman" w:eastAsia="Times New Roman" w:hAnsi="Times New Roman"/>
          <w:sz w:val="18"/>
          <w:szCs w:val="18"/>
          <w:color w:val="auto"/>
        </w:rPr>
      </w:pPr>
    </w:p>
    <w:p>
      <w:pPr>
        <w:ind w:left="420" w:firstLine="155"/>
        <w:spacing w:after="0" w:line="282" w:lineRule="auto"/>
        <w:tabs>
          <w:tab w:leader="none" w:pos="1299" w:val="left"/>
        </w:tabs>
        <w:numPr>
          <w:ilvl w:val="1"/>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fraud, whether or not material, that involves management or other employees who have a significant role in the registrant’s internal control over financial reporting.</w:t>
      </w:r>
    </w:p>
    <w:p>
      <w:pPr>
        <w:spacing w:after="0" w:line="202" w:lineRule="exact"/>
        <w:rPr>
          <w:sz w:val="20"/>
          <w:szCs w:val="20"/>
          <w:color w:val="auto"/>
        </w:rPr>
      </w:pPr>
    </w:p>
    <w:p>
      <w:pPr>
        <w:ind w:left="60"/>
        <w:spacing w:after="0"/>
        <w:tabs>
          <w:tab w:leader="none" w:pos="5820" w:val="left"/>
        </w:tabs>
        <w:rPr>
          <w:sz w:val="20"/>
          <w:szCs w:val="20"/>
          <w:color w:val="auto"/>
        </w:rPr>
      </w:pPr>
      <w:r>
        <w:rPr>
          <w:rFonts w:ascii="Times New Roman" w:cs="Times New Roman" w:eastAsia="Times New Roman" w:hAnsi="Times New Roman"/>
          <w:sz w:val="18"/>
          <w:szCs w:val="18"/>
          <w:color w:val="auto"/>
        </w:rPr>
        <w:t>February 8, 2021</w:t>
      </w:r>
      <w:r>
        <w:rPr>
          <w:sz w:val="20"/>
          <w:szCs w:val="20"/>
          <w:color w:val="auto"/>
        </w:rPr>
        <w:tab/>
      </w:r>
      <w:r>
        <w:rPr>
          <w:rFonts w:ascii="Times New Roman" w:cs="Times New Roman" w:eastAsia="Times New Roman" w:hAnsi="Times New Roman"/>
          <w:sz w:val="18"/>
          <w:szCs w:val="18"/>
          <w:color w:val="auto"/>
        </w:rPr>
        <w:t>/s/ LAINIE GOLDSTEIN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3699510</wp:posOffset>
            </wp:positionH>
            <wp:positionV relativeFrom="paragraph">
              <wp:posOffset>51435</wp:posOffset>
            </wp:positionV>
            <wp:extent cx="3437255" cy="825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3437255" cy="8255"/>
                    </a:xfrm>
                    <a:prstGeom prst="rect">
                      <a:avLst/>
                    </a:prstGeom>
                    <a:noFill/>
                  </pic:spPr>
                </pic:pic>
              </a:graphicData>
            </a:graphic>
          </wp:anchor>
        </w:drawing>
      </w:r>
    </w:p>
    <w:p>
      <w:pPr>
        <w:spacing w:after="0" w:line="84" w:lineRule="exact"/>
        <w:rPr>
          <w:sz w:val="20"/>
          <w:szCs w:val="20"/>
          <w:color w:val="auto"/>
        </w:rPr>
      </w:pPr>
    </w:p>
    <w:p>
      <w:pPr>
        <w:ind w:left="5840"/>
        <w:spacing w:after="0"/>
        <w:rPr>
          <w:sz w:val="20"/>
          <w:szCs w:val="20"/>
          <w:color w:val="auto"/>
        </w:rPr>
      </w:pPr>
      <w:r>
        <w:rPr>
          <w:rFonts w:ascii="Times New Roman" w:cs="Times New Roman" w:eastAsia="Times New Roman" w:hAnsi="Times New Roman"/>
          <w:sz w:val="18"/>
          <w:szCs w:val="18"/>
          <w:color w:val="auto"/>
        </w:rPr>
        <w:t>Lainie Goldstein</w:t>
      </w:r>
    </w:p>
    <w:p>
      <w:pPr>
        <w:spacing w:after="0" w:line="27" w:lineRule="exact"/>
        <w:rPr>
          <w:sz w:val="20"/>
          <w:szCs w:val="20"/>
          <w:color w:val="auto"/>
        </w:rPr>
      </w:pPr>
    </w:p>
    <w:p>
      <w:pPr>
        <w:ind w:left="5840"/>
        <w:spacing w:after="0"/>
        <w:rPr>
          <w:sz w:val="20"/>
          <w:szCs w:val="20"/>
          <w:color w:val="auto"/>
        </w:rPr>
      </w:pPr>
      <w:r>
        <w:rPr>
          <w:rFonts w:ascii="Times New Roman" w:cs="Times New Roman" w:eastAsia="Times New Roman" w:hAnsi="Times New Roman"/>
          <w:sz w:val="18"/>
          <w:szCs w:val="18"/>
          <w:i w:val="1"/>
          <w:iCs w:val="1"/>
          <w:color w:val="auto"/>
        </w:rPr>
        <w:t>Chief Financial Officer</w:t>
      </w:r>
    </w:p>
    <w:p>
      <w:pPr>
        <w:sectPr>
          <w:pgSz w:w="11900" w:h="16838" w:orient="portrait"/>
          <w:cols w:equalWidth="0" w:num="1">
            <w:col w:w="11240"/>
          </w:cols>
          <w:pgMar w:left="320" w:top="1238" w:right="339" w:bottom="1440" w:gutter="0" w:footer="0" w:header="0"/>
        </w:sectPr>
      </w:pPr>
    </w:p>
    <w:bookmarkStart w:id="43" w:name="page44"/>
    <w:bookmarkEnd w:id="43"/>
    <w:p>
      <w:pPr>
        <w:jc w:val="right"/>
        <w:spacing w:after="0"/>
        <w:rPr>
          <w:sz w:val="20"/>
          <w:szCs w:val="20"/>
          <w:color w:val="auto"/>
        </w:rPr>
      </w:pPr>
      <w:r>
        <w:rPr>
          <w:rFonts w:ascii="Times New Roman" w:cs="Times New Roman" w:eastAsia="Times New Roman" w:hAnsi="Times New Roman"/>
          <w:sz w:val="18"/>
          <w:szCs w:val="18"/>
          <w:b w:val="1"/>
          <w:bCs w:val="1"/>
          <w:color w:val="auto"/>
        </w:rPr>
        <w:t>EXHIBIT 32.1</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TAKE-TWO INTERACTIVE SOFTWARE, INC. and SUBSIDIARIES</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CERTIFICATION PURSUANT TO</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18 U. S. C. SECTION 1350,</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AS ADOPTED PURSUANT TO</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SECTION 906 OF THE SARBANES-OXLEY ACT OF 2002</w:t>
      </w:r>
    </w:p>
    <w:p>
      <w:pPr>
        <w:spacing w:after="0" w:line="20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In connection with the Quarterly Report of Take-Two Interactive Software, Inc. (the “Company”) on Form 10-Q for the period ended December 31, 2020 as filed with the Securities and Exchange Commission on the date hereof (the “Report”), I, Strauss Zelnick, as Chairman and Chief Executive Officer of the Company, certify, pursuant to 18 U.S.C. Section 1350, as adopted pursuant to Section 906 of the Sarbanes-Oxley Act of 2002, that:</w:t>
      </w:r>
    </w:p>
    <w:p>
      <w:pPr>
        <w:spacing w:after="0" w:line="176" w:lineRule="exact"/>
        <w:rPr>
          <w:sz w:val="20"/>
          <w:szCs w:val="20"/>
          <w:color w:val="auto"/>
        </w:rPr>
      </w:pPr>
    </w:p>
    <w:p>
      <w:pPr>
        <w:ind w:left="800" w:hanging="387"/>
        <w:spacing w:after="0"/>
        <w:tabs>
          <w:tab w:leader="none" w:pos="80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Report fully complies with the requirements of Section 13(a) or 15(d) of the Securities Exchange Act of 1934; and</w:t>
      </w:r>
    </w:p>
    <w:p>
      <w:pPr>
        <w:spacing w:after="0" w:line="225" w:lineRule="exact"/>
        <w:rPr>
          <w:rFonts w:ascii="Times New Roman" w:cs="Times New Roman" w:eastAsia="Times New Roman" w:hAnsi="Times New Roman"/>
          <w:sz w:val="18"/>
          <w:szCs w:val="18"/>
          <w:color w:val="auto"/>
        </w:rPr>
      </w:pPr>
    </w:p>
    <w:p>
      <w:pPr>
        <w:ind w:left="1060" w:hanging="647"/>
        <w:spacing w:after="0" w:line="282" w:lineRule="auto"/>
        <w:tabs>
          <w:tab w:leader="none" w:pos="927"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information contained in the Report fairly presents, in all material respects, the financial condition and results of operations of the Company.</w:t>
      </w:r>
    </w:p>
    <w:p>
      <w:pPr>
        <w:spacing w:after="0" w:line="202" w:lineRule="exact"/>
        <w:rPr>
          <w:sz w:val="20"/>
          <w:szCs w:val="20"/>
          <w:color w:val="auto"/>
        </w:rPr>
      </w:pPr>
    </w:p>
    <w:p>
      <w:pPr>
        <w:ind w:left="60"/>
        <w:spacing w:after="0"/>
        <w:tabs>
          <w:tab w:leader="none" w:pos="5820" w:val="left"/>
        </w:tabs>
        <w:rPr>
          <w:sz w:val="20"/>
          <w:szCs w:val="20"/>
          <w:color w:val="auto"/>
        </w:rPr>
      </w:pPr>
      <w:r>
        <w:rPr>
          <w:rFonts w:ascii="Times New Roman" w:cs="Times New Roman" w:eastAsia="Times New Roman" w:hAnsi="Times New Roman"/>
          <w:sz w:val="18"/>
          <w:szCs w:val="18"/>
          <w:color w:val="auto"/>
        </w:rPr>
        <w:t>February 8, 2021</w:t>
      </w:r>
      <w:r>
        <w:rPr>
          <w:sz w:val="20"/>
          <w:szCs w:val="20"/>
          <w:color w:val="auto"/>
        </w:rPr>
        <w:tab/>
      </w:r>
      <w:r>
        <w:rPr>
          <w:rFonts w:ascii="Times New Roman" w:cs="Times New Roman" w:eastAsia="Times New Roman" w:hAnsi="Times New Roman"/>
          <w:sz w:val="17"/>
          <w:szCs w:val="17"/>
          <w:color w:val="auto"/>
        </w:rPr>
        <w:t>/s/ STRAUSS ZELNICK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3699510</wp:posOffset>
            </wp:positionH>
            <wp:positionV relativeFrom="paragraph">
              <wp:posOffset>51435</wp:posOffset>
            </wp:positionV>
            <wp:extent cx="3437255" cy="825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3437255" cy="8255"/>
                    </a:xfrm>
                    <a:prstGeom prst="rect">
                      <a:avLst/>
                    </a:prstGeom>
                    <a:noFill/>
                  </pic:spPr>
                </pic:pic>
              </a:graphicData>
            </a:graphic>
          </wp:anchor>
        </w:drawing>
      </w:r>
    </w:p>
    <w:p>
      <w:pPr>
        <w:spacing w:after="0" w:line="84" w:lineRule="exact"/>
        <w:rPr>
          <w:sz w:val="20"/>
          <w:szCs w:val="20"/>
          <w:color w:val="auto"/>
        </w:rPr>
      </w:pPr>
    </w:p>
    <w:p>
      <w:pPr>
        <w:ind w:left="5840"/>
        <w:spacing w:after="0"/>
        <w:rPr>
          <w:sz w:val="20"/>
          <w:szCs w:val="20"/>
          <w:color w:val="auto"/>
        </w:rPr>
      </w:pPr>
      <w:r>
        <w:rPr>
          <w:rFonts w:ascii="Times New Roman" w:cs="Times New Roman" w:eastAsia="Times New Roman" w:hAnsi="Times New Roman"/>
          <w:sz w:val="18"/>
          <w:szCs w:val="18"/>
          <w:color w:val="auto"/>
        </w:rPr>
        <w:t>Strauss Zelnick</w:t>
      </w:r>
    </w:p>
    <w:p>
      <w:pPr>
        <w:spacing w:after="0" w:line="27" w:lineRule="exact"/>
        <w:rPr>
          <w:sz w:val="20"/>
          <w:szCs w:val="20"/>
          <w:color w:val="auto"/>
        </w:rPr>
      </w:pPr>
    </w:p>
    <w:p>
      <w:pPr>
        <w:ind w:left="5840"/>
        <w:spacing w:after="0"/>
        <w:rPr>
          <w:sz w:val="20"/>
          <w:szCs w:val="20"/>
          <w:color w:val="auto"/>
        </w:rPr>
      </w:pPr>
      <w:r>
        <w:rPr>
          <w:rFonts w:ascii="Times New Roman" w:cs="Times New Roman" w:eastAsia="Times New Roman" w:hAnsi="Times New Roman"/>
          <w:sz w:val="18"/>
          <w:szCs w:val="18"/>
          <w:i w:val="1"/>
          <w:iCs w:val="1"/>
          <w:color w:val="auto"/>
        </w:rPr>
        <w:t>Chairman and Chief Executive Officer</w:t>
      </w:r>
    </w:p>
    <w:p>
      <w:pPr>
        <w:sectPr>
          <w:pgSz w:w="11900" w:h="16838" w:orient="portrait"/>
          <w:cols w:equalWidth="0" w:num="1">
            <w:col w:w="11240"/>
          </w:cols>
          <w:pgMar w:left="320" w:top="1238" w:right="339" w:bottom="1440" w:gutter="0" w:footer="0" w:header="0"/>
        </w:sectPr>
      </w:pPr>
    </w:p>
    <w:bookmarkStart w:id="44" w:name="page45"/>
    <w:bookmarkEnd w:id="44"/>
    <w:p>
      <w:pPr>
        <w:jc w:val="right"/>
        <w:spacing w:after="0"/>
        <w:rPr>
          <w:sz w:val="20"/>
          <w:szCs w:val="20"/>
          <w:color w:val="auto"/>
        </w:rPr>
      </w:pPr>
      <w:r>
        <w:rPr>
          <w:rFonts w:ascii="Times New Roman" w:cs="Times New Roman" w:eastAsia="Times New Roman" w:hAnsi="Times New Roman"/>
          <w:sz w:val="18"/>
          <w:szCs w:val="18"/>
          <w:b w:val="1"/>
          <w:bCs w:val="1"/>
          <w:color w:val="auto"/>
        </w:rPr>
        <w:t>EXHIBIT 32.2</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TAKE-TWO INTERACTIVE SOFTWARE, INC. and SUBSIDIARIES</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CERTIFICATION PURSUANT TO</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18 U. S. C. SECTION 1350,</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AS ADOPTED PURSUANT TO</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SECTION 906 OF THE SARBANES-OXLEY ACT OF 2002</w:t>
      </w:r>
    </w:p>
    <w:p>
      <w:pPr>
        <w:spacing w:after="0" w:line="20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In connection with the Quarterly Report of Take-Two Interactive Software, Inc. (the “Company”) on Form 10-Q for the period ended December 31, 2020 as filed with the Securities and Exchange Commission on the date hereof (the “Report”), I, Lainie Goldstein, as Chief Financial Officer of the Company, certify, pursuant to 18 U.S.C. Section 1350, as adopted pursuant to Section 906 of the Sarbanes-Oxley Act of 2002, that:</w:t>
      </w:r>
    </w:p>
    <w:p>
      <w:pPr>
        <w:spacing w:after="0" w:line="176" w:lineRule="exact"/>
        <w:rPr>
          <w:sz w:val="20"/>
          <w:szCs w:val="20"/>
          <w:color w:val="auto"/>
        </w:rPr>
      </w:pPr>
    </w:p>
    <w:p>
      <w:pPr>
        <w:ind w:left="800" w:hanging="387"/>
        <w:spacing w:after="0"/>
        <w:tabs>
          <w:tab w:leader="none" w:pos="80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Report fully complies with the requirements of Section 13(a) or 15(d) of the Securities Exchange Act of 1934; and</w:t>
      </w:r>
    </w:p>
    <w:p>
      <w:pPr>
        <w:spacing w:after="0" w:line="225" w:lineRule="exact"/>
        <w:rPr>
          <w:rFonts w:ascii="Times New Roman" w:cs="Times New Roman" w:eastAsia="Times New Roman" w:hAnsi="Times New Roman"/>
          <w:sz w:val="18"/>
          <w:szCs w:val="18"/>
          <w:color w:val="auto"/>
        </w:rPr>
      </w:pPr>
    </w:p>
    <w:p>
      <w:pPr>
        <w:ind w:left="1060" w:hanging="647"/>
        <w:spacing w:after="0" w:line="282" w:lineRule="auto"/>
        <w:tabs>
          <w:tab w:leader="none" w:pos="927"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information contained in the Report fairly presents, in all material respects, the financial condition and results of operations of the Company.</w:t>
      </w:r>
    </w:p>
    <w:p>
      <w:pPr>
        <w:spacing w:after="0" w:line="202" w:lineRule="exact"/>
        <w:rPr>
          <w:sz w:val="20"/>
          <w:szCs w:val="20"/>
          <w:color w:val="auto"/>
        </w:rPr>
      </w:pPr>
    </w:p>
    <w:p>
      <w:pPr>
        <w:ind w:left="60"/>
        <w:spacing w:after="0"/>
        <w:tabs>
          <w:tab w:leader="none" w:pos="5820" w:val="left"/>
        </w:tabs>
        <w:rPr>
          <w:sz w:val="20"/>
          <w:szCs w:val="20"/>
          <w:color w:val="auto"/>
        </w:rPr>
      </w:pPr>
      <w:r>
        <w:rPr>
          <w:rFonts w:ascii="Times New Roman" w:cs="Times New Roman" w:eastAsia="Times New Roman" w:hAnsi="Times New Roman"/>
          <w:sz w:val="18"/>
          <w:szCs w:val="18"/>
          <w:color w:val="auto"/>
        </w:rPr>
        <w:t>February 8, 2021</w:t>
      </w:r>
      <w:r>
        <w:rPr>
          <w:sz w:val="20"/>
          <w:szCs w:val="20"/>
          <w:color w:val="auto"/>
        </w:rPr>
        <w:tab/>
      </w:r>
      <w:r>
        <w:rPr>
          <w:rFonts w:ascii="Times New Roman" w:cs="Times New Roman" w:eastAsia="Times New Roman" w:hAnsi="Times New Roman"/>
          <w:sz w:val="18"/>
          <w:szCs w:val="18"/>
          <w:color w:val="auto"/>
        </w:rPr>
        <w:t>/s/ LAINIE GOLDSTEIN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3699510</wp:posOffset>
            </wp:positionH>
            <wp:positionV relativeFrom="paragraph">
              <wp:posOffset>51435</wp:posOffset>
            </wp:positionV>
            <wp:extent cx="3437255" cy="825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3437255" cy="8255"/>
                    </a:xfrm>
                    <a:prstGeom prst="rect">
                      <a:avLst/>
                    </a:prstGeom>
                    <a:noFill/>
                  </pic:spPr>
                </pic:pic>
              </a:graphicData>
            </a:graphic>
          </wp:anchor>
        </w:drawing>
      </w:r>
    </w:p>
    <w:p>
      <w:pPr>
        <w:spacing w:after="0" w:line="84" w:lineRule="exact"/>
        <w:rPr>
          <w:sz w:val="20"/>
          <w:szCs w:val="20"/>
          <w:color w:val="auto"/>
        </w:rPr>
      </w:pPr>
    </w:p>
    <w:p>
      <w:pPr>
        <w:ind w:left="5840"/>
        <w:spacing w:after="0"/>
        <w:rPr>
          <w:sz w:val="20"/>
          <w:szCs w:val="20"/>
          <w:color w:val="auto"/>
        </w:rPr>
      </w:pPr>
      <w:r>
        <w:rPr>
          <w:rFonts w:ascii="Times New Roman" w:cs="Times New Roman" w:eastAsia="Times New Roman" w:hAnsi="Times New Roman"/>
          <w:sz w:val="18"/>
          <w:szCs w:val="18"/>
          <w:color w:val="auto"/>
        </w:rPr>
        <w:t>Lainie Goldstein</w:t>
      </w:r>
    </w:p>
    <w:p>
      <w:pPr>
        <w:spacing w:after="0" w:line="27" w:lineRule="exact"/>
        <w:rPr>
          <w:sz w:val="20"/>
          <w:szCs w:val="20"/>
          <w:color w:val="auto"/>
        </w:rPr>
      </w:pPr>
    </w:p>
    <w:p>
      <w:pPr>
        <w:ind w:left="5840"/>
        <w:spacing w:after="0"/>
        <w:rPr>
          <w:sz w:val="20"/>
          <w:szCs w:val="20"/>
          <w:color w:val="auto"/>
        </w:rPr>
      </w:pPr>
      <w:r>
        <w:rPr>
          <w:rFonts w:ascii="Times New Roman" w:cs="Times New Roman" w:eastAsia="Times New Roman" w:hAnsi="Times New Roman"/>
          <w:sz w:val="18"/>
          <w:szCs w:val="18"/>
          <w:i w:val="1"/>
          <w:iCs w:val="1"/>
          <w:color w:val="auto"/>
        </w:rPr>
        <w:t>Chief Financial Officer</w:t>
      </w:r>
    </w:p>
    <w:sectPr>
      <w:pgSz w:w="11900" w:h="16838" w:orient="portrait"/>
      <w:cols w:equalWidth="0" w:num="1">
        <w:col w:w="11240"/>
      </w:cols>
      <w:pgMar w:left="320" w:top="1238"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5BD062C2"/>
    <w:multiLevelType w:val="hybridMultilevel"/>
    <w:lvl w:ilvl="0">
      <w:lvlJc w:val="left"/>
      <w:lvlText w:val="☒"/>
      <w:numFmt w:val="bullet"/>
      <w:start w:val="1"/>
    </w:lvl>
  </w:abstractNum>
  <w:abstractNum w:abstractNumId="1">
    <w:nsid w:val="12200854"/>
    <w:multiLevelType w:val="hybridMultilevel"/>
    <w:lvl w:ilvl="0">
      <w:lvlJc w:val="left"/>
      <w:lvlText w:val="☐"/>
      <w:numFmt w:val="bullet"/>
      <w:start w:val="1"/>
    </w:lvl>
  </w:abstractNum>
  <w:abstractNum w:abstractNumId="2">
    <w:nsid w:val="4DB127F8"/>
    <w:multiLevelType w:val="hybridMultilevel"/>
    <w:lvl w:ilvl="0">
      <w:lvlJc w:val="left"/>
      <w:lvlText w:val="•"/>
      <w:numFmt w:val="bullet"/>
      <w:start w:val="1"/>
    </w:lvl>
  </w:abstractNum>
  <w:abstractNum w:abstractNumId="3">
    <w:nsid w:val="216231B"/>
    <w:multiLevelType w:val="hybridMultilevel"/>
    <w:lvl w:ilvl="0">
      <w:lvlJc w:val="left"/>
      <w:lvlText w:val="•"/>
      <w:numFmt w:val="bullet"/>
      <w:start w:val="1"/>
    </w:lvl>
  </w:abstractNum>
  <w:abstractNum w:abstractNumId="4">
    <w:nsid w:val="1F16E9E8"/>
    <w:multiLevelType w:val="hybridMultilevel"/>
    <w:lvl w:ilvl="0">
      <w:lvlJc w:val="left"/>
      <w:lvlText w:val="%1."/>
      <w:numFmt w:val="decimal"/>
      <w:start w:val="9"/>
    </w:lvl>
  </w:abstractNum>
  <w:abstractNum w:abstractNumId="5">
    <w:nsid w:val="1190CDE7"/>
    <w:multiLevelType w:val="hybridMultilevel"/>
    <w:lvl w:ilvl="0">
      <w:lvlJc w:val="left"/>
      <w:lvlText w:val="(%1)"/>
      <w:numFmt w:val="lowerLetter"/>
      <w:start w:val="2"/>
    </w:lvl>
  </w:abstractNum>
  <w:abstractNum w:abstractNumId="6">
    <w:nsid w:val="66EF438D"/>
    <w:multiLevelType w:val="hybridMultilevel"/>
    <w:lvl w:ilvl="0">
      <w:lvlJc w:val="left"/>
      <w:lvlText w:val="(%1)"/>
      <w:numFmt w:val="decimal"/>
      <w:start w:val="1"/>
    </w:lvl>
  </w:abstractNum>
  <w:abstractNum w:abstractNumId="7">
    <w:nsid w:val="140E0F76"/>
    <w:multiLevelType w:val="hybridMultilevel"/>
    <w:lvl w:ilvl="0">
      <w:lvlJc w:val="left"/>
      <w:lvlText w:val="(%1)"/>
      <w:numFmt w:val="decimal"/>
      <w:start w:val="1"/>
    </w:lvl>
  </w:abstractNum>
  <w:abstractNum w:abstractNumId="8">
    <w:nsid w:val="3352255A"/>
    <w:multiLevelType w:val="hybridMultilevel"/>
    <w:lvl w:ilvl="0">
      <w:lvlJc w:val="left"/>
      <w:lvlText w:val="(%1)"/>
      <w:numFmt w:val="lowerRoman"/>
      <w:start w:val="2"/>
    </w:lvl>
  </w:abstractNum>
  <w:abstractNum w:abstractNumId="9">
    <w:nsid w:val="109CF92E"/>
    <w:multiLevelType w:val="hybridMultilevel"/>
    <w:lvl w:ilvl="0">
      <w:lvlJc w:val="left"/>
      <w:lvlText w:val="(%1)"/>
      <w:numFmt w:val="decimal"/>
      <w:start w:val="1"/>
    </w:lvl>
  </w:abstractNum>
  <w:abstractNum w:abstractNumId="10">
    <w:nsid w:val="DED7263"/>
    <w:multiLevelType w:val="hybridMultilevel"/>
    <w:lvl w:ilvl="0">
      <w:lvlJc w:val="left"/>
      <w:lvlText w:val="(%1)"/>
      <w:numFmt w:val="lowerLetter"/>
      <w:start w:val="2"/>
    </w:lvl>
  </w:abstractNum>
  <w:abstractNum w:abstractNumId="11">
    <w:nsid w:val="7FDCC233"/>
    <w:multiLevelType w:val="hybridMultilevel"/>
    <w:lvl w:ilvl="0">
      <w:lvlJc w:val="left"/>
      <w:lvlText w:val="*"/>
      <w:numFmt w:val="bullet"/>
      <w:start w:val="1"/>
    </w:lvl>
  </w:abstractNum>
  <w:abstractNum w:abstractNumId="12">
    <w:nsid w:val="1BEFD79F"/>
    <w:multiLevelType w:val="hybridMultilevel"/>
    <w:lvl w:ilvl="0">
      <w:lvlJc w:val="left"/>
      <w:lvlText w:val="%1"/>
      <w:numFmt w:val="decimal"/>
      <w:start w:val="1"/>
    </w:lvl>
    <w:lvl w:ilvl="1">
      <w:lvlJc w:val="left"/>
      <w:lvlText w:val="%2."/>
      <w:numFmt w:val="decimal"/>
      <w:start w:val="1"/>
    </w:lvl>
    <w:lvl w:ilvl="2">
      <w:lvlJc w:val="left"/>
      <w:lvlText w:val="%3)"/>
      <w:numFmt w:val="lowerLetter"/>
      <w:start w:val="1"/>
    </w:lvl>
  </w:abstractNum>
  <w:abstractNum w:abstractNumId="13">
    <w:nsid w:val="41A7C4C9"/>
    <w:multiLevelType w:val="hybridMultilevel"/>
    <w:lvl w:ilvl="0">
      <w:lvlJc w:val="left"/>
      <w:lvlText w:val="%1."/>
      <w:numFmt w:val="decimal"/>
      <w:start w:val="5"/>
    </w:lvl>
    <w:lvl w:ilvl="1">
      <w:lvlJc w:val="left"/>
      <w:lvlText w:val="%2"/>
      <w:numFmt w:val="decimal"/>
      <w:start w:val="1"/>
    </w:lvl>
    <w:lvl w:ilvl="2">
      <w:lvlJc w:val="left"/>
      <w:lvlText w:val="%3)"/>
      <w:numFmt w:val="lowerLetter"/>
      <w:start w:val="1"/>
    </w:lvl>
  </w:abstractNum>
  <w:abstractNum w:abstractNumId="14">
    <w:nsid w:val="6B68079A"/>
    <w:multiLevelType w:val="hybridMultilevel"/>
    <w:lvl w:ilvl="0">
      <w:lvlJc w:val="left"/>
      <w:lvlText w:val="%1."/>
      <w:numFmt w:val="decimal"/>
      <w:start w:val="1"/>
    </w:lvl>
    <w:lvl w:ilvl="1">
      <w:lvlJc w:val="left"/>
      <w:lvlText w:val="%2)"/>
      <w:numFmt w:val="lowerLetter"/>
      <w:start w:val="1"/>
    </w:lvl>
  </w:abstractNum>
  <w:abstractNum w:abstractNumId="15">
    <w:nsid w:val="4E6AFB66"/>
    <w:multiLevelType w:val="hybridMultilevel"/>
    <w:lvl w:ilvl="0">
      <w:lvlJc w:val="left"/>
      <w:lvlText w:val="(%1)"/>
      <w:numFmt w:val="decimal"/>
      <w:start w:val="1"/>
    </w:lvl>
  </w:abstractNum>
  <w:abstractNum w:abstractNumId="16">
    <w:nsid w:val="25E45D32"/>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2021-02-09T05:22:56Z</dcterms:created>
  <dcterms:modified xsi:type="dcterms:W3CDTF">2021-02-09T05:22:56Z</dcterms:modified>
</cp:coreProperties>
</file>