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Emerson Daniel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96"/>
        <w:gridCol w:w="461"/>
        <w:gridCol w:w="634"/>
        <w:gridCol w:w="1206"/>
        <w:gridCol w:w="1007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</w:t>
            </w:r>
            <w:r>
              <w:rPr/>
              <w:t xml:space="preserve"> 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113,988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of shares pursuant to Rule 10b5-1 trading plan adopted on March 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(i) 1,040 shares of Common Stock, (ii) 19,736 unvested time-based restricted stock units and (iii) 93,212 unvested performance-based restricted stock units. Such unvested awards will vest, or fail to vest, in accordance with the terms of the applicable award agreements.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Emerson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3654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3386</Characters>
  <CharactersWithSpaces>3950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