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457835</wp:posOffset>
            </wp:positionH>
            <wp:positionV relativeFrom="page">
              <wp:posOffset>612140</wp:posOffset>
            </wp:positionV>
            <wp:extent cx="6646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17145"/>
                    </a:xfrm>
                    <a:prstGeom prst="rect">
                      <a:avLst/>
                    </a:prstGeom>
                    <a:noFill/>
                  </pic:spPr>
                </pic:pic>
              </a:graphicData>
            </a:graphic>
          </wp:anchor>
        </w:drawing>
        <w:t>UNITED STATES</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380" w:hanging="291"/>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5"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For the fiscal year ended March 31, 2019</w:t>
      </w:r>
    </w:p>
    <w:p>
      <w:pPr>
        <w:spacing w:after="0" w:line="106"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380" w:hanging="250"/>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9" w:lineRule="exact"/>
        <w:rPr>
          <w:sz w:val="24"/>
          <w:szCs w:val="24"/>
          <w:color w:val="auto"/>
        </w:rPr>
      </w:pPr>
    </w:p>
    <w:p>
      <w:pPr>
        <w:ind w:left="2480"/>
        <w:spacing w:after="0"/>
        <w:tabs>
          <w:tab w:leader="none" w:pos="5600" w:val="left"/>
          <w:tab w:leader="none" w:pos="70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001-34003</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TAKE-TWO INTERACTIVE SOFTWARE, INC.</w:t>
      </w:r>
    </w:p>
    <w:p>
      <w:pPr>
        <w:spacing w:after="0" w:line="289" w:lineRule="exact"/>
        <w:rPr>
          <w:sz w:val="24"/>
          <w:szCs w:val="24"/>
          <w:color w:val="auto"/>
        </w:rPr>
      </w:pPr>
    </w:p>
    <w:tbl>
      <w:tblPr>
        <w:tblLayout w:type="fixed"/>
        <w:tblInd w:w="170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22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Delaware</w:t>
            </w:r>
          </w:p>
        </w:tc>
        <w:tc>
          <w:tcPr>
            <w:tcW w:w="3580" w:type="dxa"/>
            <w:vAlign w:val="bottom"/>
          </w:tcPr>
          <w:p>
            <w:pPr>
              <w:spacing w:after="0"/>
              <w:rPr>
                <w:sz w:val="24"/>
                <w:szCs w:val="24"/>
                <w:color w:val="auto"/>
              </w:rPr>
            </w:pPr>
          </w:p>
        </w:tc>
        <w:tc>
          <w:tcPr>
            <w:tcW w:w="2680" w:type="dxa"/>
            <w:vAlign w:val="bottom"/>
          </w:tcPr>
          <w:p>
            <w:pPr>
              <w:jc w:val="right"/>
              <w:ind w:right="1328"/>
              <w:spacing w:after="0"/>
              <w:rPr>
                <w:sz w:val="20"/>
                <w:szCs w:val="20"/>
                <w:color w:val="auto"/>
              </w:rPr>
            </w:pPr>
            <w:r>
              <w:rPr>
                <w:rFonts w:ascii="Arial" w:cs="Arial" w:eastAsia="Arial" w:hAnsi="Arial"/>
                <w:sz w:val="14"/>
                <w:szCs w:val="14"/>
                <w:b w:val="1"/>
                <w:bCs w:val="1"/>
                <w:color w:val="auto"/>
              </w:rPr>
              <w:t>51-0350842</w:t>
            </w:r>
          </w:p>
        </w:tc>
        <w:tc>
          <w:tcPr>
            <w:tcW w:w="0" w:type="dxa"/>
            <w:vAlign w:val="bottom"/>
          </w:tcPr>
          <w:p>
            <w:pPr>
              <w:spacing w:after="0"/>
              <w:rPr>
                <w:sz w:val="1"/>
                <w:szCs w:val="1"/>
                <w:color w:val="auto"/>
              </w:rPr>
            </w:pPr>
          </w:p>
        </w:tc>
      </w:tr>
      <w:tr>
        <w:trPr>
          <w:trHeight w:val="149"/>
        </w:trPr>
        <w:tc>
          <w:tcPr>
            <w:tcW w:w="222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580" w:type="dxa"/>
            <w:vAlign w:val="bottom"/>
          </w:tcPr>
          <w:p>
            <w:pPr>
              <w:spacing w:after="0"/>
              <w:rPr>
                <w:sz w:val="12"/>
                <w:szCs w:val="12"/>
                <w:color w:val="auto"/>
              </w:rPr>
            </w:pPr>
          </w:p>
        </w:tc>
        <w:tc>
          <w:tcPr>
            <w:tcW w:w="268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220" w:type="dxa"/>
            <w:vAlign w:val="bottom"/>
          </w:tcPr>
          <w:p>
            <w:pPr>
              <w:jc w:val="center"/>
              <w:ind w:left="328"/>
              <w:spacing w:after="0"/>
              <w:rPr>
                <w:sz w:val="20"/>
                <w:szCs w:val="20"/>
                <w:color w:val="auto"/>
              </w:rPr>
            </w:pPr>
            <w:r>
              <w:rPr>
                <w:rFonts w:ascii="Arial" w:cs="Arial" w:eastAsia="Arial" w:hAnsi="Arial"/>
                <w:sz w:val="14"/>
                <w:szCs w:val="14"/>
                <w:color w:val="auto"/>
                <w:w w:val="95"/>
              </w:rPr>
              <w:t>Incorporation or Organization)</w:t>
            </w:r>
          </w:p>
        </w:tc>
        <w:tc>
          <w:tcPr>
            <w:tcW w:w="3580" w:type="dxa"/>
            <w:vAlign w:val="bottom"/>
          </w:tcPr>
          <w:p>
            <w:pPr>
              <w:spacing w:after="0"/>
              <w:rPr>
                <w:sz w:val="15"/>
                <w:szCs w:val="15"/>
                <w:color w:val="auto"/>
              </w:rPr>
            </w:pPr>
          </w:p>
        </w:tc>
        <w:tc>
          <w:tcPr>
            <w:tcW w:w="2680" w:type="dxa"/>
            <w:vAlign w:val="bottom"/>
          </w:tcPr>
          <w:p>
            <w:pPr>
              <w:jc w:val="center"/>
              <w:ind w:right="7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65"/>
        </w:trPr>
        <w:tc>
          <w:tcPr>
            <w:tcW w:w="222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110 West 44th Street</w:t>
            </w:r>
          </w:p>
        </w:tc>
        <w:tc>
          <w:tcPr>
            <w:tcW w:w="3580" w:type="dxa"/>
            <w:vAlign w:val="bottom"/>
          </w:tcPr>
          <w:p>
            <w:pPr>
              <w:spacing w:after="0"/>
              <w:rPr>
                <w:sz w:val="14"/>
                <w:szCs w:val="14"/>
                <w:color w:val="auto"/>
              </w:rPr>
            </w:pPr>
          </w:p>
        </w:tc>
        <w:tc>
          <w:tcPr>
            <w:tcW w:w="2680" w:type="dxa"/>
            <w:vAlign w:val="bottom"/>
            <w:vMerge w:val="restart"/>
          </w:tcPr>
          <w:p>
            <w:pPr>
              <w:jc w:val="right"/>
              <w:ind w:right="1508"/>
              <w:spacing w:after="0"/>
              <w:rPr>
                <w:sz w:val="20"/>
                <w:szCs w:val="20"/>
                <w:color w:val="auto"/>
              </w:rPr>
            </w:pPr>
            <w:r>
              <w:rPr>
                <w:rFonts w:ascii="Arial" w:cs="Arial" w:eastAsia="Arial" w:hAnsi="Arial"/>
                <w:sz w:val="14"/>
                <w:szCs w:val="14"/>
                <w:b w:val="1"/>
                <w:bCs w:val="1"/>
                <w:color w:val="auto"/>
              </w:rPr>
              <w:t>10036</w:t>
            </w:r>
          </w:p>
        </w:tc>
        <w:tc>
          <w:tcPr>
            <w:tcW w:w="0" w:type="dxa"/>
            <w:vAlign w:val="bottom"/>
          </w:tcPr>
          <w:p>
            <w:pPr>
              <w:spacing w:after="0"/>
              <w:rPr>
                <w:sz w:val="1"/>
                <w:szCs w:val="1"/>
                <w:color w:val="auto"/>
              </w:rPr>
            </w:pPr>
          </w:p>
        </w:tc>
      </w:tr>
      <w:tr>
        <w:trPr>
          <w:trHeight w:val="153"/>
        </w:trPr>
        <w:tc>
          <w:tcPr>
            <w:tcW w:w="222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New York, New York</w:t>
            </w:r>
          </w:p>
        </w:tc>
        <w:tc>
          <w:tcPr>
            <w:tcW w:w="358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0" w:type="dxa"/>
            <w:vAlign w:val="bottom"/>
            <w:gridSpan w:val="2"/>
          </w:tcPr>
          <w:p>
            <w:pPr>
              <w:jc w:val="center"/>
              <w:ind w:right="3128"/>
              <w:spacing w:after="0"/>
              <w:rPr>
                <w:sz w:val="20"/>
                <w:szCs w:val="20"/>
                <w:color w:val="auto"/>
              </w:rPr>
            </w:pPr>
            <w:r>
              <w:rPr>
                <w:rFonts w:ascii="Arial" w:cs="Arial" w:eastAsia="Arial" w:hAnsi="Arial"/>
                <w:sz w:val="14"/>
                <w:szCs w:val="14"/>
                <w:color w:val="auto"/>
                <w:w w:val="95"/>
              </w:rPr>
              <w:t>(Address of principal executive offices)</w:t>
            </w:r>
          </w:p>
        </w:tc>
        <w:tc>
          <w:tcPr>
            <w:tcW w:w="2680" w:type="dxa"/>
            <w:vAlign w:val="bottom"/>
          </w:tcPr>
          <w:p>
            <w:pPr>
              <w:jc w:val="center"/>
              <w:ind w:right="74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486"/>
        </w:trPr>
        <w:tc>
          <w:tcPr>
            <w:tcW w:w="8480" w:type="dxa"/>
            <w:vAlign w:val="bottom"/>
            <w:gridSpan w:val="3"/>
          </w:tcPr>
          <w:p>
            <w:pPr>
              <w:jc w:val="center"/>
              <w:ind w:right="368"/>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4"/>
                <w:szCs w:val="14"/>
                <w:b w:val="1"/>
                <w:bCs w:val="1"/>
                <w:color w:val="auto"/>
                <w:w w:val="93"/>
              </w:rPr>
              <w:t>(646) 536-2842</w:t>
            </w:r>
          </w:p>
        </w:tc>
        <w:tc>
          <w:tcPr>
            <w:tcW w:w="0" w:type="dxa"/>
            <w:vAlign w:val="bottom"/>
          </w:tcPr>
          <w:p>
            <w:pPr>
              <w:spacing w:after="0"/>
              <w:rPr>
                <w:sz w:val="1"/>
                <w:szCs w:val="1"/>
                <w:color w:val="auto"/>
              </w:rPr>
            </w:pPr>
          </w:p>
        </w:tc>
      </w:tr>
      <w:tr>
        <w:trPr>
          <w:trHeight w:val="459"/>
        </w:trPr>
        <w:tc>
          <w:tcPr>
            <w:tcW w:w="2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tcPr>
          <w:p>
            <w:pPr>
              <w:jc w:val="center"/>
              <w:ind w:right="388"/>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3"/>
        </w:trPr>
        <w:tc>
          <w:tcPr>
            <w:tcW w:w="2220" w:type="dxa"/>
            <w:vAlign w:val="bottom"/>
          </w:tcPr>
          <w:p>
            <w:pPr>
              <w:jc w:val="center"/>
              <w:ind w:right="368"/>
              <w:spacing w:after="0"/>
              <w:rPr>
                <w:sz w:val="20"/>
                <w:szCs w:val="20"/>
                <w:color w:val="auto"/>
              </w:rPr>
            </w:pPr>
            <w:r>
              <w:rPr>
                <w:rFonts w:ascii="Arial" w:cs="Arial" w:eastAsia="Arial" w:hAnsi="Arial"/>
                <w:sz w:val="14"/>
                <w:szCs w:val="14"/>
                <w:color w:val="auto"/>
                <w:w w:val="92"/>
              </w:rPr>
              <w:t>Common Stock, $.01 par value</w:t>
            </w: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TTWO</w:t>
            </w:r>
          </w:p>
        </w:tc>
        <w:tc>
          <w:tcPr>
            <w:tcW w:w="268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bl>
    <w:p>
      <w:pPr>
        <w:spacing w:after="0" w:line="2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48" w:lineRule="exact"/>
        <w:rPr>
          <w:sz w:val="24"/>
          <w:szCs w:val="24"/>
          <w:color w:val="auto"/>
        </w:rPr>
      </w:pPr>
    </w:p>
    <w:p>
      <w:pPr>
        <w:spacing w:after="0" w:line="161" w:lineRule="exact"/>
        <w:tabs>
          <w:tab w:leader="none" w:pos="68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71" w:lineRule="exact"/>
        <w:rPr>
          <w:sz w:val="24"/>
          <w:szCs w:val="24"/>
          <w:color w:val="auto"/>
        </w:rPr>
      </w:pPr>
    </w:p>
    <w:p>
      <w:pPr>
        <w:spacing w:after="0" w:line="161" w:lineRule="exact"/>
        <w:tabs>
          <w:tab w:leader="none" w:pos="70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2"/>
          <w:szCs w:val="12"/>
          <w:color w:val="auto"/>
        </w:rPr>
        <w:t xml:space="preserve">Yes o No </w:t>
      </w:r>
      <w:r>
        <w:rPr>
          <w:rFonts w:ascii="MS PGothic" w:cs="MS PGothic" w:eastAsia="MS PGothic" w:hAnsi="MS PGothic"/>
          <w:sz w:val="12"/>
          <w:szCs w:val="12"/>
          <w:color w:val="auto"/>
        </w:rPr>
        <w:t>☒</w:t>
      </w:r>
    </w:p>
    <w:p>
      <w:pPr>
        <w:spacing w:after="0" w:line="29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1" w:lineRule="exact"/>
        <w:rPr>
          <w:sz w:val="24"/>
          <w:szCs w:val="24"/>
          <w:color w:val="auto"/>
        </w:rPr>
      </w:pPr>
    </w:p>
    <w:p>
      <w:pPr>
        <w:ind w:left="180"/>
        <w:spacing w:after="0" w:line="161" w:lineRule="exact"/>
        <w:tabs>
          <w:tab w:leader="none" w:pos="2200" w:val="left"/>
          <w:tab w:leader="none" w:pos="4660" w:val="left"/>
          <w:tab w:leader="none" w:pos="7180" w:val="left"/>
          <w:tab w:leader="none" w:pos="93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217"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3" w:lineRule="exact"/>
        <w:rPr>
          <w:sz w:val="24"/>
          <w:szCs w:val="24"/>
          <w:color w:val="auto"/>
        </w:rPr>
      </w:pPr>
    </w:p>
    <w:p>
      <w:pPr>
        <w:spacing w:after="0" w:line="161"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o No </w:t>
      </w:r>
      <w:r>
        <w:rPr>
          <w:rFonts w:ascii="MS PGothic" w:cs="MS PGothic" w:eastAsia="MS PGothic" w:hAnsi="MS PGothic"/>
          <w:sz w:val="12"/>
          <w:szCs w:val="12"/>
          <w:color w:val="auto"/>
        </w:rPr>
        <w:t>☒</w:t>
      </w:r>
    </w:p>
    <w:p>
      <w:pPr>
        <w:spacing w:after="0" w:line="299"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$15,537,179,720.</w:t>
      </w:r>
    </w:p>
    <w:p>
      <w:pPr>
        <w:spacing w:after="0" w:line="228" w:lineRule="exact"/>
        <w:rPr>
          <w:sz w:val="24"/>
          <w:szCs w:val="24"/>
          <w:color w:val="auto"/>
        </w:rPr>
      </w:pPr>
    </w:p>
    <w:p>
      <w:pPr>
        <w:jc w:val="right"/>
        <w:ind w:right="4500"/>
        <w:spacing w:after="0" w:line="351" w:lineRule="auto"/>
        <w:rPr>
          <w:sz w:val="20"/>
          <w:szCs w:val="20"/>
          <w:color w:val="auto"/>
        </w:rPr>
      </w:pPr>
      <w:r>
        <w:rPr>
          <w:rFonts w:ascii="Arial" w:cs="Arial" w:eastAsia="Arial" w:hAnsi="Arial"/>
          <w:sz w:val="14"/>
          <w:szCs w:val="14"/>
          <w:color w:val="auto"/>
        </w:rPr>
        <w:t xml:space="preserve">As of May 2, 2019, there were 112,541,501 shares of the Registrant's Common Stock outstanding, net of treasury stock. </w:t>
      </w:r>
      <w:r>
        <w:rPr>
          <w:rFonts w:ascii="Arial" w:cs="Arial" w:eastAsia="Arial" w:hAnsi="Arial"/>
          <w:sz w:val="14"/>
          <w:szCs w:val="14"/>
          <w:b w:val="1"/>
          <w:bCs w:val="1"/>
          <w:color w:val="auto"/>
        </w:rPr>
        <w:t>Documents Incorporated by Reference:</w:t>
      </w:r>
    </w:p>
    <w:p>
      <w:pPr>
        <w:jc w:val="center"/>
        <w:spacing w:after="0"/>
        <w:rPr>
          <w:sz w:val="20"/>
          <w:szCs w:val="20"/>
          <w:color w:val="auto"/>
        </w:rPr>
      </w:pPr>
      <w:r>
        <w:rPr>
          <w:rFonts w:ascii="Arial" w:cs="Arial" w:eastAsia="Arial" w:hAnsi="Arial"/>
          <w:sz w:val="14"/>
          <w:szCs w:val="14"/>
          <w:color w:val="auto"/>
        </w:rPr>
        <w:t>Portions of the registrant's definitive proxy statement for the 2019 Annual Meeting of Stockholders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167640</wp:posOffset>
            </wp:positionV>
            <wp:extent cx="6646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6545" cy="1714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11"/>
          </w:tcPr>
          <w:p>
            <w:pPr>
              <w:jc w:val="center"/>
              <w:ind w:right="486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40" w:type="dxa"/>
            <w:vAlign w:val="bottom"/>
            <w:gridSpan w:val="11"/>
          </w:tcPr>
          <w:p>
            <w:pPr>
              <w:jc w:val="center"/>
              <w:ind w:right="486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r>
              <w:rPr>
                <w:rFonts w:ascii="Arial" w:cs="Arial" w:eastAsia="Arial" w:hAnsi="Arial"/>
                <w:sz w:val="18"/>
                <w:szCs w:val="18"/>
                <w:color w:val="000000"/>
              </w:rPr>
              <w:t>.</w:t>
            </w:r>
          </w:p>
        </w:tc>
        <w:tc>
          <w:tcPr>
            <w:tcW w:w="42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8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9">
              <w:r>
                <w:rPr>
                  <w:rFonts w:ascii="Arial" w:cs="Arial" w:eastAsia="Arial" w:hAnsi="Arial"/>
                  <w:sz w:val="18"/>
                  <w:szCs w:val="18"/>
                  <w:color w:val="0000EE"/>
                  <w:w w:val="80"/>
                </w:rPr>
                <w:t>Item 1A.</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23">
              <w:r>
                <w:rPr>
                  <w:rFonts w:ascii="Arial" w:cs="Arial" w:eastAsia="Arial" w:hAnsi="Arial"/>
                  <w:sz w:val="18"/>
                  <w:szCs w:val="18"/>
                  <w:color w:val="0000EE"/>
                  <w:w w:val="80"/>
                </w:rPr>
                <w:t>Item 1B.</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Item 2.</w:t>
              </w:r>
            </w:hyperlink>
          </w:p>
        </w:tc>
        <w:tc>
          <w:tcPr>
            <w:tcW w:w="56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640" w:type="dxa"/>
            <w:vAlign w:val="bottom"/>
            <w:gridSpan w:val="1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968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9680" w:type="dxa"/>
            <w:vAlign w:val="bottom"/>
            <w:gridSpan w:val="2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gridSpan w:val="12"/>
          </w:tcPr>
          <w:p>
            <w:pPr>
              <w:jc w:val="center"/>
              <w:ind w:right="4820"/>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968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9680" w:type="dxa"/>
            <w:vAlign w:val="bottom"/>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w:t>
              </w:r>
            </w:hyperlink>
          </w:p>
        </w:tc>
        <w:tc>
          <w:tcPr>
            <w:tcW w:w="968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44">
              <w:r>
                <w:rPr>
                  <w:rFonts w:ascii="Arial" w:cs="Arial" w:eastAsia="Arial" w:hAnsi="Arial"/>
                  <w:sz w:val="18"/>
                  <w:szCs w:val="18"/>
                  <w:color w:val="0000EE"/>
                  <w:w w:val="80"/>
                </w:rPr>
                <w:t>Item 7A.</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8.</w:t>
              </w:r>
            </w:hyperlink>
          </w:p>
        </w:tc>
        <w:tc>
          <w:tcPr>
            <w:tcW w:w="560" w:type="dxa"/>
            <w:vAlign w:val="bottom"/>
          </w:tcPr>
          <w:p>
            <w:pPr>
              <w:spacing w:after="0"/>
              <w:rPr>
                <w:sz w:val="21"/>
                <w:szCs w:val="21"/>
                <w:color w:val="auto"/>
              </w:rPr>
            </w:pPr>
          </w:p>
        </w:tc>
        <w:tc>
          <w:tcPr>
            <w:tcW w:w="43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532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9.</w:t>
              </w:r>
            </w:hyperlink>
          </w:p>
        </w:tc>
        <w:tc>
          <w:tcPr>
            <w:tcW w:w="9680" w:type="dxa"/>
            <w:vAlign w:val="bottom"/>
            <w:gridSpan w:val="2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45">
              <w:r>
                <w:rPr>
                  <w:rFonts w:ascii="Arial" w:cs="Arial" w:eastAsia="Arial" w:hAnsi="Arial"/>
                  <w:sz w:val="18"/>
                  <w:szCs w:val="18"/>
                  <w:color w:val="0000EE"/>
                  <w:w w:val="80"/>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7900" w:type="dxa"/>
            <w:vAlign w:val="bottom"/>
            <w:gridSpan w:val="2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0"/>
              </w:rPr>
            </w:pPr>
            <w:hyperlink w:anchor="page46">
              <w:r>
                <w:rPr>
                  <w:rFonts w:ascii="Arial" w:cs="Arial" w:eastAsia="Arial" w:hAnsi="Arial"/>
                  <w:sz w:val="18"/>
                  <w:szCs w:val="18"/>
                  <w:color w:val="0000EE"/>
                  <w:w w:val="80"/>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900" w:type="dxa"/>
            <w:vAlign w:val="bottom"/>
            <w:gridSpan w:val="2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80" w:type="dxa"/>
            <w:vAlign w:val="bottom"/>
            <w:gridSpan w:val="14"/>
          </w:tcPr>
          <w:p>
            <w:pPr>
              <w:jc w:val="center"/>
              <w:ind w:right="470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7">
              <w:r>
                <w:rPr>
                  <w:rFonts w:ascii="Arial" w:cs="Arial" w:eastAsia="Arial" w:hAnsi="Arial"/>
                  <w:sz w:val="18"/>
                  <w:szCs w:val="18"/>
                  <w:color w:val="0000EE"/>
                  <w:w w:val="82"/>
                </w:rPr>
                <w:t>Item 10.</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Directors, Executive Officers and Corporate Governance</w:t>
              </w:r>
            </w:hyperlink>
          </w:p>
        </w:tc>
        <w:tc>
          <w:tcPr>
            <w:tcW w:w="80" w:type="dxa"/>
            <w:vAlign w:val="bottom"/>
          </w:tcPr>
          <w:p>
            <w:pPr>
              <w:spacing w:after="0"/>
              <w:rPr>
                <w:sz w:val="21"/>
                <w:szCs w:val="21"/>
                <w:color w:val="auto"/>
              </w:rPr>
            </w:pPr>
          </w:p>
        </w:tc>
        <w:tc>
          <w:tcPr>
            <w:tcW w:w="740" w:type="dxa"/>
            <w:vAlign w:val="bottom"/>
            <w:tcBorders>
              <w:top w:val="single" w:sz="8" w:color="0000EE"/>
            </w:tcBorders>
            <w:gridSpan w:val="7"/>
          </w:tcPr>
          <w:p>
            <w:pPr>
              <w:spacing w:after="0"/>
              <w:rPr>
                <w:sz w:val="21"/>
                <w:szCs w:val="21"/>
                <w:color w:val="auto"/>
              </w:rPr>
            </w:pPr>
          </w:p>
        </w:tc>
        <w:tc>
          <w:tcPr>
            <w:tcW w:w="476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7">
              <w:r>
                <w:rPr>
                  <w:rFonts w:ascii="Arial" w:cs="Arial" w:eastAsia="Arial" w:hAnsi="Arial"/>
                  <w:sz w:val="18"/>
                  <w:szCs w:val="18"/>
                  <w:color w:val="0000EE"/>
                  <w:w w:val="82"/>
                </w:rPr>
                <w:t>Item 11.</w:t>
              </w:r>
            </w:hyperlink>
          </w:p>
        </w:tc>
        <w:tc>
          <w:tcPr>
            <w:tcW w:w="560" w:type="dxa"/>
            <w:vAlign w:val="bottom"/>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558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7">
              <w:r>
                <w:rPr>
                  <w:rFonts w:ascii="Arial" w:cs="Arial" w:eastAsia="Arial" w:hAnsi="Arial"/>
                  <w:sz w:val="18"/>
                  <w:szCs w:val="18"/>
                  <w:color w:val="0000EE"/>
                  <w:w w:val="82"/>
                </w:rPr>
                <w:t>Item 12.</w:t>
              </w:r>
            </w:hyperlink>
          </w:p>
        </w:tc>
        <w:tc>
          <w:tcPr>
            <w:tcW w:w="560" w:type="dxa"/>
            <w:vAlign w:val="bottom"/>
          </w:tcPr>
          <w:p>
            <w:pPr>
              <w:spacing w:after="0"/>
              <w:rPr>
                <w:sz w:val="21"/>
                <w:szCs w:val="21"/>
                <w:color w:val="auto"/>
              </w:rPr>
            </w:pPr>
          </w:p>
        </w:tc>
        <w:tc>
          <w:tcPr>
            <w:tcW w:w="7300" w:type="dxa"/>
            <w:vAlign w:val="bottom"/>
            <w:gridSpan w:val="26"/>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7">
              <w:r>
                <w:rPr>
                  <w:rFonts w:ascii="Arial" w:cs="Arial" w:eastAsia="Arial" w:hAnsi="Arial"/>
                  <w:sz w:val="18"/>
                  <w:szCs w:val="18"/>
                  <w:color w:val="0000EE"/>
                  <w:w w:val="82"/>
                </w:rPr>
                <w:t>Item 13.</w:t>
              </w:r>
            </w:hyperlink>
          </w:p>
        </w:tc>
        <w:tc>
          <w:tcPr>
            <w:tcW w:w="56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7">
              <w:r>
                <w:rPr>
                  <w:rFonts w:ascii="Arial" w:cs="Arial" w:eastAsia="Arial" w:hAnsi="Arial"/>
                  <w:sz w:val="18"/>
                  <w:szCs w:val="18"/>
                  <w:color w:val="0000EE"/>
                  <w:w w:val="82"/>
                </w:rPr>
                <w:t>Item 14.</w:t>
              </w:r>
            </w:hyperlink>
          </w:p>
        </w:tc>
        <w:tc>
          <w:tcPr>
            <w:tcW w:w="56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0"/>
        </w:trPr>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PART IV</w:t>
              </w:r>
            </w:hyperlink>
          </w:p>
        </w:tc>
        <w:tc>
          <w:tcPr>
            <w:tcW w:w="4780" w:type="dxa"/>
            <w:vAlign w:val="bottom"/>
            <w:gridSpan w:val="7"/>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48">
              <w:r>
                <w:rPr>
                  <w:rFonts w:ascii="Arial" w:cs="Arial" w:eastAsia="Arial" w:hAnsi="Arial"/>
                  <w:sz w:val="18"/>
                  <w:szCs w:val="18"/>
                  <w:color w:val="0000EE"/>
                  <w:w w:val="82"/>
                </w:rPr>
                <w:t>Item 15.</w:t>
              </w:r>
            </w:hyperlink>
          </w:p>
        </w:tc>
        <w:tc>
          <w:tcPr>
            <w:tcW w:w="560" w:type="dxa"/>
            <w:vAlign w:val="bottom"/>
          </w:tcPr>
          <w:p>
            <w:pPr>
              <w:spacing w:after="0"/>
              <w:rPr>
                <w:sz w:val="21"/>
                <w:szCs w:val="21"/>
                <w:color w:val="auto"/>
              </w:rPr>
            </w:pPr>
          </w:p>
        </w:tc>
        <w:tc>
          <w:tcPr>
            <w:tcW w:w="9680" w:type="dxa"/>
            <w:vAlign w:val="bottom"/>
            <w:gridSpan w:val="2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 Financial Statement Schedules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78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Item 16.</w:t>
              </w:r>
            </w:hyperlink>
          </w:p>
        </w:tc>
        <w:tc>
          <w:tcPr>
            <w:tcW w:w="56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Form 10-K Summary</w:t>
              </w:r>
            </w:hyperlink>
          </w:p>
        </w:tc>
        <w:tc>
          <w:tcPr>
            <w:tcW w:w="1340" w:type="dxa"/>
            <w:vAlign w:val="bottom"/>
            <w:gridSpan w:val="7"/>
          </w:tcPr>
          <w:p>
            <w:pPr>
              <w:spacing w:after="0"/>
              <w:rPr>
                <w:sz w:val="21"/>
                <w:szCs w:val="21"/>
                <w:color w:val="auto"/>
              </w:rPr>
            </w:pPr>
          </w:p>
        </w:tc>
        <w:tc>
          <w:tcPr>
            <w:tcW w:w="67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80" w:type="dxa"/>
            <w:vAlign w:val="bottom"/>
            <w:gridSpan w:val="2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Index to 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4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7540" w:type="dxa"/>
            <w:vAlign w:val="bottom"/>
            <w:gridSpan w:val="1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71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2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Take-Two Interactive Software, Inc.'s ("Take-Two," the "Company," "we," "us," or similar pronouns)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but not limited to, those discussed under the heading "Risk Factors" included in Part I, Item 1A herein.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leading developer, publisher and marketer of interactive entertainment for consumers around the globe. We develop and publish products principally through our two wholly-owned labels Rockstar Games and 2K, as well as our Private Division label and Social Point, a leading developer of mobile games. Our products are currently designed for console gaming systems such as the Sony Computer Entertainment, Inc. ("Sony") PlayStation®4 ("PS4"), Microsoft Corporation ("Microsoft") Xbox One® ("Xbox One"), the Nintendo Switch, and personal computers ("PC"), including smartphones and tablets. We deliver our products through physical retail, digital download, online platforms, and cloud streaming services.</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were incorporated under the laws of the State of Delaware in 1993 and are headquartered in New York, New York with approximately 4,894 employees globally. Our website address is www.take2games.com. We make all of our filings with the Securities and Exchange Commission ("SEC") available free of charge on our website under the caption "Corporate—SEC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website and the information contained therein or connected thereto are not intended to be incorporated into this Annual Report on Form 10-K.</w:t>
      </w:r>
    </w:p>
    <w:p>
      <w:pPr>
        <w:spacing w:after="0" w:line="3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SEC maintains a website that contains annual, quarterly and current reports, proxy and information statements and other information that issuers (including the Company) file electronically with the SEC. The SEC's website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color w:val="auto"/>
        </w:rPr>
        <w:t>We endeavor to be the most creative, innovative and efficient company in our industry. Our core strategy is to capitalize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Support World-Class Creative Teams. </w:t>
      </w:r>
      <w:r>
        <w:rPr>
          <w:rFonts w:ascii="Arial" w:cs="Arial" w:eastAsia="Arial" w:hAnsi="Arial"/>
          <w:sz w:val="16"/>
          <w:szCs w:val="16"/>
          <w:color w:val="auto"/>
        </w:rPr>
        <w:t>Creativity and innovation remain the core tenets of our organization, and are the lifeblood of our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 We have 3,784 employees working in game development in studios around the world - including some of the most well-known names in the business. The creative teams at our labels, Rockstar Games and 2K, are renowned for their consistent ability to deliver games that set new benchmarks for excellence. In addition, our Social Point studio further enhances our development capabilities with a track record of producing multiple hits in the free-to-play mobile sector. Whether expanding our portfolio of franchises, launching new intellectual property, or providing innovative ways for audiences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15" w:right="2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to remain captivated and engaged, we prioritize producing the highest quality entertainment experiences. We support our teams by focusing on talent retention and acquisition, and our label structure enables us to target distinct market segments and opportunities.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Focus on Core Strength of Producing Select, High Quality Titles. </w:t>
      </w:r>
      <w:r>
        <w:rPr>
          <w:rFonts w:ascii="Arial" w:cs="Arial" w:eastAsia="Arial" w:hAnsi="Arial"/>
          <w:sz w:val="18"/>
          <w:szCs w:val="18"/>
          <w:color w:val="auto"/>
        </w:rPr>
        <w:t>We focus on publishing a select number of high-quality titles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internally-owned and developed intellectual properties. We currently own the intellectual property rights to 26 proprietary brands. In addition, we will selectively develop titles based on licensed properties, including sports, and also publish externally developed titles.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use a product investment review process to evaluate potential titles for investment, to review existing titles in development, and to assess titles after release to measure their performance in the market and the return on our investment. We apply this process to all of our products, whether internally or externally developed. The product investment review process includes reviews of each project at various stages of development by our executive management team and the senior management of our publishing labels, and includes coordination between our sales and marketing personnel before the launch of titles. This disciplined approach to product investment is expected to enhance the competitiveness and profitability of our titles.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develop our products using a combination of our internal development teams and external development resources acting under contract with us. We typically select external developers based on their track record and expertise in developing products in the same category or genre. One developer will generally produce the same game for multiple platforms and will also produce sequels to the original game. We believe that selecting and using development resources in this manner allows us to leverage the particular expertise of our internal and external development resources, which we believe increases the quality of our products.</w:t>
      </w:r>
    </w:p>
    <w:p>
      <w:pPr>
        <w:spacing w:after="0" w:line="2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Leverage Emerging Technologies, Platforms, and Distribution Channels, Including Digitally Delivered Content. </w:t>
      </w:r>
      <w:r>
        <w:rPr>
          <w:rFonts w:ascii="Arial" w:cs="Arial" w:eastAsia="Arial" w:hAnsi="Arial"/>
          <w:sz w:val="16"/>
          <w:szCs w:val="16"/>
          <w:color w:val="auto"/>
        </w:rPr>
        <w:t>Interactive entertainment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played online and on mobile platforms, including tablets and smartphones, represents exciting opportunities to enhance our growth and profitability. In addition, the interactive entertainment software industry is delivering a growing amount of content for traditional platforms through digital download. We provide a variety of digitally delivered products and offerings, which typically have a higher gross margin than physically delivered products. Virtually all of our titles that are available through retailers as packaged goods products are also available through direct digital download (from websites we own and third-party websites).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We will continue to invest in emerging opportunities in mobile and online gameplay, particularly for our wholly-owned franchises, as well as downloadable content and microtransactions that enable gamers to pay to download additional content to enhance their game playing experience.</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Expand International Business. </w:t>
      </w:r>
      <w:r>
        <w:rPr>
          <w:rFonts w:ascii="Arial" w:cs="Arial" w:eastAsia="Arial" w:hAnsi="Arial"/>
          <w:sz w:val="17"/>
          <w:szCs w:val="17"/>
          <w:color w:val="auto"/>
        </w:rPr>
        <w:t>The global market for interactive entertainment continues to grow and we seek to increase our presence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internationally, particularly in Asia, Eastern Europe and Latin America. We are continuing to execute on our growth initiatives in Asia, where our strategy is to broaden the distribution of our existing products and expand our online gaming presence, especially in China and South Korea. We are a direct publisher in Japan and South Korea. While we retain title to all intellectual property, under license agreements local publishers are responsible for localization of software content, distribution, and marketing of the products in their respective local markets. We intend to continue to build upon our licensing relationships and also continue to expand on finished goods distribution strategies to grow our international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the United Kingdom, and the United States. As of March 31, 2019, we had a research and development staff of 3,784 employees with the technical capabilities to develop software titles for all major consoles, PCs, and mobile platforms in multiple languages and territories.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Agreements with third-party developers generally give us exclusive publishing and marketing rights and require us to make development payments, pay royalties based on product sales, and to satisfy other conditions. Development payments for software titles are typically recoupable against royalties otherwise due to developers based on software sales. Our agreements with third-party developers generally provide us with the right to monitor development efforts and to cease making development payments if specified development milestones are not satisfied. We also regularly monitor the level of development payments in light of the expected sales for the related titles.</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continue to engage in evolving business models such as online gaming, virtual currency, add-on content, and in-game purchases, and we expect to continue to generate incremental revenue opportunities from these opportunities.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9" w:right="239" w:bottom="1440" w:gutter="0" w:footer="0" w:header="0"/>
        </w:sectPr>
      </w:pPr>
    </w:p>
    <w:bookmarkStart w:id="4" w:name="page5"/>
    <w:bookmarkEnd w:id="4"/>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Rockstar Games. </w:t>
      </w:r>
      <w:r>
        <w:rPr>
          <w:rFonts w:ascii="Arial" w:cs="Arial" w:eastAsia="Arial" w:hAnsi="Arial"/>
          <w:sz w:val="16"/>
          <w:szCs w:val="16"/>
          <w:color w:val="auto"/>
        </w:rPr>
        <w:t>Software titles published by our Rockstar Games label are primarily internally developed. We expect Rockstar Games,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 / adventure product category and to create groundbreaking entertainment by leveraging our existing titles as well as by developing new brands. We believe that Rockstar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290 million units. The latest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has sold-in over 105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On October 26, 2018, Rockstar Games launched </w:t>
      </w:r>
      <w:r>
        <w:rPr>
          <w:rFonts w:ascii="Arial" w:cs="Arial" w:eastAsia="Arial" w:hAnsi="Arial"/>
          <w:sz w:val="16"/>
          <w:szCs w:val="16"/>
          <w:i w:val="1"/>
          <w:iCs w:val="1"/>
          <w:color w:val="auto"/>
        </w:rPr>
        <w:t>Red Dead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2, </w:t>
      </w:r>
      <w:r>
        <w:rPr>
          <w:rFonts w:ascii="Arial" w:cs="Arial" w:eastAsia="Arial" w:hAnsi="Arial"/>
          <w:sz w:val="16"/>
          <w:szCs w:val="16"/>
          <w:color w:val="auto"/>
        </w:rPr>
        <w:t>which has been a critical and commercial success that set numerous entertainment industry records. Rockstar Games is also well known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content, and virtual currency, and releasing titles for smartphones and tablets.</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2K. </w:t>
      </w:r>
      <w:r>
        <w:rPr>
          <w:rFonts w:ascii="Arial" w:cs="Arial" w:eastAsia="Arial" w:hAnsi="Arial"/>
          <w:sz w:val="17"/>
          <w:szCs w:val="17"/>
          <w:color w:val="auto"/>
        </w:rPr>
        <w:t>Our 2K label has published a variety of popular entertainment properties across all key platforms and across a range of genres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XCOM </w:t>
      </w:r>
      <w:r>
        <w:rPr>
          <w:rFonts w:ascii="Arial" w:cs="Arial" w:eastAsia="Arial" w:hAnsi="Arial"/>
          <w:sz w:val="17"/>
          <w:szCs w:val="17"/>
          <w:color w:val="auto"/>
        </w:rPr>
        <w:t>series. 2K also publishes externally developed franchises such as</w:t>
      </w:r>
      <w:r>
        <w:rPr>
          <w:rFonts w:ascii="Arial" w:cs="Arial" w:eastAsia="Arial" w:hAnsi="Arial"/>
          <w:sz w:val="17"/>
          <w:szCs w:val="17"/>
          <w:i w:val="1"/>
          <w:iCs w:val="1"/>
          <w:color w:val="auto"/>
        </w:rPr>
        <w:t xml:space="preserve"> Borderlands</w:t>
      </w:r>
      <w:r>
        <w:rPr>
          <w:rFonts w:ascii="Arial" w:cs="Arial" w:eastAsia="Arial" w:hAnsi="Arial"/>
          <w:sz w:val="17"/>
          <w:szCs w:val="17"/>
          <w:color w:val="auto"/>
        </w:rPr>
        <w:t>. 2K's realistic sports simulation titles include our flagship</w:t>
      </w:r>
      <w:r>
        <w:rPr>
          <w:rFonts w:ascii="Arial" w:cs="Arial" w:eastAsia="Arial" w:hAnsi="Arial"/>
          <w:sz w:val="17"/>
          <w:szCs w:val="17"/>
          <w:i w:val="1"/>
          <w:iCs w:val="1"/>
          <w:color w:val="auto"/>
        </w:rPr>
        <w:t xml:space="preserve"> NBA 2K </w:t>
      </w:r>
      <w:r>
        <w:rPr>
          <w:rFonts w:ascii="Arial" w:cs="Arial" w:eastAsia="Arial" w:hAnsi="Arial"/>
          <w:sz w:val="17"/>
          <w:szCs w:val="17"/>
          <w:color w:val="auto"/>
        </w:rPr>
        <w:t xml:space="preserve">series, which continues to be the top-ranked NBA basketball video game,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 and the </w:t>
      </w:r>
      <w:r>
        <w:rPr>
          <w:rFonts w:ascii="Arial" w:cs="Arial" w:eastAsia="Arial" w:hAnsi="Arial"/>
          <w:sz w:val="17"/>
          <w:szCs w:val="17"/>
          <w:i w:val="1"/>
          <w:iCs w:val="1"/>
          <w:color w:val="auto"/>
        </w:rPr>
        <w:t>Golf Club</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Private Division. </w:t>
      </w:r>
      <w:r>
        <w:rPr>
          <w:rFonts w:ascii="Arial" w:cs="Arial" w:eastAsia="Arial" w:hAnsi="Arial"/>
          <w:sz w:val="16"/>
          <w:szCs w:val="16"/>
          <w:color w:val="auto"/>
        </w:rPr>
        <w:t>Our Private Division label is dedicated to bringing titles from top independent developers to market. Private Division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announced that it will publish three upcoming titles based on new IP from renowned industry creative talent, including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and </w:t>
      </w:r>
      <w:r>
        <w:rPr>
          <w:rFonts w:ascii="Arial" w:cs="Arial" w:eastAsia="Arial" w:hAnsi="Arial"/>
          <w:sz w:val="16"/>
          <w:szCs w:val="16"/>
          <w:i w:val="1"/>
          <w:iCs w:val="1"/>
          <w:color w:val="auto"/>
        </w:rPr>
        <w:t>Ancestors: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Humankind Odyssey, </w:t>
      </w:r>
      <w:r>
        <w:rPr>
          <w:rFonts w:ascii="Arial" w:cs="Arial" w:eastAsia="Arial" w:hAnsi="Arial"/>
          <w:sz w:val="16"/>
          <w:szCs w:val="16"/>
          <w:color w:val="auto"/>
        </w:rPr>
        <w:t>both of which are planned for release in calendar 2019. Additionally, Private Division is the publisher of</w:t>
      </w:r>
      <w:r>
        <w:rPr>
          <w:rFonts w:ascii="Arial" w:cs="Arial" w:eastAsia="Arial" w:hAnsi="Arial"/>
          <w:sz w:val="16"/>
          <w:szCs w:val="16"/>
          <w:i w:val="1"/>
          <w:iCs w:val="1"/>
          <w:color w:val="auto"/>
        </w:rPr>
        <w:t xml:space="preserve"> Kerbal Space Program</w:t>
      </w:r>
      <w:r>
        <w:rPr>
          <w:rFonts w:ascii="Arial" w:cs="Arial" w:eastAsia="Arial" w:hAnsi="Arial"/>
          <w:sz w:val="16"/>
          <w:szCs w:val="16"/>
          <w:color w:val="auto"/>
        </w:rPr>
        <w:t>.</w:t>
      </w:r>
    </w:p>
    <w:p>
      <w:pPr>
        <w:spacing w:after="0" w:line="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Social Point. </w:t>
      </w:r>
      <w:r>
        <w:rPr>
          <w:rFonts w:ascii="Arial" w:cs="Arial" w:eastAsia="Arial" w:hAnsi="Arial"/>
          <w:sz w:val="18"/>
          <w:szCs w:val="18"/>
          <w:color w:val="auto"/>
        </w:rPr>
        <w:t>Social Point develops and publishes popular free-to-play mobile games that deliver high quality, deeply-engaging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We are continuing to execute on our growth initiatives in Asia, where our strategy is to broaden the distribution of our existing products and establish an online gaming presence, especially in China and South Korea. 2K has secured a multi-year license from the NBA to develop an online version of our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which was co-developed by 2K and Tencent, is the top online PC sports game in China with over 45 million registered users. On August 2, 2018, 2K and Tencent commercially launched </w:t>
      </w:r>
      <w:r>
        <w:rPr>
          <w:rFonts w:ascii="Arial" w:cs="Arial" w:eastAsia="Arial" w:hAnsi="Arial"/>
          <w:sz w:val="17"/>
          <w:szCs w:val="17"/>
          <w:i w:val="1"/>
          <w:iCs w:val="1"/>
          <w:color w:val="auto"/>
        </w:rPr>
        <w:t xml:space="preserve">NBA 2K Online 2 </w:t>
      </w:r>
      <w:r>
        <w:rPr>
          <w:rFonts w:ascii="Arial" w:cs="Arial" w:eastAsia="Arial" w:hAnsi="Arial"/>
          <w:sz w:val="17"/>
          <w:szCs w:val="17"/>
          <w:color w:val="auto"/>
        </w:rPr>
        <w:t>in China. The title is based on the console edition of</w:t>
      </w:r>
      <w:r>
        <w:rPr>
          <w:rFonts w:ascii="Arial" w:cs="Arial" w:eastAsia="Arial" w:hAnsi="Arial"/>
          <w:sz w:val="17"/>
          <w:szCs w:val="17"/>
          <w:i w:val="1"/>
          <w:iCs w:val="1"/>
          <w:color w:val="auto"/>
        </w:rPr>
        <w:t xml:space="preserve"> NBA 2K </w:t>
      </w:r>
      <w:r>
        <w:rPr>
          <w:rFonts w:ascii="Arial" w:cs="Arial" w:eastAsia="Arial" w:hAnsi="Arial"/>
          <w:sz w:val="17"/>
          <w:szCs w:val="17"/>
          <w:color w:val="auto"/>
        </w:rPr>
        <w:t>and includes an array of new features.</w:t>
      </w:r>
    </w:p>
    <w:p>
      <w:pPr>
        <w:spacing w:after="0" w:line="227" w:lineRule="exact"/>
        <w:rPr>
          <w:sz w:val="20"/>
          <w:szCs w:val="20"/>
          <w:color w:val="auto"/>
        </w:rPr>
      </w:pPr>
    </w:p>
    <w:p>
      <w:pPr>
        <w:jc w:val="both"/>
        <w:ind w:firstLine="210"/>
        <w:spacing w:after="0" w:line="279" w:lineRule="auto"/>
        <w:rPr>
          <w:sz w:val="20"/>
          <w:szCs w:val="20"/>
          <w:color w:val="auto"/>
        </w:rPr>
      </w:pPr>
      <w:r>
        <w:rPr>
          <w:rFonts w:ascii="Arial" w:cs="Arial" w:eastAsia="Arial" w:hAnsi="Arial"/>
          <w:sz w:val="17"/>
          <w:szCs w:val="17"/>
          <w:color w:val="auto"/>
        </w:rPr>
        <w:t>In February 2017, we expanded our relationship with the NBA through the creation of the NBA 2K League. Launched in May 2018, this groundbreaking competitive gaming league is jointly owned by us and the NBA and consists of teams operated by actual NBA franchises. The NBA 2K League follows a professional sports league format: the inaugural season included head-to-head competition throughout a regular season, followed by a bracketed playoff system and a finals match-up that was held in August 2018. The NBA 2K League began its second season on April 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Our business is highly dependent on the creation, acquisition, licensing and protection of intellectual property. The intellectual property rights we have created or acquired for our internally-owned portfolio of brands include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w:t>
      </w:r>
      <w:r>
        <w:rPr>
          <w:rFonts w:ascii="Arial" w:cs="Arial" w:eastAsia="Arial" w:hAnsi="Arial"/>
          <w:sz w:val="16"/>
          <w:szCs w:val="16"/>
          <w:i w:val="1"/>
          <w:iCs w:val="1"/>
          <w:color w:val="auto"/>
        </w:rPr>
        <w:t>Carnival Games</w:t>
      </w:r>
      <w:r>
        <w:rPr>
          <w:rFonts w:ascii="Arial" w:cs="Arial" w:eastAsia="Arial" w:hAnsi="Arial"/>
          <w:sz w:val="16"/>
          <w:szCs w:val="16"/>
          <w:color w:val="auto"/>
        </w:rPr>
        <w:t xml:space="preserve">,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Kerbal</w:t>
      </w:r>
      <w:r>
        <w:rPr>
          <w:rFonts w:ascii="Arial" w:cs="Arial" w:eastAsia="Arial" w:hAnsi="Arial"/>
          <w:sz w:val="16"/>
          <w:szCs w:val="16"/>
          <w:color w:val="auto"/>
        </w:rPr>
        <w:t xml:space="preserve"> </w:t>
      </w:r>
      <w:r>
        <w:rPr>
          <w:rFonts w:ascii="Arial" w:cs="Arial" w:eastAsia="Arial" w:hAnsi="Arial"/>
          <w:sz w:val="16"/>
          <w:szCs w:val="16"/>
          <w:i w:val="1"/>
          <w:iCs w:val="1"/>
          <w:color w:val="auto"/>
        </w:rPr>
        <w:t>Space Program, L.A. Noire</w:t>
      </w:r>
      <w:r>
        <w:rPr>
          <w:rFonts w:ascii="Arial" w:cs="Arial" w:eastAsia="Arial" w:hAnsi="Arial"/>
          <w:sz w:val="16"/>
          <w:szCs w:val="16"/>
          <w:color w:val="auto"/>
        </w:rPr>
        <w:t>,</w:t>
      </w:r>
      <w:r>
        <w:rPr>
          <w:rFonts w:ascii="Arial" w:cs="Arial" w:eastAsia="Arial" w:hAnsi="Arial"/>
          <w:sz w:val="16"/>
          <w:szCs w:val="16"/>
          <w:i w:val="1"/>
          <w:iCs w:val="1"/>
          <w:color w:val="auto"/>
        </w:rPr>
        <w:t xml:space="preserve"> Mafia</w:t>
      </w:r>
      <w:r>
        <w:rPr>
          <w:rFonts w:ascii="Arial" w:cs="Arial" w:eastAsia="Arial" w:hAnsi="Arial"/>
          <w:sz w:val="16"/>
          <w:szCs w:val="16"/>
          <w:color w:val="auto"/>
        </w:rPr>
        <w:t>,</w:t>
      </w:r>
      <w:r>
        <w:rPr>
          <w:rFonts w:ascii="Arial" w:cs="Arial" w:eastAsia="Arial" w:hAnsi="Arial"/>
          <w:sz w:val="16"/>
          <w:szCs w:val="16"/>
          <w:i w:val="1"/>
          <w:iCs w:val="1"/>
          <w:color w:val="auto"/>
        </w:rPr>
        <w:t xml:space="preserve"> Manhunt, Max Payne</w:t>
      </w:r>
      <w:r>
        <w:rPr>
          <w:rFonts w:ascii="Arial" w:cs="Arial" w:eastAsia="Arial" w:hAnsi="Arial"/>
          <w:sz w:val="16"/>
          <w:szCs w:val="16"/>
          <w:color w:val="auto"/>
        </w:rPr>
        <w:t>,</w:t>
      </w:r>
      <w:r>
        <w:rPr>
          <w:rFonts w:ascii="Arial" w:cs="Arial" w:eastAsia="Arial" w:hAnsi="Arial"/>
          <w:sz w:val="16"/>
          <w:szCs w:val="16"/>
          <w:i w:val="1"/>
          <w:iCs w:val="1"/>
          <w:color w:val="auto"/>
        </w:rPr>
        <w:t xml:space="preserve"> Midnight Club</w:t>
      </w:r>
      <w:r>
        <w:rPr>
          <w:rFonts w:ascii="Arial" w:cs="Arial" w:eastAsia="Arial" w:hAnsi="Arial"/>
          <w:sz w:val="16"/>
          <w:szCs w:val="16"/>
          <w:color w:val="auto"/>
        </w:rPr>
        <w:t>,</w:t>
      </w:r>
      <w:r>
        <w:rPr>
          <w:rFonts w:ascii="Arial" w:cs="Arial" w:eastAsia="Arial" w:hAnsi="Arial"/>
          <w:sz w:val="16"/>
          <w:szCs w:val="16"/>
          <w:i w:val="1"/>
          <w:iCs w:val="1"/>
          <w:color w:val="auto"/>
        </w:rPr>
        <w:t xml:space="preserve"> Monster Legends</w:t>
      </w:r>
      <w:r>
        <w:rPr>
          <w:rFonts w:ascii="Arial" w:cs="Arial" w:eastAsia="Arial" w:hAnsi="Arial"/>
          <w:sz w:val="16"/>
          <w:szCs w:val="16"/>
          <w:color w:val="auto"/>
        </w:rPr>
        <w:t>,</w:t>
      </w:r>
      <w:r>
        <w:rPr>
          <w:rFonts w:ascii="Arial" w:cs="Arial" w:eastAsia="Arial" w:hAnsi="Arial"/>
          <w:sz w:val="16"/>
          <w:szCs w:val="16"/>
          <w:i w:val="1"/>
          <w:iCs w:val="1"/>
          <w:color w:val="auto"/>
        </w:rPr>
        <w:t xml:space="preserve"> Red Dead</w:t>
      </w:r>
      <w:r>
        <w:rPr>
          <w:rFonts w:ascii="Arial" w:cs="Arial" w:eastAsia="Arial" w:hAnsi="Arial"/>
          <w:sz w:val="16"/>
          <w:szCs w:val="16"/>
          <w:color w:val="auto"/>
        </w:rPr>
        <w:t>,</w:t>
      </w:r>
      <w:r>
        <w:rPr>
          <w:rFonts w:ascii="Arial" w:cs="Arial" w:eastAsia="Arial" w:hAnsi="Arial"/>
          <w:sz w:val="16"/>
          <w:szCs w:val="16"/>
          <w:i w:val="1"/>
          <w:iCs w:val="1"/>
          <w:color w:val="auto"/>
        </w:rPr>
        <w:t xml:space="preserve"> Sid Meier's Civilization</w:t>
      </w:r>
      <w:r>
        <w:rPr>
          <w:rFonts w:ascii="Arial" w:cs="Arial" w:eastAsia="Arial" w:hAnsi="Arial"/>
          <w:sz w:val="16"/>
          <w:szCs w:val="16"/>
          <w:color w:val="auto"/>
        </w:rPr>
        <w:t>, and</w:t>
      </w:r>
      <w:r>
        <w:rPr>
          <w:rFonts w:ascii="Arial" w:cs="Arial" w:eastAsia="Arial" w:hAnsi="Arial"/>
          <w:sz w:val="16"/>
          <w:szCs w:val="16"/>
          <w:i w:val="1"/>
          <w:iCs w:val="1"/>
          <w:color w:val="auto"/>
        </w:rPr>
        <w:t xml:space="preserve"> XCOM</w:t>
      </w:r>
      <w:r>
        <w:rPr>
          <w:rFonts w:ascii="Arial" w:cs="Arial" w:eastAsia="Arial" w:hAnsi="Arial"/>
          <w:sz w:val="16"/>
          <w:szCs w:val="16"/>
          <w:color w:val="auto"/>
        </w:rPr>
        <w:t>.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ownership facilitates our 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enter into content license agreements, such as those with sports leagues, players associations, music labels and musicians. These licenses are typically limited to use of the licensed rights in products for specific time periods. In addition, we license and include console manufacturer technology in our products on a non-exclusive basis, which allows our games to be played on their respective hardware systems.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Sony and Microsoft either manufacture or control the selection of approved manufacturers of software products sold for use on their respective hardware platforms. We place a purchase order for the manufacture of our products with Sony or Microsoft's approved replicator and then send software code and a prototype of the product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9" w:right="239" w:bottom="1440"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t>Production of PC software is performed by third-party vendors in accordance with our specifications and includes DVD-ROM pressing, assembly of components, printing of packaging and user manuals and shipping of finished goods. We send software code and a prototype of a title, together with related artwork, user instructions, warranty information, brochures and packaging designs to the manufacturers. Games are generally shipped within two weeks of receipt of our manufacturing order.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software titles typically carry a 90-day limited warranty.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Platform Manufacturers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license agreements with Sony and Microsoft to develop and publish software in Asia, Australia, Europe, North America, and certain Latin American, Middle Eastern, and African countries. We are not required to obtain any licenses from hardware manufacturers to develop titles for the PC.</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Sony. </w:t>
      </w:r>
      <w:r>
        <w:rPr>
          <w:rFonts w:ascii="Arial" w:cs="Arial" w:eastAsia="Arial" w:hAnsi="Arial"/>
          <w:sz w:val="18"/>
          <w:szCs w:val="18"/>
          <w:color w:val="auto"/>
        </w:rPr>
        <w:t>Effective March 23, 2017, we entered into a PlayStation Global Developer and Publisher Agreement with Sony Computer Entertainment,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its affiliates, pursuant to which Sony granted us the right and license to develop, publish, have manufactured, market, advertise, distribute and sell PlayStation compatible products for all PlayStation systems, including the PS4. The agreement requires us to submit products to Sony for approval and for us to make royalty payments to Sony based on the number of units manufactured or revenue from downloaded content. In addition, products for PlayStation systems are required to be manufactured by Sony approved manufacturers.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term of the agreement expires on March 31, 2020, with automatic one-year renewal terms thereafter. Sony may terminate the agreement for any or no reason upon thirty days’ notice. The agreement may also be terminated by Sony immediately in the event of a breach by us or our bankruptcy or insolvency. Upon expiration or termination of the agreement, we have certain rights to sell off existing inventories.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Microsoft. </w:t>
      </w:r>
      <w:r>
        <w:rPr>
          <w:rFonts w:ascii="Arial" w:cs="Arial" w:eastAsia="Arial" w:hAnsi="Arial"/>
          <w:sz w:val="18"/>
          <w:szCs w:val="18"/>
          <w:color w:val="auto"/>
        </w:rPr>
        <w:t>Under the terms of the license agreements that we have entered into with Microsoft Corporation and its affiliates, Microsoft granted us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license to develop, publish, have manufactured, market, advertise, distribute and sell Xbox compatible products for the Xbox One and Xbox 360. The agreements require us to submit products to Microsoft for approval and for us to make royalty payments to Microsoft based on the number of units manufactured or revenue from downloaded content. In addition, products for the Xbox One and Xbox 360 are required to be manufactured by Microsoft approved manufacturers.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of the Xbox One license agreement expires on March 31, 2020 and the term of the Xbox 360 license agreement expires on March 31, 2020, each agreement with automatic one-year renewal terms thereafter. The Xbox One and Xbox 360 license agreements may be terminated by Microsoft immediately in the event of a breach by us, and the Xbox One licensee agreement may also be terminated by Microsoft immediately in the event of our bankruptcy or insolvency. Upon expiration or termination of the Xbox One and Xbox 360 license agreements, we have certain rights to sell off existing inventories.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software titles both physically and digitally in the United States, EMEA, Canada, Latin America, and Asia Pacific through direct relationships with large retail customers and third-party distributors. Our top customers include, among others, GameStop Corporation, Microsoft, Sony, Steam, and Wal-Mart. We have sales operations in Australia, Canada, France, Germany, Japan, the Netherlands, New Zealand, Singapore, South Korea, Spain, Taiwan, the United Kingdom, and the United States.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dependent on a limited number of customers that account for a significant portion of our sales. Sales to our five largest customers during the fiscal year ended March 31, 2019 accounted for 70.1% of our net revenue, with Sony, Microsoft, and Gamestop each accounting for more than 10.0% of our net revenue during the fiscal year ended March 31, 2019.</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distribute our titles, add-on content, and in-game purchases through direct digital download via the Internet to consoles and PCs, including smartphones and tablets. We view digital distribution as an important growth opportunity for our industry and Company; however, we expect that packaged goods and traditional retailers will continue to be a significant channel for the sale of our products for the foreseeable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marketing and promotional efforts are intended to maximize consumer interest in our titles, promote brand name recognition of our franchises, assist retailers and properly position, package and merchandise our titles. From time to time, we also receive marketing support from hardware manufacturers in connection with their own promotional efforts.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market titles by:</w:t>
      </w:r>
    </w:p>
    <w:p>
      <w:pPr>
        <w:spacing w:after="0" w:line="144" w:lineRule="exact"/>
        <w:rPr>
          <w:sz w:val="20"/>
          <w:szCs w:val="20"/>
          <w:color w:val="auto"/>
        </w:rPr>
      </w:pPr>
    </w:p>
    <w:p>
      <w:pPr>
        <w:ind w:left="980" w:right="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Implementing public relations campaigns, using print and online advertising, television, radio spots and outdoor advertising. We believe that we label and market our products in accordance with the applicable principles and</w:t>
      </w:r>
    </w:p>
    <w:p>
      <w:pPr>
        <w:sectPr>
          <w:pgSz w:w="11900" w:h="16838" w:orient="portrait"/>
          <w:cols w:equalWidth="0" w:num="1">
            <w:col w:w="11420"/>
          </w:cols>
          <w:pgMar w:left="240" w:top="71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9" w:right="239" w:bottom="1440" w:gutter="0" w:footer="0" w:header="0"/>
          <w:type w:val="continuous"/>
        </w:sectPr>
      </w:pPr>
    </w:p>
    <w:bookmarkStart w:id="6" w:name="page7"/>
    <w:bookmarkEnd w:id="6"/>
    <w:p>
      <w:pPr>
        <w:ind w:left="980" w:right="400"/>
        <w:spacing w:after="0" w:line="324" w:lineRule="auto"/>
        <w:rPr>
          <w:sz w:val="20"/>
          <w:szCs w:val="20"/>
          <w:color w:val="auto"/>
        </w:rPr>
      </w:pPr>
      <w:r>
        <w:rPr>
          <w:rFonts w:ascii="Arial" w:cs="Arial" w:eastAsia="Arial" w:hAnsi="Arial"/>
          <w:sz w:val="18"/>
          <w:szCs w:val="18"/>
          <w:color w:val="auto"/>
        </w:rPr>
        <w:t>guidelines of the Entertainment Software Rating Board, or the ESRB, an independent self-regulatory body that assigns ratings and enforces advertising guidelines for the interactive software industry.</w:t>
      </w:r>
    </w:p>
    <w:p>
      <w:pPr>
        <w:spacing w:after="0" w:line="35" w:lineRule="exact"/>
        <w:rPr>
          <w:sz w:val="20"/>
          <w:szCs w:val="20"/>
          <w:color w:val="auto"/>
        </w:rPr>
      </w:pPr>
    </w:p>
    <w:p>
      <w:pPr>
        <w:ind w:left="980" w:right="16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Satisfying certain shelf life and sales requirements under our agreements with hardware manufacturers in order to qualify for Sony's Greatest Hits Programs and Microsoft's Platinum Hits Program. In connection with these programs, we receive manufacturing discounts from Sony and Microsoft.</w:t>
      </w:r>
    </w:p>
    <w:p>
      <w:pPr>
        <w:spacing w:after="0" w:line="73" w:lineRule="exact"/>
        <w:rPr>
          <w:rFonts w:ascii="Arial" w:cs="Arial" w:eastAsia="Arial" w:hAnsi="Arial"/>
          <w:sz w:val="18"/>
          <w:szCs w:val="18"/>
          <w:color w:val="auto"/>
        </w:rPr>
      </w:pPr>
    </w:p>
    <w:p>
      <w:pPr>
        <w:ind w:left="980" w:right="120" w:hanging="324"/>
        <w:spacing w:after="0" w:line="30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Stimulating continued sales by reducing the wholesale prices of our products to retailers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 Price protection, sales returns and other allowances amounted to $81.7 million, $59.7 million and $127.7 million during the fiscal years ended March 31, 2019, 2018 and 2017, respectively.</w:t>
      </w:r>
    </w:p>
    <w:p>
      <w:pPr>
        <w:spacing w:after="0" w:line="46" w:lineRule="exact"/>
        <w:rPr>
          <w:rFonts w:ascii="Arial" w:cs="Arial" w:eastAsia="Arial" w:hAnsi="Arial"/>
          <w:sz w:val="16"/>
          <w:szCs w:val="16"/>
          <w:color w:val="auto"/>
        </w:rPr>
      </w:pPr>
    </w:p>
    <w:p>
      <w:pPr>
        <w:ind w:left="980" w:right="1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we had a sales and marketing staff of 510 people.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Procurement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procure products from suppliers principally using standard purchase orders based on our assessment of market demand. We carry inventory quantities that we believe are necessary to provide rapid response to retailer orders. We utilize electronic data interchange with many of our customers to enhance the efficiency of placing and shipping orders and receiving payments.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business, we compete with:</w:t>
      </w:r>
    </w:p>
    <w:p>
      <w:pPr>
        <w:spacing w:after="0" w:line="144" w:lineRule="exact"/>
        <w:rPr>
          <w:sz w:val="20"/>
          <w:szCs w:val="20"/>
          <w:color w:val="auto"/>
        </w:rPr>
      </w:pPr>
    </w:p>
    <w:p>
      <w:pPr>
        <w:ind w:left="980" w:right="44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Companies that range in size and cost structure from very small with limited resources to very large with greater financial, marketing and technical personnel and other resources than ours, including Activision Blizzard, Inc., Electronic Arts Inc., and Ubisoft Entertainment S.A.</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Sony and Microsoft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73"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software, hardware, entertainment and media for limited retail shelf space and promotional resources. The competition is intense among an increasing number of newly introduced entertainment software titles and hardware for adequate levels of shelf space and promotional support.</w:t>
      </w:r>
    </w:p>
    <w:p>
      <w:pPr>
        <w:spacing w:after="0" w:line="73"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forms of entertainment such as motion pictures, television and audio, social networking, online computer programs, mobile games, and other forms of entertainment, which may be less expensive or provide other advantages to consumers.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Competition in the entertainment software industry is based on innovation, features, playability, product quality, brand name recognition, compatibility with popular platforms, access to distribution channels, price, marketing, and customer service. Our business is driven by hit titles, which require increasing budgets for development and marketing. Competition for our titles is influenced by the timing of competitive product releases and the similarity of such products to our titles and may result in loss of shelf space or a reduction in sell-through of our titles at 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Product Release Schedule. </w:t>
      </w:r>
      <w:r>
        <w:rPr>
          <w:rFonts w:ascii="Arial" w:cs="Arial" w:eastAsia="Arial" w:hAnsi="Arial"/>
          <w:sz w:val="17"/>
          <w:szCs w:val="17"/>
          <w:color w:val="auto"/>
        </w:rPr>
        <w:t>Our financial results are affected by the timing of our product releases and the commercial success of those titles.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in particular have historically accounted for a substantial portion of our revenue. Sales of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25.7% of our net revenue for the fiscal year ended March 31, 2019. In October 2018, we released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Sales of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products generated 32.1% of our net revenue for the fiscal year ended March 31, 2019. The timing of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or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product releases may affect our financial performance on a quarterly and annual basis.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Economic Environment and Retailer Performance. </w:t>
      </w:r>
      <w:r>
        <w:rPr>
          <w:rFonts w:ascii="Arial" w:cs="Arial" w:eastAsia="Arial" w:hAnsi="Arial"/>
          <w:sz w:val="18"/>
          <w:szCs w:val="18"/>
          <w:color w:val="auto"/>
        </w:rPr>
        <w:t>We continue to monitor economic conditions that may unfavorably affect our businesses,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deteriorating consumer demand, pricing pressure on our products, credit quality of our receivables, and foreign currency exchange rates. Our business is dependent upon a limited number of customers who account for a significant portion of our revenue. Our five largest customers accounted for 70.1%, 70.7% and 65.5% of net revenue during the fiscal years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ended March 31, 2019, 2018 and 2017, respectively. As of March 31, 2019 and 2018, five customers comprised 66.6% and 65.4% of our gross accounts receivable, respectively, with our significant customers (those that individually comprised more than 10% of our gross accounts receivable balance) accounting for 55.8% and 53.2% of such balance at March 31, 2019 and 2018, respectively. We had two customers who accounted for 40.1% and 15.7% of our gross accounts receivable as of March 31, 2019 and two customers who accounted for 37.7% and 15.5% of our gross accounts receivable as of March 31, 2018. We did not have any additional customers that exceeded 10% of our gross accounts receivable as of March 31, 2019 and 2018. The economic environment has affected our customers in the past and may do so in the future. Bankruptcies or consolidations of our large retail customers could seriously hurt our business, due to uncollectible accounts receivables and the concentration of purchasing power among the remaining large retailers.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Sony's PS4 and Microsoft's Xbox One, which comprised 83.7% of our net revenue by product platform for the fiscal year ended March 31, 2019. The success of our business is dependent upon the consumer acceptance of these platforms and the continued growth in the installed base of these platforms. When new hardware platforms are introduced, demand for software based on older platforms typically declines, which may negatively affect our business during the market transition to the new consoles. We continually monitor console hardware sales.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emerging platforms such as tablets, smartphones and online games.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online delivery methods. We provide a variety of online delivered products and offerings. Virtually all of our titles that are available through retailers as packaged goods products are also available through direct digital download (from websites we own and others owned by third parties).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Note 2 to the Consolidated Financial Statements, "Revenue from Contracts with Customers," discloses that net revenue from digital online channels comprised 63.0% of our net revenue by distribution channel for the fiscal year ended March 31, 2019. We expect online delivery of games and game offerings to become an increasing part of our business over the long-term.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International sales are a significant part of our business. For the fiscal years ended March 31, 2019, 2018 and 2017, 46.5%, 41.3% and 43.9%, respectively, of our net revenue was earned outside the United States.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 See Notes 1 and 19 to the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1, 2, and 9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2019, we had 4,894 full-time employees, of which 2,597 were employed outside of the United States. None of our regular employees is subject to collective bargaining agreements. We consider our relations with employees to be satisfactory.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8" w:name="page9"/>
    <w:bookmarkEnd w:id="8"/>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future success of our Grand Theft Auto products and we must continue to publish "hit" titles or sequels to such "hit" titles in order to compete successfully in our industry.</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Grand Theft Auto </w:t>
      </w:r>
      <w:r>
        <w:rPr>
          <w:rFonts w:ascii="Arial" w:cs="Arial" w:eastAsia="Arial" w:hAnsi="Arial"/>
          <w:sz w:val="16"/>
          <w:szCs w:val="16"/>
          <w:color w:val="auto"/>
        </w:rPr>
        <w:t>and certain of our other titles, such as</w:t>
      </w:r>
      <w:r>
        <w:rPr>
          <w:rFonts w:ascii="Arial" w:cs="Arial" w:eastAsia="Arial" w:hAnsi="Arial"/>
          <w:sz w:val="16"/>
          <w:szCs w:val="16"/>
          <w:i w:val="1"/>
          <w:iCs w:val="1"/>
          <w:color w:val="auto"/>
        </w:rPr>
        <w:t xml:space="preserve"> Red Dead Redemption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NBA 2K</w:t>
      </w:r>
      <w:r>
        <w:rPr>
          <w:rFonts w:ascii="Arial" w:cs="Arial" w:eastAsia="Arial" w:hAnsi="Arial"/>
          <w:sz w:val="16"/>
          <w:szCs w:val="16"/>
          <w:color w:val="auto"/>
        </w:rPr>
        <w:t>, are "hit" products and have historically accounted for a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portion of our revenue.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contributed 25.7% of our net revenue for the fiscal year ended March 31, 2019 and the five best-selling franchises (including </w:t>
      </w:r>
      <w:r>
        <w:rPr>
          <w:rFonts w:ascii="Arial" w:cs="Arial" w:eastAsia="Arial" w:hAnsi="Arial"/>
          <w:sz w:val="16"/>
          <w:szCs w:val="16"/>
          <w:i w:val="1"/>
          <w:iCs w:val="1"/>
          <w:color w:val="auto"/>
        </w:rPr>
        <w:t>Grand Theft Auto</w:t>
      </w:r>
      <w:r>
        <w:rPr>
          <w:rFonts w:ascii="Arial" w:cs="Arial" w:eastAsia="Arial" w:hAnsi="Arial"/>
          <w:sz w:val="16"/>
          <w:szCs w:val="16"/>
          <w:color w:val="auto"/>
        </w:rPr>
        <w:t>), which may change year over year, in the aggregate accounted for 91.8% of our net revenue for the fiscal year ended March 31, 2019.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 quality and well-received products and services, our revenue and profitability may decline. 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traditional PC products before we have an opportunity to develop profitable businesses in such markets.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product development risks which could result in delays and additional costs, and we must adapt to changes in software technologies.</w:t>
      </w:r>
    </w:p>
    <w:p>
      <w:pPr>
        <w:spacing w:after="0" w:line="3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for annual sports releases, to multiple years for certain of our top-selling titles. Therefore, our development costs can be substantial. If we or our third party developers experience unanticipated development delays, financial difficulties or additional costs, we may not be able to release titles according to our schedule and at budgeted costs. There can be no assurance that our products will be sufficiently successful so that we can recoup these costs or make a profit on these products.</w:t>
      </w:r>
    </w:p>
    <w:p>
      <w:pPr>
        <w:spacing w:after="0" w:line="22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Additionally, in order to stay competitive, our internal development studios must anticipate and adapt to rapid technological changes affecting software development.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costs and more strenuous competition.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inability of our products to achieve significant market acceptance, delays in product releases or disruptions following the commercial release of our products may have a material adverse effect on our business, financial condition and operating results.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products may not achieve significant market acceptance, generate sufficient sales or be introduced in a timely manner to permit us to recover development, manufacturing and marketing costs associated with these products. The life cycle of a title generally involves a relatively high level of sales during the first few months after introduction followed by a rapid decline in sales. Because sales associated with an initial product launch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cause our operating results to be materially different from our expectations.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business is subject to our ability to develop commercially successful products for the current video game platforms.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derive most of our revenue from the sale of products made for video game platforms manufactured by third parties, such as Sony's PS4 and Microsoft's Xbox One, which comprised 83.7% of our net revenue by product platform for the fiscal year ended March 31, 2019. The success of our business is subject to the continued popularity of these platforms and our ability to develop commercially successful products for these platforms.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declines or fluctuations in the recurring portion of our business.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model includes revenue that we deem recurring in nature, such as revenue from our annualized titles and associated services, and ongoing mobile businesses. While we have been able to forecast the revenue from these areas of our business with greater certainty than for new offerings, we cannot provide assurances that consumers will purchase these games and services on a consistent basis. Furthermore, we may cease to offer games and services that we previously had deemed to be recurring in nature. Consumer purchases of our games and services may decline or fluctuate as a result of a number of factors, including their level of satisfaction with our games and services, our ability to improve and innovate our annualized titles, our ability to adapt our games and services to new platforms, outages and disruptions of online services, the games and services offered by our competitors, our marketing and advertising efforts or declines in consumer activity generally as a result of economic downturns, among others. Any decline or fluctuation in the recurring portion of our business may have a negative impact on our financial and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issues could affect our ability to sell and provide online services for our products and could affect our profitability.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upon third-party digital delivery platforms, such as Microsoft's Xbox Live, PlayStation Network, Steam and other third-party service providers, to provide connectivity from the consumer to our digital products and our online services. Connectivity issues could prevent customers from accessing this content and our ability to successfully market and sell our products could be adversely affected. In addition, we could experience similar issues related to services we host on our internal servers. Such issues also could affect our ability to provide online services and could have a material adverse effect on our business, financial condition and operating results.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consumer data protection measures are not seen as adequate or there are breaches of our security measures or unintended disclosures of our consumer data.</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collecting and storing consumer information, including personal information. We take measures to protect our consumer data from unauthorized access or disclosure. It is possible that our security controls over consumer data may not prevent the improper access or disclosure of personally identifiable information. In addition, due to the high profile nature of our products, we may draw a disproportionately higher amount of attention and attempts to breach our security controls than companies with lower profile products. A security breach that leads to disclosure of consumer account information (including personally identifiable information) could harm our reputation, compel us to comply with disparate breach notification laws in various jurisdictions and otherwise subject us to liability under laws that protect personal data, resulting in increased costs or loss of revenue. A resulting perception that our products or services do not adequately protect the privacy of personal information could result in a loss of current or potential consumers and business partners. In addition, if any of our business partners experience a security breach that leads to disclosure of consumer account information, our reputation could be harmed, resulting in loss of revenue.</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certain of our products are online enabled. The ability of our products to offer online functionality, and our ability to offer content through a video game platform's digital distribution channel, is dependent upon the continued operation and security of such platform's online network. These third party networks, as well as our own internal systems and websites, and the security measures related thereto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If an actual or perceived breach of our security occurs, we may lose business, suffer irreparable damage to our reputation, and/or incur significant costs and expenses relating to the investigation and possible litigation of claims relating to such event.</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and regulations concerning data privacy and certain other aspects of our business are continually evolving. Failure to comply with these laws and regulations could harm our business.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certain privacy and data protection laws, including those in the United States ("U.S."). Certain activities related to processing the personal data of European Union ("E.U.") individuals are conducted by our United Kingdom ("U.K.")-based data controller or our local entities in the E.U. The U.S. Children's Online Privacy Protection Act also regulates the collection, use, and disclosure of personal information from children under 13 years of age. Failure to comply with privacy laws, data protection</w:t>
      </w:r>
    </w:p>
    <w:p>
      <w:pPr>
        <w:sectPr>
          <w:pgSz w:w="11900" w:h="16838" w:orient="portrait"/>
          <w:cols w:equalWidth="0" w:num="1">
            <w:col w:w="11420"/>
          </w:cols>
          <w:pgMar w:left="240" w:top="7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1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color w:val="auto"/>
        </w:rPr>
        <w:t>laws, or age restrictions may increase our costs, subject us to expensive and distracting government investigations, and result in substantial fines.</w:t>
      </w: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Privacy and data protection laws are rapidly changing and likely will continue to do so for the foreseeable future, which could have an impact on our approach to operating and marketing our games. For example, the E.U. General Data Protection Regulation ("GDPR") became effective on May 25, 2018, replacing Data Protection Directive 95/46/EC. GDPR applies to us because we receive and process the personal data of individuals in the E.U., and we maintain certain local entities in the E.U. responsible for processing personal data. GDPR contains significant penalties for non-compliance. Countries in the E.U. are still enacting national laws that correspond to certain portions of the GDPR. In the U.S., the State of California enacted the California Consumer Privacy Act ("CCPA") on June 28, 2018. The CCPA will become effective on January 1, 2020 and will apply to processing of personal data of California residents. However, several proposed amendments to the CCPA are still being considered by the California legislature. The U.S. government, including the Federal Trade Commission and the Department of Commerce, also continue to review the need for greater or different regulation over the collection of personal information and information about consumer behavior on the Internet and on mobile devices. Various government and consumer agencies worldwide have also called for new regulation and changes in industry practices.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Player use of our games is subject to our privacy policy, end user license agreements ("EULA"), and terms of service. If we fail to comply with our posted privacy policy, EULA,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possible that a number of laws and regulations may be adopted or construed to apply to us in the U.S. and elsewhere that could restrict the interactive entertainment industry, including player privacy, advertising, taxation, content suitability,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 in current laws or regulations or the imposition of new laws and regulations in the U.S. or elsewhere regarding these activities may lessen the growth of the interactive entertainment industry and impair our business, financial condition, and operating results.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some of our online games and other services include random digital item mechanics, which may become subject to regulations in various jurisdictions. If these were to occur, we might be required to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Changes in current laws or regulations or the imposition of new laws and regulations in the U.S., Europe, or elsewhere regarding these activities may lessen the growth of casual game services and impair our business. Also, existing laws or new laws regarding the marketing of in-game or in-app purchases, regulation of currency, banking institutions, unclaimed property, or money laundering may be interpreted to cover virtual currency or goods.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breaches involving the source code for our products or other sensitive and proprietary information could adversely affect our business.</w:t>
      </w:r>
    </w:p>
    <w:p>
      <w:pPr>
        <w:spacing w:after="0" w:line="3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securely store the source code for our interactive entertainment software products as it is created. A breach, whether physical, electronic or otherwise, of the systems on which such source code and other sensitive data are stored could lead to damage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If we are subject to data security breaches, we may have a loss in sales or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as a result of such an event could adversely affect our competitive position, reputation, brand, and future sales of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products. Our business could be subject to significant disruption, and we could suffer monetary and other losses and reputational harm, in the event of such incidents and claims.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complex information technology systems and networks to operate our business. Any significant system or network disruption could have a negative impact on our business.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some of which are within Take-Two and some of which are managed and/or hosted by third-party providers. All information technology systems and networks are potentially vulnerable to damage or interruption from a variety of sources, including but not limited to cyber-attacks, computer viruses, malicious software, security breach, energy blackouts, natural disasters, terrorism, war and telecommunication failures. We may also face sophisticated attacks, referred to as advanced persistent threats, which are cyber-attacks aimed at compromising our intellectual property and other commercially-sensitive information, such as the source code and game assets for our software or confidential customer or employee information, which remain undetected for prolonged periods of time. Information technology system or network failure or security breach could negatively affect our business continuity, operations and financial results. These risks extend to the networks and e-commerce sites of console platform providers and other partners who sell and host our content online. Along with our partners, we have expended, and expect to continue to expend, financial and operational resources to implement certain systems, processes and technologies to guard against cyber risks and to help protect our data and systems. However, the techniques used to exploit, disable, damage, disrupt or gain access to our networks, our products and services, supporting technological infrastructure, intellectual property and other assets change frequently, continue to evolve in sophistication and volume, and often are not detected for long periods of time. Our systems, processes and technologies, and the systems, processes and technologies of our business partners or our third-party service providers, may not be adequate against all eventualities. In addition, the costs to respond to, mitigate, and/or notify affected parties of cyber-attacks and other security vulnerabilities are significant. Any failure to prevent or mitigate security breaches or cyber risks, or detect or respond adequately to a security breach or cyber risk, could result in a loss of anticipated revenue, interruptions to our products and services, cause us to incur significant remediation and notification costs, degrade the user experience, cause consumers to lose confidence in our products and services and significant legal and financial costs.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Successful exploitation of our systems can have other negative effects upon the products, services and user experience we offer. In particular, the virtual economies that we have established in many of our games are subject to abuse, exploitation and other forms of fraudulent activity that can negatively affect our business. Virtual economies involve the use of virtual currency and/or virtual assets that can be used or redeemed by a player within a particular game or service. The abuse or exploitation of our virtual economies include the illegitimate generation and sale of virtual items in black markets. These kinds of activities and the steps that we take to address these issues may result in a loss of anticipated revenue, interfere with players’ enjoyment of a balanced game environment and cause reputational harm.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expand into new products and services may subject us to additional risks.</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recent years, we have invested in emerging opportunities in interactive entertainment played on mobile platforms, including tablets and smartphones, and online platforms, including social networks. We have also grown our product offerings that are available through digital download, including virtual currency, through our existing franchises such as </w:t>
      </w:r>
      <w:r>
        <w:rPr>
          <w:rFonts w:ascii="Arial" w:cs="Arial" w:eastAsia="Arial" w:hAnsi="Arial"/>
          <w:sz w:val="16"/>
          <w:szCs w:val="16"/>
          <w:i w:val="1"/>
          <w:iCs w:val="1"/>
          <w:color w:val="auto"/>
        </w:rPr>
        <w:t>Grant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w:t>
      </w:r>
      <w:r>
        <w:rPr>
          <w:rFonts w:ascii="Arial" w:cs="Arial" w:eastAsia="Arial" w:hAnsi="Arial"/>
          <w:sz w:val="16"/>
          <w:szCs w:val="16"/>
          <w:color w:val="auto"/>
        </w:rPr>
        <w:t xml:space="preserve"> as well as through product offerings by Social Point and other mobile product offerings. We are actively investing to capitalize on these trends in order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for developing and marketing any of these new products or services. For example, we may offer games that do not attract sufficient purchases of virtual currency, which may cause our investments into this product space, such as through our acquisition of Social Point,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management and product development personnel.</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continued success will depend to a significant extent on our senior management team and our relationship with ZelnickMedia Corporation ("ZelnickMedia"). Our Executive Chairman/Chief Executive Officer and President are partners of ZelnickMedia. We are also highly dependent on the expertise, skills and knowledge of certain of our Rockstar employees and other key creative personnel responsible for content creation and development of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and titles based on other brands. We may not be able to continue to retain these personnel at current compensation levels, or at all.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the services of our executive officers, ZelnickMedia, our key Rockstar employees or other key creative personnel could significantly harm our business. In addition, if one or more key employees were to join a competitor or form a competing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other qualified management and creative personnel could adversely affect our business and prospects.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including periods of increased inflation, unemployment levels, tax rates, interest rates, energy prices or declining consumer confidence could also reduce consumer spending.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rates or exposure to additional tax liabilities could adversely affect our earnings and financial condition.</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U.S. enacted comprehensive tax legislation commonly referred to as the Tax Cuts and Jobs Act (herein referred to as the "Act”). The Act made broad and complex changes to the U.S. tax code that could materially affect us. The Act reduced the U.S. federal corporate income tax rate from 35% to 21%, effective January 1, 2018 and required companies to pay a one-time transition tax on the previously untaxed earnings of certain foreign subsidiaries. In addition, the Act made other changes that may affect us, including but not limited to (1) a Base Erosion Anti-abuse Tax ("BEAT"), which is a new minimum tax, (2) generally eliminating U.S. federal income taxes on dividends from foreign subsidiaries, (3) a new provision that taxes global intangible low-taxed income ("GILTI"), (4) the repeal of the domestic production activity deduction, and (5) other base broadening provisions.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completed accounting for the income tax effects of the Act. See Note 15 - Income Tax to our Consolidated Financial Statements for further information. We are continuing to evaluate the impact of the Act on us. It is possible that these changes could have an adverse impact on our effective tax rate, tax payments, financial condition, or results of operations. The new tax law is complex and additional interpretive guidance may be issued that could affect the interpretations and assumptions we have made, as well as actions we may take as a result of the Act.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multinational corporation with operations in the U.S. and various other jurisdictions around the world. Accordingly, we are subject to tax in the U.S. and in various other jurisdictions. Significant judgment is required in determining our worldwide provision for income taxes, and, in the ordinary course of business, there are many transactions and calculations where the ultimate tax determination is uncertain. We are required to estimate future taxes. Although we currently believe our tax estimates are reasonable, the estimation process is inherently uncertain, and such estimates are not binding on tax authorities. Further, our effective tax rate could be adversely affected by a variety of factors, including changes in the business, the mix of earnings in countries with differing statutory tax rates, changes in tax elections, and changes in applicable tax laws. Additionally, tax determinations are regularly subject to audit by tax authorities, and developments in those audits could adversely affect our income tax provision. Should the ultimate tax liability exceed estimates, our income tax provision and net income or loss could be materially affected.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numerous countries are evaluating their existing tax laws due in part to recommendations made by the Organization for Economic Co-operation and Development’s (“OECD’s”) Base Erosion and Profit Shifting (“BEPS”) project. Although we cannot predict whether, or in what form, any legislation based on such proposals may be adopted by the countries in which we do business, future tax reform based on such proposals may increase the amount of taxes we pay and adversely affect our operating results and cash flows.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Historically, we recorded a valuation allowance against most of our U.S. deferred tax assets. In the current fiscal year, we released our valuation allowance on certain U.S. deferred tax assets as a result of a determination that it was more-likely-than-not that such deferred tax assets would be realized. Our determination took into account the successful launch of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during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year along with our recent positive trend of earnings. We will continue to evaluate our ability to realize our U.S. deferred tax assets. If future evidence suggests that any changes are required to reflect the amount of our U.S. deferred tax asset that is more-likely-than-not to be realized, we will adjust our valuation allowance as needed in the appropriate period.</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21, 2018, the U.S. Supreme Court issued its decision in South Dakota v. Wayfair, which overturned previous case law that precluded states from requiring retailers to collect and remit sales tax on sales made to in-state customers unless the retailer had a physical presence in the state. Although this case is limited to sales tax collection obligations, we continue to monitor the potential impact of this decision on our state income tax footprint.</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ultimate amount of tax payable in a given financial statement period may be materially affected by sudden or unforeseen changes in tax laws, changes in the mix and level of earnings by taxing jurisdictions, or changes to existing accounting rules or regulations. For example, on July 24, 2018, the Ninth Circuit Court of Appeals issued an opinion in Altera Corp. v. Commissioner requiring related parties in an intercompany cost-sharing arrangement to share expenses related to stock compensation. On August 7, 2018, the opinion was withdrawn to allow time for a reconstituted panel to confer. We will continue to monitor ongoing developments and the final opinion could have a material impact on our Consolidated Financial Statements.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 significant amount of our operating income and continue to hold a significant portion of our cash outside the U.S. Our current intention is to reinvest indefinitely earnings of our foreign subsidiaries, and therefore we have not recorded any tax liabilities associated with the repatriation of foreign earnings.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pay taxes other than income taxes, such as payroll, sales, use, value-added, net worth, property, and goods and services taxes, in both the U.S. and foreign jurisdictions. We are regularly under examination by tax authorities with respect to these non-income taxes. There can be no assurance that the outcomes from these examinations, changes in our business or changes in applicable tax law or interpretations will not have an adverse effect on our net income or loss and financial condition.</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quarterly operating results are dependent on the release of "hit" titles and are highly seasonal which may cause our quarterly operating results to fluctuate significantly.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due primarily to increased demand for games during the holiday season. Demand for and sales of titles in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are also seasonal in that they are typically released just prior to the start of the NBA season. If a key event or sports season to which our product release schedule is tied were to be delayed or canceled, our sales might also suffer disproportionately.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protection granted to our customers and returns of our published titles by our customers may adversely affect our operating results.</w:t>
      </w: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future price protection and returns, if price protection and return rates for our products exceed our reserves, our revenue could decline, which could have a material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sales of used video game products could lower our sales.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of our larger customers sell used video games, which are generally priced lower than new video games. If our customers increase their sales of used video games, it could negatively affect our sales of new video games and have an adverse influence on our business, financial condition and operating results.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substantial portion of our product sales are made to a limited number of customers. Sales to our five largest customers during the fiscal year ended March 31, 2019 accounted for 70.1% of our net revenue, with Sony, Microsoft, and Gamestop each accounting for more than 10.0% of our net revenue during the fiscal year ended March 31, 2019. Our sales are made primarily pursuant to</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19" w:right="239" w:bottom="1440" w:gutter="0" w:footer="0" w:header="0"/>
          <w:type w:val="continuous"/>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purchase orders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competitive pressure, or otherwise, such customers may pass those pricing pressures through to us, which could materially adversely affect our business, financial condition and operating results.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customers may also be placed into bankruptcy, become insolvent or be liquidated due to economic downturns, global contractions of credit or for other factors. Bankruptcies or consolidations of certain large retail customers could seriously hurt our business, including as a result of uncollectible accounts receivable from such customers and the concentration of purchasing power among remaining large retailers. In addition, our results of operations may be adversely affected if certain of our customers who purchase on credit terms are no longer eligible to purchase on such terms due to their financial distress, which may reduce the quantity of products they demand from us.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marketing and advertising efforts fail to resonate with consumers, our business, financial condition and operating results could be adversely affected.</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are marketed worldwide through a diverse spectrum of advertising and promotional programs such as television and online advertising, social media advertising, print advertising, retail merchandising, website development and event sponsorship. Our ability to sell our products and services is dependent in part on the success of these programs. If the marketing for our products and services fails to resonate with consumers, particularly during the holiday season or other key selling periods, or if advertising rates or other media placement costs increase, these factors could have a material adverse influence on our business, financial condition and operating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interactive entertainment software industry is highly competitive.</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compete for both licenses to properties and the sale of interactive entertainment software with Sony and Microsoft, each of which is a large developer and marketer of software for its own platforms. We also compete with game publishers, such as Activision Blizzard, Inc. and Electronic Arts Inc. and Ubisoft Entertainment S.A.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motion pictures, television and audio and video products featuring similar themes, online computer programs and other entertainment, which may be less expensive or provide other advantages to consumers.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number of software publishers who compete with us have developed and commercialized or are currently developing online games for use by consumers over the Internet. If technological advances significantly increase the availability of online games and if consumer acceptance of online gaming grows substantially, it could result in a decline in our platform-based software sales and negatively affect sales of such products.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digital sales are increasingly important to our business, for physical sales, retailers have limited shelf space and promotional resources and competition is intense among newly introduced interactive entertainment software titles for adequate levels of shelf space and promotional support.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2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proportion of our revenues derived from digital content delivery, as compared to traditional retail sales, may continue to increase. The increased importance of digital content delivery in our industry increases our potential competition, as the minimum capital needed to produce and publish a digitally delivered game is significantly less than that needed to produce and publish one that is purchased through retail distribution and is played on a game console. This will also require us to dedicate capital to developing and implementing alternative marketing strategies, which we may not do successfully. If either occurs, we may be unable to effectively market and distribute our products, which could materially adversely affect our business, financial condition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and operating results. In addition, a continuing shift to digital delivery could result in a deprioritization of our products by traditional retailers. The increasing importance of digital sales to our business could also result in increasing issues with our digital distribution process, including difficulties our distributors have with collecting from consumers and any associated rebates we would owe.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partly dependent on our ability to enter into successful software development arrangements with third parties.</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success depends on our ability to continually identify and develop new titles on a timely basis. We rely on third-party software developers for the development of some 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 We have entered into agreements with third 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 develop new software successfully, which could result in material delays and significantly increase our costs to bring particular products to market. Software development costs, promotion and marketing expenses and royalties payable to software developers and third-party licensors have increased significantly in recent years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publish our titles without the approval of hardware licensors that are also our competitors.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obtain licenses from certain of our competitors, including Sony and Microsoft,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limited number of channel partners some of whom influence the fee structures for online distribution of our games on their platforms.</w:t>
      </w:r>
    </w:p>
    <w:p>
      <w:pPr>
        <w:spacing w:after="0" w:line="3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rely on a limited number of channel partners, some of whom have retained the right to change the fee structures for online distribution of both paid content and free content (including patches and corrections) that we license to them for distribution on their platforms. Such channel partners' ability to set or influence royalty rates may increase costs, which could negatively affect our operating margins. We may be unable to distribute our content in a cost-effective or profitable manner through such distribution channel, which could adversely affect our business, financial condition and operating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of fee arrangements, our agreements with our channel partners sometimes give them significant control over other aspects of the distribution of our products and services that we develop for their platform. If our channel partners establish terms that restrict our offerings through their channels, or significantly affect the financial terms on which these products or services are offered to our customers, we may be unable to distribute our product offerings through them or be forced to do so on a materially worse financial or business terms.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adjust our cost structure in a timely fashion in response to a sudden decrease in demand.</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significant decline in revenue, we may not be able to dispose of facilities, reduce personnel or make other changes to our cost structure without disruption to our operations or without significant termination and exit costs. Management may not be able to implement such actions in a timely manner, if at all, to offset an immediate shortfall in revenue and profit. Moreover, reducing costs may impair our ability to produce and develop software titles at sufficient levels in the future.</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open source software in connection with certain of our games and the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19" w:right="239" w:bottom="1440" w:gutter="0" w:footer="0" w:header="0"/>
          <w:type w:val="continuous"/>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data servers, including those owned or controlled by third parties, to enable our customers to download our games and other downloadable content, and to operate our online games and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or if our business were to grow more quickly than expected,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 potential importance of our online business to our revenues and results of operations, our ability to access adequate Internet bandwidth and online computational resources to support our business is critical. If the price of either such resource increases, we may not be able to increase our prices or subscriber levels to compensate for such costs, which could materially adversely affect our business, financial condition and operating results.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submit our products for rating by the Entertainment Software Rating Board ("ESRB") in the United States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 such as Germany.</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if the ESRB rates a game as "AO" (age 18 and older),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 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 based ratings organizations, we could be exposed to litigation, administrative fines and penalties and other potential liabilities, and our operating results and financial condition could be significantly affected.</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published were found to contain undisclosed pertinent content, the ESRB could re-rate a game, retailers could refuse to sell it and demand that we accept the return of any unsold copies or returns from customers, and consumers could refuse to buy it or demand that we refund their money. This could have a material negative affect on our operating results and financial condition. In addition, we may be exposed to litigation, administrative fines and penalties and our reputation could be harmed, which could affect sales of other video games we sell. If any of these consequences were to occur, our business and financial performance could be significantly harmed.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Content policies adopted by retailers, consumer opposition and litigation could negatively affect sales of our products.</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Retailers may decline to sell interactive entertainment software containing what they judge to be graphic violence or sexually explicit material or other content that they deem inappropriate for their businesses. If retailers decline to sell our products based upon their opinion that they contain objectionable themes, graphic violence or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could seriously affect our business. Consumer advocacy groups have opposed sales of interactive entertainment software containing objectionable themes, violence or sexual material or other objectionable content by pressing for legislation in these areas and by engaging in public demonstrations and media campaigns. Additionally, although lawsuits seeking damages for injuries allegedly suffered by third 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 Further, in 2018, gaming disorder was listed in a version of the World Health Organization's International Classification of Diseases, and some countries have introduced legislation attempting to address this issue. Moreover, the public dialogue concerning interactive entertainment may have an adverse impact on our reputation and our customer's willingness to purchase our products.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or reputation may be harmed as a result of offensive consumer-created content.</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risks associated with the collaborative online features in our games which allow consumers to post narrative comments, in real time, that are visible to other consumers. From time to time, objectionable and offensive consumer content may be posted to a gaming or other site with online chat features or game forums which allow consumers to post comments. We may be subject to lawsuits, governmental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Twitter.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and uncertainties of international trade, including fluctuations in the values of local foreign currencies against the dollar.</w:t>
      </w:r>
    </w:p>
    <w:p>
      <w:pPr>
        <w:spacing w:after="0" w:line="3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in international markets, primarily in Europe, have accounted for a significant portion of our net revenue. For the fiscal year ended March 31, 2019, 46.5% of our net revenue was earned outside the U.S.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from our international operations.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Trade legislation in either the U.S. or other countries, such as a change in the current tariff structures, import/export compliance laws or other trade laws or policies, could adversely affect our ability to sell or to distribute in international markets.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current U.S. administration has voiced concerns about imports from countries potentially engaging in unfair trade practices, increased tariffs on certain goods imported into the U.S. from those countries, including China and other countries to which we sell products, and raised the possibility of imposing significant additional tariff increases. The announcement of tariffs and proposed tariffs on imported products by the U.S. has triggered actions from certain foreign governments, including China, and may trigger additional actions by those and other foreign governments that could have a negative impact on our business. Further, the enforcement of regulations relating to mobile and other games with an online element in China remains uncertain, and further changes, either in the regulation or their enforcement could have a negative impact on our business in China. In order to operate in China, all games must have regulatory approval. A decision by the Chinese government to revoke its approval for any of our games or to decline to approve any products we desire to sell in China in the future could have a negative impact on our business.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 additional legal compliance costs associated with our international operations and could become subject to legal penalties in foreign countries if we do not comply with local laws and regulations which may be substantially different from those in the U.S. In many foreign countries, particularly in those with developing economies, it may be common to engage in business practices that are prohibited by U.S. laws and regulations, such as the Foreign Corrupt Practices Act, and by local laws, such as laws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prohibiting corrupt payments to government officials. Although we implement policies and procedures designed to ensure compliance with these laws, there can be no assurance that all of our employees, contractors and agents, as well as those companies to which we outsource certain of our business operations, including those based in or from countries where practices which violate such laws may be customary, will not take actions in violation of our policies. Any such violation, even if prohibited by our policies, could have a material adverse effect on our business.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On March 29, 2017, the U.K. notified the European Council, in accordance with Article 50 of the Treaty on European Union, of the U.K.’s intention to withdraw from the E.U. As a result, the British government has been negotiating the terms of the U.K.’s future relationship with the E.U. A substantial amount of uncertainty remains regarding the outcome of the ongoing negotiations. We continue to assess and monitor the risks our business is likely to face as a result of Brexit. We are preparing to mitigate those risks with operational and commercial changes to the extent possible and warranted. However, the legal and regulatory landscape remains uncertain, and we have no assurance that such preparations will enable us to avoid a material adverse impact on our business from Brexit.</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effects of Brexit will depend on any agreements the U.K. makes to retain access to the E.U. markets either during a transitional period or more permanently. The measures could potentially disrupt the markets we serve and may cause us to lose customers, distributors and employees. If the U.K. loses access to the single E.U. market and the global trade deals negotiated by the E.U., it could have a detrimental impact on our U.K. growth. Such a decline could also make our doing business in Europe more difficult, which could negatively affect sales to consumers of our products. Without access to the single E.U. market, it may be more challenging and costly to distribute our products in Europe. In addition, Brexit could lead to legal uncertainty and potentially divergent national laws and regulations as the U.K. determines which E.U. laws to replace and replicate. If there are changes to U.K. immigration policy as a result of Brexit, this could affect our employees and their ability to move freely between the E.U. member states for work related matters.</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develop proprietary software and have obtained the rights to publish and distribute software developed by third-parties.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or misappropriate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downloadable content. Also, vulnerabilities in the design of our applications and of the platforms upon which they run could be discovered after their release. This may lead to lost revenues from paying consumers or increased cost of developing technological measures to respond to these, either of which could negatively affect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infringe on or are alleged to infringe on the intellectual property rights of third parties, our business could be adversely affected.</w:t>
      </w: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our industry grows, we may be subject to an increasing amount of litigation that is common in the software industry based on allegations of infringement or other alleged violations of patent, copyright and/or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susceptible to errors, which can harm our financial results and reputation.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technological advancements of new hardware platforms result in the development of more complex software products. As software products become more complex, the risk of undetected errors in new products increases. We may need to produce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19"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appropriate opportunities present themselves, we may acquire or make investments in businesses, intellectual properties and other assets that we believe are strategic.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key employees and maintaining the key business and customer relationships of the businesses we acquire;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an acquired company or business into our organization;</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spacing w:after="0" w:line="15"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spacing w:after="0" w:line="62"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accounting charges resulting from the completion and integration of a sizable acquisition and increased capital expenditures, including potential impairment charges incurred to write down the carrying amount of intangible assets generated as a result of an acquisition;</w:t>
      </w:r>
    </w:p>
    <w:p>
      <w:pPr>
        <w:spacing w:after="0" w:line="15"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significant acquisitions, when not managed cautiously, may result in the over-extension of our existing operating infrastructures, internal controls and information technology systems;</w:t>
      </w:r>
    </w:p>
    <w:p>
      <w:pPr>
        <w:spacing w:after="0" w:line="62"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spacing w:after="0" w:line="73" w:lineRule="exact"/>
        <w:rPr>
          <w:rFonts w:ascii="Arial" w:cs="Arial" w:eastAsia="Arial" w:hAnsi="Arial"/>
          <w:sz w:val="18"/>
          <w:szCs w:val="18"/>
          <w:color w:val="auto"/>
        </w:rPr>
      </w:pPr>
    </w:p>
    <w:p>
      <w:pPr>
        <w:jc w:val="both"/>
        <w:ind w:left="660" w:right="52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spacing w:after="0" w:line="57" w:lineRule="exact"/>
        <w:rPr>
          <w:rFonts w:ascii="Arial" w:cs="Arial" w:eastAsia="Arial" w:hAnsi="Arial"/>
          <w:sz w:val="17"/>
          <w:szCs w:val="17"/>
          <w:color w:val="auto"/>
        </w:rPr>
      </w:pPr>
    </w:p>
    <w:p>
      <w:pPr>
        <w:ind w:left="660" w:right="8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or other claims in connection with, or inheritance of claims or litigation risks as a result of, an acquisition, including claims from terminated employees, customers or other third-parties; and</w:t>
      </w:r>
    </w:p>
    <w:p>
      <w:pPr>
        <w:spacing w:after="0" w:line="62" w:lineRule="exact"/>
        <w:rPr>
          <w:rFonts w:ascii="Arial" w:cs="Arial" w:eastAsia="Arial" w:hAnsi="Arial"/>
          <w:sz w:val="18"/>
          <w:szCs w:val="18"/>
          <w:color w:val="auto"/>
        </w:rPr>
      </w:pPr>
    </w:p>
    <w:p>
      <w:pPr>
        <w:jc w:val="both"/>
        <w:ind w:left="660" w:right="1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the extent that we engage in strategic transactions outside of the U.S., we face additional risks, including risks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Future acquisitions and investments could also involve the issuance of our equity and equity-linked securities (potentially diluting our existing stockholders), the incurrence of debt, contingent liabilities or amortization expenses, write-offs of goodwill, intangibles, or acquired in-process technology, or other increased cash and non-cash expenses such as stock-based compensation.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products are based on or incorporate intellectual property owned by others. For example, certain of our 2K products include rights licensed from major sports leagues and players' associations. Similarly, some of our other titles are based on licenses of popular entertainment products. Competition for these licenses is intense. If we are unable to maintain and renew these licenses or obtain additional licenses on reasonable economic terms or with significant commercial value, our revenue and profitability could decline significantly. Competition for these licenses may also increase the advances, guarantees and royalties that we must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contractual covenants which place certain limitations on how we manage our business</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New Credit Agreement (the "New Credit Agreement") may limit our ability to take various actions, including incurring additional debt, paying dividends, repurchasing shares and acquiring or disposing of assets or businesses. In addition, we have granted a security interest in connection with certain compensatory arrangements which limits our ability to incur senior debt in excess of certain amounts. Accordingly, we may be restricted from taking actions that management believes would be desirable and in the best interests of us and our stockholders. Our New Credit Agreement also requires us to satisfy specified financial covenants and comply with other affirmative and negative covenants. A breach of any of the covenants contained in our New Credit Agreement could result in an event of default, which would allow our lenders to pursue various remedies, including accelerating the repayment of any outstanding indebtedness under our New Credit Agreement.</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products are subject to potential legislation. The adoption of such proposed legislation could limit the retail market for our products.</w:t>
      </w:r>
    </w:p>
    <w:p>
      <w:pPr>
        <w:spacing w:after="0" w:line="3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U.S., and adversely affect our business, financial condition and operating results. Other countries, such as Germany, have adopted laws regulating content both in packaged games and those transmitted over the Internet that are stricter than current U.S. laws. In the U.S., proposals have also been made by numerous state legislators to regulate and prohibit the sale of interactive entertainment software products containing certain types of violent or sexual content to under 17 or 18 audiences, such as the State of California's "ultraviolent video games law" that sought to ban the sale or rental of violent video games to minors. While such legislation to date has been enjoined by industry and retail groups or been found unconstitutional, the adoption into law of such legislation in federal and/or in state jurisdictions in which we do significant business could severely limit the retail market for some of our games.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government regulations relating to the Internet could have a negative impact on our business.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a significant charge to earnings if our goodwill becomes impaired.</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required under U.S. generally accepted accounting principles to review our goodwill for impairment at least annually or more frequently when events or changes in circumstances indicate the carrying value may not be recoverable. Factors that may be considered a change in circumstances, indicating a requirement to reevaluate whether our goodwill continues to be recoverable, include a significant decline in stock price and market capitalization, slower growth rates in our industry or other materially adverse events. We may be required to record a significant charge to earnings in our financial statements during the period in which any impairment of our goodwill is determined. This may adversely affect our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could be adversely affected by the application of existing or future accounting standards to our business as it evolves.</w:t>
      </w: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reported financial results are affected by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supported with material post-release activities, such as content updates and online-enabled features, and we could therefore be required to recognize more of the related revenues for those games over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9"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a period of time rather than at the time of sale. Further, as we increase our downloadable content and add new features to our online services, user playing patterns can affect our estimate of the service period may change and we 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section "Risks relating to our common stock," references to "the Company," "we," "our," and "us" refer only to Take-Two Interactive Software, Inc. and not to its subsidiaries.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Additional issuances or sales of equity securities by us would dilute the ownership of our existing stockholders and could adversely affect the market price of our common stock.</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issue equity or equity-based securities in the future in connection with acquisitions or strategic transactions, to adjust our ratio of debt to equity, including through repayment of outstanding debt, to fund expansion of our operations or for other purposes. To the extent we issue additional equity securities,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we will do additional share repurchases in the future.</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 repurchase program authorized by the Board of Directors, which authorized the repurchase of up to 14.2 million shares of our common stock and had 3.8 million shares available for repurchase as of the date of this filing, does not obligate us to make any purchases at any specific time or situation. Discontinuing repurchases could adversely affect the price of our common stock. The program may be suspended or discontinued at any time for any reason.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continue to fluctuate significantly.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our common stock historically has been, and we expect will continue to be, subject to significant fluctuations. These fluctuations may be due to factors specific to us including those discussed in the risk factors in this section as well as others not currently known to us or that we currently do not believe are material, to changes in securities analysts' earnings estimates or ratings, to our results or future financial guidance falling below our expectations and analysts' and investors' expectations, to factors affecting the computer, software, entertainment, media or electronics industries, or to national or international economic conditions.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markets, in general, have experienced over the years, and continue to experience significant price and volume fluctuations that have affected market prices for companies such as ours and that may be unrelated or disproportionate to the operating performance of the affected companies. These broad market and industry fluctuations may adversely affect the price of our stock, regardless of our operating performance.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our charter documents, and provisions of our debt agreements may impede or discourage a takeover, which could cause the market price of our shares to decline.</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 party to acquire control of us, even if a change in control would be beneficial to our existing stockholders. Our Board of Directors has the power, without stockholder approval, to adopt a stockholder rights plan and/or to designate the terms of one or more series of preferred stock and issue shares of preferred stock. The ability of our Board of Directors to create and issue a new series of preferred stock and certain provisions of Delaware law,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 and the value of any outstanding notes.</w:t>
      </w:r>
    </w:p>
    <w:p>
      <w:pPr>
        <w:sectPr>
          <w:pgSz w:w="11900" w:h="16838" w:orient="portrait"/>
          <w:cols w:equalWidth="0" w:num="1">
            <w:col w:w="11420"/>
          </w:cols>
          <w:pgMar w:left="240" w:top="719"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19" w:right="239" w:bottom="1440" w:gutter="0" w:footer="0" w:header="0"/>
          <w:type w:val="continuous"/>
        </w:sectPr>
      </w:pPr>
    </w:p>
    <w:bookmarkStart w:id="22" w:name="page23"/>
    <w:bookmarkEnd w:id="22"/>
    <w:p>
      <w:pPr>
        <w:jc w:val="both"/>
        <w:spacing w:after="0" w:line="308" w:lineRule="auto"/>
        <w:rPr>
          <w:sz w:val="20"/>
          <w:szCs w:val="20"/>
          <w:color w:val="auto"/>
        </w:rPr>
      </w:pPr>
      <w:r>
        <w:rPr>
          <w:rFonts w:ascii="Arial" w:cs="Arial" w:eastAsia="Arial" w:hAnsi="Arial"/>
          <w:sz w:val="17"/>
          <w:szCs w:val="17"/>
          <w:b w:val="1"/>
          <w:bCs w:val="1"/>
          <w:i w:val="1"/>
          <w:iCs w:val="1"/>
          <w:color w:val="auto"/>
        </w:rPr>
        <w:t>Our ability to use net operating loss and tax credit carryforwards to reduce future years' taxes could be substantially limited under Internal Revenue Code Sections 382 and 383 if we experience an ownership change as defined in the Internal Revenue Code Section 382.</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382 of the Internal Revenue Code contains rules that limit the ability of a company to use its net operating loss and tax credit carryforwards in years after an ownership change, which is generally defined as any change in ownership of more than 50% of its stock over a three-year testing period. These rules generally operate by focusing on ownership changes among stockholders owning directly or indirectly 5% or more of the stock of a company and/or any change in ownership arising from a new issuance of stock by the company. If, as a result of future transactions involving our common stock, including purchases or sales of stock by 5% stockholders, we undergo cumulative ownership changes which exceed 50% over the testing period, our ability to use our net operating loss and tax credit carryforwards would be subject to additional limitations under Sections 382 and 383.</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if an ownership change occurs, the annual taxable income limitation on the use of net operating loss and tax credit carryforwards is equal to the product of the applicable long-term tax-exempt rate and the value of the company's stock immediately before the ownership change. Depending on the resulting limitation, a portion of our net operating loss and tax credit carryforwards could expire before we would be able to use them.</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inability to fully utilize any net operating losses or tax credit carryforwards to reduce tax liability in the future could have a material and negative affect on our future financial position and results of operations.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at 110 West 44th Street (also known as 1133 Avenue of the Americas), New York, New York, in approximately 76,000 square feet of space under a lease expiring in December 2032.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also lease approximately 64,000 square feet of space under a lease expiring in March 2023 at 622 Broadway, New York, New York.</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Take-Two Interactive Software Europe Ltd, our wholly-owned subsidiary, leases 12,500 square feet of office space in Windsor, United Kingdom, which expires in January 2022. Rockstar North, our wholly-owned subsidiary, leases 72,000 square feet of office space in Edinburgh, Scotland, which expires in June 2024.</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2K corporate offices and two development studios occupy approximately 123,000 square feet of leased office space in Novato, California. The lease expires in June 2023 with respect to approximately 59,000 square feet and July 2025 with respect to approximately 64,000 square feet.</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other subsidiaries lease office space in Sydney, Australia; Oakville, Canada; Chengdu and Shanghai, China; Brno, Czech Republic; Paris, France; Munich, Germany; Budapest, Hungary; Bangalore, India; Tokyo, Japan; Breda, Netherlands; Auckland, New Zealand; Singapore; Seoul, South Korea; Madrid and Barcelona, Spain; Lucerne, Switzerland; Taipei, Taiwan; Brighton, London, Lincoln, Leeds, and Oxford, United Kingdom; and, in the United States, Carlsbad, Petaluma, and Moorpark, California; Sparks, Maryland; Andover and Westwood, Massachusetts; Las Vegas, Nevada; Bethpage and New York, New York; and Kirkland, Washington.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lease commitments, see Note 14 to the Consolidated Financial Statements.</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 may become, subject to demands and claims (including intellectual property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7, 2019, all of the previously disclosed lawsuits, claims, and counterclaims that had been pending since April 2016 with Mr. Leslie Benzies, the former president of one of our subsidiaries, were resolved.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71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"TTWO." The number of record holders of our common stock was 55 as of May 10,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cash dividends. We currently anticipate that all future earnings will be retained to finance the growth of our business and we do not expect to declare or pay any cash dividends in the foreseeable future. The payment of dividends in the future is within the discretion of our Board of Directors and will depend upon future earnings, capital requirements and other relevant factors. Our New Credit Agreement requires us to meet certain incurrence tests prior to paying a dividend. See "Liquidity and Capital Resources" under Item 7 for additional information on our New Credit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setting forth this information is included in Part III—Item 12, Security Ownership of Certain Beneficial Owners and Management and Related Stockholder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performance graph shall not be deemed "filed" for purposes of Section 18 of the Exchange Act or otherwise subject to the liabilities under that Section, and shall not be deemed to be incorporated by reference into any filing of the Company under the Exchange Act or the Securities Act of 1933.</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line graph compares, from March 31, 2014 through March 31, 2019, the cumulative total stockholder return on our common stock with the cumulative total return on the stocks comprising the NASDAQ Composite Index and the stocks comprising a peer group index consisting of Activision Blizzard, Inc. and Electronic Arts Inc. The comparison assumes $100 was invested on March 31, 2014 in our common stock and in each of the following indices and assumes reinvestment of all cash dividends, if any, paid on such securities. We have not paid any cash dividends and, therefore, our cumulative total return calculation is based solely upon stock price appreciation and not upon reinvestment of cash dividends. Historical stock price is not necessarily indicative of future stock price performance.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5" w:right="239" w:bottom="1440" w:gutter="0" w:footer="0" w:header="0"/>
        </w:sectPr>
      </w:pPr>
    </w:p>
    <w:bookmarkStart w:id="25" w:name="page26"/>
    <w:bookmarkEnd w:id="25"/>
    <w:p>
      <w:pPr>
        <w:jc w:val="center"/>
        <w:spacing w:after="0" w:line="442" w:lineRule="auto"/>
        <w:rPr>
          <w:sz w:val="20"/>
          <w:szCs w:val="20"/>
          <w:color w:val="auto"/>
        </w:rPr>
      </w:pPr>
      <w:r>
        <w:rPr>
          <w:rFonts w:ascii="Arial" w:cs="Arial" w:eastAsia="Arial" w:hAnsi="Arial"/>
          <w:sz w:val="18"/>
          <w:szCs w:val="18"/>
          <w:b w:val="1"/>
          <w:bCs w:val="1"/>
          <w:color w:val="auto"/>
        </w:rPr>
        <w:t>Comparison of 5 Year Cumulative Total Return* Among Take-Two Interactive Software, Inc., the NASDAQ Composite Index and a Peer Group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5866130" cy="2607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March 31, 2014 in stock or index - including reinvestment of dividends.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Take-Two Interactive Software,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430.32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176.24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194.97</w:t>
            </w: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191.27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369.88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276.19</w:t>
            </w:r>
          </w:p>
        </w:tc>
      </w:tr>
      <w:tr>
        <w:trPr>
          <w:trHeight w:val="27"/>
        </w:trPr>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has authorized the repurchase of up to 14,217,683 shares of our common stock. Under this program, we</w:t>
      </w:r>
      <w:r>
        <w:rPr>
          <w:rFonts w:ascii="Arial" w:cs="Arial" w:eastAsia="Arial" w:hAnsi="Arial"/>
          <w:sz w:val="16"/>
          <w:szCs w:val="16"/>
          <w:i w:val="1"/>
          <w:iCs w:val="1"/>
          <w:color w:val="auto"/>
        </w:rPr>
        <w:t xml:space="preserve"> </w:t>
      </w:r>
      <w:r>
        <w:rPr>
          <w:rFonts w:ascii="Arial" w:cs="Arial" w:eastAsia="Arial" w:hAnsi="Arial"/>
          <w:sz w:val="16"/>
          <w:szCs w:val="16"/>
          <w:color w:val="auto"/>
        </w:rPr>
        <w:t>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fiscal years ended March 31, 2019, 2018, and 2017 we repurchased 3,715,642, 1,512,557, and 0 shares of our common stock in the open market, respectively, for $362.4 million, $154.8 million, and $0.0 million, respectively, including commissions, as part of the program. As of March 31, 2019, we had repurchased a total of 10,399,529 shares of our common stock under the program, and 3,818,154 shares of our common stock remained available for repurchase under the share repurchase program. All of the repurchased shares are classified as Treasury stock in our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Table</w:t>
      </w:r>
      <w:r>
        <w:rPr>
          <w:rFonts w:ascii="Arial" w:cs="Arial" w:eastAsia="Arial" w:hAnsi="Arial"/>
          <w:sz w:val="18"/>
          <w:szCs w:val="18"/>
          <w:color w:val="auto"/>
        </w:rPr>
        <w:t>—The table below details the share repurchases that were made by us during the three months ended March 31, 2019:</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Average price</w:t>
            </w:r>
          </w:p>
        </w:tc>
        <w:tc>
          <w:tcPr>
            <w:tcW w:w="2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 under the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repurchase program</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 2019</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February 1 - 28, 2019</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1,119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89.53</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1 - 31, 2019</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675"/>
        </w:trPr>
        <w:tc>
          <w:tcPr>
            <w:tcW w:w="3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our Consolidated Financial Statements and related Notes, and Management's Discussion and Analysis of Financial Condition and Results of Operations included elsewhere in this Annual Report on Form 10-K.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4"/>
              </w:rPr>
              <w:t>Fiscal Year Ended March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2,668,394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1,792,892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1,779,748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1,082,938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1,144,750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894,581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756,789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599,825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288,071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333,837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173,533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67,303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(279,470)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2.95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2.90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642"/>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As of March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4,243,065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3,737,841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3,149,154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2,590,277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2,228,073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8,068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251,929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497,935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473,030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72" w:lineRule="exact"/>
        <w:rPr>
          <w:sz w:val="20"/>
          <w:szCs w:val="20"/>
          <w:color w:val="auto"/>
        </w:rPr>
      </w:pPr>
    </w:p>
    <w:p>
      <w:pPr>
        <w:ind w:right="20" w:firstLine="8"/>
        <w:spacing w:after="0" w:line="250" w:lineRule="auto"/>
        <w:tabs>
          <w:tab w:leader="none" w:pos="209"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fiscal 2019, we adopted Accounting Standards Update 2014-09, "Revenue from Contracts with Customers (Topic 606)," using a modified retrospective method. Therefore, prior periods were not restated.</w:t>
      </w:r>
    </w:p>
    <w:p>
      <w:pPr>
        <w:jc w:val="both"/>
        <w:ind w:firstLine="8"/>
        <w:spacing w:after="0" w:line="248" w:lineRule="auto"/>
        <w:tabs>
          <w:tab w:leader="none" w:pos="205"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fiscal 2016, we retrospectively adopted Accounting Standards Update 2015-03, "Simplifying the Presentation of Debt Issuance Costs," and as a result previously reported Total assets and Long-term debt have both decreased from previously reported amounts by $3,027 as of March 31, 2015, to reflect the deduction of debt issuance costs from the carrying amount of the related debt liability.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5" w:right="239" w:bottom="1440" w:gutter="0" w:footer="0" w:header="0"/>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developer, publisher and marketer of interactive entertainment for consumers around the globe. Our products are currently designed for console gaming systems, such as Sony's PS4 and Microsoft's Xbox One, and PC, including smartphones and tablets. We deliver our products through physical retail, digital download, online platforms and cloud streaming services.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South Korea, the United Kingdom, and the United States.</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Software titles published by our Rockstar Games label are primarily internally developed. We expect Rockstar Games, our 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 / adventure product category and to create groundbreaking entertainment by leveraging our existing titles as well as by developing new brands.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290 million units. The latest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has sold-in over 105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On October 26, 2018, Rockstar Games launched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which has been a critical and commercial success that set numerous entertainment industry records.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content and virtual currency, and releasing titles for smartphones and tablets.</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w:t>
      </w:r>
      <w:r>
        <w:rPr>
          <w:rFonts w:ascii="Arial" w:cs="Arial" w:eastAsia="Arial" w:hAnsi="Arial"/>
          <w:sz w:val="16"/>
          <w:szCs w:val="16"/>
          <w:i w:val="1"/>
          <w:iCs w:val="1"/>
          <w:color w:val="auto"/>
        </w:rPr>
        <w:t>Mafia</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Civilization,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XCOM</w:t>
      </w:r>
      <w:r>
        <w:rPr>
          <w:rFonts w:ascii="Arial" w:cs="Arial" w:eastAsia="Arial" w:hAnsi="Arial"/>
          <w:sz w:val="16"/>
          <w:szCs w:val="16"/>
          <w:color w:val="auto"/>
        </w:rPr>
        <w:t xml:space="preserve"> series. 2K also publishes successful externally developed franchises, such as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2K's realistic sports simulation titles include our flagship </w:t>
      </w:r>
      <w:r>
        <w:rPr>
          <w:rFonts w:ascii="Arial" w:cs="Arial" w:eastAsia="Arial" w:hAnsi="Arial"/>
          <w:sz w:val="16"/>
          <w:szCs w:val="16"/>
          <w:i w:val="1"/>
          <w:iCs w:val="1"/>
          <w:color w:val="auto"/>
        </w:rPr>
        <w:t>NBA 2K</w:t>
      </w:r>
      <w:r>
        <w:rPr>
          <w:rFonts w:ascii="Arial" w:cs="Arial" w:eastAsia="Arial" w:hAnsi="Arial"/>
          <w:sz w:val="16"/>
          <w:szCs w:val="16"/>
          <w:color w:val="auto"/>
        </w:rPr>
        <w:t xml:space="preserve"> series, which continues to be the top-ranked NBA basketball video game, the </w:t>
      </w:r>
      <w:r>
        <w:rPr>
          <w:rFonts w:ascii="Arial" w:cs="Arial" w:eastAsia="Arial" w:hAnsi="Arial"/>
          <w:sz w:val="16"/>
          <w:szCs w:val="16"/>
          <w:i w:val="1"/>
          <w:iCs w:val="1"/>
          <w:color w:val="auto"/>
        </w:rPr>
        <w:t>WWE 2K</w:t>
      </w:r>
      <w:r>
        <w:rPr>
          <w:rFonts w:ascii="Arial" w:cs="Arial" w:eastAsia="Arial" w:hAnsi="Arial"/>
          <w:sz w:val="16"/>
          <w:szCs w:val="16"/>
          <w:color w:val="auto"/>
        </w:rPr>
        <w:t xml:space="preserve"> professional wrestling series, and the </w:t>
      </w:r>
      <w:r>
        <w:rPr>
          <w:rFonts w:ascii="Arial" w:cs="Arial" w:eastAsia="Arial" w:hAnsi="Arial"/>
          <w:sz w:val="16"/>
          <w:szCs w:val="16"/>
          <w:i w:val="1"/>
          <w:iCs w:val="1"/>
          <w:color w:val="auto"/>
        </w:rPr>
        <w:t>Golf Club</w:t>
      </w:r>
      <w:r>
        <w:rPr>
          <w:rFonts w:ascii="Arial" w:cs="Arial" w:eastAsia="Arial" w:hAnsi="Arial"/>
          <w:sz w:val="16"/>
          <w:szCs w:val="16"/>
          <w:color w:val="auto"/>
        </w:rPr>
        <w:t>.</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Our Private Division label is dedicated to bringing titles from top independent developers to market. Private Division will publish three upcoming titles based on new IP from renowned industry creative talent, including </w:t>
      </w:r>
      <w:r>
        <w:rPr>
          <w:rFonts w:ascii="Arial" w:cs="Arial" w:eastAsia="Arial" w:hAnsi="Arial"/>
          <w:sz w:val="17"/>
          <w:szCs w:val="17"/>
          <w:i w:val="1"/>
          <w:iCs w:val="1"/>
          <w:color w:val="auto"/>
        </w:rPr>
        <w:t>The Outer Worlds</w:t>
      </w:r>
      <w:r>
        <w:rPr>
          <w:rFonts w:ascii="Arial" w:cs="Arial" w:eastAsia="Arial" w:hAnsi="Arial"/>
          <w:sz w:val="17"/>
          <w:szCs w:val="17"/>
          <w:color w:val="auto"/>
        </w:rPr>
        <w:t xml:space="preserve"> and </w:t>
      </w:r>
      <w:r>
        <w:rPr>
          <w:rFonts w:ascii="Arial" w:cs="Arial" w:eastAsia="Arial" w:hAnsi="Arial"/>
          <w:sz w:val="17"/>
          <w:szCs w:val="17"/>
          <w:i w:val="1"/>
          <w:iCs w:val="1"/>
          <w:color w:val="auto"/>
        </w:rPr>
        <w:t>Ancestors: The Humankind Odyssey</w:t>
      </w:r>
      <w:r>
        <w:rPr>
          <w:rFonts w:ascii="Arial" w:cs="Arial" w:eastAsia="Arial" w:hAnsi="Arial"/>
          <w:sz w:val="17"/>
          <w:szCs w:val="17"/>
          <w:color w:val="auto"/>
        </w:rPr>
        <w:t xml:space="preserve">, both of which are planned for release in calendar 2019. Additionally, Private Division is the publisher of </w:t>
      </w:r>
      <w:r>
        <w:rPr>
          <w:rFonts w:ascii="Arial" w:cs="Arial" w:eastAsia="Arial" w:hAnsi="Arial"/>
          <w:sz w:val="17"/>
          <w:szCs w:val="17"/>
          <w:i w:val="1"/>
          <w:iCs w:val="1"/>
          <w:color w:val="auto"/>
        </w:rPr>
        <w:t>Kerbal Space Program,</w:t>
      </w:r>
      <w:r>
        <w:rPr>
          <w:rFonts w:ascii="Arial" w:cs="Arial" w:eastAsia="Arial" w:hAnsi="Arial"/>
          <w:sz w:val="17"/>
          <w:szCs w:val="17"/>
          <w:color w:val="auto"/>
        </w:rPr>
        <w:t xml:space="preserve"> which we acquired in May 2017.</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Social Point develops and publishes popular free-to-play mobile games that deliver high quality, deeply-engaging entertainment 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8"/>
          <w:szCs w:val="18"/>
          <w:i w:val="1"/>
          <w:iCs w:val="1"/>
          <w:color w:val="auto"/>
        </w:rPr>
        <w:t>NBA 2K Online</w:t>
      </w:r>
      <w:r>
        <w:rPr>
          <w:rFonts w:ascii="Arial" w:cs="Arial" w:eastAsia="Arial" w:hAnsi="Arial"/>
          <w:sz w:val="18"/>
          <w:szCs w:val="18"/>
          <w:color w:val="auto"/>
        </w:rPr>
        <w:t>, our free-to-play NBA simulation game, which was co-developed by 2K and Tencent, is the top online PC</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1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 xml:space="preserve">sports game in China with over 45 million registered users. On August 2, 2018, 2K and Tencent commercially launched </w:t>
      </w:r>
      <w:r>
        <w:rPr>
          <w:rFonts w:ascii="Arial" w:cs="Arial" w:eastAsia="Arial" w:hAnsi="Arial"/>
          <w:sz w:val="18"/>
          <w:szCs w:val="18"/>
          <w:i w:val="1"/>
          <w:iCs w:val="1"/>
          <w:color w:val="auto"/>
        </w:rPr>
        <w:t>NBA 2K Online 2</w:t>
      </w:r>
      <w:r>
        <w:rPr>
          <w:rFonts w:ascii="Arial" w:cs="Arial" w:eastAsia="Arial" w:hAnsi="Arial"/>
          <w:sz w:val="18"/>
          <w:szCs w:val="18"/>
          <w:color w:val="auto"/>
        </w:rPr>
        <w:t xml:space="preserve"> in China. The title is based on the console edition of NBA 2K and includes an array of new features.</w:t>
      </w:r>
    </w:p>
    <w:p>
      <w:pPr>
        <w:spacing w:after="0" w:line="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2017, we expanded our relationship with the NBA through the creation of the NBA 2K League. Launched in May 2018, this groundbreaking competitive gaming league is jointly owned by us and the NBA and consists of teams operated by actual NBA franchises. The NBA 2K League follows a professional sports league format: the inaugural season included head-to-head competition throughout a regular season, followed by a bracketed playoff system and a finals match-up that was held in August 2018. The NBA 2K League began its second season on April 2,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Product Release Schedule. </w:t>
      </w:r>
      <w:r>
        <w:rPr>
          <w:rFonts w:ascii="Arial" w:cs="Arial" w:eastAsia="Arial" w:hAnsi="Arial"/>
          <w:sz w:val="17"/>
          <w:szCs w:val="17"/>
          <w:color w:val="auto"/>
        </w:rPr>
        <w:t>Our financial results are affected by the timing of our product releases and the commercial success of those titles.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in particular have historically accounted for a significant portion of our revenue. Sales of</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25.7% of our net revenue for the fiscal year ended March 31, 2019. In October 2018, we released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Sales of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products generated 32.1% of our net revenue for the fiscal year ended March 31, 2019. The timing of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or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product releases may affect our financial performance on a quarterly and annual basis.</w:t>
      </w:r>
    </w:p>
    <w:p>
      <w:pPr>
        <w:spacing w:after="0" w:line="2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Economic Environment and Retailer Performance. </w:t>
      </w:r>
      <w:r>
        <w:rPr>
          <w:rFonts w:ascii="Arial" w:cs="Arial" w:eastAsia="Arial" w:hAnsi="Arial"/>
          <w:sz w:val="17"/>
          <w:szCs w:val="17"/>
          <w:color w:val="auto"/>
        </w:rPr>
        <w:t>We continue to monitor economic conditions that may unfavorably affect our businesses,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deteriorating consumer demand, pricing pressure on our products, credit quality of our receivables, and foreign currency exchange rates. Our business is dependent upon a limited number of customers that account for a significant portion of our revenue. Our five largest customers accounted for 70.1%, 70.7% and 65.5% of net revenue during the fiscal years ended March 31, 2019, 2018 and 2017, respectively. As of March 31, 2019 and 2018, five customers comprised 66.6% and 65.4% of our gross accounts receivable, respectively, with our significant customers (those that individually comprised more than 10% of our gross accounts receivable balance) accounting for 55.8% and 53.2% of such balance at March 31, 2019 and 2018, respectively. We had two customers who accounted for 40.1% and 15.7% of our gross accounts receivable as of March 31, 2019 and two customers who accounted for 37.7% and 15.5% of our gross accounts receivable as of March 31, 2018. We did not have any additional customers that exceeded 10% of our gross accounts receivable as of March 31, 2019 and 2018. The economic environment has affected our customers in the past, and may do so in the future. Bankruptcies or consolidations of our large retail customers could seriously hurt our business, due to uncollectible accounts receivables and the concentration of purchasing power among the remaining large retailers.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Sony's PS4 and Microsoft's Xbox One, which comprised 83.7% of our net revenue by product platform for the fiscal year ended March 31, 2019. The success of our business is dependent upon the consumer acceptance of these platforms and the continued growth in the installed base of these platforms. When new hardware platforms are introduced, demand for software used on older platforms typically declines, which may negatively affect our business during the market transition to the new consoles. We continually monitor console hardware sales.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emerging platforms such as tablets, smartphones and online games.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online delivery methods. We provide a variety of online delivered products and offerings. Virtually all of our titles that are available through retailers as packaged goods products are also available through direct digital download (from websites we own and others owned by third parties) as well as a larger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Our "Results of Operations," discloses that net revenue from digital online channels comprised 63.0% of our net revenue for the fiscal year ended March 31, 2019. We expect online delivery of games and game offerings to continue to grow and to become an increasing part of our business over the long-term.</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Product Releases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released the following key titles in fiscal year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Internal or</w:t>
            </w: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w:t>
            </w:r>
          </w:p>
        </w:tc>
        <w:tc>
          <w:tcPr>
            <w:tcW w:w="140" w:type="dxa"/>
            <w:vAlign w:val="bottom"/>
            <w:vMerge w:val="restart"/>
          </w:tcPr>
          <w:p>
            <w:pPr>
              <w:spacing w:after="0"/>
              <w:rPr>
                <w:sz w:val="12"/>
                <w:szCs w:val="12"/>
                <w:color w:val="auto"/>
              </w:rPr>
            </w:pPr>
          </w:p>
        </w:tc>
        <w:tc>
          <w:tcPr>
            <w:tcW w:w="13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Publishing Label</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External</w:t>
            </w:r>
          </w:p>
        </w:tc>
        <w:tc>
          <w:tcPr>
            <w:tcW w:w="2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Platform(s)</w:t>
            </w:r>
          </w:p>
        </w:tc>
        <w:tc>
          <w:tcPr>
            <w:tcW w:w="100" w:type="dxa"/>
            <w:vAlign w:val="bottom"/>
            <w:vMerge w:val="restart"/>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Released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Grand Theft Auto V Premium Online Edition</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Rockstar Games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April 20, 2018</w:t>
            </w:r>
          </w:p>
        </w:tc>
        <w:tc>
          <w:tcPr>
            <w:tcW w:w="0" w:type="dxa"/>
            <w:vAlign w:val="bottom"/>
          </w:tcPr>
          <w:p>
            <w:pPr>
              <w:spacing w:after="0"/>
              <w:rPr>
                <w:sz w:val="1"/>
                <w:szCs w:val="1"/>
                <w:color w:val="auto"/>
              </w:rPr>
            </w:pPr>
          </w:p>
        </w:tc>
      </w:tr>
      <w:tr>
        <w:trPr>
          <w:trHeight w:val="157"/>
        </w:trPr>
        <w:tc>
          <w:tcPr>
            <w:tcW w:w="334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rPr>
              <w:t>The Golf Club 2019 Featuring PGA TOUR</w:t>
            </w: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7"/>
              </w:rPr>
              <w:t>External</w:t>
            </w:r>
          </w:p>
        </w:tc>
        <w:tc>
          <w:tcPr>
            <w:tcW w:w="2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PS4, Xbox One, PC</w:t>
            </w:r>
          </w:p>
        </w:tc>
        <w:tc>
          <w:tcPr>
            <w:tcW w:w="2160" w:type="dxa"/>
            <w:vAlign w:val="bottom"/>
          </w:tcPr>
          <w:p>
            <w:pPr>
              <w:jc w:val="center"/>
              <w:spacing w:after="0" w:line="157" w:lineRule="exact"/>
              <w:rPr>
                <w:sz w:val="20"/>
                <w:szCs w:val="20"/>
                <w:color w:val="auto"/>
              </w:rPr>
            </w:pPr>
            <w:r>
              <w:rPr>
                <w:rFonts w:ascii="Arial" w:cs="Arial" w:eastAsia="Arial" w:hAnsi="Arial"/>
                <w:sz w:val="14"/>
                <w:szCs w:val="14"/>
                <w:color w:val="auto"/>
                <w:w w:val="94"/>
              </w:rPr>
              <w:t>August 27, 2018</w:t>
            </w:r>
          </w:p>
        </w:tc>
        <w:tc>
          <w:tcPr>
            <w:tcW w:w="0" w:type="dxa"/>
            <w:vAlign w:val="bottom"/>
          </w:tcPr>
          <w:p>
            <w:pPr>
              <w:spacing w:after="0"/>
              <w:rPr>
                <w:sz w:val="1"/>
                <w:szCs w:val="1"/>
                <w:color w:val="auto"/>
              </w:rPr>
            </w:pPr>
          </w:p>
        </w:tc>
      </w:tr>
      <w:tr>
        <w:trPr>
          <w:trHeight w:val="188"/>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(Digital)</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NBA 2K Online 2</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External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Tencent (China only)</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August 2, 2018</w:t>
            </w:r>
          </w:p>
        </w:tc>
        <w:tc>
          <w:tcPr>
            <w:tcW w:w="0" w:type="dxa"/>
            <w:vAlign w:val="bottom"/>
          </w:tcPr>
          <w:p>
            <w:pPr>
              <w:spacing w:after="0"/>
              <w:rPr>
                <w:sz w:val="1"/>
                <w:szCs w:val="1"/>
                <w:color w:val="auto"/>
              </w:rPr>
            </w:pPr>
          </w:p>
        </w:tc>
      </w:tr>
      <w:tr>
        <w:trPr>
          <w:trHeight w:val="197"/>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NBA 2K19 20th Anniversary Edition</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PS4, Xbox One, Nintendo Switch, PC</w:t>
            </w:r>
          </w:p>
        </w:tc>
        <w:tc>
          <w:tcPr>
            <w:tcW w:w="2160" w:type="dxa"/>
            <w:vAlign w:val="bottom"/>
          </w:tcPr>
          <w:p>
            <w:pPr>
              <w:jc w:val="center"/>
              <w:spacing w:after="0"/>
              <w:rPr>
                <w:sz w:val="20"/>
                <w:szCs w:val="20"/>
                <w:color w:val="auto"/>
              </w:rPr>
            </w:pPr>
            <w:r>
              <w:rPr>
                <w:rFonts w:ascii="Arial" w:cs="Arial" w:eastAsia="Arial" w:hAnsi="Arial"/>
                <w:sz w:val="14"/>
                <w:szCs w:val="14"/>
                <w:color w:val="auto"/>
                <w:w w:val="90"/>
              </w:rPr>
              <w:t>September 7, 2018</w:t>
            </w: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NBA 2K19 Standard Edition</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Nintendo Switch, PC</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September 11, 2018</w:t>
            </w:r>
          </w:p>
        </w:tc>
        <w:tc>
          <w:tcPr>
            <w:tcW w:w="0" w:type="dxa"/>
            <w:vAlign w:val="bottom"/>
          </w:tcPr>
          <w:p>
            <w:pPr>
              <w:spacing w:after="0"/>
              <w:rPr>
                <w:sz w:val="1"/>
                <w:szCs w:val="1"/>
                <w:color w:val="auto"/>
              </w:rPr>
            </w:pPr>
          </w:p>
        </w:tc>
      </w:tr>
      <w:tr>
        <w:trPr>
          <w:trHeight w:val="197"/>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WWE 2K19 Woooo! Deluxe Edition</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Internal/External</w:t>
            </w: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PS4, Xbox One, PC</w:t>
            </w:r>
          </w:p>
        </w:tc>
        <w:tc>
          <w:tcPr>
            <w:tcW w:w="2160" w:type="dxa"/>
            <w:vAlign w:val="bottom"/>
          </w:tcPr>
          <w:p>
            <w:pPr>
              <w:jc w:val="center"/>
              <w:spacing w:after="0"/>
              <w:rPr>
                <w:sz w:val="20"/>
                <w:szCs w:val="20"/>
                <w:color w:val="auto"/>
              </w:rPr>
            </w:pPr>
            <w:r>
              <w:rPr>
                <w:rFonts w:ascii="Arial" w:cs="Arial" w:eastAsia="Arial" w:hAnsi="Arial"/>
                <w:sz w:val="14"/>
                <w:szCs w:val="14"/>
                <w:color w:val="auto"/>
                <w:w w:val="91"/>
              </w:rPr>
              <w:t>October 5, 2018</w:t>
            </w: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WWE 2K19</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Internal/External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9, 2018</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NBA 2K Playgrounds 2</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External</w:t>
            </w: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PS4, Xbox One, Nintendo Switch, PC</w:t>
            </w:r>
          </w:p>
        </w:tc>
        <w:tc>
          <w:tcPr>
            <w:tcW w:w="2160" w:type="dxa"/>
            <w:vAlign w:val="bottom"/>
          </w:tcPr>
          <w:p>
            <w:pPr>
              <w:jc w:val="center"/>
              <w:spacing w:after="0"/>
              <w:rPr>
                <w:sz w:val="20"/>
                <w:szCs w:val="20"/>
                <w:color w:val="auto"/>
              </w:rPr>
            </w:pPr>
            <w:r>
              <w:rPr>
                <w:rFonts w:ascii="Arial" w:cs="Arial" w:eastAsia="Arial" w:hAnsi="Arial"/>
                <w:sz w:val="14"/>
                <w:szCs w:val="14"/>
                <w:color w:val="auto"/>
                <w:w w:val="92"/>
              </w:rPr>
              <w:t>October 16, 2018</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Red Dead Redemption 2</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Rockstar Games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October 26, 2018</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34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rPr>
              <w:t>Carnival Games</w:t>
            </w: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8"/>
              </w:rPr>
              <w:t>Internal</w:t>
            </w:r>
          </w:p>
        </w:tc>
        <w:tc>
          <w:tcPr>
            <w:tcW w:w="2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PS4, Xbox One,</w:t>
            </w:r>
          </w:p>
        </w:tc>
        <w:tc>
          <w:tcPr>
            <w:tcW w:w="2160" w:type="dxa"/>
            <w:vAlign w:val="bottom"/>
          </w:tcPr>
          <w:p>
            <w:pPr>
              <w:jc w:val="center"/>
              <w:spacing w:after="0" w:line="157" w:lineRule="exact"/>
              <w:rPr>
                <w:sz w:val="20"/>
                <w:szCs w:val="20"/>
                <w:color w:val="auto"/>
              </w:rPr>
            </w:pPr>
            <w:r>
              <w:rPr>
                <w:rFonts w:ascii="Arial" w:cs="Arial" w:eastAsia="Arial" w:hAnsi="Arial"/>
                <w:sz w:val="14"/>
                <w:szCs w:val="14"/>
                <w:color w:val="auto"/>
                <w:w w:val="93"/>
              </w:rPr>
              <w:t>November 6, 2018</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Nintendo Switch</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 Golf Club 2019 Featuring PGA TOUR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External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November 13, 2018</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i w:val="1"/>
                <w:iCs w:val="1"/>
                <w:color w:val="auto"/>
              </w:rPr>
              <w:t>(Physical)</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(North America)</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November 16, 2018 (International)</w:t>
            </w:r>
          </w:p>
        </w:tc>
        <w:tc>
          <w:tcPr>
            <w:tcW w:w="0" w:type="dxa"/>
            <w:vAlign w:val="bottom"/>
          </w:tcPr>
          <w:p>
            <w:pPr>
              <w:spacing w:after="0"/>
              <w:rPr>
                <w:sz w:val="1"/>
                <w:szCs w:val="1"/>
                <w:color w:val="auto"/>
              </w:rPr>
            </w:pPr>
          </w:p>
        </w:tc>
      </w:tr>
      <w:tr>
        <w:trPr>
          <w:trHeight w:val="191"/>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Sid Meier's Civilization VI</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External</w:t>
            </w: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Nintendo Switch</w:t>
            </w:r>
          </w:p>
        </w:tc>
        <w:tc>
          <w:tcPr>
            <w:tcW w:w="2160" w:type="dxa"/>
            <w:vAlign w:val="bottom"/>
          </w:tcPr>
          <w:p>
            <w:pPr>
              <w:jc w:val="center"/>
              <w:spacing w:after="0"/>
              <w:rPr>
                <w:sz w:val="20"/>
                <w:szCs w:val="20"/>
                <w:color w:val="auto"/>
              </w:rPr>
            </w:pPr>
            <w:r>
              <w:rPr>
                <w:rFonts w:ascii="Arial" w:cs="Arial" w:eastAsia="Arial" w:hAnsi="Arial"/>
                <w:sz w:val="14"/>
                <w:szCs w:val="14"/>
                <w:color w:val="auto"/>
                <w:w w:val="94"/>
              </w:rPr>
              <w:t>November 16, 2018</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Red Dead Online Beta</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Rockstar Games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November 27, 2018</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Sid Meier's Civilization VI: Gathering Storm</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Internal</w:t>
            </w: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PC</w:t>
            </w:r>
          </w:p>
        </w:tc>
        <w:tc>
          <w:tcPr>
            <w:tcW w:w="2160" w:type="dxa"/>
            <w:vAlign w:val="bottom"/>
          </w:tcPr>
          <w:p>
            <w:pPr>
              <w:jc w:val="center"/>
              <w:spacing w:after="0"/>
              <w:rPr>
                <w:sz w:val="20"/>
                <w:szCs w:val="20"/>
                <w:color w:val="auto"/>
              </w:rPr>
            </w:pPr>
            <w:r>
              <w:rPr>
                <w:rFonts w:ascii="Arial" w:cs="Arial" w:eastAsia="Arial" w:hAnsi="Arial"/>
                <w:sz w:val="14"/>
                <w:szCs w:val="14"/>
                <w:color w:val="auto"/>
                <w:w w:val="92"/>
              </w:rPr>
              <w:t>February 14, 2019</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Borderlands: Game of the Year Edition</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Internal/External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April 3, 2019</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announced the following key titles to date (this list does not represent all titles currently in development):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Internal or</w:t>
            </w: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w:t>
            </w:r>
          </w:p>
        </w:tc>
        <w:tc>
          <w:tcPr>
            <w:tcW w:w="140" w:type="dxa"/>
            <w:vAlign w:val="bottom"/>
            <w:vMerge w:val="restart"/>
          </w:tcPr>
          <w:p>
            <w:pPr>
              <w:spacing w:after="0"/>
              <w:rPr>
                <w:sz w:val="12"/>
                <w:szCs w:val="12"/>
                <w:color w:val="auto"/>
              </w:rPr>
            </w:pPr>
          </w:p>
        </w:tc>
        <w:tc>
          <w:tcPr>
            <w:tcW w:w="20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Publishing Label</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External</w:t>
            </w:r>
          </w:p>
        </w:tc>
        <w:tc>
          <w:tcPr>
            <w:tcW w:w="2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Platform(s)</w:t>
            </w:r>
          </w:p>
        </w:tc>
        <w:tc>
          <w:tcPr>
            <w:tcW w:w="120" w:type="dxa"/>
            <w:vAlign w:val="bottom"/>
            <w:vMerge w:val="restart"/>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Expected Release Date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Borderlands 3</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2K/Gearbox Software</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Internal/External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September 13, 2019</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NBA 2K20</w:t>
            </w:r>
          </w:p>
        </w:tc>
        <w:tc>
          <w:tcPr>
            <w:tcW w:w="218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TBA</w:t>
            </w:r>
          </w:p>
        </w:tc>
        <w:tc>
          <w:tcPr>
            <w:tcW w:w="1820" w:type="dxa"/>
            <w:vAlign w:val="bottom"/>
          </w:tcPr>
          <w:p>
            <w:pPr>
              <w:jc w:val="center"/>
              <w:spacing w:after="0"/>
              <w:rPr>
                <w:sz w:val="20"/>
                <w:szCs w:val="20"/>
                <w:color w:val="auto"/>
              </w:rPr>
            </w:pPr>
            <w:r>
              <w:rPr>
                <w:rFonts w:ascii="Arial" w:cs="Arial" w:eastAsia="Arial" w:hAnsi="Arial"/>
                <w:sz w:val="14"/>
                <w:szCs w:val="14"/>
                <w:color w:val="auto"/>
              </w:rPr>
              <w:t>TBA</w:t>
            </w:r>
          </w:p>
        </w:tc>
        <w:tc>
          <w:tcPr>
            <w:tcW w:w="0" w:type="dxa"/>
            <w:vAlign w:val="bottom"/>
          </w:tcPr>
          <w:p>
            <w:pPr>
              <w:spacing w:after="0"/>
              <w:rPr>
                <w:sz w:val="1"/>
                <w:szCs w:val="1"/>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WWE 2K20</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Internal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TBA</w:t>
            </w: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PS4, Xbox One,</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Ancestors: The Humankind Odyssey</w:t>
            </w:r>
          </w:p>
        </w:tc>
        <w:tc>
          <w:tcPr>
            <w:tcW w:w="2180" w:type="dxa"/>
            <w:vAlign w:val="bottom"/>
            <w:gridSpan w:val="2"/>
          </w:tcPr>
          <w:p>
            <w:pPr>
              <w:ind w:left="20"/>
              <w:spacing w:after="0"/>
              <w:rPr>
                <w:sz w:val="20"/>
                <w:szCs w:val="20"/>
                <w:color w:val="auto"/>
              </w:rPr>
            </w:pPr>
            <w:r>
              <w:rPr>
                <w:rFonts w:ascii="Arial" w:cs="Arial" w:eastAsia="Arial" w:hAnsi="Arial"/>
                <w:sz w:val="14"/>
                <w:szCs w:val="14"/>
                <w:color w:val="auto"/>
              </w:rPr>
              <w:t>Private Division</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PC (digital only)</w:t>
            </w:r>
          </w:p>
        </w:tc>
        <w:tc>
          <w:tcPr>
            <w:tcW w:w="1820" w:type="dxa"/>
            <w:vAlign w:val="bottom"/>
          </w:tcPr>
          <w:p>
            <w:pPr>
              <w:jc w:val="center"/>
              <w:spacing w:after="0"/>
              <w:rPr>
                <w:sz w:val="20"/>
                <w:szCs w:val="20"/>
                <w:color w:val="auto"/>
              </w:rPr>
            </w:pPr>
            <w:r>
              <w:rPr>
                <w:rFonts w:ascii="Arial" w:cs="Arial" w:eastAsia="Arial" w:hAnsi="Arial"/>
                <w:sz w:val="14"/>
                <w:szCs w:val="14"/>
                <w:color w:val="auto"/>
                <w:w w:val="95"/>
              </w:rPr>
              <w:t>2019 (fiscal 2020)</w:t>
            </w:r>
          </w:p>
        </w:tc>
        <w:tc>
          <w:tcPr>
            <w:tcW w:w="0" w:type="dxa"/>
            <w:vAlign w:val="bottom"/>
          </w:tcPr>
          <w:p>
            <w:pPr>
              <w:spacing w:after="0"/>
              <w:rPr>
                <w:sz w:val="1"/>
                <w:szCs w:val="1"/>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 Outer Worlds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Division</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2019 (fiscal 2020)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Financial Summary</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April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related amendments (the “New Revenue Accounting Standard”) using the modified retrospective method. Therefore, no prior amounts have been restated in our tables and discussion below. Refer to Note 1 to our Consolidated Financial Statements for our accounting policy disclosure for revenue recognition. In general, the adoption of Topic 606 results in a more accelerated revenue pattern, due primarily to (i) the elimination of the requirement for vendor-specific objective evidence ("VSOE") of fair value when allocating between multiple performance obligations and (ii) the change of our estimated service period to a user life. However, the impact on a given period may differ from this general trend. In October 2018, we released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The acceleration of revenue for this title was material and is the primary component of the significant increases in certain of our operating results as a result of the adoption of Topic 606 throughout the discussion in our "Results of Operations" below. See Notes 1 and 2 to our Consolidated Financial Statements for further information.</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Net revenue for fiscal year ended March 31, 2019 was led by titles from a variety of our top franchises, primarily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w:t>
      </w:r>
      <w:r>
        <w:rPr>
          <w:rFonts w:ascii="Arial" w:cs="Arial" w:eastAsia="Arial" w:hAnsi="Arial"/>
          <w:sz w:val="18"/>
          <w:szCs w:val="18"/>
          <w:color w:val="auto"/>
        </w:rPr>
        <w:t>,</w:t>
      </w:r>
      <w:r>
        <w:rPr>
          <w:rFonts w:ascii="Arial" w:cs="Arial" w:eastAsia="Arial" w:hAnsi="Arial"/>
          <w:sz w:val="18"/>
          <w:szCs w:val="18"/>
          <w:i w:val="1"/>
          <w:iCs w:val="1"/>
          <w:color w:val="auto"/>
        </w:rPr>
        <w:t xml:space="preserve"> NBA 2K,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 </w:t>
      </w:r>
      <w:r>
        <w:rPr>
          <w:rFonts w:ascii="Arial" w:cs="Arial" w:eastAsia="Arial" w:hAnsi="Arial"/>
          <w:sz w:val="18"/>
          <w:szCs w:val="18"/>
          <w:color w:val="auto"/>
        </w:rPr>
        <w:t>Our Net revenue increased to $2,668.4 million, an increase of $875.5 million or 48.8%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This increase included a $741.2 million increase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9"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in Net revenue as a result of the adoption of Topic 606, as described above. The remaining increase was driven by sales of the titles described above.</w:t>
      </w:r>
    </w:p>
    <w:p>
      <w:pPr>
        <w:spacing w:after="0" w:line="29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During the fiscal year ended March 31, 2019, we recognized a tax benefit of $107.1 million from a reduction in our valuation allowance on certain U.S. deferred tax assets as a result of a determination that it was more-likely-than-not that such deferred tax assets would be realized. Our determination took into account the successful launch of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during the current fiscal year along with our recent positive trend of earnings.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 the fiscal year ended March 31, 2019, our Net income was $333.8 million, as compared to Net income of $173.5 million in the prior year. Diluted earnings per share for the fiscal year ended March 31, 2019 was $2.90, as compared to Diluted income per share of $1.54 for the fiscal year ended March 31, 2018. Our operating income for the fiscal year ended March 31, 2019 increased compared to the operating income for fiscal year ended March 31, 2018, due primarily to higher Gross profit due primarily to higher revenue as a result of the adoption of Topic 606 as described above and the successful launch </w:t>
      </w:r>
      <w:r>
        <w:rPr>
          <w:rFonts w:ascii="Arial" w:cs="Arial" w:eastAsia="Arial" w:hAnsi="Arial"/>
          <w:sz w:val="18"/>
          <w:szCs w:val="18"/>
          <w:i w:val="1"/>
          <w:iCs w:val="1"/>
          <w:color w:val="auto"/>
        </w:rPr>
        <w:t>Red Dead Redemption 2</w:t>
      </w:r>
      <w:r>
        <w:rPr>
          <w:rFonts w:ascii="Arial" w:cs="Arial" w:eastAsia="Arial" w:hAnsi="Arial"/>
          <w:sz w:val="18"/>
          <w:szCs w:val="18"/>
          <w:color w:val="auto"/>
        </w:rPr>
        <w:t>, partially offset by higher Operating expenses primarily due to higher Selling and marketing expense for titles released during the current fiscal year.</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At March 31, 2019, we had $1,392.0 million of Cash and Cash equivalents and Restricted cash, compared to 1,246.4 million at March 31, 2018. The increase in Cash and cash equivalents and Restricted cash from March 31, 2018 was due primarily to Net cash provided by operating activities from sales, primarily of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partially offset by investments in software development and licenses as well as royalty payments. These net increases were offset by Net cash used in financing activities, which was primarily related to repurchases of common stock under our share repurchase program and tax payments related to net share settlements of our restricted stock, and to a lesser extent Net cash used in investing activities, which was primarily related to bank time deposits and purchases of fixed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and income taxes. See Note 1 - Basis of Presentation and Significant Accounting Policies in the Notes to our Consolidated Financial Statements in this Annual Report on 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1 - Basis of Presentation and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60" w:type="dxa"/>
            <w:vAlign w:val="bottom"/>
            <w:gridSpan w:val="5"/>
          </w:tcPr>
          <w:p>
            <w:pPr>
              <w:ind w:left="760"/>
              <w:spacing w:after="0"/>
              <w:rPr>
                <w:sz w:val="20"/>
                <w:szCs w:val="20"/>
                <w:color w:val="auto"/>
              </w:rPr>
            </w:pPr>
            <w:r>
              <w:rPr>
                <w:rFonts w:ascii="Arial" w:cs="Arial" w:eastAsia="Arial" w:hAnsi="Arial"/>
                <w:sz w:val="18"/>
                <w:szCs w:val="18"/>
                <w:b w:val="1"/>
                <w:bCs w:val="1"/>
                <w:color w:val="auto"/>
              </w:rPr>
              <w:t>Fiscal Year Ended March 31,</w:t>
            </w:r>
          </w:p>
        </w:tc>
        <w:tc>
          <w:tcPr>
            <w:tcW w:w="234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Increase/(decrease)</w:t>
            </w:r>
          </w:p>
        </w:tc>
        <w:tc>
          <w:tcPr>
            <w:tcW w:w="234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Increase/(decrease) %</w:t>
            </w:r>
          </w:p>
        </w:tc>
      </w:tr>
      <w:tr>
        <w:trPr>
          <w:trHeight w:val="27"/>
        </w:trPr>
        <w:tc>
          <w:tcPr>
            <w:tcW w:w="2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23"/>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Bookings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2,928,724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1,990,602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938,122</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41"/>
        </w:trPr>
        <w:tc>
          <w:tcPr>
            <w:tcW w:w="2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For the fiscal year ended March 31, 2019, Net Bookings increased by $938.1 million as compared to the prior year period due primarily to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2, </w:t>
      </w:r>
      <w:r>
        <w:rPr>
          <w:rFonts w:ascii="Arial" w:cs="Arial" w:eastAsia="Arial" w:hAnsi="Arial"/>
          <w:sz w:val="18"/>
          <w:szCs w:val="18"/>
          <w:color w:val="auto"/>
        </w:rPr>
        <w:t>which released in October 2018, and our</w:t>
      </w:r>
      <w:r>
        <w:rPr>
          <w:rFonts w:ascii="Arial" w:cs="Arial" w:eastAsia="Arial" w:hAnsi="Arial"/>
          <w:sz w:val="18"/>
          <w:szCs w:val="18"/>
          <w:i w:val="1"/>
          <w:iCs w:val="1"/>
          <w:color w:val="auto"/>
        </w:rPr>
        <w:t xml:space="preserve"> NBA 2K </w:t>
      </w:r>
      <w:r>
        <w:rPr>
          <w:rFonts w:ascii="Arial" w:cs="Arial" w:eastAsia="Arial" w:hAnsi="Arial"/>
          <w:sz w:val="18"/>
          <w:szCs w:val="18"/>
          <w:color w:val="auto"/>
        </w:rPr>
        <w:t>franchise, partially offset by a decrease from</w:t>
      </w:r>
      <w:r>
        <w:rPr>
          <w:rFonts w:ascii="Arial" w:cs="Arial" w:eastAsia="Arial" w:hAnsi="Arial"/>
          <w:sz w:val="18"/>
          <w:szCs w:val="18"/>
          <w:i w:val="1"/>
          <w:iCs w:val="1"/>
          <w:color w:val="auto"/>
        </w:rPr>
        <w:t xml:space="preserve"> Grand Theft Auto V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Online</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periods indicated, our statements of operations, net revenue by geographic region, net revenue by platform and net revenue by distribution channel:</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Fiscal Year Ended March 31,</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w w:val="94"/>
              </w:rPr>
              <w:t>2,668,394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w w:val="89"/>
              </w:rPr>
              <w:t>1,792,892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100.0 %</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1,779,748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b w:val="1"/>
                <w:bCs w:val="1"/>
                <w:color w:val="auto"/>
                <w:w w:val="94"/>
              </w:rPr>
              <w:t>1,523,644</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57.1 %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2"/>
              <w:spacing w:after="0"/>
              <w:rPr>
                <w:sz w:val="20"/>
                <w:szCs w:val="20"/>
                <w:color w:val="auto"/>
              </w:rPr>
            </w:pPr>
            <w:r>
              <w:rPr>
                <w:rFonts w:ascii="Arial" w:cs="Arial" w:eastAsia="Arial" w:hAnsi="Arial"/>
                <w:sz w:val="18"/>
                <w:szCs w:val="18"/>
                <w:color w:val="auto"/>
              </w:rPr>
              <w:t>898,311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right"/>
              <w:ind w:right="76"/>
              <w:spacing w:after="0"/>
              <w:rPr>
                <w:sz w:val="20"/>
                <w:szCs w:val="20"/>
                <w:color w:val="auto"/>
              </w:rPr>
            </w:pPr>
            <w:r>
              <w:rPr>
                <w:rFonts w:ascii="Arial" w:cs="Arial" w:eastAsia="Arial" w:hAnsi="Arial"/>
                <w:sz w:val="18"/>
                <w:szCs w:val="18"/>
                <w:color w:val="auto"/>
              </w:rPr>
              <w:t>50.1 %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1,022,959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w w:val="94"/>
              </w:rPr>
              <w:t>1,144,750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894,581</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49.9 %</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756,789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8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Selling and marketing</w:t>
            </w: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8"/>
                <w:szCs w:val="18"/>
                <w:b w:val="1"/>
                <w:bCs w:val="1"/>
                <w:color w:val="auto"/>
              </w:rPr>
              <w:t>391,400</w:t>
            </w:r>
          </w:p>
        </w:tc>
        <w:tc>
          <w:tcPr>
            <w:tcW w:w="100" w:type="dxa"/>
            <w:vAlign w:val="bottom"/>
          </w:tcPr>
          <w:p>
            <w:pPr>
              <w:spacing w:after="0"/>
              <w:rPr>
                <w:sz w:val="20"/>
                <w:szCs w:val="20"/>
                <w:color w:val="auto"/>
              </w:rPr>
            </w:pPr>
          </w:p>
        </w:tc>
        <w:tc>
          <w:tcPr>
            <w:tcW w:w="10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14.7 %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8"/>
                <w:szCs w:val="18"/>
                <w:color w:val="auto"/>
              </w:rPr>
              <w:t>256,092</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8"/>
                <w:szCs w:val="18"/>
                <w:color w:val="auto"/>
              </w:rPr>
              <w:t>14.3 %</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285,453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281,234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247,828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13.8 %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b w:val="1"/>
                <w:bCs w:val="1"/>
                <w:color w:val="auto"/>
              </w:rPr>
              <w:t>230,170</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8.6 %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2"/>
              <w:spacing w:after="0"/>
              <w:rPr>
                <w:sz w:val="20"/>
                <w:szCs w:val="20"/>
                <w:color w:val="auto"/>
              </w:rPr>
            </w:pPr>
            <w:r>
              <w:rPr>
                <w:rFonts w:ascii="Arial" w:cs="Arial" w:eastAsia="Arial" w:hAnsi="Arial"/>
                <w:sz w:val="18"/>
                <w:szCs w:val="18"/>
                <w:color w:val="auto"/>
              </w:rPr>
              <w:t>196,373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right"/>
              <w:ind w:right="76"/>
              <w:spacing w:after="0"/>
              <w:rPr>
                <w:sz w:val="20"/>
                <w:szCs w:val="20"/>
                <w:color w:val="auto"/>
              </w:rPr>
            </w:pPr>
            <w:r>
              <w:rPr>
                <w:rFonts w:ascii="Arial" w:cs="Arial" w:eastAsia="Arial" w:hAnsi="Arial"/>
                <w:sz w:val="18"/>
                <w:szCs w:val="18"/>
                <w:color w:val="auto"/>
              </w:rPr>
              <w:t>11.0 %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137,915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40,232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43,969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2.5 %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Business reorganization</w:t>
            </w:r>
          </w:p>
        </w:tc>
        <w:tc>
          <w:tcPr>
            <w:tcW w:w="34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(4,958)</w:t>
            </w:r>
          </w:p>
        </w:tc>
        <w:tc>
          <w:tcPr>
            <w:tcW w:w="100" w:type="dxa"/>
            <w:vAlign w:val="bottom"/>
            <w:shd w:val="clear" w:color="auto" w:fill="CCEEFF"/>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2"/>
              <w:spacing w:after="0"/>
              <w:rPr>
                <w:sz w:val="20"/>
                <w:szCs w:val="20"/>
                <w:color w:val="auto"/>
              </w:rPr>
            </w:pPr>
            <w:r>
              <w:rPr>
                <w:rFonts w:ascii="Arial" w:cs="Arial" w:eastAsia="Arial" w:hAnsi="Arial"/>
                <w:sz w:val="18"/>
                <w:szCs w:val="18"/>
                <w:color w:val="auto"/>
              </w:rPr>
              <w:t>14,742</w:t>
            </w:r>
          </w:p>
        </w:tc>
        <w:tc>
          <w:tcPr>
            <w:tcW w:w="1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Borders>
              <w:right w:val="single" w:sz="8" w:color="CCEEFF"/>
            </w:tcBorders>
            <w:gridSpan w:val="3"/>
          </w:tcPr>
          <w:p>
            <w:pPr>
              <w:jc w:val="right"/>
              <w:ind w:right="76"/>
              <w:spacing w:after="0"/>
              <w:rPr>
                <w:sz w:val="20"/>
                <w:szCs w:val="20"/>
                <w:color w:val="auto"/>
              </w:rPr>
            </w:pPr>
            <w:r>
              <w:rPr>
                <w:rFonts w:ascii="Arial" w:cs="Arial" w:eastAsia="Arial" w:hAnsi="Arial"/>
                <w:sz w:val="18"/>
                <w:szCs w:val="18"/>
                <w:color w:val="auto"/>
              </w:rPr>
              <w:t>0.8 %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938,078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759,004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42.3 %</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665,484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8"/>
                <w:szCs w:val="18"/>
                <w:b w:val="1"/>
                <w:bCs w:val="1"/>
                <w:color w:val="auto"/>
              </w:rPr>
              <w:t>206,672</w:t>
            </w:r>
          </w:p>
        </w:tc>
        <w:tc>
          <w:tcPr>
            <w:tcW w:w="100" w:type="dxa"/>
            <w:vAlign w:val="bottom"/>
          </w:tcPr>
          <w:p>
            <w:pPr>
              <w:spacing w:after="0"/>
              <w:rPr>
                <w:sz w:val="20"/>
                <w:szCs w:val="20"/>
                <w:color w:val="auto"/>
              </w:rPr>
            </w:pPr>
          </w:p>
        </w:tc>
        <w:tc>
          <w:tcPr>
            <w:tcW w:w="10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7.7 %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8"/>
                <w:szCs w:val="18"/>
                <w:color w:val="auto"/>
              </w:rPr>
              <w:t>135,577</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8"/>
                <w:szCs w:val="18"/>
                <w:color w:val="auto"/>
              </w:rPr>
              <w:t>7.6 %</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91,305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26,113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0.1 %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Arial" w:cs="Arial" w:eastAsia="Arial" w:hAnsi="Arial"/>
                <w:sz w:val="18"/>
                <w:szCs w:val="18"/>
                <w:color w:val="auto"/>
              </w:rPr>
              <w:t>Gain on long-term investments, net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440" w:type="dxa"/>
            <w:vAlign w:val="bottom"/>
            <w:gridSpan w:val="3"/>
          </w:tcPr>
          <w:p>
            <w:pPr>
              <w:spacing w:after="0"/>
              <w:rPr>
                <w:sz w:val="20"/>
                <w:szCs w:val="20"/>
                <w:color w:val="auto"/>
              </w:rPr>
            </w:pPr>
            <w:r>
              <w:rPr>
                <w:rFonts w:ascii="Arial" w:cs="Arial" w:eastAsia="Arial" w:hAnsi="Arial"/>
                <w:sz w:val="18"/>
                <w:szCs w:val="18"/>
                <w:b w:val="1"/>
                <w:bCs w:val="1"/>
                <w:color w:val="auto"/>
              </w:rPr>
              <w:t>—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76"/>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232,785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136,625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7.6 %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(101,052)</w:t>
            </w: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(36,908)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right"/>
              <w:ind w:right="76"/>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333,837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173,533</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9.7 %</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spacing w:after="0"/>
              <w:rPr>
                <w:sz w:val="24"/>
                <w:szCs w:val="24"/>
                <w:color w:val="auto"/>
              </w:rPr>
            </w:pPr>
          </w:p>
        </w:tc>
        <w:tc>
          <w:tcPr>
            <w:tcW w:w="5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right w:val="single" w:sz="8" w:color="CCEEFF"/>
            </w:tcBorders>
            <w:gridSpan w:val="9"/>
            <w:shd w:val="clear" w:color="auto" w:fill="CCEEFF"/>
          </w:tcPr>
          <w:p>
            <w:pPr>
              <w:jc w:val="center"/>
              <w:ind w:right="96"/>
              <w:spacing w:after="0"/>
              <w:rPr>
                <w:sz w:val="20"/>
                <w:szCs w:val="20"/>
                <w:color w:val="auto"/>
              </w:rPr>
            </w:pPr>
            <w:r>
              <w:rPr>
                <w:rFonts w:ascii="Arial" w:cs="Arial" w:eastAsia="Arial" w:hAnsi="Arial"/>
                <w:sz w:val="14"/>
                <w:szCs w:val="14"/>
                <w:b w:val="1"/>
                <w:bCs w:val="1"/>
                <w:color w:val="auto"/>
                <w:w w:val="94"/>
              </w:rPr>
              <w:t>Fiscal Year Ended March 31,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 by geographic region:</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1,426,906</w:t>
            </w:r>
          </w:p>
        </w:tc>
        <w:tc>
          <w:tcPr>
            <w:tcW w:w="580" w:type="dxa"/>
            <w:vAlign w:val="bottom"/>
          </w:tcPr>
          <w:p>
            <w:pPr>
              <w:spacing w:after="0"/>
              <w:rPr>
                <w:sz w:val="21"/>
                <w:szCs w:val="21"/>
                <w:color w:val="auto"/>
              </w:rPr>
            </w:pPr>
          </w:p>
        </w:tc>
        <w:tc>
          <w:tcPr>
            <w:tcW w:w="560" w:type="dxa"/>
            <w:vAlign w:val="bottom"/>
            <w:gridSpan w:val="5"/>
          </w:tcPr>
          <w:p>
            <w:pPr>
              <w:ind w:left="20"/>
              <w:spacing w:after="0"/>
              <w:rPr>
                <w:sz w:val="20"/>
                <w:szCs w:val="20"/>
                <w:color w:val="auto"/>
              </w:rPr>
            </w:pPr>
            <w:r>
              <w:rPr>
                <w:rFonts w:ascii="Arial" w:cs="Arial" w:eastAsia="Arial" w:hAnsi="Arial"/>
                <w:sz w:val="18"/>
                <w:szCs w:val="18"/>
                <w:b w:val="1"/>
                <w:bCs w:val="1"/>
                <w:color w:val="auto"/>
              </w:rPr>
              <w:t>53.5%</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1,052,313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58.7%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999,128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1,241,488</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740,579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revenue by platform:</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Console</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2,233,861</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83.7%</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1,463,306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81.6%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1,440,724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PC and other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434,533</w:t>
            </w:r>
          </w:p>
        </w:tc>
        <w:tc>
          <w:tcPr>
            <w:tcW w:w="580" w:type="dxa"/>
            <w:vAlign w:val="bottom"/>
          </w:tcPr>
          <w:p>
            <w:pPr>
              <w:spacing w:after="0"/>
              <w:rPr>
                <w:sz w:val="21"/>
                <w:szCs w:val="21"/>
                <w:color w:val="auto"/>
              </w:rPr>
            </w:pPr>
          </w:p>
        </w:tc>
        <w:tc>
          <w:tcPr>
            <w:tcW w:w="560" w:type="dxa"/>
            <w:vAlign w:val="bottom"/>
            <w:gridSpan w:val="5"/>
          </w:tcPr>
          <w:p>
            <w:pPr>
              <w:ind w:left="20"/>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329,586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18.4%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339,024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 by distribution channel:</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Digital online</w:t>
            </w:r>
          </w:p>
        </w:tc>
        <w:tc>
          <w:tcPr>
            <w:tcW w:w="340" w:type="dxa"/>
            <w:vAlign w:val="bottom"/>
          </w:tcPr>
          <w:p>
            <w:pPr>
              <w:spacing w:after="0"/>
              <w:rPr>
                <w:sz w:val="21"/>
                <w:szCs w:val="2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1,681,609</w:t>
            </w:r>
          </w:p>
        </w:tc>
        <w:tc>
          <w:tcPr>
            <w:tcW w:w="580" w:type="dxa"/>
            <w:vAlign w:val="bottom"/>
          </w:tcPr>
          <w:p>
            <w:pPr>
              <w:spacing w:after="0"/>
              <w:rPr>
                <w:sz w:val="21"/>
                <w:szCs w:val="21"/>
                <w:color w:val="auto"/>
              </w:rPr>
            </w:pPr>
          </w:p>
        </w:tc>
        <w:tc>
          <w:tcPr>
            <w:tcW w:w="560" w:type="dxa"/>
            <w:vAlign w:val="bottom"/>
            <w:gridSpan w:val="5"/>
          </w:tcPr>
          <w:p>
            <w:pPr>
              <w:ind w:left="20"/>
              <w:spacing w:after="0"/>
              <w:rPr>
                <w:sz w:val="20"/>
                <w:szCs w:val="20"/>
                <w:color w:val="auto"/>
              </w:rPr>
            </w:pPr>
            <w:r>
              <w:rPr>
                <w:rFonts w:ascii="Arial" w:cs="Arial" w:eastAsia="Arial" w:hAnsi="Arial"/>
                <w:sz w:val="18"/>
                <w:szCs w:val="18"/>
                <w:b w:val="1"/>
                <w:bCs w:val="1"/>
                <w:color w:val="auto"/>
              </w:rPr>
              <w:t>63.0%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1,130,946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63.1%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921,734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Physical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986,785</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661,946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36.9%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858,014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384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revenue by content: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Full game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1,597,478</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59.9%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1,046,176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58.4%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1,320,890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Recurrent consumer spending</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1,070,916</w:t>
            </w:r>
          </w:p>
        </w:tc>
        <w:tc>
          <w:tcPr>
            <w:tcW w:w="580" w:type="dxa"/>
            <w:vAlign w:val="bottom"/>
          </w:tcPr>
          <w:p>
            <w:pPr>
              <w:spacing w:after="0"/>
              <w:rPr>
                <w:sz w:val="21"/>
                <w:szCs w:val="21"/>
                <w:color w:val="auto"/>
              </w:rPr>
            </w:pPr>
          </w:p>
        </w:tc>
        <w:tc>
          <w:tcPr>
            <w:tcW w:w="560" w:type="dxa"/>
            <w:vAlign w:val="bottom"/>
            <w:gridSpan w:val="5"/>
          </w:tcPr>
          <w:p>
            <w:pPr>
              <w:ind w:left="20"/>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746,716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41.6%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458,858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378"/>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Fiscal Years ended March 31, 2019 and 2018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8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40" w:type="dxa"/>
            <w:vAlign w:val="bottom"/>
          </w:tcPr>
          <w:p>
            <w:pPr>
              <w:spacing w:after="0"/>
              <w:rPr>
                <w:sz w:val="24"/>
                <w:szCs w:val="24"/>
                <w:color w:val="auto"/>
              </w:rPr>
            </w:pPr>
          </w:p>
        </w:tc>
        <w:tc>
          <w:tcPr>
            <w:tcW w:w="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80"/>
              <w:spacing w:after="0"/>
              <w:rPr>
                <w:sz w:val="20"/>
                <w:szCs w:val="20"/>
                <w:color w:val="auto"/>
              </w:rPr>
            </w:pPr>
            <w:r>
              <w:rPr>
                <w:rFonts w:ascii="Arial" w:cs="Arial" w:eastAsia="Arial" w:hAnsi="Arial"/>
                <w:sz w:val="14"/>
                <w:szCs w:val="14"/>
                <w:b w:val="1"/>
                <w:bCs w:val="1"/>
                <w:color w:val="auto"/>
              </w:rPr>
              <w:t>% of net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ind w:left="260"/>
              <w:spacing w:after="0"/>
              <w:rPr>
                <w:sz w:val="20"/>
                <w:szCs w:val="20"/>
                <w:color w:val="auto"/>
              </w:rPr>
            </w:pPr>
            <w:r>
              <w:rPr>
                <w:rFonts w:ascii="Arial" w:cs="Arial" w:eastAsia="Arial" w:hAnsi="Arial"/>
                <w:sz w:val="14"/>
                <w:szCs w:val="14"/>
                <w:b w:val="1"/>
                <w:bCs w:val="1"/>
                <w:color w:val="auto"/>
              </w:rPr>
              <w:t>% of net</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384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revenue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5"/>
          </w:tcPr>
          <w:p>
            <w:pPr>
              <w:ind w:left="280"/>
              <w:spacing w:after="0" w:line="158" w:lineRule="exact"/>
              <w:rPr>
                <w:sz w:val="20"/>
                <w:szCs w:val="20"/>
                <w:color w:val="auto"/>
              </w:rPr>
            </w:pPr>
            <w:r>
              <w:rPr>
                <w:rFonts w:ascii="Arial" w:cs="Arial" w:eastAsia="Arial" w:hAnsi="Arial"/>
                <w:sz w:val="14"/>
                <w:szCs w:val="14"/>
                <w:b w:val="1"/>
                <w:bCs w:val="1"/>
                <w:color w:val="auto"/>
              </w:rPr>
              <w:t>revenue</w:t>
            </w:r>
          </w:p>
        </w:tc>
        <w:tc>
          <w:tcPr>
            <w:tcW w:w="2640" w:type="dxa"/>
            <w:vAlign w:val="bottom"/>
            <w:gridSpan w:val="9"/>
          </w:tcPr>
          <w:p>
            <w:pPr>
              <w:jc w:val="right"/>
              <w:spacing w:after="0" w:line="158" w:lineRule="exact"/>
              <w:rPr>
                <w:sz w:val="20"/>
                <w:szCs w:val="20"/>
                <w:color w:val="auto"/>
              </w:rPr>
            </w:pPr>
            <w:r>
              <w:rPr>
                <w:rFonts w:ascii="Arial" w:cs="Arial" w:eastAsia="Arial" w:hAnsi="Arial"/>
                <w:sz w:val="14"/>
                <w:szCs w:val="14"/>
                <w:b w:val="1"/>
                <w:bCs w:val="1"/>
                <w:color w:val="auto"/>
                <w:w w:val="93"/>
              </w:rPr>
              <w:t>Increase/(decrease)   Increase/(decrease)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4"/>
              </w:rPr>
              <w:t>2,668,394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100.0%</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5"/>
            <w:shd w:val="clear" w:color="auto" w:fill="CCEEFF"/>
          </w:tcPr>
          <w:p>
            <w:pPr>
              <w:jc w:val="right"/>
              <w:ind w:right="11"/>
              <w:spacing w:after="0"/>
              <w:rPr>
                <w:sz w:val="20"/>
                <w:szCs w:val="20"/>
                <w:color w:val="auto"/>
              </w:rPr>
            </w:pPr>
            <w:r>
              <w:rPr>
                <w:rFonts w:ascii="Arial" w:cs="Arial" w:eastAsia="Arial" w:hAnsi="Arial"/>
                <w:sz w:val="18"/>
                <w:szCs w:val="18"/>
                <w:color w:val="auto"/>
                <w:w w:val="87"/>
              </w:rPr>
              <w:t>1,792,892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jc w:val="center"/>
              <w:ind w:right="156"/>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875,502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3"/>
          </w:tcPr>
          <w:p>
            <w:pPr>
              <w:ind w:left="140"/>
              <w:spacing w:after="0"/>
              <w:rPr>
                <w:sz w:val="20"/>
                <w:szCs w:val="20"/>
                <w:color w:val="auto"/>
              </w:rPr>
            </w:pPr>
            <w:r>
              <w:rPr>
                <w:rFonts w:ascii="Arial" w:cs="Arial" w:eastAsia="Arial" w:hAnsi="Arial"/>
                <w:sz w:val="18"/>
                <w:szCs w:val="18"/>
                <w:color w:val="auto"/>
              </w:rPr>
              <w:t>Internal royalties</w:t>
            </w:r>
          </w:p>
        </w:tc>
        <w:tc>
          <w:tcPr>
            <w:tcW w:w="340" w:type="dxa"/>
            <w:vAlign w:val="bottom"/>
          </w:tcPr>
          <w:p>
            <w:pPr>
              <w:spacing w:after="0"/>
              <w:rPr>
                <w:sz w:val="21"/>
                <w:szCs w:val="21"/>
                <w:color w:val="auto"/>
              </w:rPr>
            </w:pPr>
          </w:p>
        </w:tc>
        <w:tc>
          <w:tcPr>
            <w:tcW w:w="90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610,804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11"/>
              <w:spacing w:after="0"/>
              <w:rPr>
                <w:sz w:val="20"/>
                <w:szCs w:val="20"/>
                <w:color w:val="auto"/>
              </w:rPr>
            </w:pPr>
            <w:r>
              <w:rPr>
                <w:rFonts w:ascii="Arial" w:cs="Arial" w:eastAsia="Arial" w:hAnsi="Arial"/>
                <w:sz w:val="18"/>
                <w:szCs w:val="18"/>
                <w:color w:val="auto"/>
                <w:w w:val="89"/>
              </w:rPr>
              <w:t>383,020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227,784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Product costs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322,148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89"/>
              </w:rPr>
              <w:t>203,301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118,847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Software development costs and royalties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90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449,198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1"/>
              <w:spacing w:after="0"/>
              <w:rPr>
                <w:sz w:val="20"/>
                <w:szCs w:val="20"/>
                <w:color w:val="auto"/>
              </w:rPr>
            </w:pPr>
            <w:r>
              <w:rPr>
                <w:rFonts w:ascii="Arial" w:cs="Arial" w:eastAsia="Arial" w:hAnsi="Arial"/>
                <w:sz w:val="18"/>
                <w:szCs w:val="18"/>
                <w:color w:val="auto"/>
                <w:w w:val="89"/>
              </w:rPr>
              <w:t>191,400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257,798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Licenses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89"/>
              </w:rPr>
              <w:t>120,590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right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37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31"/>
              <w:spacing w:after="0"/>
              <w:rPr>
                <w:sz w:val="20"/>
                <w:szCs w:val="20"/>
                <w:color w:val="auto"/>
              </w:rPr>
            </w:pPr>
            <w:r>
              <w:rPr>
                <w:rFonts w:ascii="Arial" w:cs="Arial" w:eastAsia="Arial" w:hAnsi="Arial"/>
                <w:sz w:val="18"/>
                <w:szCs w:val="18"/>
                <w:b w:val="1"/>
                <w:bCs w:val="1"/>
                <w:color w:val="auto"/>
                <w:w w:val="94"/>
              </w:rPr>
              <w:t>1,523,644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8"/>
                <w:szCs w:val="18"/>
                <w:color w:val="auto"/>
                <w:w w:val="89"/>
              </w:rPr>
              <w:t>898,311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625,333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4"/>
              </w:rPr>
              <w:t>1,144,750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89"/>
              </w:rPr>
              <w:t>894,581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CCEEFF"/>
            </w:tcBorders>
            <w:shd w:val="clear" w:color="auto" w:fill="CCEEFF"/>
          </w:tcPr>
          <w:p>
            <w:pPr>
              <w:jc w:val="center"/>
              <w:ind w:right="156"/>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250,169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$149,075 and $24,610 of stock-based compensation expense in 2019 and 2018, respectively.</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15" w:right="239" w:bottom="1440" w:gutter="0" w:footer="0" w:header="0"/>
          <w:type w:val="continuous"/>
        </w:sectPr>
      </w:pPr>
    </w:p>
    <w:bookmarkStart w:id="32" w:name="page33"/>
    <w:bookmarkEnd w:id="32"/>
    <w:p>
      <w:pPr>
        <w:jc w:val="both"/>
        <w:ind w:firstLine="648"/>
        <w:spacing w:after="0" w:line="297" w:lineRule="auto"/>
        <w:rPr>
          <w:sz w:val="20"/>
          <w:szCs w:val="20"/>
          <w:color w:val="auto"/>
        </w:rPr>
      </w:pPr>
      <w:r>
        <w:rPr>
          <w:rFonts w:ascii="Arial" w:cs="Arial" w:eastAsia="Arial" w:hAnsi="Arial"/>
          <w:sz w:val="16"/>
          <w:szCs w:val="16"/>
          <w:color w:val="auto"/>
        </w:rPr>
        <w:t xml:space="preserve">In general, the adoption of Topic 606 results in a more accelerated revenue pattern, due primarily to (i) the elimination of the requirement for vendor-specific objective evidence ("VSOE") of fair value when allocating between multiple performance obligations and (ii) the change of our estimated service period to a user life. However, the impact on a given period may differ from this general trend. In October 2018, we released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The acceleration of revenue for this title due to the adoption of Topic 606 was material and is the primary component of the significant increases as a result of the adoption of Topic 606 throughout the discussion below. See Note 1 and Note 2 to our Consolidated Financial Statements for further information.</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For the fiscal year ended March 31, 2019, net revenue increased by $875.5 million, as compared to the prior year. This increase included a $741.2 million increase in net revenue as a result of the adoption of Topic 606, as described above. The remaining increase was due to (i) an increase of $129.6 million in net revenue from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(ii) an increase of $53.4 million in net revenue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(iii) an increase of $43.9 million in net revenue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These increases were partially offset by (i) a decrease of $51.5 million in net revenue from </w:t>
      </w:r>
      <w:r>
        <w:rPr>
          <w:rFonts w:ascii="Arial" w:cs="Arial" w:eastAsia="Arial" w:hAnsi="Arial"/>
          <w:sz w:val="16"/>
          <w:szCs w:val="16"/>
          <w:i w:val="1"/>
          <w:iCs w:val="1"/>
          <w:color w:val="auto"/>
        </w:rPr>
        <w:t>Grand</w:t>
      </w:r>
      <w:r>
        <w:rPr>
          <w:rFonts w:ascii="Arial" w:cs="Arial" w:eastAsia="Arial" w:hAnsi="Arial"/>
          <w:sz w:val="16"/>
          <w:szCs w:val="16"/>
          <w:color w:val="auto"/>
        </w:rPr>
        <w:t xml:space="preserve"> </w:t>
      </w:r>
      <w:r>
        <w:rPr>
          <w:rFonts w:ascii="Arial" w:cs="Arial" w:eastAsia="Arial" w:hAnsi="Arial"/>
          <w:sz w:val="16"/>
          <w:szCs w:val="16"/>
          <w:i w:val="1"/>
          <w:iCs w:val="1"/>
          <w:color w:val="auto"/>
        </w:rPr>
        <w:t>Theft Auto V</w:t>
      </w:r>
      <w:r>
        <w:rPr>
          <w:rFonts w:ascii="Arial" w:cs="Arial" w:eastAsia="Arial" w:hAnsi="Arial"/>
          <w:sz w:val="16"/>
          <w:szCs w:val="16"/>
          <w:color w:val="auto"/>
        </w:rPr>
        <w:t>, (ii) a decrease of $27.8 million in net revenue from our</w:t>
      </w:r>
      <w:r>
        <w:rPr>
          <w:rFonts w:ascii="Arial" w:cs="Arial" w:eastAsia="Arial" w:hAnsi="Arial"/>
          <w:sz w:val="16"/>
          <w:szCs w:val="16"/>
          <w:i w:val="1"/>
          <w:iCs w:val="1"/>
          <w:color w:val="auto"/>
        </w:rPr>
        <w:t xml:space="preserve"> WWE 2K </w:t>
      </w:r>
      <w:r>
        <w:rPr>
          <w:rFonts w:ascii="Arial" w:cs="Arial" w:eastAsia="Arial" w:hAnsi="Arial"/>
          <w:sz w:val="16"/>
          <w:szCs w:val="16"/>
          <w:color w:val="auto"/>
        </w:rPr>
        <w:t>franchise and (ii) a decrease of $18.0 million in net revenue from</w:t>
      </w:r>
      <w:r>
        <w:rPr>
          <w:rFonts w:ascii="Arial" w:cs="Arial" w:eastAsia="Arial" w:hAnsi="Arial"/>
          <w:sz w:val="16"/>
          <w:szCs w:val="16"/>
          <w:i w:val="1"/>
          <w:iCs w:val="1"/>
          <w:color w:val="auto"/>
        </w:rPr>
        <w:t xml:space="preserve"> L.A. Noire</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Net revenue from console games increased by $770.6 million and accounted for 83.7% of our total net revenue in the fiscal year ended March 31, 2019, as compared to 81.6% in the prior year. The increase in net revenue from console games included a $658.8 million increase in net revenue as a result of the adoption of Topic 606, as described above. The remaining increase was due to an increase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Online, </w:t>
      </w:r>
      <w:r>
        <w:rPr>
          <w:rFonts w:ascii="Arial" w:cs="Arial" w:eastAsia="Arial" w:hAnsi="Arial"/>
          <w:sz w:val="17"/>
          <w:szCs w:val="17"/>
          <w:color w:val="auto"/>
        </w:rPr>
        <w:t>and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 These increases were partially offset by a decrease in net revenue from</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and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Net revenue from PC and other increased by $104.9 million as compared to the prior year and decreased as a percentage of net revenue to 16.3% compared to 18.4% in the prior year. The increase in net revenue from PC and other included an $82.4 million increase in net revenue as the result of the adoption of Topic 606, as described above. The remaining increase was due to an increase in net revenue from </w:t>
      </w:r>
      <w:r>
        <w:rPr>
          <w:rFonts w:ascii="Arial" w:cs="Arial" w:eastAsia="Arial" w:hAnsi="Arial"/>
          <w:sz w:val="17"/>
          <w:szCs w:val="17"/>
          <w:i w:val="1"/>
          <w:iCs w:val="1"/>
          <w:color w:val="auto"/>
        </w:rPr>
        <w:t>Grand Theft Auto Online, Red Dead Redemption 2</w:t>
      </w:r>
      <w:r>
        <w:rPr>
          <w:rFonts w:ascii="Arial" w:cs="Arial" w:eastAsia="Arial" w:hAnsi="Arial"/>
          <w:sz w:val="17"/>
          <w:szCs w:val="17"/>
          <w:color w:val="auto"/>
        </w:rPr>
        <w:t xml:space="preserve"> merchandise, our </w:t>
      </w:r>
      <w:r>
        <w:rPr>
          <w:rFonts w:ascii="Arial" w:cs="Arial" w:eastAsia="Arial" w:hAnsi="Arial"/>
          <w:sz w:val="17"/>
          <w:szCs w:val="17"/>
          <w:i w:val="1"/>
          <w:iCs w:val="1"/>
          <w:color w:val="auto"/>
        </w:rPr>
        <w:t>Civilization</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Monster Legends,</w:t>
      </w:r>
      <w:r>
        <w:rPr>
          <w:rFonts w:ascii="Arial" w:cs="Arial" w:eastAsia="Arial" w:hAnsi="Arial"/>
          <w:sz w:val="17"/>
          <w:szCs w:val="17"/>
          <w:color w:val="auto"/>
        </w:rPr>
        <w:t xml:space="preserve">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L.A. Noire.</w:t>
      </w:r>
      <w:r>
        <w:rPr>
          <w:rFonts w:ascii="Arial" w:cs="Arial" w:eastAsia="Arial" w:hAnsi="Arial"/>
          <w:sz w:val="17"/>
          <w:szCs w:val="17"/>
          <w:color w:val="auto"/>
        </w:rPr>
        <w:t xml:space="preserve"> These increases were partially offset by a decrease in net revenue from </w:t>
      </w:r>
      <w:r>
        <w:rPr>
          <w:rFonts w:ascii="Arial" w:cs="Arial" w:eastAsia="Arial" w:hAnsi="Arial"/>
          <w:sz w:val="17"/>
          <w:szCs w:val="17"/>
          <w:i w:val="1"/>
          <w:iCs w:val="1"/>
          <w:color w:val="auto"/>
        </w:rPr>
        <w:t xml:space="preserve">XCOM 2 </w:t>
      </w:r>
      <w:r>
        <w:rPr>
          <w:rFonts w:ascii="Arial" w:cs="Arial" w:eastAsia="Arial" w:hAnsi="Arial"/>
          <w:sz w:val="17"/>
          <w:szCs w:val="17"/>
          <w:color w:val="auto"/>
        </w:rPr>
        <w:t>and</w:t>
      </w:r>
      <w:r>
        <w:rPr>
          <w:rFonts w:ascii="Arial" w:cs="Arial" w:eastAsia="Arial" w:hAnsi="Arial"/>
          <w:sz w:val="17"/>
          <w:szCs w:val="17"/>
          <w:i w:val="1"/>
          <w:iCs w:val="1"/>
          <w:color w:val="auto"/>
        </w:rPr>
        <w:t xml:space="preserve"> Grand Theft Auto V.</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Net revenue from digital online channels increased by $550.7 million and accounted for 63.0% of our total net revenue for the fiscal year ended March 31, 2019, as compared to 63.1% in the prior year. The increase in net revenue from digital online channels included a $353.2 million increase in net revenue as a result of the adoption of Topic 606, as described above. The remaining increase was due to an increase in net revenue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partially offset by a decrease in net revenue from </w:t>
      </w:r>
      <w:r>
        <w:rPr>
          <w:rFonts w:ascii="Arial" w:cs="Arial" w:eastAsia="Arial" w:hAnsi="Arial"/>
          <w:sz w:val="16"/>
          <w:szCs w:val="16"/>
          <w:i w:val="1"/>
          <w:iCs w:val="1"/>
          <w:color w:val="auto"/>
        </w:rPr>
        <w:t>XCOM 2.</w:t>
      </w:r>
      <w:r>
        <w:rPr>
          <w:rFonts w:ascii="Arial" w:cs="Arial" w:eastAsia="Arial" w:hAnsi="Arial"/>
          <w:sz w:val="16"/>
          <w:szCs w:val="16"/>
          <w:color w:val="auto"/>
        </w:rPr>
        <w:t xml:space="preserve"> Net revenue from physical retail and other channels increased by $324.8 million and accounted for 37.0% of our total net revenue for the fiscal year ended March 31, 2019, as compared to 36.9% for the prior year. The increase in net revenue from physical retail and other channels included a $388.1 million increase in net revenue as a result of the adoption of Topic 606, as described above. Offsetting this increase was a net decrease due to a decrease in net revenue from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our </w:t>
      </w:r>
      <w:r>
        <w:rPr>
          <w:rFonts w:ascii="Arial" w:cs="Arial" w:eastAsia="Arial" w:hAnsi="Arial"/>
          <w:sz w:val="16"/>
          <w:szCs w:val="16"/>
          <w:i w:val="1"/>
          <w:iCs w:val="1"/>
          <w:color w:val="auto"/>
        </w:rPr>
        <w:t>NBA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2K </w:t>
      </w:r>
      <w:r>
        <w:rPr>
          <w:rFonts w:ascii="Arial" w:cs="Arial" w:eastAsia="Arial" w:hAnsi="Arial"/>
          <w:sz w:val="16"/>
          <w:szCs w:val="16"/>
          <w:color w:val="auto"/>
        </w:rPr>
        <w:t>franchise, our</w:t>
      </w:r>
      <w:r>
        <w:rPr>
          <w:rFonts w:ascii="Arial" w:cs="Arial" w:eastAsia="Arial" w:hAnsi="Arial"/>
          <w:sz w:val="16"/>
          <w:szCs w:val="16"/>
          <w:i w:val="1"/>
          <w:iCs w:val="1"/>
          <w:color w:val="auto"/>
        </w:rPr>
        <w:t xml:space="preserve"> WWE 2K </w:t>
      </w:r>
      <w:r>
        <w:rPr>
          <w:rFonts w:ascii="Arial" w:cs="Arial" w:eastAsia="Arial" w:hAnsi="Arial"/>
          <w:sz w:val="16"/>
          <w:szCs w:val="16"/>
          <w:color w:val="auto"/>
        </w:rPr>
        <w:t>franchise, and</w:t>
      </w:r>
      <w:r>
        <w:rPr>
          <w:rFonts w:ascii="Arial" w:cs="Arial" w:eastAsia="Arial" w:hAnsi="Arial"/>
          <w:sz w:val="16"/>
          <w:szCs w:val="16"/>
          <w:i w:val="1"/>
          <w:iCs w:val="1"/>
          <w:color w:val="auto"/>
        </w:rPr>
        <w:t xml:space="preserve"> L.A. Noire, </w:t>
      </w:r>
      <w:r>
        <w:rPr>
          <w:rFonts w:ascii="Arial" w:cs="Arial" w:eastAsia="Arial" w:hAnsi="Arial"/>
          <w:sz w:val="16"/>
          <w:szCs w:val="16"/>
          <w:color w:val="auto"/>
        </w:rPr>
        <w:t>partially offset by an increase in net revenue from</w:t>
      </w:r>
      <w:r>
        <w:rPr>
          <w:rFonts w:ascii="Arial" w:cs="Arial" w:eastAsia="Arial" w:hAnsi="Arial"/>
          <w:sz w:val="16"/>
          <w:szCs w:val="16"/>
          <w:i w:val="1"/>
          <w:iCs w:val="1"/>
          <w:color w:val="auto"/>
        </w:rPr>
        <w:t xml:space="preserve"> Red Dead Redemption 2.</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Net revenue from recurrent consumer spending on our titles through virtual currency, add-on content, and in-game purchases increased by $324.2 million and accounted for 40.1% of net revenue for the fiscal year ended March 31, 2019, as compared to 41.6% for the prior year. The increase in net revenue from recurrent consumer spending included a $164.4 million increase in net revenue as a result of the adoption of Topic 606, as described above. The remaining increase was due to an increase in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our </w:t>
      </w:r>
      <w:r>
        <w:rPr>
          <w:rFonts w:ascii="Arial" w:cs="Arial" w:eastAsia="Arial" w:hAnsi="Arial"/>
          <w:sz w:val="17"/>
          <w:szCs w:val="17"/>
          <w:i w:val="1"/>
          <w:iCs w:val="1"/>
          <w:color w:val="auto"/>
        </w:rPr>
        <w:t>Civilization</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Redemption 2, </w:t>
      </w:r>
      <w:r>
        <w:rPr>
          <w:rFonts w:ascii="Arial" w:cs="Arial" w:eastAsia="Arial" w:hAnsi="Arial"/>
          <w:sz w:val="17"/>
          <w:szCs w:val="17"/>
          <w:color w:val="auto"/>
        </w:rPr>
        <w:t>partially offset by a decrease in net revenue from</w:t>
      </w:r>
      <w:r>
        <w:rPr>
          <w:rFonts w:ascii="Arial" w:cs="Arial" w:eastAsia="Arial" w:hAnsi="Arial"/>
          <w:sz w:val="17"/>
          <w:szCs w:val="17"/>
          <w:i w:val="1"/>
          <w:iCs w:val="1"/>
          <w:color w:val="auto"/>
        </w:rPr>
        <w:t xml:space="preserve"> Mafia III. </w:t>
      </w:r>
      <w:r>
        <w:rPr>
          <w:rFonts w:ascii="Arial" w:cs="Arial" w:eastAsia="Arial" w:hAnsi="Arial"/>
          <w:sz w:val="17"/>
          <w:szCs w:val="17"/>
          <w:color w:val="auto"/>
        </w:rPr>
        <w:t>Net revenue from full game and other increased by $551.3 million and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59.9% of net revenue for the fiscal year ended March 31, 2019, as compared to 58.4% for the prior year. The increase in net revenue from full game and other included a $576.9 million increase in net revenue as a result of the adoption of Topic 606, as described above. Offsetting this increase was a net decrease due to a decrease in net revenue from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L.A. Noire,</w:t>
      </w:r>
      <w:r>
        <w:rPr>
          <w:rFonts w:ascii="Arial" w:cs="Arial" w:eastAsia="Arial" w:hAnsi="Arial"/>
          <w:sz w:val="17"/>
          <w:szCs w:val="17"/>
          <w:color w:val="auto"/>
        </w:rPr>
        <w:t xml:space="preserve"> and </w:t>
      </w:r>
      <w:r>
        <w:rPr>
          <w:rFonts w:ascii="Arial" w:cs="Arial" w:eastAsia="Arial" w:hAnsi="Arial"/>
          <w:sz w:val="17"/>
          <w:szCs w:val="17"/>
          <w:i w:val="1"/>
          <w:iCs w:val="1"/>
          <w:color w:val="auto"/>
        </w:rPr>
        <w:t>Mafia III,</w:t>
      </w:r>
      <w:r>
        <w:rPr>
          <w:rFonts w:ascii="Arial" w:cs="Arial" w:eastAsia="Arial" w:hAnsi="Arial"/>
          <w:sz w:val="17"/>
          <w:szCs w:val="17"/>
          <w:color w:val="auto"/>
        </w:rPr>
        <w:t xml:space="preserve"> partially offset by an increase in net revenue from </w:t>
      </w:r>
      <w:r>
        <w:rPr>
          <w:rFonts w:ascii="Arial" w:cs="Arial" w:eastAsia="Arial" w:hAnsi="Arial"/>
          <w:sz w:val="17"/>
          <w:szCs w:val="17"/>
          <w:i w:val="1"/>
          <w:iCs w:val="1"/>
          <w:color w:val="auto"/>
        </w:rPr>
        <w:t>Red Dead Redemption 2.</w:t>
      </w:r>
    </w:p>
    <w:p>
      <w:pPr>
        <w:spacing w:after="0" w:line="1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revenue for the fiscal year ended March 31, 2019 was 42.9%, as compared to 49.9% in the prior year. The adoption of Topic 606 resulted in a 6.1% increase in gross profit percentage. The remaining percentage decrease was due to higher internal royalties as a percentage of net revenue due to the timing of when royalties are earned and to a lesser extent higher software development costs as a percentage of net revenue due to the timing of our releases.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Net revenue earned outside of the United States increased by $500.9 million and accounted for 46.5% of our total net revenue in the fiscal year ended March 31, 2019, as compared to 41.3% in the prior year. The increase in net revenue earned outside the United States included a $438.0 million increase as a result of the adoption of Topic 606, as described above. The remaining increase was due to an increase in net revenue from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2, Grand Theft Auto Online, </w:t>
      </w:r>
      <w:r>
        <w:rPr>
          <w:rFonts w:ascii="Arial" w:cs="Arial" w:eastAsia="Arial" w:hAnsi="Arial"/>
          <w:sz w:val="18"/>
          <w:szCs w:val="18"/>
          <w:color w:val="auto"/>
        </w:rPr>
        <w:t>and our</w:t>
      </w:r>
      <w:r>
        <w:rPr>
          <w:rFonts w:ascii="Arial" w:cs="Arial" w:eastAsia="Arial" w:hAnsi="Arial"/>
          <w:sz w:val="18"/>
          <w:szCs w:val="18"/>
          <w:i w:val="1"/>
          <w:iCs w:val="1"/>
          <w:color w:val="auto"/>
        </w:rPr>
        <w:t xml:space="preserve"> NBA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jc w:val="both"/>
        <w:ind w:right="20"/>
        <w:spacing w:after="0" w:line="308" w:lineRule="auto"/>
        <w:rPr>
          <w:sz w:val="20"/>
          <w:szCs w:val="20"/>
          <w:color w:val="auto"/>
        </w:rPr>
      </w:pPr>
      <w:r>
        <w:rPr>
          <w:rFonts w:ascii="Arial" w:cs="Arial" w:eastAsia="Arial" w:hAnsi="Arial"/>
          <w:sz w:val="17"/>
          <w:szCs w:val="17"/>
          <w:i w:val="1"/>
          <w:iCs w:val="1"/>
          <w:color w:val="auto"/>
        </w:rPr>
        <w:t xml:space="preserve">2K </w:t>
      </w:r>
      <w:r>
        <w:rPr>
          <w:rFonts w:ascii="Arial" w:cs="Arial" w:eastAsia="Arial" w:hAnsi="Arial"/>
          <w:sz w:val="17"/>
          <w:szCs w:val="17"/>
          <w:color w:val="auto"/>
        </w:rPr>
        <w:t>franchise, partially offset by a decrease in net revenue from</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Changes in foreign currency exchange rates decreased net revenue and</w:t>
      </w:r>
      <w:r>
        <w:rPr>
          <w:rFonts w:ascii="Arial" w:cs="Arial" w:eastAsia="Arial" w:hAnsi="Arial"/>
          <w:sz w:val="17"/>
          <w:szCs w:val="17"/>
          <w:i w:val="1"/>
          <w:iCs w:val="1"/>
          <w:color w:val="auto"/>
        </w:rPr>
        <w:t xml:space="preserve"> </w:t>
      </w:r>
      <w:r>
        <w:rPr>
          <w:rFonts w:ascii="Arial" w:cs="Arial" w:eastAsia="Arial" w:hAnsi="Arial"/>
          <w:sz w:val="17"/>
          <w:szCs w:val="17"/>
          <w:color w:val="auto"/>
        </w:rPr>
        <w:t>gross profit by $10.0 million and $5.7 million, respectively, in the fiscal year ended March 31, 2019 as compared to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60" w:type="dxa"/>
            <w:vAlign w:val="bottom"/>
          </w:tcPr>
          <w:p>
            <w:pPr>
              <w:spacing w:after="0"/>
              <w:rPr>
                <w:sz w:val="14"/>
                <w:szCs w:val="1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net revenue</w:t>
            </w:r>
          </w:p>
        </w:tc>
        <w:tc>
          <w:tcPr>
            <w:tcW w:w="260" w:type="dxa"/>
            <w:vAlign w:val="bottom"/>
          </w:tcPr>
          <w:p>
            <w:pPr>
              <w:spacing w:after="0"/>
              <w:rPr>
                <w:sz w:val="14"/>
                <w:szCs w:val="1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Increase/(decrease)</w:t>
            </w: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38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revenue</w:t>
            </w:r>
          </w:p>
        </w:tc>
        <w:tc>
          <w:tcPr>
            <w:tcW w:w="1360" w:type="dxa"/>
            <w:vAlign w:val="bottom"/>
            <w:gridSpan w:val="3"/>
            <w:vMerge w:val="continue"/>
          </w:tcPr>
          <w:p>
            <w:pPr>
              <w:spacing w:after="0"/>
              <w:rPr>
                <w:sz w:val="13"/>
                <w:szCs w:val="13"/>
                <w:color w:val="auto"/>
              </w:rPr>
            </w:pPr>
          </w:p>
        </w:tc>
        <w:tc>
          <w:tcPr>
            <w:tcW w:w="13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Increase/(decrease)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391,400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256,092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43"/>
        </w:trPr>
        <w:tc>
          <w:tcPr>
            <w:tcW w:w="3860" w:type="dxa"/>
            <w:vAlign w:val="bottom"/>
            <w:gridSpan w:val="4"/>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b w:val="1"/>
                <w:bCs w:val="1"/>
                <w:color w:val="auto"/>
              </w:rPr>
              <w:t>281,234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247,828</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33,406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230,170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196,373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43"/>
        </w:trPr>
        <w:tc>
          <w:tcPr>
            <w:tcW w:w="3860" w:type="dxa"/>
            <w:vAlign w:val="bottom"/>
            <w:gridSpan w:val="4"/>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b w:val="1"/>
                <w:bCs w:val="1"/>
                <w:color w:val="auto"/>
              </w:rPr>
              <w:t>40,232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43,969</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Business reorganization</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37"/>
        </w:trPr>
        <w:tc>
          <w:tcPr>
            <w:tcW w:w="3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938,078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759,004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179,074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stock-based compensation expense, which was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25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and marketing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13,258</w:t>
            </w: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51,903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58,037</w:t>
            </w: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18,020</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Business reorganization</w:t>
            </w:r>
          </w:p>
        </w:tc>
        <w:tc>
          <w:tcPr>
            <w:tcW w:w="2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2,424</w:t>
            </w:r>
          </w:p>
        </w:tc>
      </w:tr>
    </w:tbl>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exchange rates decreased total operating expenses by $5.1 million in the fiscal year ended March 31, 2019 as compared to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Selling and marketing expenses increased by $135.3 million in the fiscal year ended March 31, 2019 as compared to the prior year, due primarily to $108.5 million in higher advertising expenses. Advertising expenses were higher in the current year due primarily to the release of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in October 2018,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The remaining increase is due to higher personnel expenses, primarily due to increased headcount.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increased by $33.4 million for the fiscal year ended March 31, 2019, as compared to the prior year, due primarily to (i) increases in personnel expenses due to additional headcount, (ii) a reduction of expense in the prior period related to updating the fair value of contingent consideration from our acquisition of Social Point, (iii) increases in IT related expenses for cloud-based services, and (iv) increases in rent expense. These increases were partially offset by a decrease in stock compensation expense, related primarily to share based awards granted under our management agreement with ZelnickMedia, and insurance recoveries.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for the fiscal years ended March 31, 2019 and 2018 include occupancy expense (primarily rent, utilities and office expenses) of $22.0 million and $18.2 million, respectively, related to our development studios.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expenses increased by $33.8 million for the fiscal year ended March 31, 2019, as compared to the prior year, due primarily to increased personnel expense due to (i) increased headcount and (ii) higher stock-based compensation as well as an increase in production and development expenses for titles for which technological feasibility has not been established.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Depreciation and amortization expenses decreased by $3.7 million for the fiscal year ended March 31, 2019, as compared to the prior year, due primarily to the recognition of a $11.3 million impairment charge in September 2017, as a result of our decision not to proceed with further development of a certain in-process research and development ("IPR&amp;D") intangible asset from our acquisition of Social Point. The decrease was partially offset by an increase in depreciation expense due primarily to the move to our new corporate headquarters in December 2017 and an increase in IT infrastructure costs.</w:t>
      </w:r>
    </w:p>
    <w:p>
      <w:pPr>
        <w:sectPr>
          <w:pgSz w:w="11900" w:h="16838" w:orient="portrait"/>
          <w:cols w:equalWidth="0" w:num="1">
            <w:col w:w="11420"/>
          </w:cols>
          <w:pgMar w:left="240" w:top="71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19"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Business Reorganization</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fiscal year ended March 31, 2019, business reorganization expense decreased $19.7 million as a result of a benefit due to updating estimates for and completing our 2016 Plan as well as costs related to our 2018 Plan in the prior year period with significantly decreased costs in the current year period. Although we may record additional expense or benefit in future periods to true-up estimates, we do not expect to incur additional reorganization costs in connection with these reorganizations. See Note 20 - Business Reorganization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2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of net revenue</w:t>
            </w:r>
          </w:p>
        </w:tc>
        <w:tc>
          <w:tcPr>
            <w:tcW w:w="10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 of net</w:t>
            </w:r>
          </w:p>
        </w:tc>
        <w:tc>
          <w:tcPr>
            <w:tcW w:w="12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0"/>
              </w:rPr>
              <w:t>Increase/(decrease)</w:t>
            </w:r>
          </w:p>
        </w:tc>
        <w:tc>
          <w:tcPr>
            <w:tcW w:w="120" w:type="dxa"/>
            <w:vAlign w:val="bottom"/>
            <w:vMerge w:val="restart"/>
            <w:shd w:val="clear" w:color="auto" w:fill="CCEEFF"/>
          </w:tcPr>
          <w:p>
            <w:pPr>
              <w:spacing w:after="0"/>
              <w:rPr>
                <w:sz w:val="14"/>
                <w:szCs w:val="14"/>
                <w:color w:val="auto"/>
              </w:rPr>
            </w:pPr>
          </w:p>
        </w:tc>
        <w:tc>
          <w:tcPr>
            <w:tcW w:w="1340" w:type="dxa"/>
            <w:vAlign w:val="bottom"/>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Increase/(decrease)</w:t>
            </w:r>
          </w:p>
        </w:tc>
        <w:tc>
          <w:tcPr>
            <w:tcW w:w="0" w:type="dxa"/>
            <w:vAlign w:val="bottom"/>
          </w:tcPr>
          <w:p>
            <w:pPr>
              <w:spacing w:after="0"/>
              <w:rPr>
                <w:sz w:val="1"/>
                <w:szCs w:val="1"/>
                <w:color w:val="auto"/>
              </w:rPr>
            </w:pPr>
          </w:p>
        </w:tc>
      </w:tr>
      <w:tr>
        <w:trPr>
          <w:trHeight w:val="243"/>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38,019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21,264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16,755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Foreign currency exchange (loss) gain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7"/>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Interest and other, net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26,113</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25,065</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2,391.7 %</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and other, net was $26.1 million for the fiscal year ended March 31, 2019, as compared to $1.0 million for the fiscal year ended March 31, 2018. The increase was due primarily to a $16.8 million increase in interest income due primarily to the size of, nature of, and return on our investment portfolio and a $14.2 million decrease in interest expense primarily as a result of the settlement of our 1.00% Convertible Notes due 2018 ("Convertible Notes"), which matured July 1, 2018. The net increase was partially offset by gains in the prior period on the early conversion of our Convertible Notes, with no corresponding gains in the current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Provision/Benefit from income taxes</w:t>
      </w:r>
    </w:p>
    <w:p>
      <w:pPr>
        <w:spacing w:after="0" w:line="14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We recognized a tax benefit of $107.1 million from a reduction in our valuation allowance on certain U.S. deferred tax assets as a result of a determination that it was more-likely-than-not that such deferred tax assets would be realized. Our determination took into account the successful launch of </w:t>
      </w:r>
      <w:r>
        <w:rPr>
          <w:rFonts w:ascii="Arial" w:cs="Arial" w:eastAsia="Arial" w:hAnsi="Arial"/>
          <w:sz w:val="18"/>
          <w:szCs w:val="18"/>
          <w:i w:val="1"/>
          <w:iCs w:val="1"/>
          <w:color w:val="auto"/>
        </w:rPr>
        <w:t xml:space="preserve">Red Dead Redemption 2 </w:t>
      </w:r>
      <w:r>
        <w:rPr>
          <w:rFonts w:ascii="Arial" w:cs="Arial" w:eastAsia="Arial" w:hAnsi="Arial"/>
          <w:sz w:val="18"/>
          <w:szCs w:val="18"/>
          <w:color w:val="auto"/>
        </w:rPr>
        <w:t>during the year along with our recent positive trend of earnings.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22, 2017, the U.S. enacted comprehensive tax legislation commonly referred to as the Tax Cuts and Jobs Act (herein referred to as the "Act”). The Act made broad and complex changes to the U.S. tax code. The Act reduced the U.S. federal corporate income tax rate from 35% to 21%, effective January 1, 2018 and required companies to pay a one-time transition tax on the previously untaxed earnings of certain foreign subsidiaries. In addition, the Act made other changes, including, but not limited to, (1) a Base Erosion Anti-abuse Tax ("BEAT"), which is a new minimum tax, (2) generally eliminating U.S. federal income taxes on dividends from foreign subsidiaries, (3) a new provision that taxes global intangible low-taxed income ("GILTI"), (4) the repeal of the domestic production activity deduction, and (5) other base broadening provisions.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SEC issued Staff Accounting Bulletin No. 118, </w:t>
      </w:r>
      <w:r>
        <w:rPr>
          <w:rFonts w:ascii="Arial" w:cs="Arial" w:eastAsia="Arial" w:hAnsi="Arial"/>
          <w:sz w:val="17"/>
          <w:szCs w:val="17"/>
          <w:i w:val="1"/>
          <w:iCs w:val="1"/>
          <w:color w:val="auto"/>
        </w:rPr>
        <w:t>Income Tax Accounting Implications of the Tax Cuts and Jobs Acts</w:t>
      </w:r>
      <w:r>
        <w:rPr>
          <w:rFonts w:ascii="Arial" w:cs="Arial" w:eastAsia="Arial" w:hAnsi="Arial"/>
          <w:sz w:val="17"/>
          <w:szCs w:val="17"/>
          <w:color w:val="auto"/>
        </w:rPr>
        <w:t xml:space="preserve"> ("SAB 118"), which provides guidance on accounting for the Act's impact. SAB 118 provides a measurement period, which should not extend beyond one year from the Act enactment date, during which a company acting in good faith may complete the accounting for the impact of the Act under ASC 740. In accordance with SAB 118, the income tax effects of the Act must be reflected in the reporting period in which the accounting under ASC Topic 740 is complete. We completed the accounting and recorded a decrease to income tax expense of $4.6 million to adjust the provisional estimates related to the one-time transition tax on the previously untaxed earnings of certain foreign subsidiaries as a result of the Act. The impact of the Act differs from these estimates due to changes in interpretations and assumptions we have made, guidance that was issued, and actions taken as a result of the Act.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Act subjects a U.S. shareholder to current tax on GILTI earned by foreign subsidiaries. The FASB Staff Q&amp;A Topic No.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Global Intangible Low-Taxed Income</w:t>
      </w:r>
      <w:r>
        <w:rPr>
          <w:rFonts w:ascii="Arial" w:cs="Arial" w:eastAsia="Arial" w:hAnsi="Arial"/>
          <w:sz w:val="18"/>
          <w:szCs w:val="18"/>
          <w:color w:val="auto"/>
        </w:rPr>
        <w:t>, states that an entity can make an accounting policy election either to recognize deferred taxes for temporary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expected to reverse as GILTI in future years or provide for the tax expense related to GILTI resulting from those items in the year the tax is incurred. We have elected to recognize the resulting tax on GILTI as an expense in the period incurred.</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income tax benefit was $101.1 million for the fiscal year ended March 31, 2019 as compared to $36.9 million for the fiscal year ended March 31, 2018.</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compared to the statutory rate of 21.0%, the effective tax rate of (43.4)% for the fiscal year ended March 31, 2019 was primarily due to a $107.1 million tax benefit from changes in valuation allowance, a benefit of $35.0 million for tax credits,</w:t>
      </w:r>
    </w:p>
    <w:p>
      <w:pPr>
        <w:sectPr>
          <w:pgSz w:w="11900" w:h="16838" w:orient="portrait"/>
          <w:cols w:equalWidth="0" w:num="1">
            <w:col w:w="11420"/>
          </w:cols>
          <w:pgMar w:left="240" w:top="7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19" w:right="239" w:bottom="1440" w:gutter="0" w:footer="0" w:header="0"/>
          <w:type w:val="continuous"/>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$13.3 million from excess tax benefits from employee stock compensation, and $9.0 million from our geographic mix of earnings, partially offset by tax expense from other immaterial items, which include the impact of the Act.</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When compared to the statutory rate of 31.6%, the effective tax rate of (27.0)% for the fiscal year ended March 31, 2018 was primarily due to $53.2 million from excess tax benefits from employee stock compensation as a component of the benefit from income taxes (previously excess tax benefit and tax deficiencies were recognized in additional paid-in-capital), a benefit of $22.6 million for tax credits anticipated to be utilized, a benefit of $15.1 million from changes in unrecognized tax benefits primarily due to expiration of statute of limitations, and a benefit of $7.9 million from our geographic mix of earnings, partially offset by provisional amounts recorded as a result of the Act and $10.4 million for changes in our valuation allowance.</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tax rate in the current year was lower compared to the prior year primarily due to a lower U.S. statutory rate, increased tax benefits from changes in valuation allowance, increased tax benefits from tax credits, reduced tax expense from the one-time transition tax, partially offset by reduced benefits from excess tax benefits related to employee stock compensation and changes in unrecognized tax benefits.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that additional excess tax benefits from employee stock compensation and tax credits could have a significant impact on our effective tax rate in future periods.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upon the difference between our share-based compensation expense and the deductions taken on our tax return, which depends upon the stock price at the time of employee award vesting. Since we recognize excess tax benefits on a discrete basis, we anticipate that our effective tax rate will vary from quarter to quarter depending on our stock price in each period.</w:t>
      </w:r>
    </w:p>
    <w:p>
      <w:pPr>
        <w:spacing w:after="0" w:line="24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June 21, 2018, the U.S. Supreme Court issued its decision in South Dakota v. Wayfair, which overturned previous case law that precluded states from requiring retailers to collect sales tax on sales made to in-state customers unless the retailer had physical presence in the state. Although this case is limited to sales tax collection obligations, we continue to monitor the potential impact of this decision on our state income tax footprint.</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ultimate amount of tax payable in a given financial statement period may be materially affected by sudden or unforeseen changes in tax laws, changes in the mix and level of earnings by taxing jurisdictions, or changes to existing accounting rules or regulations. For example, on July 24, 2018, the Ninth Circuit Court of Appeals issued an opinion in Altera Corp. v. Commissioner requiring related parties in an intercompany cost-sharing arrangement to share expenses related to stock compensation. On August 7, 2018, the opinion was withdrawn to allow time for a reconstituted panel to confer. We will continue to monitor ongoing developments and the final opinion could have a material impact on our Consolidated Financial Statements.</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March 31, 2019, we had gross unrecognized tax benefits, including interest and penalties, of $139.0 million, of which $23.9 million would affect our effective tax rate if realized. For the fiscal year ended March 31, 2019, gross unrecognized tax benefits increased by $10.5 million.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 longer subject to audit for U.S. federal income tax returns for periods prior to our fiscal year ended March 31, 2016 and state income tax returns for periods prior to the fiscal year ended March 31, 2014. With few exceptions, we are no longer subject to income tax examinations in non-U.S. jurisdictions for years prior to fiscal year ended March 31, 2013. Certain U.S. state and foreign taxing authorities are currently examining our income tax returns for the fiscal years ended March 31, 2014 through March 31, 2017.</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regularly audited by domestic and foreign taxing authorities. We believe that our tax positions comply with applicable tax law and that we have adequately provided for reasonably foreseeable tax assessments. It is possible that settlement of audits or the expiration of the statute of limitations may impact our effective tax rate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fiscal year ended March 31, 2019, our net income was $333.8 million, as compared to $173.5 million in the prior year. Diluted earnings per share for the fiscal year ended March 31, 2019 was $2.90, as compared to $1.54 for the fiscal year ended March 31, 2018. Diluted weighted average shares outstanding of 115.2 million were 2.4 million higher compared to the prior fiscal year due primarily to the settlement on conversion of our 1.00% Convertible Notes with shares of our common stock using the stated conversion rate and, to a lesser extent, normal stock compensation activity including grants and forfeitures, offset by share repurchases. See Note 1 - Basis of Presentation and Significant Accounting Policies and Note 13 - Earnings Per Share to the Consolidated Financial Statements for additional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1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Fiscal Years Ended March 31, 2018 and 2017</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4"/>
                <w:szCs w:val="14"/>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Increase/(decrease)</w:t>
            </w:r>
          </w:p>
        </w:tc>
        <w:tc>
          <w:tcPr>
            <w:tcW w:w="120" w:type="dxa"/>
            <w:vAlign w:val="bottom"/>
            <w:vMerge w:val="restart"/>
          </w:tcPr>
          <w:p>
            <w:pPr>
              <w:spacing w:after="0"/>
              <w:rPr>
                <w:sz w:val="14"/>
                <w:szCs w:val="14"/>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Increase/(decrease)</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1,792,892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1,779,748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Internal royalties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383,020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330,782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52,238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203,301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255,914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38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Software development costs and royalties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191,400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335,675</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(144,275)</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Licenses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120,590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100,588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7"/>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898,311</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1,022,959</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(124,648)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894,581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756,789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137,792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$24,610 and $21,056 of stock-based compensation expense in 2018 and 2017, respectively.</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the fiscal year ended March 31, 2018, net revenue increased by $13.1 million, as compared to the prior year. This increase was due primarily to an increase of $159.4 million in net revenue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partially offset by a decrease of $134.9 million in net revenue from </w:t>
      </w:r>
      <w:r>
        <w:rPr>
          <w:rFonts w:ascii="Arial" w:cs="Arial" w:eastAsia="Arial" w:hAnsi="Arial"/>
          <w:sz w:val="18"/>
          <w:szCs w:val="18"/>
          <w:i w:val="1"/>
          <w:iCs w:val="1"/>
          <w:color w:val="auto"/>
        </w:rPr>
        <w:t>Mafia III</w:t>
      </w:r>
      <w:r>
        <w:rPr>
          <w:rFonts w:ascii="Arial" w:cs="Arial" w:eastAsia="Arial" w:hAnsi="Arial"/>
          <w:sz w:val="18"/>
          <w:szCs w:val="18"/>
          <w:color w:val="auto"/>
        </w:rPr>
        <w:t>, which released in October 2016</w:t>
      </w:r>
      <w:r>
        <w:rPr>
          <w:rFonts w:ascii="Arial" w:cs="Arial" w:eastAsia="Arial" w:hAnsi="Arial"/>
          <w:sz w:val="18"/>
          <w:szCs w:val="18"/>
          <w:i w:val="1"/>
          <w:iCs w:val="1"/>
          <w:color w:val="auto"/>
        </w:rPr>
        <w:t>.</w:t>
      </w:r>
      <w:r>
        <w:rPr>
          <w:rFonts w:ascii="Arial" w:cs="Arial" w:eastAsia="Arial" w:hAnsi="Arial"/>
          <w:sz w:val="18"/>
          <w:szCs w:val="18"/>
          <w:color w:val="auto"/>
        </w:rPr>
        <w:t xml:space="preserve"> Net revenue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franchise increased $32.0 million as compared to the prior year. This increase was due primarily to an increase of $114.9 million in net revenue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partially offset by a decrease of $78.0 million from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V.</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 xml:space="preserve">Net revenue from console games increased by $22.6 million and accounted for 81.6% of our total net revenue in the fiscal year ended March 31, 2018, as compared to 81.0% in the prior year. The increase in net revenue from console games was due primarily to higher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partially offset by lower net revenue from </w:t>
      </w:r>
      <w:r>
        <w:rPr>
          <w:rFonts w:ascii="Arial" w:cs="Arial" w:eastAsia="Arial" w:hAnsi="Arial"/>
          <w:sz w:val="17"/>
          <w:szCs w:val="17"/>
          <w:i w:val="1"/>
          <w:iCs w:val="1"/>
          <w:color w:val="auto"/>
        </w:rPr>
        <w:t>Mafia III,</w:t>
      </w:r>
      <w:r>
        <w:rPr>
          <w:rFonts w:ascii="Arial" w:cs="Arial" w:eastAsia="Arial" w:hAnsi="Arial"/>
          <w:sz w:val="17"/>
          <w:szCs w:val="17"/>
          <w:color w:val="auto"/>
        </w:rPr>
        <w:t xml:space="preserve"> which released in October 2016. Net revenue from PC and other decreased by $9.4 million as compared to the prior year and decreased as a percentage of net revenue to 18.4% compared to 19.0% in the prior year. The decrease in net revenue from PC and other was due primarily to lower net revenue from </w:t>
      </w:r>
      <w:r>
        <w:rPr>
          <w:rFonts w:ascii="Arial" w:cs="Arial" w:eastAsia="Arial" w:hAnsi="Arial"/>
          <w:sz w:val="17"/>
          <w:szCs w:val="17"/>
          <w:i w:val="1"/>
          <w:iCs w:val="1"/>
          <w:color w:val="auto"/>
        </w:rPr>
        <w:t>Civilization VI</w:t>
      </w:r>
      <w:r>
        <w:rPr>
          <w:rFonts w:ascii="Arial" w:cs="Arial" w:eastAsia="Arial" w:hAnsi="Arial"/>
          <w:sz w:val="17"/>
          <w:szCs w:val="17"/>
          <w:color w:val="auto"/>
        </w:rPr>
        <w:t>, which released on the PC in the prior year, partially offset by higher net revenue from Social Point titles for which we had only two months of net revenue in the prior year as it was acquired in January 2017.</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Net revenue from digital online channels increased by $209.2 million and accounted for 63.1% of our total net revenue for the fiscal year ended March 31, 2018, as compared to 51.8% in the prior year. The increase in net revenue from digital online channels was due primarily to higher revenue related to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partially offset by lower net revenue from </w:t>
      </w:r>
      <w:r>
        <w:rPr>
          <w:rFonts w:ascii="Arial" w:cs="Arial" w:eastAsia="Arial" w:hAnsi="Arial"/>
          <w:sz w:val="18"/>
          <w:szCs w:val="18"/>
          <w:i w:val="1"/>
          <w:iCs w:val="1"/>
          <w:color w:val="auto"/>
        </w:rPr>
        <w:t>Civilization VI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Net revenue from physical retail and other channels decreased by $196.1 million and accounted for 36.9% of our total net revenue for the fiscal year ended March 31, 2018, as compared to 48.2% for the prior year. The decrease in net revenue from physical retail and other channels was due primarily to lower net revenue from </w:t>
      </w:r>
      <w:r>
        <w:rPr>
          <w:rFonts w:ascii="Arial" w:cs="Arial" w:eastAsia="Arial" w:hAnsi="Arial"/>
          <w:sz w:val="18"/>
          <w:szCs w:val="18"/>
          <w:i w:val="1"/>
          <w:iCs w:val="1"/>
          <w:color w:val="auto"/>
        </w:rPr>
        <w:t>Mafia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III, Grand Theft Auto V, </w:t>
      </w:r>
      <w:r>
        <w:rPr>
          <w:rFonts w:ascii="Arial" w:cs="Arial" w:eastAsia="Arial" w:hAnsi="Arial"/>
          <w:sz w:val="18"/>
          <w:szCs w:val="18"/>
          <w:color w:val="auto"/>
        </w:rPr>
        <w:t>and</w:t>
      </w:r>
      <w:r>
        <w:rPr>
          <w:rFonts w:ascii="Arial" w:cs="Arial" w:eastAsia="Arial" w:hAnsi="Arial"/>
          <w:sz w:val="18"/>
          <w:szCs w:val="18"/>
          <w:i w:val="1"/>
          <w:iCs w:val="1"/>
          <w:color w:val="auto"/>
        </w:rPr>
        <w:t xml:space="preserve"> BioShock: The Collection</w:t>
      </w:r>
      <w:r>
        <w:rPr>
          <w:rFonts w:ascii="Arial" w:cs="Arial" w:eastAsia="Arial" w:hAnsi="Arial"/>
          <w:sz w:val="18"/>
          <w:szCs w:val="18"/>
          <w:color w:val="auto"/>
        </w:rPr>
        <w:t>, which released in September 2016, partially offset by higher net revenue from</w:t>
      </w:r>
      <w:r>
        <w:rPr>
          <w:rFonts w:ascii="Arial" w:cs="Arial" w:eastAsia="Arial" w:hAnsi="Arial"/>
          <w:sz w:val="18"/>
          <w:szCs w:val="18"/>
          <w:i w:val="1"/>
          <w:iCs w:val="1"/>
          <w:color w:val="auto"/>
        </w:rPr>
        <w:t xml:space="preserve"> L.A. Noire </w:t>
      </w:r>
      <w:r>
        <w:rPr>
          <w:rFonts w:ascii="Arial" w:cs="Arial" w:eastAsia="Arial" w:hAnsi="Arial"/>
          <w:sz w:val="18"/>
          <w:szCs w:val="18"/>
          <w:color w:val="auto"/>
        </w:rPr>
        <w:t>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releases on PS4, Xbox One, Switch, and HTC Vive</w:t>
      </w:r>
      <w:r>
        <w:rPr>
          <w:rFonts w:ascii="Arial" w:cs="Arial" w:eastAsia="Arial" w:hAnsi="Arial"/>
          <w:sz w:val="18"/>
          <w:szCs w:val="18"/>
          <w:i w:val="1"/>
          <w:iCs w:val="1"/>
          <w:color w:val="auto"/>
        </w:rPr>
        <w: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Net revenue from recurrent consumer spending on our titles through virtual currency, add-on content, and microtransactions increased by $287.9 million and accounted for 41.6% of net revenue for the fiscal year ended March 31, 2018, as compared to 25.8% for the prior year. The increase in recurrent consumer spending was due primarily to higher virtual currency net revenue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and Social Point titles with only two months of net revenue in the prior year as it was acquired in January 2017.</w:t>
      </w:r>
    </w:p>
    <w:p>
      <w:pPr>
        <w:spacing w:after="0" w:line="1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Gross profit as a percentage of net revenue for the fiscal year ended March 31, 2018 was 49.9%, as compared to 42.5% in the prior year. The percentage increase was due primarily to lower software development costs as a percentage of net revenue due to </w:t>
      </w:r>
      <w:r>
        <w:rPr>
          <w:rFonts w:ascii="Arial" w:cs="Arial" w:eastAsia="Arial" w:hAnsi="Arial"/>
          <w:sz w:val="18"/>
          <w:szCs w:val="18"/>
          <w:i w:val="1"/>
          <w:iCs w:val="1"/>
          <w:color w:val="auto"/>
        </w:rPr>
        <w:t>Mafia III</w:t>
      </w:r>
      <w:r>
        <w:rPr>
          <w:rFonts w:ascii="Arial" w:cs="Arial" w:eastAsia="Arial" w:hAnsi="Arial"/>
          <w:sz w:val="18"/>
          <w:szCs w:val="18"/>
          <w:color w:val="auto"/>
        </w:rPr>
        <w:t xml:space="preserve"> and </w:t>
      </w:r>
      <w:r>
        <w:rPr>
          <w:rFonts w:ascii="Arial" w:cs="Arial" w:eastAsia="Arial" w:hAnsi="Arial"/>
          <w:sz w:val="18"/>
          <w:szCs w:val="18"/>
          <w:i w:val="1"/>
          <w:iCs w:val="1"/>
          <w:color w:val="auto"/>
        </w:rPr>
        <w:t>Civilization VI</w:t>
      </w:r>
      <w:r>
        <w:rPr>
          <w:rFonts w:ascii="Arial" w:cs="Arial" w:eastAsia="Arial" w:hAnsi="Arial"/>
          <w:sz w:val="18"/>
          <w:szCs w:val="18"/>
          <w:color w:val="auto"/>
        </w:rPr>
        <w:t xml:space="preserve"> releasing in the prior year, as well as lower product costs as a percentage of net revenue due to the decrease in net revenue from physical retail sales. The increase was offset by higher internal royalties as a percentage of net revenue due to the timing of when royalties are earned and to a lesser extent higher stock-based compensation costs as a percentage of net revenue.</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Net revenue earned outside of the United States decreased by $40.0 million and accounted for 41.3% of our total net revenue in the fiscal year ended March 31, 2018, as compared to 43.9%. The decrease in net revenue was due primarily to a decrease in net revenue from </w:t>
      </w:r>
      <w:r>
        <w:rPr>
          <w:rFonts w:ascii="Arial" w:cs="Arial" w:eastAsia="Arial" w:hAnsi="Arial"/>
          <w:sz w:val="18"/>
          <w:szCs w:val="18"/>
          <w:i w:val="1"/>
          <w:iCs w:val="1"/>
          <w:color w:val="auto"/>
        </w:rPr>
        <w:t>Mafia III,</w:t>
      </w:r>
      <w:r>
        <w:rPr>
          <w:rFonts w:ascii="Arial" w:cs="Arial" w:eastAsia="Arial" w:hAnsi="Arial"/>
          <w:sz w:val="18"/>
          <w:szCs w:val="18"/>
          <w:color w:val="auto"/>
        </w:rPr>
        <w:t xml:space="preserve"> partially offset by higher net revenue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Changes in foreign currency exchange rates increased net revenue and gross profit by $9.8 million and $6.7 million, respectively, in the fiscal year ended March 31, 2018 as compared to the prior year.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1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w:t>
            </w:r>
          </w:p>
        </w:tc>
        <w:tc>
          <w:tcPr>
            <w:tcW w:w="280" w:type="dxa"/>
            <w:vAlign w:val="bottom"/>
          </w:tcPr>
          <w:p>
            <w:pPr>
              <w:spacing w:after="0"/>
              <w:rPr>
                <w:sz w:val="14"/>
                <w:szCs w:val="14"/>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Increase/(decrease)</w:t>
            </w:r>
          </w:p>
        </w:tc>
        <w:tc>
          <w:tcPr>
            <w:tcW w:w="120" w:type="dxa"/>
            <w:vAlign w:val="bottom"/>
            <w:vMerge w:val="restart"/>
          </w:tcPr>
          <w:p>
            <w:pPr>
              <w:spacing w:after="0"/>
              <w:rPr>
                <w:sz w:val="14"/>
                <w:szCs w:val="14"/>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Increase/(decrease)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256,092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285,453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247,828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211,409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36,419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196,373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43,969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30,707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13,262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Business reorganization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14,742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759,004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665,484</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93,520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stock-based compensation expense, which was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and marketing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9,963</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58,037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42,908</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r>
      <w:tr>
        <w:trPr>
          <w:trHeight w:val="258"/>
        </w:trPr>
        <w:tc>
          <w:tcPr>
            <w:tcW w:w="3040" w:type="dxa"/>
            <w:vAlign w:val="bottom"/>
          </w:tcPr>
          <w:p>
            <w:pPr>
              <w:ind w:left="40"/>
              <w:spacing w:after="0"/>
              <w:rPr>
                <w:sz w:val="20"/>
                <w:szCs w:val="20"/>
                <w:color w:val="auto"/>
              </w:rPr>
            </w:pPr>
            <w:r>
              <w:rPr>
                <w:rFonts w:ascii="Arial" w:cs="Arial" w:eastAsia="Arial" w:hAnsi="Arial"/>
                <w:sz w:val="14"/>
                <w:szCs w:val="14"/>
                <w:color w:val="auto"/>
              </w:rPr>
              <w:t>Business reorganization</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2,424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exchange rates increased total operating expenses by $8.4 million in the fiscal year ended March 31, 2018 as compared to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Selling and marketing expenses decreased by $29.4 million in the fiscal year ended March 31, 2018 as compared to the prior year, due primarily to $44.2 million in lower advertising expenses. Advertising expenses were lower in the current year due primarily to the releases of </w:t>
      </w:r>
      <w:r>
        <w:rPr>
          <w:rFonts w:ascii="Arial" w:cs="Arial" w:eastAsia="Arial" w:hAnsi="Arial"/>
          <w:sz w:val="16"/>
          <w:szCs w:val="16"/>
          <w:i w:val="1"/>
          <w:iCs w:val="1"/>
          <w:color w:val="auto"/>
        </w:rPr>
        <w:t>Mafia III</w:t>
      </w:r>
      <w:r>
        <w:rPr>
          <w:rFonts w:ascii="Arial" w:cs="Arial" w:eastAsia="Arial" w:hAnsi="Arial"/>
          <w:sz w:val="16"/>
          <w:szCs w:val="16"/>
          <w:color w:val="auto"/>
        </w:rPr>
        <w:t xml:space="preserve"> and </w:t>
      </w:r>
      <w:r>
        <w:rPr>
          <w:rFonts w:ascii="Arial" w:cs="Arial" w:eastAsia="Arial" w:hAnsi="Arial"/>
          <w:sz w:val="16"/>
          <w:szCs w:val="16"/>
          <w:i w:val="1"/>
          <w:iCs w:val="1"/>
          <w:color w:val="auto"/>
        </w:rPr>
        <w:t>Civilization VI</w:t>
      </w:r>
      <w:r>
        <w:rPr>
          <w:rFonts w:ascii="Arial" w:cs="Arial" w:eastAsia="Arial" w:hAnsi="Arial"/>
          <w:sz w:val="16"/>
          <w:szCs w:val="16"/>
          <w:color w:val="auto"/>
        </w:rPr>
        <w:t xml:space="preserve"> in October 2016 and </w:t>
      </w:r>
      <w:r>
        <w:rPr>
          <w:rFonts w:ascii="Arial" w:cs="Arial" w:eastAsia="Arial" w:hAnsi="Arial"/>
          <w:sz w:val="16"/>
          <w:szCs w:val="16"/>
          <w:i w:val="1"/>
          <w:iCs w:val="1"/>
          <w:color w:val="auto"/>
        </w:rPr>
        <w:t>Battleborn</w:t>
      </w:r>
      <w:r>
        <w:rPr>
          <w:rFonts w:ascii="Arial" w:cs="Arial" w:eastAsia="Arial" w:hAnsi="Arial"/>
          <w:sz w:val="16"/>
          <w:szCs w:val="16"/>
          <w:color w:val="auto"/>
        </w:rPr>
        <w:t xml:space="preserve"> in May 2016, partially offset by higher marketing in the current year period for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2. </w:t>
      </w:r>
      <w:r>
        <w:rPr>
          <w:rFonts w:ascii="Arial" w:cs="Arial" w:eastAsia="Arial" w:hAnsi="Arial"/>
          <w:sz w:val="16"/>
          <w:szCs w:val="16"/>
          <w:color w:val="auto"/>
        </w:rPr>
        <w:t>The decrease was partially offset by higher personnel expenses, primarily due to higher incentive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 and administrative expenses increased by $36.4 million for the fiscal year ended March 31, 2018, as compared to the prior year, due primarily to (i) increases in personnel expenses, including stock and incentive compensation expense, due to additional headcount, including our acquisition of Social Point, (ii) increases in professional fees, related primarily to our management agreement with ZelnickMedia as a result of the increase in our share price, (iii) increases in IT related expenses from the purchase of computer hardware and software, and (iv) increases in rent expense due to new locations, including our new corporate headquarters in New York and for Social Point, as well as increased rent in other locations. This overall increase was partially offset primarily by a $6.5 million reduction of expense related to reversing a contingent consideration liability recognized in connection with the Social Point acquisition as we determined that the fair value of this contingent consideration was $0 based on the lower probability of Social Point achieving certain performance measures in the 24-month period following the acquisition.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for the fiscal years ended March 31, 2018 and 2017 include occupancy expense (primarily rent, utilities and office expenses) of $18.2 million and $15.8 million, respectively, related to our development studios.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and development expenses increased by $58.5 million for the fiscal year ended March 31, 2018, as compared to the prior year, due primarily to increased personnel expense due to (i) increased headcount, including our acquisition of Social Point, and (ii) higher stock-based compensation. These increases were partially offset by lower production expenses for titles that have not reached technological feasibility.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expenses increased by $13.3 million for the fiscal year ended March 31, 2018, as compared to the prior year, due primarily to the recognition of a $11.3 million impairment charge as a result of our decision not to proceed with further development of a certain in-process research and development ("IPR&amp;D") intangible asset from our acquisition of Social Point.</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19"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Business Reorganization</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fiscal year ended March 31, 2018, we announced and initiated actions to implement a strategic reorganization at one of our labels. In connection with this initiative we incurred business reorganization expenses of $14.7 million for the fiscal year ended March 31, 2018, due primarily to employee separation costs with no corresponding costs in the prior year. Although we may record additional expense or benefit in future periods to true-up estimates, we do not expect to incur additional reorganization costs in connection with this reorganization. See Note 20 - Business Reorganization.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and other,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w:t>
            </w:r>
          </w:p>
        </w:tc>
        <w:tc>
          <w:tcPr>
            <w:tcW w:w="26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(loss) gain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(3,038)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5,091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399.1 %</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Interest and other, net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1,048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0.1 %</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16,738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and other, net was income of $1.0 million for the fiscal year ended March 31, 2018, as compared to an expense of $15.7 million for the fiscal year ended March 31, 2017. The increase was due primarily to a $20.7 million decrease in interest expense as a result of the settlement of our 1.75% Convertible Notes in December 2016 and higher gains on early conversions of our 1.00% Convertible Notes as well as higher interest income due to the nature of our investments and the rise of interest rates, partially offset by foreign exchange transaction losses for the fiscal year ended March 31, 2018 as compared to foreign exchange transaction gains in the prior year.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Provision/Benefit from income taxes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U.S. enacted comprehensive tax legislation commonly referred to as the Tax Cuts and Jobs Act (herein referred to as the "Act”). The Act makes broad and complex changes to the U.S. tax code that could materially affect us. The Act reduces the U.S. federal corporate income tax rate from 35% to 21%, effective January 1, 2018 and requires companies to pay a one-time transition tax on the previously untaxed earnings of certain foreign subsidiaries. In addition, the Act makes other changes that may affect us, beginning April 1, 2018. These changes include but are not limited to (1) a Base Erosion Anti-abuse Tax (BEAT), which is a new minimum tax, (2) generally eliminating U.S. federal income taxes on dividends from foreign subsidiaries, (3) a new provision that taxes global intangible low-taxed income (GILTI), (4) the repeal of the domestic production activity deduction, and (5) other base broadening provisions.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FASB Staff Q&amp;A, Topic 740, No. 5, </w:t>
      </w:r>
      <w:r>
        <w:rPr>
          <w:rFonts w:ascii="Arial" w:cs="Arial" w:eastAsia="Arial" w:hAnsi="Arial"/>
          <w:sz w:val="18"/>
          <w:szCs w:val="18"/>
          <w:i w:val="1"/>
          <w:iCs w:val="1"/>
          <w:color w:val="auto"/>
        </w:rPr>
        <w:t>Accounting for Global Intangible Low-Taxed Income</w:t>
      </w:r>
      <w:r>
        <w:rPr>
          <w:rFonts w:ascii="Arial" w:cs="Arial" w:eastAsia="Arial" w:hAnsi="Arial"/>
          <w:sz w:val="18"/>
          <w:szCs w:val="18"/>
          <w:color w:val="auto"/>
        </w:rPr>
        <w:t>, states that an entity can make an accounting policy election to either recognize deferred taxes for temporary basis differences expected to reverse as GILTI in future years or provide for the tax expense related to GILTI in the year the tax is incurred. Given the complexity of the GILTI provisions, the Company is still evaluating the effects of the GILTI provisions and has not yet determined its accounting policy. As of March 31, 2018, the Company is still evaluating the GILTI provisions and analysis of future taxable income that is subject to GILTI and therefore is unable to make a reasonable estimate and has not reflected any adjustments related to GILTI in the Consolidated Financial Statements.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an estimated increase to income tax expense of $18.1 million related to the one-time transition tax on the previously untaxed earnings of certain foreign subsidiaries as a result of the Act. The estimated increase was a result of a transition tax of $26.6 million, offset by increased benefits from domestic production deductions and tax credits. In addition, as a result of the decrease in the U.S. federal corporate income tax rate from 35% to 21%, we recorded a decrease to net deferred tax assets of $47.7 million and a corresponding decrease to the valuation allowance of $39.8 million after taking into account a portion of the deferred tax liability from indefinite lived intangibles as a source of income against deferred tax assets, resulting in a tax benefit of $7.9 million. The re-measurement of the deferred tax liability relating to indefinite lived intangibles, due to the rate change, resulted in a tax benefit of $6.2 million.</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currently evaluating the potential impact of the Act, and the amounts recorded represent provisional estimates for certain identified income tax effects for which the accounting is incomplete but a reasonable estimate can be determined, in accordance with Staff Accounting Bulletin No. 118 (SAB 118). Further analysis is required to review historical practices used to calculate the untaxed earnings of certain foreign subsidiaries and additional time to evaluate the complexities of the new tax law along with additional interpretative guidance that may be issued. The impact of the Act may differ from these estimates, possibly materially, due to changes in interpretations and assumptions we have made, guidance that may be issued, and actions we may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9"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take as a result of the Act. We expect to continue to analyze the Act and its impact and expect to record any adjustments to provisional estimates no later than the third quarter of fiscal 2019.</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income tax benefit was $36.9 million for the fiscal year ended March 31, 2018 as compared to income tax expense of $9.7 million for the fiscal year ended March 31, 2017.</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When compared to the statutory rate of 31.6%, the effective tax rate of (27.0)% for the fiscal year ended March 31, 2018 was primarily due to $53.2 million from excess tax benefits from employee stock compensation as a component of the benefit from income taxes (previously excess tax benefit and tax deficiencies were recognized in additional paid-in-capital), a benefit of $22.6 million for tax credits anticipated to be utilized, a benefit of $15.1 million from changes in unrecognized tax benefits primarily due to expiration of statute of limitations, and a benefit of $7.9 million from our geographic mix of earnings, partially offset by provisional amounts recorded as a result of the Act and $10.4 million for changes in our valuation allowance.</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effective tax rate in the current year was lower compared to the prior year primarily due to $53.2 million from excess tax benefits related to employee stock compensation reflected as a component of the benefit from income taxes in the current year, an increased benefit from changes in unrecognized tax benefits of $17.3 million primarily due to expiration of statute of limitations, and $11.0 million of increased tax benefits due to mix of earnings, partially offset by a reduced benefit from tax credits of $12.7 million and provisional amounts recorded as a result of the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anticipate that additional excess tax benefits from employee stock compensation, tax credits, changes in valuation allowance, and changes as a result of the Act may arise in future periods, which could have a significant impact on our effective tax rate.</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upon the difference between our share-based compensation expense and the deductions taken on our tax return, which depends upon the stock price at the time of employee award vesting. Since we recognize excess tax benefits on a discrete basis, we anticipate that our effective tax rate will vary from quarter to quarter depending on our stock price in each period.</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March 31, 2018, we had gross unrecognized tax benefits, including interest and penalties, of $128.5 million, of which $22.8 million would affect our effective tax rate if realized. For the fiscal year ended March 31, 2018, gross unrecognized tax benefits increased by $8.3 million.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 longer subject to audit for U.S. federal income tax returns for periods prior to our fiscal year ended March 31, 2016 and state income tax returns for periods prior to the fiscal year ended March 31, 2013. With few exceptions, we are no longer subject to income tax examinations in non-U.S. jurisdictions for years prior to fiscal year ended March 31, 2012. Certain U.S. state and foreign taxing authorities are currently examining our income tax returns for the fiscal years ended March 31, 2012 through March 31, 2016.</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regularly audited by domestic and foreign taxing authorities. We believe that our tax positions comply with applicable tax law and that we have adequately provided for reasonably foreseeable tax assessments. It is possible that settlement of audits or the expiration of the statute of limitations may impact our effective tax rate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fiscal year ended March 31, 2018, our net income was $173.5 million, as compared to $67.3 million in the prior year. Diluted earnings per share for the fiscal year ended March 31, 2018 was $1.54, as compared to $0.72 for the fiscal year ended March 31, 2017. Basic weighted average shares outstanding of 110.1 million were 19.9 million higher compared to the prior fiscal year due primarily to the settlement on conversion of our 1.75% Convertible Notes and our 1.00% Convertible Notes with shares of our common stock using the stated conversion rate and, to a lesser extent the vesting of restricted stock awards. See Note 1 - Basis of Presentation and Significant Accounting Policies and Note 13 - Earnings Per Share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primary cash requirements have been to fund (i) the development, manufacturing and marketing of our published products, (ii) working capital,</w:t>
      </w:r>
    </w:p>
    <w:p>
      <w:pPr>
        <w:spacing w:after="0" w:line="46" w:lineRule="exact"/>
        <w:rPr>
          <w:sz w:val="20"/>
          <w:szCs w:val="20"/>
          <w:color w:val="auto"/>
        </w:rPr>
      </w:pPr>
    </w:p>
    <w:p>
      <w:pPr>
        <w:ind w:right="20" w:firstLine="8"/>
        <w:spacing w:after="0" w:line="261" w:lineRule="auto"/>
        <w:tabs>
          <w:tab w:leader="none" w:pos="327"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and (iv) capital expenditures. We expect to rely on cash and cash equivalents as well as on short-term investments, funds provided by our operating activities, and our New Credit Agreement to satisfy our working capital needs.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we had $744.5 million of short-term investments, which are highly-liquid in nature and represent an investment of cash that is available for current operations. From time to time, we may purchase additional short-term investments depending on future market conditions and liquidity needs.</w:t>
      </w:r>
    </w:p>
    <w:p>
      <w:pPr>
        <w:sectPr>
          <w:pgSz w:w="11900" w:h="16838" w:orient="portrait"/>
          <w:cols w:equalWidth="0" w:num="1">
            <w:col w:w="11420"/>
          </w:cols>
          <w:pgMar w:left="240" w:top="584"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New Credit Agreement</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8, 2019, we entered into an unsecured Credit Agreement (the “New Credit Agreement”). The New Credit Agreement replaced our existing Credit Agreement, which was terminated on the same day. The New Credit Agreement runs through February 8, 2024. The New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New Credit Agreement contains uncommitted incremental capacity permitting the incurrence of up to an additional $250,000 in term loans or revolving credit facilities. Loans under the New Credit Agreement will bear interest at a margin of (a) 0.125% to 0.750% above a certain base rate (5.50% at March 31, 2019), or (b) 1.125% to 1.750% above LIBOR (approximately 2.49% at March 31, 2019), which margins are determined by reference to our consolidated total net leverage ratio.</w:t>
      </w:r>
    </w:p>
    <w:p>
      <w:pPr>
        <w:spacing w:after="0" w:line="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2019, there was $198.3 million available to borrow under the New Credit Agreement and we had $1.7 million of letters of credit outstanding. At March 31, 2019, we had no outstanding borrowings under the Credit Agreement.</w:t>
      </w:r>
    </w:p>
    <w:p>
      <w:pPr>
        <w:spacing w:after="0" w:line="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New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New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 Convertible Notes Due 2018</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18, 2013, we issued $250.0 million aggregate principal amount of 1.00% Convertible Notes due 2018. The Convertible Notes were issued at 98.5% of par value for proceeds of $283.2 million, which included a $37.5 million overallotment option that was exercised. Interest on the Convertible Notes was payable semi-annually in arrears on July 1</w:t>
      </w:r>
      <w:r>
        <w:rPr>
          <w:rFonts w:ascii="Arial" w:cs="Arial" w:eastAsia="Arial" w:hAnsi="Arial"/>
          <w:sz w:val="14"/>
          <w:szCs w:val="14"/>
          <w:color w:val="auto"/>
        </w:rPr>
        <w:t>st</w:t>
      </w:r>
      <w:r>
        <w:rPr>
          <w:rFonts w:ascii="Arial" w:cs="Arial" w:eastAsia="Arial" w:hAnsi="Arial"/>
          <w:sz w:val="18"/>
          <w:szCs w:val="18"/>
          <w:color w:val="auto"/>
        </w:rPr>
        <w:t xml:space="preserve"> and January 1</w:t>
      </w:r>
      <w:r>
        <w:rPr>
          <w:rFonts w:ascii="Arial" w:cs="Arial" w:eastAsia="Arial" w:hAnsi="Arial"/>
          <w:sz w:val="14"/>
          <w:szCs w:val="14"/>
          <w:color w:val="auto"/>
        </w:rPr>
        <w:t>st</w:t>
      </w:r>
      <w:r>
        <w:rPr>
          <w:rFonts w:ascii="Arial" w:cs="Arial" w:eastAsia="Arial" w:hAnsi="Arial"/>
          <w:sz w:val="18"/>
          <w:szCs w:val="18"/>
          <w:color w:val="auto"/>
        </w:rPr>
        <w:t xml:space="preserve"> of each year, commencing on January 1, 2014. The Convertible Notes matured on July 1,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2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majority of our trade receivables are derived from sales to major retailers and distributors. Our five largest customers accounted for 70.1%, 70.7%, and 65.5% of net revenue during the fiscal years ended March 31, 2019, 2018, and 2017, respectively. As of March 31, 2019 and 2018, five customers accounted for 66.6% and 65.4% of our gross accounts receivable, respectively. Customers that individually accounted for more than 10% of our gross accounts receivable balance comprised 55.8% and 53.2% of such balances at March 31, 2019 and 2018, respectively. We had two customers who accounted for 40.1% and 15.7% of our gross accounts receivable as of March 31, 2019 and two customers who accounted for 37.7%, and 15.5% of our gross accounts receivable as of March 31, 2018. We did not have any additional customers that exceeded 10% of our gross accounts receivable as of March 31, 2019 and 2018.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2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current cash, short-term investments and projected cash flow from operations, along with availability under our New Credit Agreement will provide us with sufficient liquidity to satisfy our cash requirements for working capital, capital expenditures, and commitments on both a short-term and long-term basis.</w:t>
      </w:r>
    </w:p>
    <w:p>
      <w:pPr>
        <w:spacing w:after="0" w:line="1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2019, the amount of cash and cash equivalents held outside of the U.S. by our foreign subsidiaries was $292.7 million. These balances are dispersed across various locations around the world. We believe that such dispersion meets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the business and liquidity needs of our foreign affiliates. In addition, we expect to have the ability to generate sufficient cash domestically to support ongoing operations for the foreseeable future.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U.S. enacted comprehensive tax legislation commonly referred to as the "Tax Cuts and Jobs Act” (herein referred to as the "Act”). The Act made broad and complex changes to the U.S. tax code, which could materially affect us. The Act included a number of provisions, including international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1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 During the fiscal years ended March 31, 2019, 2018, and 2017, we repurchased 3.7 million, 1.5 million, and 0.0 million shares of our common stock, respectively, in the open market for $362.4 million, $154.8 million, and $0.0 million, respectively, including commissions as part of the program. As of March 31, 2019, we had repurchased a total of 10.4 million shares of our common stock under the program, and 3.8 million shares of our common stock remained available for repurchase under the share repurchase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changes in cash flows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3"/>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843,515</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407,903</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(223,576)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(129,030)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(49,772)</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145,615</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221,303</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At March 31, 2019, we had 1,392.0 million of Cash, cash equivalents, and Restricted cash, compared to 1,246.4 million at March 31, 2018. The increase in Cash, cash equivalents, and Restricted cash from March 31, 2018 was due primarily to Net cash provided by operating activities from sales, primarily of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partially offset by investments in software development and licenses as well as royalty payments. These net increases were offset by Net cash used in financing activities, which was primarily related to repurchases of common stock under our share repurchase program and tax payments related to net share settlements of our restricted stock, and to a lesser extent Net cash used in investing activities, which was primarily related to bank time deposits and purchases of fixed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Generally, these include:</w:t>
      </w:r>
    </w:p>
    <w:p>
      <w:pPr>
        <w:spacing w:after="0" w:line="116" w:lineRule="exact"/>
        <w:rPr>
          <w:sz w:val="20"/>
          <w:szCs w:val="20"/>
          <w:color w:val="auto"/>
        </w:rPr>
      </w:pPr>
    </w:p>
    <w:p>
      <w:pPr>
        <w:jc w:val="both"/>
        <w:ind w:left="340" w:hanging="8"/>
        <w:spacing w:after="0" w:line="304"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and Licensing: </w:t>
      </w:r>
      <w:r>
        <w:rPr>
          <w:rFonts w:ascii="Arial" w:cs="Arial" w:eastAsia="Arial" w:hAnsi="Arial"/>
          <w:sz w:val="18"/>
          <w:szCs w:val="18"/>
          <w:color w:val="auto"/>
        </w:rPr>
        <w:t>We make payments to third-party software developers that include contractual payments to developers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software development agreements that expire at various times through March 2025.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80" w:lineRule="exact"/>
        <w:rPr>
          <w:rFonts w:ascii="Arial" w:cs="Arial" w:eastAsia="Arial" w:hAnsi="Arial"/>
          <w:sz w:val="18"/>
          <w:szCs w:val="18"/>
          <w:color w:val="auto"/>
        </w:rPr>
      </w:pPr>
    </w:p>
    <w:p>
      <w:pPr>
        <w:ind w:left="340" w:hanging="8"/>
        <w:spacing w:after="0" w:line="324"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We have certain minimum marketing support commitments where we commit to spend specified amounts related to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Marketing commitments expire at various times through September 2024.</w:t>
      </w:r>
    </w:p>
    <w:p>
      <w:pPr>
        <w:spacing w:after="0" w:line="62" w:lineRule="exact"/>
        <w:rPr>
          <w:rFonts w:ascii="Arial" w:cs="Arial" w:eastAsia="Arial" w:hAnsi="Arial"/>
          <w:sz w:val="18"/>
          <w:szCs w:val="18"/>
          <w:color w:val="auto"/>
        </w:rPr>
      </w:pPr>
    </w:p>
    <w:p>
      <w:pPr>
        <w:jc w:val="both"/>
        <w:ind w:left="340" w:hanging="8"/>
        <w:spacing w:after="0" w:line="306"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Our offices are occupied under non-cancelable operating leases expiring at various times through December 2032. We also lease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furniture, equipment and automobiles under non-cancelable leases expiring through June 2023. Some of the leases have fixed rent increases and also include inducements to enter into the lease. The effect of such amounts are deferred and recognized on a straight-line basis over the related lease term.</w:t>
      </w:r>
    </w:p>
    <w:p>
      <w:pPr>
        <w:spacing w:after="0" w:line="78" w:lineRule="exact"/>
        <w:rPr>
          <w:rFonts w:ascii="Arial" w:cs="Arial" w:eastAsia="Arial" w:hAnsi="Arial"/>
          <w:sz w:val="18"/>
          <w:szCs w:val="18"/>
          <w:color w:val="auto"/>
        </w:rPr>
      </w:pPr>
    </w:p>
    <w:p>
      <w:pPr>
        <w:jc w:val="both"/>
        <w:ind w:left="340" w:hanging="8"/>
        <w:spacing w:after="0" w:line="311"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Purchase obligations</w:t>
      </w:r>
      <w:r>
        <w:rPr>
          <w:rFonts w:ascii="Arial" w:cs="Arial" w:eastAsia="Arial" w:hAnsi="Arial"/>
          <w:sz w:val="18"/>
          <w:szCs w:val="18"/>
          <w:color w:val="auto"/>
        </w:rPr>
        <w:t>: These obligations are primarily related to agreements to purchase services that are enforceable and legally binding on us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all significant terms, including fixed, minimum or variable pricing provisions; and the approximate timing of the transactions, expiring at various times through March 2024.</w:t>
      </w:r>
    </w:p>
    <w:p>
      <w:pPr>
        <w:sectPr>
          <w:pgSz w:w="11900" w:h="16838" w:orient="portrait"/>
          <w:cols w:equalWidth="0" w:num="1">
            <w:col w:w="11420"/>
          </w:cols>
          <w:pgMar w:left="240" w:top="58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A summary of annual minimum contractual obligations and commitments as of March 31, 2019 is as follows (in thousands of dollars):</w:t>
      </w:r>
    </w:p>
    <w:p>
      <w:pPr>
        <w:spacing w:after="0" w:line="200" w:lineRule="exact"/>
        <w:rPr>
          <w:sz w:val="20"/>
          <w:szCs w:val="20"/>
          <w:color w:val="auto"/>
        </w:rPr>
      </w:pP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Software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2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Purchase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Ending March 31,</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Marketing</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Licensing</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Obligations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288,334</w:t>
            </w: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186,279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174,730</w:t>
            </w: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159,394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93,350</w:t>
            </w:r>
          </w:p>
        </w:tc>
        <w:tc>
          <w:tcPr>
            <w:tcW w:w="0" w:type="dxa"/>
            <w:vAlign w:val="bottom"/>
          </w:tcPr>
          <w:p>
            <w:pPr>
              <w:spacing w:after="0"/>
              <w:rPr>
                <w:sz w:val="1"/>
                <w:szCs w:val="1"/>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187,562</w:t>
            </w:r>
          </w:p>
        </w:tc>
        <w:tc>
          <w:tcPr>
            <w:tcW w:w="0" w:type="dxa"/>
            <w:vAlign w:val="bottom"/>
          </w:tcPr>
          <w:p>
            <w:pPr>
              <w:spacing w:after="0"/>
              <w:rPr>
                <w:sz w:val="1"/>
                <w:szCs w:val="1"/>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1,089,649</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At March 31, 2019, we had recorded a liability for gross unrecognized tax benefits, including interest and penalties, of $23.9 million,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are unable to make a reasonable and reliable estimate of the period in which these liabilities will be settled with the respective tax authorities; therefore, these liabilities have not been included in the contractual obligations table.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Legal and Other Proceedings: </w:t>
      </w:r>
      <w:r>
        <w:rPr>
          <w:rFonts w:ascii="Arial" w:cs="Arial" w:eastAsia="Arial" w:hAnsi="Arial"/>
          <w:sz w:val="17"/>
          <w:szCs w:val="17"/>
          <w:color w:val="auto"/>
        </w:rPr>
        <w:t>We are, or may become, subject to demands and claims (including intellectual property claims) and are involved in routine</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7, 2019, all of the previously disclosed lawsuits, claims, and counterclaims that had been pending since April 2016 with Mr. Leslie Benzies, the former president of one of our subsidiaries, were resolved.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2019 and 2018,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fiscal years ended March 31, 2019, 2018 and 2017, 46.5%, 41.3% and 43.9%, respectively, of our net revenue was earned outside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2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products are also seasonal, with peak shipments typically occurring in the fourth calendar quarter as a result of increased demand for products during the holiday season. For certain of our software products with multiple element revenue arrangements, we defer the recognition of our net revenue over an estimated service period which generally ranges from 9 to 15 months. As a result, the quarter in which we generate the highest net sales volume may be different from the quarter in which we recognize the highest amount of net revenue. Quarterly comparisons of operating results are not necessarily indicative of future operating results.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19" w:right="239" w:bottom="1440" w:gutter="0" w:footer="0" w:header="0"/>
        </w:sectPr>
      </w:pPr>
    </w:p>
    <w:bookmarkStart w:id="43" w:name="page44"/>
    <w:bookmarkEnd w:id="43"/>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New Credit Agreement.</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March 31, 2019, we had $744.5 million of short-term investments, which included $356.8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$826.5 million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2019.</w:t>
      </w:r>
    </w:p>
    <w:p>
      <w:pPr>
        <w:spacing w:after="0" w:line="2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Historically, fluctuations in interest rates have not had a significant effect on our operating results. Under our New Credit Agreement, loans will bear interest at a rate of (a) 0.250% to 0.750% above a certain base rate (5.50% at March 31, 2019) or (b) 1.125% to 1.750% above LIBOR (approximately 2.49% at March 31, 2019), which rates are determined by reference to our consolidated total net leverage ratio. Changes in market rates may affect our future interest expense if there is an outstanding balance on our line of credit. At March 31, 2019, there were no outstanding borrowings under our New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period end. Translation adjustments are included as a separate component of stockholders' equity on our Consolidated Balance Sheets. For the fiscal years ended March 31, 2019 and 2018, our foreign currency translation adjustment was a loss of $28.8 million and a gain of $43.4 million, respectively. We recognized a foreign currency exchange transaction loss of $0.5 million, a loss of $3.0 million, and a gain of $5.0 million for the fiscal years ended March 31, 2019, 2018, and 2017, respectively, in Interest and other, net in our Consolidated Statements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 At March 31, 2019, we had $116.6 million of forward contracts outstanding to buy foreign currencies in exchange for U.S. dollars and $87.8 million of forward contracts outstanding to sell foreign currencies in exchange for U.S. dollars all of which have maturities of less than one year. At March 31, 2018, we had $4.4 million of forward contracts outstanding to buy foreign currencies in exchange for U.S. dollars and $67.6 million of forward contracts outstanding to sell foreign currencies in exchange for U.S. dollars all of which have maturities of less than one year. For the fiscal years ended March 31, 2019, 2018 and 2017, we recorded a gain of $16.8 million, a loss of $19.5 million, and a gain of $7.2 million, respectively, related to foreign currency forward contracts in Interest and other, net on the Consolidated Statements of Operations. As of March 31, 2019 and 2018, the fair value of these outstanding forward contracts were losses of $0.4 million and $0.0 million, respectively, and is included in accrued and other current liabilities. The fair value of these outstanding forward contracts is estimated based on the prevailing exchange rates of the various hedged currencies as of the end of the period.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hedging programs are designed to reduce, but do not entirely eliminate, the effect of currency exchange rate movements. We believe the counterparties to these foreign currency forward contracts are credit-worthy multinational commercial banks and that the risk of counterparty nonperformance is not material. Notwithstanding our efforts to mitigate some foreign</w:t>
      </w:r>
    </w:p>
    <w:p>
      <w:pPr>
        <w:sectPr>
          <w:pgSz w:w="11900" w:h="16838" w:orient="portrait"/>
          <w:cols w:equalWidth="0" w:num="1">
            <w:col w:w="11420"/>
          </w:cols>
          <w:pgMar w:left="240" w:top="71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15" w:right="239" w:bottom="1440" w:gutter="0" w:footer="0" w:header="0"/>
          <w:type w:val="continuous"/>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currency exchange rate risks, there can be no assurance that our hedging activities will adequately protect us against the risks associated with foreign currency fluctuations. For the fiscal year ended March 31, 2019, 46.5% of our revenue was generated outside the United States. Using sensitivity analysis, a hypothetical 10% increase in the value of the U.S. dollar against all currencies would decrease revenue by 4.7%, while a hypothetical 10% decrease in the value of the U.S. dollar against all currencies would increase revenue by 4.7%. In the opinion of management, a substantial portion of this fluctuation would be offset by cost of goods sold and operating expenses incurred in local currency.</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and supplementary data appear in a separate section of this report following Part IV. We provide details of our valuation and qualifying accounts in Note 21 - Supplementary Financial Information to the Consolidated Financial Statements. All schedules have been omitted since the information required to be submitted has been included on the Consolidated Financial Statements or notes thereto or has been omitted as not applicable or not required.</w:t>
      </w: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Disclosure Controls and Procedures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designed to reasonably ensure that information required to be disclosed in our reports filed under the Exchange Act is (i) recorded, processed, summarized, and reported within the time periods specified in the Securities and Exchange Commission's rules and forms and (ii) accumulated and communicated to management, including our principal executive officer and principal financial officer, as appropriate, to allow timely decisions regarding required disclosures.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March 31, 2019, the end of the period covered by this report. Based on this evaluation, the principal executive officer and principal financial officer concluded that, at March 31, 2019,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2019.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independent registered public accounting firm, Ernst &amp; Young LLP, has issued an audit report on our internal control over financial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report on the audit of internal control over financial reporting is included in this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March 31, 2019,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19" w:right="239" w:bottom="1440" w:gutter="0" w:footer="0" w:header="0"/>
          <w:type w:val="continuous"/>
        </w:sectPr>
      </w:pPr>
    </w:p>
    <w:bookmarkStart w:id="45" w:name="page46"/>
    <w:bookmarkEnd w:id="45"/>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71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2019. We intend to file the Proxy Statement within 120 days after the end of the fiscal year (i.e. on or before July 29, 2019). Our Code of Business Conduct and Ethics applicable to our directors and all employees, including senior financial officers, is available on our website at </w:t>
      </w:r>
      <w:r>
        <w:rPr>
          <w:rFonts w:ascii="Arial" w:cs="Arial" w:eastAsia="Arial" w:hAnsi="Arial"/>
          <w:sz w:val="18"/>
          <w:szCs w:val="18"/>
          <w:i w:val="1"/>
          <w:iCs w:val="1"/>
          <w:color w:val="auto"/>
        </w:rPr>
        <w:t>www.take2games.com</w:t>
      </w:r>
      <w:r>
        <w:rPr>
          <w:rFonts w:ascii="Arial" w:cs="Arial" w:eastAsia="Arial" w:hAnsi="Arial"/>
          <w:sz w:val="18"/>
          <w:szCs w:val="18"/>
          <w:color w:val="auto"/>
        </w:rPr>
        <w:t>. If we make any amendment to our Code of Business Conduct and Ethics that is required to be disclosed pursuant to the Exchange Act, we will make such disclosures on our website.</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section entitled "Executive Compensation" in our Proxy Statement.</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our Proxy Statement.</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"Independent Auditor Fee Information" in our 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1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4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Financial Statements. See Index to Financial Statements on page 53 of this Report.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Financial Statement Schedule. See Note 21 to the Consolidated Financial Statements.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18"/>
          </w:tcPr>
          <w:p>
            <w:pPr>
              <w:ind w:left="660"/>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960" w:type="dxa"/>
            <w:vAlign w:val="bottom"/>
            <w:tcBorders>
              <w:top w:val="single" w:sz="8" w:color="auto"/>
              <w:bottom w:val="single" w:sz="8" w:color="0000FF"/>
            </w:tcBorders>
            <w:gridSpan w:val="14"/>
          </w:tcPr>
          <w:p>
            <w:pPr>
              <w:spacing w:after="0" w:line="202" w:lineRule="exact"/>
              <w:rPr>
                <w:rFonts w:ascii="Arial" w:cs="Arial" w:eastAsia="Arial" w:hAnsi="Arial"/>
                <w:sz w:val="18"/>
                <w:szCs w:val="18"/>
                <w:color w:val="0000FF"/>
                <w:w w:val="87"/>
              </w:rPr>
            </w:pPr>
            <w:hyperlink r:id="rId12">
              <w:r>
                <w:rPr>
                  <w:rFonts w:ascii="Arial" w:cs="Arial" w:eastAsia="Arial" w:hAnsi="Arial"/>
                  <w:sz w:val="18"/>
                  <w:szCs w:val="18"/>
                  <w:color w:val="0000FF"/>
                  <w:w w:val="87"/>
                </w:rPr>
                <w:t>Share Sale and Purchase Agreement, dated January 31, 2017, by and</w:t>
              </w:r>
            </w:hyperlink>
          </w:p>
        </w:tc>
        <w:tc>
          <w:tcPr>
            <w:tcW w:w="500" w:type="dxa"/>
            <w:vAlign w:val="bottom"/>
            <w:tcBorders>
              <w:top w:val="single" w:sz="8" w:color="auto"/>
            </w:tcBorders>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among Take-Two Interactive Software, Inc., Take-Two Invest Espana,</w:t>
              </w:r>
            </w:hyperlink>
          </w:p>
        </w:tc>
        <w:tc>
          <w:tcPr>
            <w:tcW w:w="4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S.L., Andres Bou Ortiz, Horacio Martos Borja, Marc Canaleta Caupena,</w:t>
              </w:r>
            </w:hyperlink>
          </w:p>
        </w:tc>
        <w:tc>
          <w:tcPr>
            <w:tcW w:w="26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Voladuras Hinojo, S.L., Nauta Tech Invest III, S.C.R., S.A., Bilbao</w:t>
              </w:r>
            </w:hyperlink>
          </w:p>
        </w:tc>
        <w:tc>
          <w:tcPr>
            <w:tcW w:w="64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Vizcaya Holding, S.A., La Banque Postale Innovation 11 FCPI, Capital</w:t>
              </w:r>
            </w:hyperlink>
          </w:p>
        </w:tc>
        <w:tc>
          <w:tcPr>
            <w:tcW w:w="3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3"/>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Croissance 4, Objectif Innovation Patrimoine 4 FCPI, Strategie PME 2011</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FCPI, Idinvest Patrimoine FCPI, Allianz Eco Innovation 3 FCPI, Objectif</w:t>
              </w:r>
            </w:hyperlink>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3"/>
          </w:tcPr>
          <w:p>
            <w:pPr>
              <w:spacing w:after="0" w:line="196" w:lineRule="exact"/>
              <w:rPr>
                <w:rFonts w:ascii="Arial" w:cs="Arial" w:eastAsia="Arial" w:hAnsi="Arial"/>
                <w:sz w:val="18"/>
                <w:szCs w:val="18"/>
                <w:color w:val="0000FF"/>
                <w:w w:val="94"/>
              </w:rPr>
            </w:pPr>
            <w:hyperlink r:id="rId12">
              <w:r>
                <w:rPr>
                  <w:rFonts w:ascii="Arial" w:cs="Arial" w:eastAsia="Arial" w:hAnsi="Arial"/>
                  <w:sz w:val="18"/>
                  <w:szCs w:val="18"/>
                  <w:color w:val="0000FF"/>
                  <w:w w:val="94"/>
                </w:rPr>
                <w:t>Innovation 5 FCPI, Idinvest Crossance FCPI, SG Innovation 2011 FCPI,</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top w:val="single" w:sz="8" w:color="0000FF"/>
            </w:tcBorders>
            <w:gridSpan w:val="19"/>
          </w:tcPr>
          <w:p>
            <w:pPr>
              <w:spacing w:after="0" w:line="196" w:lineRule="exact"/>
              <w:rPr>
                <w:rFonts w:ascii="Arial" w:cs="Arial" w:eastAsia="Arial" w:hAnsi="Arial"/>
                <w:sz w:val="18"/>
                <w:szCs w:val="18"/>
                <w:color w:val="0000FF"/>
                <w:w w:val="98"/>
              </w:rPr>
            </w:pPr>
            <w:hyperlink r:id="rId12">
              <w:r>
                <w:rPr>
                  <w:rFonts w:ascii="Arial" w:cs="Arial" w:eastAsia="Arial" w:hAnsi="Arial"/>
                  <w:sz w:val="18"/>
                  <w:szCs w:val="18"/>
                  <w:color w:val="0000FF"/>
                  <w:w w:val="98"/>
                </w:rPr>
                <w:t>Allianz Eco Innovation 2 FCPI, Objectif Innovation 4 FCPI, Idinvest</w:t>
              </w:r>
            </w:hyperlink>
          </w:p>
        </w:tc>
        <w:tc>
          <w:tcPr>
            <w:tcW w:w="2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Flexible 2016 FCPI, Capital Croissance 5 FCPI, Objectif Innovation</w:t>
              </w:r>
            </w:hyperlink>
          </w:p>
        </w:tc>
        <w:tc>
          <w:tcPr>
            <w:tcW w:w="20" w:type="dxa"/>
            <w:vAlign w:val="bottom"/>
            <w:tcBorders>
              <w:top w:val="single" w:sz="8" w:color="0000FF"/>
            </w:tcBorders>
          </w:tcPr>
          <w:p>
            <w:pPr>
              <w:spacing w:after="0"/>
              <w:rPr>
                <w:sz w:val="17"/>
                <w:szCs w:val="17"/>
                <w:color w:val="auto"/>
              </w:rPr>
            </w:pPr>
          </w:p>
        </w:tc>
        <w:tc>
          <w:tcPr>
            <w:tcW w:w="50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Patrimoine 5 FCPI, Idinvest Patrimoine 2 FCPI, Objectif Innovation</w:t>
              </w:r>
            </w:hyperlink>
          </w:p>
        </w:tc>
        <w:tc>
          <w:tcPr>
            <w:tcW w:w="54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Patrimoine 6 FCPI, Idinvest Patrimoine 3 FCPI, Greylock Israel</w:t>
              </w:r>
            </w:hyperlink>
          </w:p>
        </w:tc>
        <w:tc>
          <w:tcPr>
            <w:tcW w:w="8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3"/>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Investment Vehicle in Social Point, LTD, and HCPESP, S.a.r.l. †</w:t>
              </w:r>
            </w:hyperlink>
          </w:p>
        </w:tc>
      </w:tr>
      <w:tr>
        <w:trPr>
          <w:trHeight w:val="46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Restated Certificate of Incorporation</w:t>
              </w:r>
            </w:hyperlink>
          </w:p>
        </w:tc>
        <w:tc>
          <w:tcPr>
            <w:tcW w:w="1980" w:type="dxa"/>
            <w:vAlign w:val="bottom"/>
            <w:tcBorders>
              <w:top w:val="single" w:sz="8" w:color="0000FF"/>
            </w:tcBorders>
            <w:gridSpan w:val="2"/>
          </w:tcPr>
          <w:p>
            <w:pPr>
              <w:spacing w:after="0"/>
              <w:rPr>
                <w:sz w:val="24"/>
                <w:szCs w:val="24"/>
                <w:color w:val="auto"/>
              </w:rPr>
            </w:pPr>
          </w:p>
        </w:tc>
        <w:tc>
          <w:tcPr>
            <w:tcW w:w="840" w:type="dxa"/>
            <w:vAlign w:val="bottom"/>
            <w:gridSpan w:val="14"/>
          </w:tcPr>
          <w:p>
            <w:pPr>
              <w:spacing w:after="0"/>
              <w:rPr>
                <w:sz w:val="24"/>
                <w:szCs w:val="24"/>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w w:val="95"/>
              </w:rPr>
            </w:pPr>
            <w:hyperlink r:id="rId14">
              <w:r>
                <w:rPr>
                  <w:rFonts w:ascii="Arial" w:cs="Arial" w:eastAsia="Arial" w:hAnsi="Arial"/>
                  <w:sz w:val="18"/>
                  <w:szCs w:val="18"/>
                  <w:color w:val="0000FF"/>
                  <w:w w:val="95"/>
                </w:rPr>
                <w:t>Certificate of Amendment of Restated Certificate of Incorporation,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April 30, 1998</w:t>
              </w:r>
            </w:hyperlink>
          </w:p>
        </w:tc>
        <w:tc>
          <w:tcPr>
            <w:tcW w:w="22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Certificate of Amendment of Restated Certificate of Incorporation,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November 17, 2003</w:t>
              </w:r>
            </w:hyperlink>
          </w:p>
        </w:tc>
        <w:tc>
          <w:tcPr>
            <w:tcW w:w="22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9"/>
              </w:rPr>
              <w:t>3.1.3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Certificate of Amendment of Restated Certificate of Incorporation,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April 23, 2009</w:t>
              </w:r>
            </w:hyperlink>
          </w:p>
        </w:tc>
        <w:tc>
          <w:tcPr>
            <w:tcW w:w="22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9"/>
              </w:rPr>
              <w:t>3.1.4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w w:val="95"/>
              </w:rPr>
            </w:pPr>
            <w:hyperlink r:id="rId17">
              <w:r>
                <w:rPr>
                  <w:rFonts w:ascii="Arial" w:cs="Arial" w:eastAsia="Arial" w:hAnsi="Arial"/>
                  <w:sz w:val="18"/>
                  <w:szCs w:val="18"/>
                  <w:color w:val="0000FF"/>
                  <w:w w:val="95"/>
                </w:rPr>
                <w:t>Certificate of Amendment of Restated Certificate of Incorporation,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7"/>
              </w:rPr>
            </w:pPr>
            <w:hyperlink r:id="rId17">
              <w:r>
                <w:rPr>
                  <w:rFonts w:ascii="Arial" w:cs="Arial" w:eastAsia="Arial" w:hAnsi="Arial"/>
                  <w:sz w:val="18"/>
                  <w:szCs w:val="18"/>
                  <w:color w:val="0000FF"/>
                  <w:w w:val="87"/>
                </w:rPr>
                <w:t>September 21, 2012</w:t>
              </w:r>
            </w:hyperlink>
          </w:p>
        </w:tc>
        <w:tc>
          <w:tcPr>
            <w:tcW w:w="3800" w:type="dxa"/>
            <w:vAlign w:val="bottom"/>
            <w:tcBorders>
              <w:top w:val="single" w:sz="8" w:color="0000FF"/>
            </w:tcBorders>
            <w:gridSpan w:val="15"/>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60" w:type="dxa"/>
            <w:vAlign w:val="bottom"/>
            <w:tcBorders>
              <w:bottom w:val="single" w:sz="8" w:color="0000FF"/>
            </w:tcBorders>
            <w:gridSpan w:val="17"/>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Designation of Series A Preferred Stock, dated March 11,</w:t>
              </w:r>
            </w:hyperlink>
          </w:p>
        </w:tc>
        <w:tc>
          <w:tcPr>
            <w:tcW w:w="30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r:id="rId14">
              <w:r>
                <w:rPr>
                  <w:rFonts w:ascii="Arial" w:cs="Arial" w:eastAsia="Arial" w:hAnsi="Arial"/>
                  <w:sz w:val="18"/>
                  <w:szCs w:val="18"/>
                  <w:color w:val="0000FF"/>
                  <w:w w:val="84"/>
                </w:rPr>
                <w:t>1998</w:t>
              </w:r>
            </w:hyperlink>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60" w:type="dxa"/>
            <w:vAlign w:val="bottom"/>
            <w:tcBorders>
              <w:bottom w:val="single" w:sz="8" w:color="0000FF"/>
            </w:tcBorders>
            <w:gridSpan w:val="17"/>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Certificate of Designation of Series B Preferred Stock, dated March 26,</w:t>
              </w:r>
            </w:hyperlink>
          </w:p>
        </w:tc>
        <w:tc>
          <w:tcPr>
            <w:tcW w:w="30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r:id="rId18">
              <w:r>
                <w:rPr>
                  <w:rFonts w:ascii="Arial" w:cs="Arial" w:eastAsia="Arial" w:hAnsi="Arial"/>
                  <w:sz w:val="18"/>
                  <w:szCs w:val="18"/>
                  <w:color w:val="0000FF"/>
                  <w:w w:val="84"/>
                </w:rPr>
                <w:t>2008</w:t>
              </w:r>
            </w:hyperlink>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40" w:type="dxa"/>
            <w:vAlign w:val="bottom"/>
            <w:tcBorders>
              <w:bottom w:val="single" w:sz="8" w:color="0000FF"/>
            </w:tcBorders>
            <w:gridSpan w:val="16"/>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Amended and Restated Bylaws of Take-Two Interactive Software, Inc.,</w:t>
              </w:r>
            </w:hyperlink>
          </w:p>
        </w:tc>
        <w:tc>
          <w:tcPr>
            <w:tcW w:w="320" w:type="dxa"/>
            <w:vAlign w:val="bottom"/>
            <w:gridSpan w:val="7"/>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effective as of September 15, 2017</w:t>
              </w:r>
            </w:hyperlink>
          </w:p>
        </w:tc>
        <w:tc>
          <w:tcPr>
            <w:tcW w:w="2960" w:type="dxa"/>
            <w:vAlign w:val="bottom"/>
            <w:gridSpan w:val="17"/>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rPr>
            </w:pPr>
            <w:hyperlink r:id="rId20">
              <w:r>
                <w:rPr>
                  <w:rFonts w:ascii="Arial" w:cs="Arial" w:eastAsia="Arial" w:hAnsi="Arial"/>
                  <w:sz w:val="18"/>
                  <w:szCs w:val="18"/>
                  <w:color w:val="0000FF"/>
                </w:rPr>
                <w:t>Take-Two Interactive Software, Inc. Change in Control Employee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40" w:type="dxa"/>
            <w:vAlign w:val="bottom"/>
            <w:tcBorders>
              <w:top w:val="single" w:sz="8" w:color="0000FF"/>
            </w:tcBorders>
            <w:gridSpan w:val="10"/>
          </w:tcPr>
          <w:p>
            <w:pPr>
              <w:spacing w:after="0" w:line="197" w:lineRule="exact"/>
              <w:rPr>
                <w:rFonts w:ascii="Arial" w:cs="Arial" w:eastAsia="Arial" w:hAnsi="Arial"/>
                <w:sz w:val="16"/>
                <w:szCs w:val="16"/>
                <w:color w:val="0000FF"/>
              </w:rPr>
            </w:pPr>
            <w:hyperlink r:id="rId20">
              <w:r>
                <w:rPr>
                  <w:rFonts w:ascii="Arial" w:cs="Arial" w:eastAsia="Arial" w:hAnsi="Arial"/>
                  <w:sz w:val="16"/>
                  <w:szCs w:val="16"/>
                  <w:color w:val="0000FF"/>
                </w:rPr>
                <w:t>Severance Plan</w:t>
              </w:r>
              <w:r>
                <w:rPr>
                  <w:rFonts w:ascii="Arial" w:cs="Arial" w:eastAsia="Arial" w:hAnsi="Arial"/>
                  <w:sz w:val="22"/>
                  <w:szCs w:val="22"/>
                  <w:color w:val="000000"/>
                  <w:vertAlign w:val="superscript"/>
                </w:rPr>
                <w:t>+</w:t>
              </w:r>
            </w:hyperlink>
          </w:p>
        </w:tc>
        <w:tc>
          <w:tcPr>
            <w:tcW w:w="720" w:type="dxa"/>
            <w:vAlign w:val="bottom"/>
            <w:gridSpan w:val="1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3"/>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Amended and Restated Take-Two Interactive Software, Inc. 2009 Stock</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60" w:type="dxa"/>
            <w:vAlign w:val="bottom"/>
            <w:tcBorders>
              <w:top w:val="single" w:sz="8" w:color="0000FF"/>
            </w:tcBorders>
            <w:gridSpan w:val="17"/>
          </w:tcPr>
          <w:p>
            <w:pPr>
              <w:spacing w:after="0" w:line="197" w:lineRule="exact"/>
              <w:rPr>
                <w:rFonts w:ascii="Arial" w:cs="Arial" w:eastAsia="Arial" w:hAnsi="Arial"/>
                <w:sz w:val="16"/>
                <w:szCs w:val="16"/>
                <w:color w:val="0000FF"/>
              </w:rPr>
            </w:pPr>
            <w:hyperlink r:id="rId21">
              <w:r>
                <w:rPr>
                  <w:rFonts w:ascii="Arial" w:cs="Arial" w:eastAsia="Arial" w:hAnsi="Arial"/>
                  <w:sz w:val="16"/>
                  <w:szCs w:val="16"/>
                  <w:color w:val="0000FF"/>
                </w:rPr>
                <w:t>Incentive Plan, effective as of July 21, 2016</w:t>
              </w:r>
              <w:r>
                <w:rPr>
                  <w:rFonts w:ascii="Arial" w:cs="Arial" w:eastAsia="Arial" w:hAnsi="Arial"/>
                  <w:sz w:val="22"/>
                  <w:szCs w:val="22"/>
                  <w:color w:val="000000"/>
                  <w:vertAlign w:val="superscript"/>
                </w:rPr>
                <w:t>+</w:t>
              </w:r>
            </w:hyperlink>
          </w:p>
        </w:tc>
        <w:tc>
          <w:tcPr>
            <w:tcW w:w="300" w:type="dxa"/>
            <w:vAlign w:val="bottom"/>
            <w:gridSpan w:val="6"/>
          </w:tcPr>
          <w:p>
            <w:pPr>
              <w:spacing w:after="0"/>
              <w:rPr>
                <w:sz w:val="17"/>
                <w:szCs w:val="17"/>
                <w:color w:val="auto"/>
              </w:rPr>
            </w:pPr>
          </w:p>
        </w:tc>
      </w:tr>
      <w:tr>
        <w:trPr>
          <w:trHeight w:val="50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Borders>
              <w:top w:val="single" w:sz="8" w:color="0000FF"/>
            </w:tcBorders>
            <w:gridSpan w:val="8"/>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735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2/3/2017</w:t>
            </w:r>
          </w:p>
        </w:tc>
        <w:tc>
          <w:tcPr>
            <w:tcW w:w="100" w:type="dxa"/>
            <w:vAlign w:val="bottom"/>
          </w:tcPr>
          <w:p>
            <w:pPr>
              <w:spacing w:after="0"/>
              <w:rPr>
                <w:sz w:val="21"/>
                <w:szCs w:val="21"/>
                <w:color w:val="auto"/>
              </w:rPr>
            </w:pPr>
          </w:p>
        </w:tc>
        <w:tc>
          <w:tcPr>
            <w:tcW w:w="1020" w:type="dxa"/>
            <w:vAlign w:val="bottom"/>
          </w:tcPr>
          <w:p>
            <w:pPr>
              <w:jc w:val="right"/>
              <w:ind w:right="319"/>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r>
      <w:tr>
        <w:trPr>
          <w:trHeight w:val="270"/>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89"/>
              </w:rPr>
              <w:t>3.1.2</w:t>
            </w:r>
          </w:p>
        </w:tc>
      </w:tr>
      <w:tr>
        <w:trPr>
          <w:trHeight w:val="486"/>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89"/>
              </w:rPr>
              <w:t>3.1.3</w:t>
            </w:r>
          </w:p>
        </w:tc>
      </w:tr>
      <w:tr>
        <w:trPr>
          <w:trHeight w:val="486"/>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4/23/2009</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r>
      <w:tr>
        <w:trPr>
          <w:trHeight w:val="486"/>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9/24/2012</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r>
      <w:tr>
        <w:trPr>
          <w:trHeight w:val="486"/>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89"/>
              </w:rPr>
              <w:t>3.1.1</w:t>
            </w:r>
          </w:p>
        </w:tc>
      </w:tr>
      <w:tr>
        <w:trPr>
          <w:trHeight w:val="486"/>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6"/>
              </w:rPr>
              <w:t>8-A12B</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3/26/2008</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r>
      <w:tr>
        <w:trPr>
          <w:trHeight w:val="486"/>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9/18/2017</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r>
      <w:tr>
        <w:trPr>
          <w:trHeight w:val="486"/>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3/7/2008</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1"/>
              </w:rPr>
              <w:t>10.1</w:t>
            </w:r>
          </w:p>
        </w:tc>
      </w:tr>
      <w:tr>
        <w:trPr>
          <w:trHeight w:val="486"/>
        </w:trPr>
        <w:tc>
          <w:tcPr>
            <w:tcW w:w="820" w:type="dxa"/>
            <w:vAlign w:val="bottom"/>
          </w:tcPr>
          <w:p>
            <w:pPr>
              <w:jc w:val="center"/>
              <w:ind w:right="150"/>
              <w:spacing w:after="0"/>
              <w:rPr>
                <w:sz w:val="20"/>
                <w:szCs w:val="20"/>
                <w:color w:val="auto"/>
              </w:rPr>
            </w:pPr>
            <w:r>
              <w:rPr>
                <w:rFonts w:ascii="Arial" w:cs="Arial" w:eastAsia="Arial" w:hAnsi="Arial"/>
                <w:sz w:val="18"/>
                <w:szCs w:val="18"/>
                <w:color w:val="auto"/>
                <w:w w:val="93"/>
              </w:rPr>
              <w:t>14A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7/28/2016</w:t>
            </w:r>
          </w:p>
        </w:tc>
        <w:tc>
          <w:tcPr>
            <w:tcW w:w="900" w:type="dxa"/>
            <w:vAlign w:val="bottom"/>
          </w:tcPr>
          <w:p>
            <w:pPr>
              <w:ind w:left="240"/>
              <w:spacing w:after="0"/>
              <w:rPr>
                <w:sz w:val="20"/>
                <w:szCs w:val="20"/>
                <w:color w:val="auto"/>
              </w:rPr>
            </w:pPr>
            <w:r>
              <w:rPr>
                <w:rFonts w:ascii="Arial" w:cs="Arial" w:eastAsia="Arial" w:hAnsi="Arial"/>
                <w:sz w:val="18"/>
                <w:szCs w:val="18"/>
                <w:color w:val="auto"/>
                <w:w w:val="93"/>
              </w:rPr>
              <w:t>Annex A</w:t>
            </w:r>
          </w:p>
        </w:tc>
      </w:tr>
    </w:tbl>
    <w:p>
      <w:pPr>
        <w:sectPr>
          <w:pgSz w:w="11900" w:h="16838" w:orient="portrait"/>
          <w:cols w:equalWidth="0" w:num="2">
            <w:col w:w="7000" w:space="120"/>
            <w:col w:w="4300"/>
          </w:cols>
          <w:pgMar w:left="240" w:top="715" w:right="239" w:bottom="1440" w:gutter="0" w:footer="0" w:header="0"/>
        </w:sectPr>
      </w:pPr>
    </w:p>
    <w:bookmarkStart w:id="48" w:name="page49"/>
    <w:bookmarkEnd w:id="48"/>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gridSpan w:val="22"/>
          </w:tcPr>
          <w:p>
            <w:pPr>
              <w:ind w:left="280"/>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gridSpan w:val="24"/>
          </w:tcPr>
          <w:p>
            <w:pPr>
              <w:spacing w:after="0" w:line="202" w:lineRule="exact"/>
              <w:rPr>
                <w:rFonts w:ascii="Arial" w:cs="Arial" w:eastAsia="Arial" w:hAnsi="Arial"/>
                <w:sz w:val="17"/>
                <w:szCs w:val="17"/>
                <w:color w:val="0000FF"/>
              </w:rPr>
            </w:pPr>
            <w:hyperlink r:id="rId23">
              <w:r>
                <w:rPr>
                  <w:rFonts w:ascii="Arial" w:cs="Arial" w:eastAsia="Arial" w:hAnsi="Arial"/>
                  <w:sz w:val="17"/>
                  <w:szCs w:val="17"/>
                  <w:color w:val="0000FF"/>
                </w:rPr>
                <w:t>Form of Employee Restricted Stock Agreement</w:t>
              </w:r>
            </w:hyperlink>
            <w:r>
              <w:rPr>
                <w:rFonts w:ascii="Arial" w:cs="Arial" w:eastAsia="Arial" w:hAnsi="Arial"/>
                <w:sz w:val="23"/>
                <w:szCs w:val="23"/>
                <w:color w:val="000000"/>
                <w:vertAlign w:val="superscript"/>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line="250" w:lineRule="exact"/>
              <w:rPr>
                <w:rFonts w:ascii="Arial" w:cs="Arial" w:eastAsia="Arial" w:hAnsi="Arial"/>
                <w:sz w:val="18"/>
                <w:szCs w:val="18"/>
                <w:color w:val="0000FF"/>
              </w:rPr>
            </w:pPr>
            <w:hyperlink r:id="rId24">
              <w:r>
                <w:rPr>
                  <w:rFonts w:ascii="Arial" w:cs="Arial" w:eastAsia="Arial" w:hAnsi="Arial"/>
                  <w:sz w:val="18"/>
                  <w:szCs w:val="18"/>
                  <w:color w:val="0000FF"/>
                </w:rPr>
                <w:t>Form of Non-Employee Director Restricted Stock Agreement</w:t>
              </w:r>
            </w:hyperlink>
            <w:r>
              <w:rPr>
                <w:rFonts w:ascii="Arial" w:cs="Arial" w:eastAsia="Arial" w:hAnsi="Arial"/>
                <w:sz w:val="25"/>
                <w:szCs w:val="25"/>
                <w:color w:val="000000"/>
                <w:vertAlign w:val="superscript"/>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60" w:type="dxa"/>
            <w:vAlign w:val="bottom"/>
            <w:tcBorders>
              <w:top w:val="single" w:sz="8" w:color="0000FF"/>
            </w:tcBorders>
            <w:gridSpan w:val="10"/>
          </w:tcPr>
          <w:p>
            <w:pPr>
              <w:spacing w:after="0" w:line="250" w:lineRule="exact"/>
              <w:rPr>
                <w:rFonts w:ascii="Arial" w:cs="Arial" w:eastAsia="Arial" w:hAnsi="Arial"/>
                <w:sz w:val="18"/>
                <w:szCs w:val="18"/>
                <w:color w:val="0000FF"/>
              </w:rPr>
            </w:pPr>
            <w:hyperlink r:id="rId25">
              <w:r>
                <w:rPr>
                  <w:rFonts w:ascii="Arial" w:cs="Arial" w:eastAsia="Arial" w:hAnsi="Arial"/>
                  <w:sz w:val="18"/>
                  <w:szCs w:val="18"/>
                  <w:color w:val="0000FF"/>
                </w:rPr>
                <w:t>Form of Employee Restricted Unit Agreement</w:t>
              </w:r>
            </w:hyperlink>
            <w:r>
              <w:rPr>
                <w:rFonts w:ascii="Arial" w:cs="Arial" w:eastAsia="Arial" w:hAnsi="Arial"/>
                <w:sz w:val="25"/>
                <w:szCs w:val="25"/>
                <w:color w:val="000000"/>
                <w:vertAlign w:val="superscript"/>
              </w:rPr>
              <w:t>+</w:t>
            </w:r>
          </w:p>
        </w:tc>
        <w:tc>
          <w:tcPr>
            <w:tcW w:w="1000" w:type="dxa"/>
            <w:vAlign w:val="bottom"/>
            <w:gridSpan w:val="14"/>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line="250" w:lineRule="exact"/>
              <w:rPr>
                <w:rFonts w:ascii="Arial" w:cs="Arial" w:eastAsia="Arial" w:hAnsi="Arial"/>
                <w:sz w:val="18"/>
                <w:szCs w:val="18"/>
                <w:color w:val="0000FF"/>
              </w:rPr>
            </w:pPr>
            <w:hyperlink r:id="rId26">
              <w:r>
                <w:rPr>
                  <w:rFonts w:ascii="Arial" w:cs="Arial" w:eastAsia="Arial" w:hAnsi="Arial"/>
                  <w:sz w:val="18"/>
                  <w:szCs w:val="18"/>
                  <w:color w:val="0000FF"/>
                </w:rPr>
                <w:t>Form of Employee Restricted Unit Agreement</w:t>
              </w:r>
            </w:hyperlink>
            <w:r>
              <w:rPr>
                <w:rFonts w:ascii="Arial" w:cs="Arial" w:eastAsia="Arial" w:hAnsi="Arial"/>
                <w:sz w:val="25"/>
                <w:szCs w:val="25"/>
                <w:color w:val="000000"/>
                <w:vertAlign w:val="superscript"/>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line="250" w:lineRule="exact"/>
              <w:rPr>
                <w:rFonts w:ascii="Arial" w:cs="Arial" w:eastAsia="Arial" w:hAnsi="Arial"/>
                <w:sz w:val="18"/>
                <w:szCs w:val="18"/>
                <w:color w:val="0000FF"/>
              </w:rPr>
            </w:pPr>
            <w:hyperlink r:id="rId27">
              <w:r>
                <w:rPr>
                  <w:rFonts w:ascii="Arial" w:cs="Arial" w:eastAsia="Arial" w:hAnsi="Arial"/>
                  <w:sz w:val="18"/>
                  <w:szCs w:val="18"/>
                  <w:color w:val="0000FF"/>
                </w:rPr>
                <w:t>Form of Employee Global Restricted Unit Agreement</w:t>
              </w:r>
            </w:hyperlink>
            <w:r>
              <w:rPr>
                <w:rFonts w:ascii="Arial" w:cs="Arial" w:eastAsia="Arial" w:hAnsi="Arial"/>
                <w:sz w:val="25"/>
                <w:szCs w:val="25"/>
                <w:color w:val="000000"/>
                <w:vertAlign w:val="superscript"/>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80" w:type="dxa"/>
            <w:vAlign w:val="bottom"/>
            <w:tcBorders>
              <w:top w:val="single" w:sz="8" w:color="0000FF"/>
            </w:tcBorders>
            <w:gridSpan w:val="7"/>
          </w:tcPr>
          <w:p>
            <w:pPr>
              <w:spacing w:after="0" w:line="250" w:lineRule="exact"/>
              <w:rPr>
                <w:rFonts w:ascii="Arial" w:cs="Arial" w:eastAsia="Arial" w:hAnsi="Arial"/>
                <w:sz w:val="18"/>
                <w:szCs w:val="18"/>
                <w:color w:val="0000FF"/>
              </w:rPr>
            </w:pPr>
            <w:hyperlink r:id="rId28">
              <w:r>
                <w:rPr>
                  <w:rFonts w:ascii="Arial" w:cs="Arial" w:eastAsia="Arial" w:hAnsi="Arial"/>
                  <w:sz w:val="18"/>
                  <w:szCs w:val="18"/>
                  <w:color w:val="0000FF"/>
                </w:rPr>
                <w:t xml:space="preserve">Form of Employee Restricted Unit Agreement </w:t>
              </w:r>
            </w:hyperlink>
            <w:r>
              <w:rPr>
                <w:rFonts w:ascii="Arial" w:cs="Arial" w:eastAsia="Arial" w:hAnsi="Arial"/>
                <w:sz w:val="25"/>
                <w:szCs w:val="25"/>
                <w:color w:val="000000"/>
                <w:vertAlign w:val="superscript"/>
              </w:rPr>
              <w:t>+</w:t>
            </w:r>
          </w:p>
        </w:tc>
        <w:tc>
          <w:tcPr>
            <w:tcW w:w="1580" w:type="dxa"/>
            <w:vAlign w:val="bottom"/>
            <w:gridSpan w:val="17"/>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line="250" w:lineRule="exact"/>
              <w:rPr>
                <w:rFonts w:ascii="Arial" w:cs="Arial" w:eastAsia="Arial" w:hAnsi="Arial"/>
                <w:sz w:val="18"/>
                <w:szCs w:val="18"/>
                <w:color w:val="0000FF"/>
              </w:rPr>
            </w:pPr>
            <w:hyperlink r:id="rId29">
              <w:r>
                <w:rPr>
                  <w:rFonts w:ascii="Arial" w:cs="Arial" w:eastAsia="Arial" w:hAnsi="Arial"/>
                  <w:sz w:val="18"/>
                  <w:szCs w:val="18"/>
                  <w:color w:val="0000FF"/>
                </w:rPr>
                <w:t>Form of Employee Global Restricted Unit Agreement</w:t>
              </w:r>
            </w:hyperlink>
            <w:r>
              <w:rPr>
                <w:rFonts w:ascii="Arial" w:cs="Arial" w:eastAsia="Arial" w:hAnsi="Arial"/>
                <w:sz w:val="25"/>
                <w:szCs w:val="25"/>
                <w:color w:val="000000"/>
                <w:vertAlign w:val="superscript"/>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0" w:type="dxa"/>
            <w:vAlign w:val="bottom"/>
            <w:tcBorders>
              <w:bottom w:val="single" w:sz="8" w:color="0000FF"/>
            </w:tcBorders>
            <w:gridSpan w:val="1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Form of Employee Global Restricted Unit Agreement Pursuant to the</w:t>
              </w:r>
            </w:hyperlink>
          </w:p>
        </w:tc>
        <w:tc>
          <w:tcPr>
            <w:tcW w:w="460" w:type="dxa"/>
            <w:vAlign w:val="bottom"/>
            <w:gridSpan w:val="11"/>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30">
              <w:r>
                <w:rPr>
                  <w:rFonts w:ascii="Arial" w:cs="Arial" w:eastAsia="Arial" w:hAnsi="Arial"/>
                  <w:sz w:val="16"/>
                  <w:szCs w:val="16"/>
                  <w:color w:val="0000FF"/>
                </w:rPr>
                <w:t>Take-Two Interactive Software, Inc. 2009 Stock Incentive Plan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bottom w:val="single" w:sz="8" w:color="0000FF"/>
            </w:tcBorders>
            <w:gridSpan w:val="19"/>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Take-Two Interactive Software, Inc. 2017 Stock Incentive Plan, effective</w:t>
              </w:r>
            </w:hyperlink>
          </w:p>
        </w:tc>
        <w:tc>
          <w:tcPr>
            <w:tcW w:w="200" w:type="dxa"/>
            <w:vAlign w:val="bottom"/>
            <w:gridSpan w:val="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31">
              <w:r>
                <w:rPr>
                  <w:rFonts w:ascii="Arial" w:cs="Arial" w:eastAsia="Arial" w:hAnsi="Arial"/>
                  <w:sz w:val="16"/>
                  <w:szCs w:val="16"/>
                  <w:color w:val="0000FF"/>
                </w:rPr>
                <w:t>as of September 15, 2017</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bottom w:val="single" w:sz="8" w:color="0000FF"/>
            </w:tcBorders>
            <w:gridSpan w:val="19"/>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Take-Two Interactive Software, Inc. 2017 Stock Incentive Plan Qualified</w:t>
              </w:r>
            </w:hyperlink>
          </w:p>
        </w:tc>
        <w:tc>
          <w:tcPr>
            <w:tcW w:w="200" w:type="dxa"/>
            <w:vAlign w:val="bottom"/>
            <w:gridSpan w:val="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32">
              <w:r>
                <w:rPr>
                  <w:rFonts w:ascii="Arial" w:cs="Arial" w:eastAsia="Arial" w:hAnsi="Arial"/>
                  <w:sz w:val="16"/>
                  <w:szCs w:val="16"/>
                  <w:color w:val="0000FF"/>
                </w:rPr>
                <w:t>RSU Sub-Plan for France, effective as of September 15, 2017</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2"/>
              </w:rPr>
            </w:pPr>
            <w:hyperlink w:anchor="page100">
              <w:r>
                <w:rPr>
                  <w:rFonts w:ascii="Arial" w:cs="Arial" w:eastAsia="Arial" w:hAnsi="Arial"/>
                  <w:sz w:val="18"/>
                  <w:szCs w:val="18"/>
                  <w:color w:val="0000FF"/>
                  <w:w w:val="92"/>
                </w:rPr>
                <w:t>Take-Two Interactive Software, Inc. 2017 Second Amended and Restated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tcBorders>
              <w:top w:val="single" w:sz="8" w:color="0000FF"/>
            </w:tcBorders>
            <w:gridSpan w:val="20"/>
          </w:tcPr>
          <w:p>
            <w:pPr>
              <w:spacing w:after="0" w:line="197" w:lineRule="exact"/>
              <w:rPr>
                <w:rFonts w:ascii="Arial" w:cs="Arial" w:eastAsia="Arial" w:hAnsi="Arial"/>
                <w:sz w:val="16"/>
                <w:szCs w:val="16"/>
                <w:color w:val="0000FF"/>
              </w:rPr>
            </w:pPr>
            <w:hyperlink w:anchor="page100">
              <w:r>
                <w:rPr>
                  <w:rFonts w:ascii="Arial" w:cs="Arial" w:eastAsia="Arial" w:hAnsi="Arial"/>
                  <w:sz w:val="16"/>
                  <w:szCs w:val="16"/>
                  <w:color w:val="0000FF"/>
                </w:rPr>
                <w:t>Global Employee Stock Purchase Plan, effective as of March 28, 2019</w:t>
              </w:r>
              <w:r>
                <w:rPr>
                  <w:rFonts w:ascii="Arial" w:cs="Arial" w:eastAsia="Arial" w:hAnsi="Arial"/>
                  <w:sz w:val="22"/>
                  <w:szCs w:val="22"/>
                  <w:color w:val="000000"/>
                  <w:vertAlign w:val="superscript"/>
                </w:rPr>
                <w:t>+</w:t>
              </w:r>
            </w:hyperlink>
          </w:p>
        </w:tc>
        <w:tc>
          <w:tcPr>
            <w:tcW w:w="18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40" w:type="dxa"/>
            <w:vAlign w:val="bottom"/>
            <w:tcBorders>
              <w:bottom w:val="single" w:sz="8" w:color="0000FF"/>
            </w:tcBorders>
            <w:gridSpan w:val="16"/>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Form of Global Restricted Stock Unit Agreement Pursuant to the Take-</w:t>
              </w:r>
            </w:hyperlink>
          </w:p>
        </w:tc>
        <w:tc>
          <w:tcPr>
            <w:tcW w:w="320" w:type="dxa"/>
            <w:vAlign w:val="bottom"/>
            <w:gridSpan w:val="8"/>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33">
              <w:r>
                <w:rPr>
                  <w:rFonts w:ascii="Arial" w:cs="Arial" w:eastAsia="Arial" w:hAnsi="Arial"/>
                  <w:sz w:val="16"/>
                  <w:szCs w:val="16"/>
                  <w:color w:val="0000FF"/>
                </w:rPr>
                <w:t>Two Interactive Software, Inc. 2017 Stock Incentive Plan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80" w:type="dxa"/>
            <w:vAlign w:val="bottom"/>
            <w:tcBorders>
              <w:bottom w:val="single" w:sz="8" w:color="0000FF"/>
            </w:tcBorders>
            <w:gridSpan w:val="22"/>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Form of Global Restricted Stock Performance Unit Agreement Pursuant to</w:t>
              </w:r>
            </w:hyperlink>
          </w:p>
        </w:tc>
        <w:tc>
          <w:tcPr>
            <w:tcW w:w="80" w:type="dxa"/>
            <w:vAlign w:val="bottom"/>
            <w:gridSpan w:val="2"/>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34">
              <w:r>
                <w:rPr>
                  <w:rFonts w:ascii="Arial" w:cs="Arial" w:eastAsia="Arial" w:hAnsi="Arial"/>
                  <w:sz w:val="16"/>
                  <w:szCs w:val="16"/>
                  <w:color w:val="0000FF"/>
                </w:rPr>
                <w:t>the Take-Two Interactive Software, Inc. 2017 Stock Incentive Plan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Form of Non-Employee Director Restricted Stock Agreement Pursuant to</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top w:val="single" w:sz="8" w:color="0000FF"/>
            </w:tcBorders>
            <w:gridSpan w:val="21"/>
          </w:tcPr>
          <w:p>
            <w:pPr>
              <w:spacing w:after="0" w:line="197" w:lineRule="exact"/>
              <w:rPr>
                <w:rFonts w:ascii="Arial" w:cs="Arial" w:eastAsia="Arial" w:hAnsi="Arial"/>
                <w:sz w:val="16"/>
                <w:szCs w:val="16"/>
                <w:color w:val="0000FF"/>
              </w:rPr>
            </w:pPr>
            <w:hyperlink r:id="rId35">
              <w:r>
                <w:rPr>
                  <w:rFonts w:ascii="Arial" w:cs="Arial" w:eastAsia="Arial" w:hAnsi="Arial"/>
                  <w:sz w:val="16"/>
                  <w:szCs w:val="16"/>
                  <w:color w:val="0000FF"/>
                </w:rPr>
                <w:t>the Take-Two Interactive Software Inc. 2017 Stock Incentive Plan</w:t>
              </w:r>
              <w:r>
                <w:rPr>
                  <w:rFonts w:ascii="Arial" w:cs="Arial" w:eastAsia="Arial" w:hAnsi="Arial"/>
                  <w:sz w:val="22"/>
                  <w:szCs w:val="22"/>
                  <w:color w:val="000000"/>
                  <w:vertAlign w:val="superscript"/>
                </w:rPr>
                <w:t>+</w:t>
              </w:r>
            </w:hyperlink>
          </w:p>
        </w:tc>
        <w:tc>
          <w:tcPr>
            <w:tcW w:w="16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Form of Non-Employee Director Stock Grant Agreement Pursuant to the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tcBorders>
              <w:top w:val="single" w:sz="8" w:color="0000FF"/>
            </w:tcBorders>
            <w:gridSpan w:val="18"/>
          </w:tcPr>
          <w:p>
            <w:pPr>
              <w:spacing w:after="0" w:line="197" w:lineRule="exact"/>
              <w:rPr>
                <w:rFonts w:ascii="Arial" w:cs="Arial" w:eastAsia="Arial" w:hAnsi="Arial"/>
                <w:sz w:val="16"/>
                <w:szCs w:val="16"/>
                <w:color w:val="0000FF"/>
              </w:rPr>
            </w:pPr>
            <w:hyperlink r:id="rId36">
              <w:r>
                <w:rPr>
                  <w:rFonts w:ascii="Arial" w:cs="Arial" w:eastAsia="Arial" w:hAnsi="Arial"/>
                  <w:sz w:val="16"/>
                  <w:szCs w:val="16"/>
                  <w:color w:val="0000FF"/>
                </w:rPr>
                <w:t>Take-Two Interactive Software Inc. 2017 Stock Incentive Plan</w:t>
              </w:r>
              <w:r>
                <w:rPr>
                  <w:rFonts w:ascii="Arial" w:cs="Arial" w:eastAsia="Arial" w:hAnsi="Arial"/>
                  <w:sz w:val="22"/>
                  <w:szCs w:val="22"/>
                  <w:color w:val="000000"/>
                  <w:vertAlign w:val="superscript"/>
                </w:rPr>
                <w:t>+</w:t>
              </w:r>
            </w:hyperlink>
          </w:p>
        </w:tc>
        <w:tc>
          <w:tcPr>
            <w:tcW w:w="22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Employment Agreement, dated May 12, 2010, between the Company and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top w:val="single" w:sz="8" w:color="0000FF"/>
            </w:tcBorders>
            <w:gridSpan w:val="21"/>
          </w:tcPr>
          <w:p>
            <w:pPr>
              <w:spacing w:after="0" w:line="197" w:lineRule="exact"/>
              <w:rPr>
                <w:rFonts w:ascii="Arial" w:cs="Arial" w:eastAsia="Arial" w:hAnsi="Arial"/>
                <w:sz w:val="16"/>
                <w:szCs w:val="16"/>
                <w:color w:val="0000FF"/>
              </w:rPr>
            </w:pPr>
            <w:hyperlink r:id="rId37">
              <w:r>
                <w:rPr>
                  <w:rFonts w:ascii="Arial" w:cs="Arial" w:eastAsia="Arial" w:hAnsi="Arial"/>
                  <w:sz w:val="16"/>
                  <w:szCs w:val="16"/>
                  <w:color w:val="0000FF"/>
                </w:rPr>
                <w:t>Lainie Goldstein</w:t>
              </w:r>
              <w:r>
                <w:rPr>
                  <w:rFonts w:ascii="Arial" w:cs="Arial" w:eastAsia="Arial" w:hAnsi="Arial"/>
                  <w:sz w:val="22"/>
                  <w:szCs w:val="22"/>
                  <w:color w:val="000000"/>
                  <w:vertAlign w:val="superscript"/>
                </w:rPr>
                <w:t>+</w:t>
              </w:r>
            </w:hyperlink>
          </w:p>
        </w:tc>
        <w:tc>
          <w:tcPr>
            <w:tcW w:w="16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7"/>
              </w:rPr>
            </w:pPr>
            <w:hyperlink r:id="rId38">
              <w:r>
                <w:rPr>
                  <w:rFonts w:ascii="Arial" w:cs="Arial" w:eastAsia="Arial" w:hAnsi="Arial"/>
                  <w:sz w:val="18"/>
                  <w:szCs w:val="18"/>
                  <w:color w:val="0000FF"/>
                  <w:w w:val="97"/>
                </w:rPr>
                <w:t>First Amendment to Employment Agreement, dated October 25, 2010,</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top w:val="single" w:sz="8" w:color="0000FF"/>
            </w:tcBorders>
            <w:gridSpan w:val="15"/>
          </w:tcPr>
          <w:p>
            <w:pPr>
              <w:spacing w:after="0" w:line="197" w:lineRule="exact"/>
              <w:rPr>
                <w:rFonts w:ascii="Arial" w:cs="Arial" w:eastAsia="Arial" w:hAnsi="Arial"/>
                <w:sz w:val="16"/>
                <w:szCs w:val="16"/>
                <w:color w:val="0000FF"/>
              </w:rPr>
            </w:pPr>
            <w:hyperlink r:id="rId38">
              <w:r>
                <w:rPr>
                  <w:rFonts w:ascii="Arial" w:cs="Arial" w:eastAsia="Arial" w:hAnsi="Arial"/>
                  <w:sz w:val="16"/>
                  <w:szCs w:val="16"/>
                  <w:color w:val="0000FF"/>
                </w:rPr>
                <w:t>between the Company and Lainie Goldstein</w:t>
              </w:r>
              <w:r>
                <w:rPr>
                  <w:rFonts w:ascii="Arial" w:cs="Arial" w:eastAsia="Arial" w:hAnsi="Arial"/>
                  <w:sz w:val="22"/>
                  <w:szCs w:val="22"/>
                  <w:color w:val="000000"/>
                  <w:vertAlign w:val="superscript"/>
                </w:rPr>
                <w:t>+</w:t>
              </w:r>
            </w:hyperlink>
          </w:p>
        </w:tc>
        <w:tc>
          <w:tcPr>
            <w:tcW w:w="380" w:type="dxa"/>
            <w:vAlign w:val="bottom"/>
            <w:gridSpan w:val="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4"/>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Second Amendment to Employment Agreement, dated August 27, 2012,</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top w:val="single" w:sz="8" w:color="0000FF"/>
            </w:tcBorders>
            <w:gridSpan w:val="17"/>
          </w:tcPr>
          <w:p>
            <w:pPr>
              <w:spacing w:after="0" w:line="197" w:lineRule="exact"/>
              <w:rPr>
                <w:rFonts w:ascii="Arial" w:cs="Arial" w:eastAsia="Arial" w:hAnsi="Arial"/>
                <w:sz w:val="16"/>
                <w:szCs w:val="16"/>
                <w:color w:val="0000FF"/>
              </w:rPr>
            </w:pPr>
            <w:hyperlink r:id="rId39">
              <w:r>
                <w:rPr>
                  <w:rFonts w:ascii="Arial" w:cs="Arial" w:eastAsia="Arial" w:hAnsi="Arial"/>
                  <w:sz w:val="16"/>
                  <w:szCs w:val="16"/>
                  <w:color w:val="0000FF"/>
                </w:rPr>
                <w:t>between the Company and Lainie Goldstein</w:t>
              </w:r>
              <w:r>
                <w:rPr>
                  <w:rFonts w:ascii="Arial" w:cs="Arial" w:eastAsia="Arial" w:hAnsi="Arial"/>
                  <w:sz w:val="22"/>
                  <w:szCs w:val="22"/>
                  <w:color w:val="000000"/>
                  <w:vertAlign w:val="superscript"/>
                </w:rPr>
                <w:t>+</w:t>
              </w:r>
            </w:hyperlink>
          </w:p>
        </w:tc>
        <w:tc>
          <w:tcPr>
            <w:tcW w:w="24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6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20" w:type="dxa"/>
            <w:vAlign w:val="bottom"/>
            <w:tcBorders>
              <w:bottom w:val="single" w:sz="8" w:color="0000FF"/>
            </w:tcBorders>
            <w:gridSpan w:val="23"/>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Third Amendment to Employment Agreement dated May 7, 2018, between</w:t>
              </w:r>
            </w:hyperlink>
          </w:p>
        </w:tc>
        <w:tc>
          <w:tcPr>
            <w:tcW w:w="4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4"/>
          </w:tcPr>
          <w:p>
            <w:pPr>
              <w:spacing w:after="0" w:line="197" w:lineRule="exact"/>
              <w:rPr>
                <w:rFonts w:ascii="Arial" w:cs="Arial" w:eastAsia="Arial" w:hAnsi="Arial"/>
                <w:sz w:val="16"/>
                <w:szCs w:val="16"/>
                <w:color w:val="0000FF"/>
              </w:rPr>
            </w:pPr>
            <w:hyperlink r:id="rId40">
              <w:r>
                <w:rPr>
                  <w:rFonts w:ascii="Arial" w:cs="Arial" w:eastAsia="Arial" w:hAnsi="Arial"/>
                  <w:sz w:val="16"/>
                  <w:szCs w:val="16"/>
                  <w:color w:val="0000FF"/>
                </w:rPr>
                <w:t>the Company and Lainie Goldstein</w:t>
              </w:r>
              <w:r>
                <w:rPr>
                  <w:rFonts w:ascii="Arial" w:cs="Arial" w:eastAsia="Arial" w:hAnsi="Arial"/>
                  <w:sz w:val="22"/>
                  <w:szCs w:val="22"/>
                  <w:color w:val="000000"/>
                  <w:vertAlign w:val="superscript"/>
                </w:rPr>
                <w:t>+</w:t>
              </w:r>
            </w:hyperlink>
          </w:p>
        </w:tc>
      </w:tr>
      <w:tr>
        <w:trPr>
          <w:trHeight w:val="50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Borders>
              <w:top w:val="single" w:sz="8" w:color="0000FF"/>
            </w:tcBorders>
            <w:gridSpan w:val="3"/>
          </w:tcPr>
          <w:p>
            <w:pPr>
              <w:spacing w:after="0"/>
              <w:rPr>
                <w:sz w:val="24"/>
                <w:szCs w:val="24"/>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735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8/1/2012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14A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7/27/2017</w:t>
            </w: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Annex B</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14A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7/27/2017</w:t>
            </w: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Annex 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5/14/2010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10/25/2010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10/31/2012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000" w:space="120"/>
            <w:col w:w="4300"/>
          </w:cols>
          <w:pgMar w:left="240" w:top="738" w:right="239" w:bottom="1440" w:gutter="0" w:footer="0" w:header="0"/>
        </w:sectPr>
      </w:pPr>
    </w:p>
    <w:bookmarkStart w:id="49" w:name="page50"/>
    <w:bookmarkEnd w:id="49"/>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18"/>
          </w:tcPr>
          <w:p>
            <w:pPr>
              <w:ind w:left="180"/>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gridSpan w:val="22"/>
          </w:tcPr>
          <w:p>
            <w:pPr>
              <w:spacing w:after="0" w:line="202"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Employment Agreement, dated February 14, 2008, by and between the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top w:val="single" w:sz="8" w:color="0000FF"/>
            </w:tcBorders>
            <w:gridSpan w:val="14"/>
          </w:tcPr>
          <w:p>
            <w:pPr>
              <w:spacing w:after="0" w:line="197" w:lineRule="exact"/>
              <w:rPr>
                <w:rFonts w:ascii="Arial" w:cs="Arial" w:eastAsia="Arial" w:hAnsi="Arial"/>
                <w:sz w:val="16"/>
                <w:szCs w:val="16"/>
                <w:color w:val="0000FF"/>
              </w:rPr>
            </w:pPr>
            <w:hyperlink r:id="rId42">
              <w:r>
                <w:rPr>
                  <w:rFonts w:ascii="Arial" w:cs="Arial" w:eastAsia="Arial" w:hAnsi="Arial"/>
                  <w:sz w:val="16"/>
                  <w:szCs w:val="16"/>
                  <w:color w:val="0000FF"/>
                </w:rPr>
                <w:t>Company and Karl Slatoff</w:t>
              </w:r>
              <w:r>
                <w:rPr>
                  <w:rFonts w:ascii="Arial" w:cs="Arial" w:eastAsia="Arial" w:hAnsi="Arial"/>
                  <w:sz w:val="22"/>
                  <w:szCs w:val="22"/>
                  <w:color w:val="000000"/>
                  <w:vertAlign w:val="superscript"/>
                </w:rPr>
                <w:t>+</w:t>
              </w:r>
            </w:hyperlink>
          </w:p>
        </w:tc>
        <w:tc>
          <w:tcPr>
            <w:tcW w:w="360" w:type="dxa"/>
            <w:vAlign w:val="bottom"/>
            <w:gridSpan w:val="8"/>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40" w:type="dxa"/>
            <w:vAlign w:val="bottom"/>
            <w:tcBorders>
              <w:bottom w:val="single" w:sz="8" w:color="0000FF"/>
            </w:tcBorders>
            <w:gridSpan w:val="16"/>
          </w:tcPr>
          <w:p>
            <w:pPr>
              <w:spacing w:after="0"/>
              <w:rPr>
                <w:rFonts w:ascii="Arial" w:cs="Arial" w:eastAsia="Arial" w:hAnsi="Arial"/>
                <w:sz w:val="18"/>
                <w:szCs w:val="18"/>
                <w:color w:val="0000FF"/>
                <w:w w:val="89"/>
              </w:rPr>
            </w:pPr>
            <w:hyperlink r:id="rId43">
              <w:r>
                <w:rPr>
                  <w:rFonts w:ascii="Arial" w:cs="Arial" w:eastAsia="Arial" w:hAnsi="Arial"/>
                  <w:sz w:val="18"/>
                  <w:szCs w:val="18"/>
                  <w:color w:val="0000FF"/>
                  <w:w w:val="89"/>
                </w:rPr>
                <w:t>Employment Agreement dated January 28, 2015 between the Company</w:t>
              </w:r>
            </w:hyperlink>
          </w:p>
        </w:tc>
        <w:tc>
          <w:tcPr>
            <w:tcW w:w="32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3">
              <w:r>
                <w:rPr>
                  <w:rFonts w:ascii="Arial" w:cs="Arial" w:eastAsia="Arial" w:hAnsi="Arial"/>
                  <w:sz w:val="16"/>
                  <w:szCs w:val="16"/>
                  <w:color w:val="0000FF"/>
                </w:rPr>
                <w:t>and Daniel Emerson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40" w:type="dxa"/>
            <w:vAlign w:val="bottom"/>
            <w:tcBorders>
              <w:bottom w:val="single" w:sz="8" w:color="0000FF"/>
            </w:tcBorders>
            <w:gridSpan w:val="21"/>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Management Agreement, dated as of March 10, 2014, by and between the</w:t>
              </w:r>
            </w:hyperlink>
          </w:p>
        </w:tc>
        <w:tc>
          <w:tcPr>
            <w:tcW w:w="12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4">
              <w:r>
                <w:rPr>
                  <w:rFonts w:ascii="Arial" w:cs="Arial" w:eastAsia="Arial" w:hAnsi="Arial"/>
                  <w:sz w:val="16"/>
                  <w:szCs w:val="16"/>
                  <w:color w:val="0000FF"/>
                </w:rPr>
                <w:t>Company and ZelnickMedia Corporation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40" w:type="dxa"/>
            <w:vAlign w:val="bottom"/>
            <w:tcBorders>
              <w:bottom w:val="single" w:sz="8" w:color="0000FF"/>
            </w:tcBorders>
            <w:gridSpan w:val="21"/>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Restricted Unit Agreement, dated as of May 20, 2015, by and between the</w:t>
              </w:r>
            </w:hyperlink>
          </w:p>
        </w:tc>
        <w:tc>
          <w:tcPr>
            <w:tcW w:w="12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5">
              <w:r>
                <w:rPr>
                  <w:rFonts w:ascii="Arial" w:cs="Arial" w:eastAsia="Arial" w:hAnsi="Arial"/>
                  <w:sz w:val="16"/>
                  <w:szCs w:val="16"/>
                  <w:color w:val="0000FF"/>
                </w:rPr>
                <w:t>Company and ZelnickMedia Corporation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Amended and Restated Restricted Unit Agreement Pursuant to the Take-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Two Interactive Software, Inc. 2009 Incentive Stock Plan, dated as of</w:t>
              </w:r>
            </w:hyperlink>
          </w:p>
        </w:tc>
        <w:tc>
          <w:tcPr>
            <w:tcW w:w="220" w:type="dxa"/>
            <w:vAlign w:val="bottom"/>
            <w:tcBorders>
              <w:top w:val="single" w:sz="8" w:color="0000FF"/>
            </w:tcBorders>
            <w:gridSpan w:val="5"/>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6">
              <w:r>
                <w:rPr>
                  <w:rFonts w:ascii="Arial" w:cs="Arial" w:eastAsia="Arial" w:hAnsi="Arial"/>
                  <w:sz w:val="16"/>
                  <w:szCs w:val="16"/>
                  <w:color w:val="0000FF"/>
                </w:rPr>
                <w:t>June 30, 2015</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Amendment to the Restricted Stock Unit Agreement, dated as of</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March 31, 2016, by and between Take-Two Interactive Software, Inc. and</w:t>
              </w:r>
            </w:hyperlink>
          </w:p>
        </w:tc>
        <w:tc>
          <w:tcPr>
            <w:tcW w:w="1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7">
              <w:r>
                <w:rPr>
                  <w:rFonts w:ascii="Arial" w:cs="Arial" w:eastAsia="Arial" w:hAnsi="Arial"/>
                  <w:sz w:val="16"/>
                  <w:szCs w:val="16"/>
                  <w:color w:val="0000FF"/>
                </w:rPr>
                <w:t>ZelnickMedia Corporation</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80" w:type="dxa"/>
            <w:vAlign w:val="bottom"/>
            <w:tcBorders>
              <w:bottom w:val="single" w:sz="8" w:color="0000FF"/>
            </w:tcBorders>
            <w:gridSpan w:val="13"/>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Restricted Unit Agreement, dated as of May 20, 2016, by and between</w:t>
              </w:r>
            </w:hyperlink>
          </w:p>
        </w:tc>
        <w:tc>
          <w:tcPr>
            <w:tcW w:w="380" w:type="dxa"/>
            <w:vAlign w:val="bottom"/>
            <w:gridSpan w:val="9"/>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8">
              <w:r>
                <w:rPr>
                  <w:rFonts w:ascii="Arial" w:cs="Arial" w:eastAsia="Arial" w:hAnsi="Arial"/>
                  <w:sz w:val="16"/>
                  <w:szCs w:val="16"/>
                  <w:color w:val="0000FF"/>
                </w:rPr>
                <w:t>Take-Two Interactive Software, Inc. and ZelnickMedia Corporation</w:t>
              </w:r>
              <w:r>
                <w:rPr>
                  <w:rFonts w:ascii="Arial" w:cs="Arial" w:eastAsia="Arial" w:hAnsi="Arial"/>
                  <w:sz w:val="22"/>
                  <w:szCs w:val="22"/>
                  <w:color w:val="000000"/>
                  <w:vertAlign w:val="superscript"/>
                </w:rPr>
                <w:t>+</w:t>
              </w:r>
            </w:hyperlink>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60" w:type="dxa"/>
            <w:vAlign w:val="bottom"/>
            <w:tcBorders>
              <w:top w:val="single" w:sz="8" w:color="0000FF"/>
            </w:tcBorders>
            <w:gridSpan w:val="11"/>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Amendment to Amended and Restated Restricted Unit Agreement</w:t>
              </w:r>
            </w:hyperlink>
          </w:p>
        </w:tc>
        <w:tc>
          <w:tcPr>
            <w:tcW w:w="600" w:type="dxa"/>
            <w:vAlign w:val="bottom"/>
            <w:gridSpan w:val="11"/>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Pursuant to the Take Two Interactive Software, Inc. 2009 Incentive Stock</w:t>
              </w:r>
            </w:hyperlink>
          </w:p>
        </w:tc>
        <w:tc>
          <w:tcPr>
            <w:tcW w:w="1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49">
              <w:r>
                <w:rPr>
                  <w:rFonts w:ascii="Arial" w:cs="Arial" w:eastAsia="Arial" w:hAnsi="Arial"/>
                  <w:sz w:val="16"/>
                  <w:szCs w:val="16"/>
                  <w:color w:val="0000FF"/>
                </w:rPr>
                <w:t>Plan, dated as of February 7, 2017</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80" w:type="dxa"/>
            <w:vAlign w:val="bottom"/>
            <w:tcBorders>
              <w:bottom w:val="single" w:sz="8" w:color="0000FF"/>
            </w:tcBorders>
            <w:gridSpan w:val="13"/>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Restricted Unit Agreement, dated as of May 25, 2017, by and between</w:t>
              </w:r>
            </w:hyperlink>
          </w:p>
        </w:tc>
        <w:tc>
          <w:tcPr>
            <w:tcW w:w="380" w:type="dxa"/>
            <w:vAlign w:val="bottom"/>
            <w:gridSpan w:val="9"/>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50">
              <w:r>
                <w:rPr>
                  <w:rFonts w:ascii="Arial" w:cs="Arial" w:eastAsia="Arial" w:hAnsi="Arial"/>
                  <w:sz w:val="16"/>
                  <w:szCs w:val="16"/>
                  <w:color w:val="0000FF"/>
                </w:rPr>
                <w:t>Take-Two Interactive Software, Inc. and ZelnickMedia Corporation</w:t>
              </w:r>
              <w:r>
                <w:rPr>
                  <w:rFonts w:ascii="Arial" w:cs="Arial" w:eastAsia="Arial" w:hAnsi="Arial"/>
                  <w:sz w:val="22"/>
                  <w:szCs w:val="22"/>
                  <w:color w:val="000000"/>
                  <w:vertAlign w:val="superscript"/>
                </w:rPr>
                <w:t>+</w:t>
              </w:r>
            </w:hyperlink>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60" w:type="dxa"/>
            <w:vAlign w:val="bottom"/>
            <w:tcBorders>
              <w:top w:val="single" w:sz="8" w:color="0000FF"/>
            </w:tcBorders>
            <w:gridSpan w:val="11"/>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Amendment to Amended and Restated Restricted Unit Agreement</w:t>
              </w:r>
            </w:hyperlink>
          </w:p>
        </w:tc>
        <w:tc>
          <w:tcPr>
            <w:tcW w:w="600" w:type="dxa"/>
            <w:vAlign w:val="bottom"/>
            <w:gridSpan w:val="11"/>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Pursuant to the Take-Two Interactive Software, Inc. 2009 Incentive Stock</w:t>
              </w:r>
            </w:hyperlink>
          </w:p>
        </w:tc>
        <w:tc>
          <w:tcPr>
            <w:tcW w:w="1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7" w:lineRule="exact"/>
              <w:rPr>
                <w:rFonts w:ascii="Arial" w:cs="Arial" w:eastAsia="Arial" w:hAnsi="Arial"/>
                <w:sz w:val="16"/>
                <w:szCs w:val="16"/>
                <w:color w:val="0000FF"/>
              </w:rPr>
            </w:pPr>
            <w:hyperlink r:id="rId51">
              <w:r>
                <w:rPr>
                  <w:rFonts w:ascii="Arial" w:cs="Arial" w:eastAsia="Arial" w:hAnsi="Arial"/>
                  <w:sz w:val="16"/>
                  <w:szCs w:val="16"/>
                  <w:color w:val="0000FF"/>
                </w:rPr>
                <w:t>Plan, dated as of December 15, 2017</w:t>
              </w:r>
              <w:r>
                <w:rPr>
                  <w:rFonts w:ascii="Arial" w:cs="Arial" w:eastAsia="Arial" w:hAnsi="Arial"/>
                  <w:sz w:val="22"/>
                  <w:szCs w:val="22"/>
                  <w:color w:val="000000"/>
                  <w:vertAlign w:val="superscript"/>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Management Agreement, dated as of November 17, 2017, by and between</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tcBorders>
              <w:top w:val="single" w:sz="8" w:color="0000FF"/>
            </w:tcBorders>
            <w:gridSpan w:val="21"/>
          </w:tcPr>
          <w:p>
            <w:pPr>
              <w:spacing w:after="0" w:line="197" w:lineRule="exact"/>
              <w:rPr>
                <w:rFonts w:ascii="Arial" w:cs="Arial" w:eastAsia="Arial" w:hAnsi="Arial"/>
                <w:sz w:val="16"/>
                <w:szCs w:val="16"/>
                <w:color w:val="0000FF"/>
              </w:rPr>
            </w:pPr>
            <w:hyperlink r:id="rId52">
              <w:r>
                <w:rPr>
                  <w:rFonts w:ascii="Arial" w:cs="Arial" w:eastAsia="Arial" w:hAnsi="Arial"/>
                  <w:sz w:val="16"/>
                  <w:szCs w:val="16"/>
                  <w:color w:val="0000FF"/>
                </w:rPr>
                <w:t>the Company and ZelnickMedia Corporation</w:t>
              </w:r>
              <w:r>
                <w:rPr>
                  <w:rFonts w:ascii="Arial" w:cs="Arial" w:eastAsia="Arial" w:hAnsi="Arial"/>
                  <w:sz w:val="22"/>
                  <w:szCs w:val="22"/>
                  <w:color w:val="000000"/>
                  <w:vertAlign w:val="superscript"/>
                </w:rPr>
                <w:t>+</w:t>
              </w:r>
            </w:hyperlink>
          </w:p>
        </w:tc>
        <w:tc>
          <w:tcPr>
            <w:tcW w:w="1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8"/>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Restricted Unit Agreement, dated as of April 13, 2018, by and between</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top w:val="single" w:sz="8" w:color="0000FF"/>
            </w:tcBorders>
            <w:gridSpan w:val="15"/>
          </w:tcPr>
          <w:p>
            <w:pPr>
              <w:spacing w:after="0" w:line="197" w:lineRule="exact"/>
              <w:rPr>
                <w:rFonts w:ascii="Arial" w:cs="Arial" w:eastAsia="Arial" w:hAnsi="Arial"/>
                <w:sz w:val="16"/>
                <w:szCs w:val="16"/>
                <w:color w:val="0000FF"/>
              </w:rPr>
            </w:pPr>
            <w:hyperlink r:id="rId53">
              <w:r>
                <w:rPr>
                  <w:rFonts w:ascii="Arial" w:cs="Arial" w:eastAsia="Arial" w:hAnsi="Arial"/>
                  <w:sz w:val="16"/>
                  <w:szCs w:val="16"/>
                  <w:color w:val="0000FF"/>
                </w:rPr>
                <w:t>Take-Two Interactive Software, Inc. and ZelnickMedia Corporation</w:t>
              </w:r>
              <w:r>
                <w:rPr>
                  <w:rFonts w:ascii="Arial" w:cs="Arial" w:eastAsia="Arial" w:hAnsi="Arial"/>
                  <w:sz w:val="22"/>
                  <w:szCs w:val="22"/>
                  <w:color w:val="000000"/>
                  <w:vertAlign w:val="superscript"/>
                </w:rPr>
                <w:t>+</w:t>
              </w:r>
            </w:hyperlink>
          </w:p>
        </w:tc>
        <w:tc>
          <w:tcPr>
            <w:tcW w:w="34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11"/>
            <w:shd w:val="clear" w:color="auto" w:fill="0000FF"/>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Restricted Unit Agreement, dated as of April 15, 2019, by and between</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 xml:space="preserve">Take-Two Interactive Software, Inc. and ZelnickMedia Corporation </w:t>
              </w:r>
              <w:r>
                <w:rPr>
                  <w:rFonts w:ascii="Arial" w:cs="Arial" w:eastAsia="Arial" w:hAnsi="Arial"/>
                  <w:sz w:val="14"/>
                  <w:szCs w:val="14"/>
                  <w:color w:val="000000"/>
                  <w:w w:val="94"/>
                </w:rPr>
                <w:t>+</w:t>
              </w:r>
            </w:hyperlink>
          </w:p>
        </w:tc>
        <w:tc>
          <w:tcPr>
            <w:tcW w:w="340" w:type="dxa"/>
            <w:vAlign w:val="bottom"/>
            <w:gridSpan w:val="7"/>
          </w:tcPr>
          <w:p>
            <w:pPr>
              <w:spacing w:after="0"/>
              <w:rPr>
                <w:sz w:val="17"/>
                <w:szCs w:val="17"/>
                <w:color w:val="auto"/>
              </w:rPr>
            </w:pPr>
          </w:p>
        </w:tc>
      </w:tr>
      <w:tr>
        <w:trPr>
          <w:trHeight w:val="50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tcBorders>
              <w:top w:val="single" w:sz="8" w:color="0000FF"/>
            </w:tcBorders>
            <w:gridSpan w:val="9"/>
          </w:tcPr>
          <w:p>
            <w:pPr>
              <w:ind w:left="4080"/>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735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2/15/2008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3/10/2014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S-3 ASR</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5/20/2015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8/10/2015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5/19/2016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S-3 ASR</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5/20/2016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S-3 ASR</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5/25/2017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2/8/2018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S-3 ASR</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4/13/2018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S-3 ASR</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4/15/2019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000" w:space="120"/>
            <w:col w:w="4300"/>
          </w:cols>
          <w:pgMar w:left="240" w:top="738" w:right="239" w:bottom="1440" w:gutter="0" w:footer="0" w:header="0"/>
        </w:sectPr>
      </w:pPr>
    </w:p>
    <w:bookmarkStart w:id="50" w:name="page51"/>
    <w:bookmarkEnd w:id="50"/>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gridSpan w:val="21"/>
          </w:tcPr>
          <w:p>
            <w:pPr>
              <w:ind w:left="1720"/>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320" w:type="dxa"/>
            <w:vAlign w:val="bottom"/>
            <w:tcBorders>
              <w:top w:val="single" w:sz="8" w:color="auto"/>
              <w:bottom w:val="single" w:sz="8" w:color="0000FF"/>
            </w:tcBorders>
            <w:gridSpan w:val="18"/>
          </w:tcPr>
          <w:p>
            <w:pPr>
              <w:spacing w:after="0" w:line="202"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Credit Agreement, dated as of February 8, 2019, by and among Take-Two</w:t>
              </w:r>
            </w:hyperlink>
          </w:p>
        </w:tc>
        <w:tc>
          <w:tcPr>
            <w:tcW w:w="140" w:type="dxa"/>
            <w:vAlign w:val="bottom"/>
            <w:tcBorders>
              <w:top w:val="single" w:sz="8" w:color="auto"/>
            </w:tcBorders>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Interactive Software, Inc., the lender parties thereto, Wells Fargo Bank,</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National Association, as administrative agent for the Lenders, Wells Fargo</w:t>
              </w:r>
            </w:hyperlink>
          </w:p>
        </w:tc>
        <w:tc>
          <w:tcPr>
            <w:tcW w:w="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2"/>
              </w:rPr>
            </w:pPr>
            <w:hyperlink w:anchor="page120">
              <w:r>
                <w:rPr>
                  <w:rFonts w:ascii="Arial" w:cs="Arial" w:eastAsia="Arial" w:hAnsi="Arial"/>
                  <w:sz w:val="18"/>
                  <w:szCs w:val="18"/>
                  <w:color w:val="0000FF"/>
                  <w:w w:val="92"/>
                </w:rPr>
                <w:t>Securities, LLC and JP Morgan Chase Bank, N.A., as joint lead arrangers</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w:anchor="page120">
              <w:r>
                <w:rPr>
                  <w:rFonts w:ascii="Arial" w:cs="Arial" w:eastAsia="Arial" w:hAnsi="Arial"/>
                  <w:sz w:val="18"/>
                  <w:szCs w:val="18"/>
                  <w:color w:val="0000FF"/>
                  <w:w w:val="92"/>
                </w:rPr>
                <w:t>and joint bookrunners, and JPMorgan Chase Bank, N.A. as syndication</w:t>
              </w:r>
            </w:hyperlink>
          </w:p>
        </w:tc>
        <w:tc>
          <w:tcPr>
            <w:tcW w:w="18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agent</w:t>
              </w:r>
            </w:hyperlink>
          </w:p>
        </w:tc>
        <w:tc>
          <w:tcPr>
            <w:tcW w:w="38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rPr>
            </w:pPr>
            <w:hyperlink r:id="rId56">
              <w:r>
                <w:rPr>
                  <w:rFonts w:ascii="Arial" w:cs="Arial" w:eastAsia="Arial" w:hAnsi="Arial"/>
                  <w:sz w:val="18"/>
                  <w:szCs w:val="18"/>
                  <w:color w:val="0000FF"/>
                </w:rPr>
                <w:t>Xbox 360 Publisher License Agreement dated November 17, 2005,</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between Microsoft Licensing, GP and the Company</w:t>
              </w:r>
              <w:r>
                <w:rPr>
                  <w:rFonts w:ascii="Arial" w:cs="Arial" w:eastAsia="Arial" w:hAnsi="Arial"/>
                  <w:sz w:val="18"/>
                  <w:szCs w:val="18"/>
                  <w:color w:val="000000"/>
                </w:rPr>
                <w:t>*</w:t>
              </w:r>
            </w:hyperlink>
          </w:p>
        </w:tc>
        <w:tc>
          <w:tcPr>
            <w:tcW w:w="620" w:type="dxa"/>
            <w:vAlign w:val="bottom"/>
            <w:gridSpan w:val="1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Amendment to Xbox 360 Publisher License Agreement, dated</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December 4, 2008, between Microsoft Licensing, GP and the Company</w:t>
              </w:r>
            </w:hyperlink>
            <w:r>
              <w:rPr>
                <w:rFonts w:ascii="Arial" w:cs="Arial" w:eastAsia="Arial" w:hAnsi="Arial"/>
                <w:sz w:val="18"/>
                <w:szCs w:val="18"/>
                <w:color w:val="000000"/>
                <w:w w:val="94"/>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60" w:type="dxa"/>
            <w:vAlign w:val="bottom"/>
            <w:tcBorders>
              <w:top w:val="single" w:sz="8" w:color="0000FF"/>
            </w:tcBorders>
            <w:gridSpan w:val="12"/>
          </w:tcPr>
          <w:p>
            <w:pPr>
              <w:spacing w:after="0"/>
              <w:rPr>
                <w:rFonts w:ascii="Arial" w:cs="Arial" w:eastAsia="Arial" w:hAnsi="Arial"/>
                <w:sz w:val="18"/>
                <w:szCs w:val="18"/>
                <w:color w:val="0000FF"/>
                <w:w w:val="98"/>
              </w:rPr>
            </w:pPr>
            <w:hyperlink r:id="rId58">
              <w:r>
                <w:rPr>
                  <w:rFonts w:ascii="Arial" w:cs="Arial" w:eastAsia="Arial" w:hAnsi="Arial"/>
                  <w:sz w:val="18"/>
                  <w:szCs w:val="18"/>
                  <w:color w:val="0000FF"/>
                  <w:w w:val="98"/>
                </w:rPr>
                <w:t>Amendment to the Xbox 360 Publisher License Agreement, dated</w:t>
              </w:r>
            </w:hyperlink>
          </w:p>
        </w:tc>
        <w:tc>
          <w:tcPr>
            <w:tcW w:w="300" w:type="dxa"/>
            <w:vAlign w:val="bottom"/>
            <w:gridSpan w:val="10"/>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November 22, 2011, between the Company and Microsoft Licensing, GP</w:t>
              </w:r>
            </w:hyperlink>
            <w:r>
              <w:rPr>
                <w:rFonts w:ascii="Arial" w:cs="Arial" w:eastAsia="Arial" w:hAnsi="Arial"/>
                <w:sz w:val="18"/>
                <w:szCs w:val="18"/>
                <w:color w:val="000000"/>
                <w:w w:val="92"/>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top w:val="single" w:sz="8" w:color="0000FF"/>
            </w:tcBorders>
            <w:gridSpan w:val="15"/>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Amendment to the Xbox 360 Publisher License Agreement, dated</w:t>
              </w:r>
            </w:hyperlink>
          </w:p>
        </w:tc>
        <w:tc>
          <w:tcPr>
            <w:tcW w:w="200" w:type="dxa"/>
            <w:vAlign w:val="bottom"/>
            <w:gridSpan w:val="7"/>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December 11, 2012, between the Company and Microsoft Licensing, GP</w:t>
              </w:r>
            </w:hyperlink>
            <w:r>
              <w:rPr>
                <w:rFonts w:ascii="Arial" w:cs="Arial" w:eastAsia="Arial" w:hAnsi="Arial"/>
                <w:sz w:val="18"/>
                <w:szCs w:val="18"/>
                <w:color w:val="000000"/>
                <w:w w:val="92"/>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tcBorders>
              <w:top w:val="single" w:sz="8" w:color="0000FF"/>
            </w:tcBorders>
            <w:gridSpan w:val="14"/>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Amendment to the Xbox 360 Publisher License Agreement, dated</w:t>
              </w:r>
            </w:hyperlink>
          </w:p>
        </w:tc>
        <w:tc>
          <w:tcPr>
            <w:tcW w:w="220" w:type="dxa"/>
            <w:vAlign w:val="bottom"/>
            <w:gridSpan w:val="8"/>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November 13, 2013, between the Company and Microsoft Licensing, GP</w:t>
              </w:r>
            </w:hyperlink>
            <w:r>
              <w:rPr>
                <w:rFonts w:ascii="Arial" w:cs="Arial" w:eastAsia="Arial" w:hAnsi="Arial"/>
                <w:sz w:val="18"/>
                <w:szCs w:val="18"/>
                <w:color w:val="000000"/>
                <w:w w:val="92"/>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top w:val="single" w:sz="8" w:color="0000FF"/>
            </w:tcBorders>
            <w:gridSpan w:val="15"/>
          </w:tcPr>
          <w:p>
            <w:pPr>
              <w:spacing w:after="0"/>
              <w:rPr>
                <w:rFonts w:ascii="Arial" w:cs="Arial" w:eastAsia="Arial" w:hAnsi="Arial"/>
                <w:sz w:val="18"/>
                <w:szCs w:val="18"/>
                <w:color w:val="0000FF"/>
              </w:rPr>
            </w:pPr>
            <w:hyperlink r:id="rId61">
              <w:r>
                <w:rPr>
                  <w:rFonts w:ascii="Arial" w:cs="Arial" w:eastAsia="Arial" w:hAnsi="Arial"/>
                  <w:sz w:val="18"/>
                  <w:szCs w:val="18"/>
                  <w:color w:val="0000FF"/>
                </w:rPr>
                <w:t>Amendment to the Xbox 360 Publisher License Agreement, dated</w:t>
              </w:r>
            </w:hyperlink>
          </w:p>
        </w:tc>
        <w:tc>
          <w:tcPr>
            <w:tcW w:w="200" w:type="dxa"/>
            <w:vAlign w:val="bottom"/>
            <w:gridSpan w:val="7"/>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September 30, 2014, between Microsoft Corporation and the Company</w:t>
              </w:r>
            </w:hyperlink>
            <w:r>
              <w:rPr>
                <w:rFonts w:ascii="Arial" w:cs="Arial" w:eastAsia="Arial" w:hAnsi="Arial"/>
                <w:sz w:val="18"/>
                <w:szCs w:val="18"/>
                <w:color w:val="000000"/>
                <w:w w:val="95"/>
              </w:rPr>
              <w:t>*</w:t>
            </w: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Amendment to the Xbox 360 Publisher License Agreement, signed on</w:t>
              </w:r>
            </w:hyperlink>
          </w:p>
        </w:tc>
        <w:tc>
          <w:tcPr>
            <w:tcW w:w="20" w:type="dxa"/>
            <w:vAlign w:val="bottom"/>
            <w:tcBorders>
              <w:top w:val="single" w:sz="8" w:color="0000FF"/>
            </w:tcBorders>
          </w:tcPr>
          <w:p>
            <w:pPr>
              <w:spacing w:after="0"/>
              <w:rPr>
                <w:sz w:val="21"/>
                <w:szCs w:val="21"/>
                <w:color w:val="auto"/>
              </w:rPr>
            </w:pPr>
          </w:p>
        </w:tc>
        <w:tc>
          <w:tcPr>
            <w:tcW w:w="380" w:type="dxa"/>
            <w:vAlign w:val="bottom"/>
            <w:gridSpan w:val="11"/>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December 21, 2017, between Microsoft Corporation and the Company</w:t>
              </w:r>
            </w:hyperlink>
            <w:r>
              <w:rPr>
                <w:rFonts w:ascii="Arial" w:cs="Arial" w:eastAsia="Arial" w:hAnsi="Arial"/>
                <w:sz w:val="18"/>
                <w:szCs w:val="18"/>
                <w:color w:val="000000"/>
                <w:w w:val="95"/>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60" w:type="dxa"/>
            <w:vAlign w:val="bottom"/>
            <w:tcBorders>
              <w:bottom w:val="single" w:sz="8" w:color="0000FF"/>
            </w:tcBorders>
            <w:gridSpan w:val="20"/>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Xbox One Publisher License Agreement dated October 31, 2013, between</w:t>
              </w:r>
            </w:hyperlink>
          </w:p>
        </w:tc>
        <w:tc>
          <w:tcPr>
            <w:tcW w:w="100" w:type="dxa"/>
            <w:vAlign w:val="bottom"/>
            <w:gridSpan w:val="2"/>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Microsoft Licensing, GP and the Company</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40" w:type="dxa"/>
            <w:vAlign w:val="bottom"/>
            <w:tcBorders>
              <w:bottom w:val="single" w:sz="8" w:color="0000FF"/>
            </w:tcBorders>
            <w:gridSpan w:val="19"/>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Amendment to the Xbox One Publisher License Agreement, dated May 7,</w:t>
              </w:r>
            </w:hyperlink>
          </w:p>
        </w:tc>
        <w:tc>
          <w:tcPr>
            <w:tcW w:w="120" w:type="dxa"/>
            <w:vAlign w:val="bottom"/>
            <w:gridSpan w:val="3"/>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2014, between Microsoft Licensing, GP and the Company</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780" w:type="dxa"/>
            <w:vAlign w:val="bottom"/>
            <w:tcBorders>
              <w:bottom w:val="single" w:sz="8" w:color="0000FF"/>
            </w:tcBorders>
            <w:gridSpan w:val="7"/>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Amendment to the Xbox One Publisher License Agreement, dated</w:t>
              </w:r>
            </w:hyperlink>
          </w:p>
        </w:tc>
        <w:tc>
          <w:tcPr>
            <w:tcW w:w="680" w:type="dxa"/>
            <w:vAlign w:val="bottom"/>
            <w:gridSpan w:val="1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22"/>
          </w:tcPr>
          <w:p>
            <w:pPr>
              <w:spacing w:after="0" w:line="19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January 30, 2015, between Microsoft Corporation and the Company</w:t>
              </w:r>
            </w:hyperlink>
            <w:r>
              <w:rPr>
                <w:rFonts w:ascii="Arial" w:cs="Arial" w:eastAsia="Arial" w:hAnsi="Arial"/>
                <w:sz w:val="18"/>
                <w:szCs w:val="18"/>
                <w:color w:val="000000"/>
                <w:w w:val="99"/>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Amendment No. 3 to the Xbox One Publisher License Agreement,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top w:val="single" w:sz="8" w:color="0000FF"/>
            </w:tcBorders>
            <w:gridSpan w:val="13"/>
          </w:tcPr>
          <w:p>
            <w:pPr>
              <w:spacing w:after="0" w:line="19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August 13, 2015, between Microsoft Corporation and the Company</w:t>
              </w:r>
              <w:r>
                <w:rPr>
                  <w:rFonts w:ascii="Arial" w:cs="Arial" w:eastAsia="Arial" w:hAnsi="Arial"/>
                  <w:sz w:val="18"/>
                  <w:szCs w:val="18"/>
                  <w:color w:val="000000"/>
                  <w:w w:val="96"/>
                </w:rPr>
                <w:t>*</w:t>
              </w:r>
            </w:hyperlink>
          </w:p>
        </w:tc>
        <w:tc>
          <w:tcPr>
            <w:tcW w:w="240" w:type="dxa"/>
            <w:vAlign w:val="bottom"/>
            <w:gridSpan w:val="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9"/>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Amendment No. 4 to the Xbox One Publisher License Agreement, dated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top w:val="single" w:sz="8" w:color="0000FF"/>
            </w:tcBorders>
            <w:gridSpan w:val="13"/>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December 15, 2016, between Microsoft Corporation and the Company</w:t>
              </w:r>
              <w:r>
                <w:rPr>
                  <w:rFonts w:ascii="Arial" w:cs="Arial" w:eastAsia="Arial" w:hAnsi="Arial"/>
                  <w:sz w:val="18"/>
                  <w:szCs w:val="18"/>
                  <w:color w:val="000000"/>
                  <w:w w:val="91"/>
                </w:rPr>
                <w:t>*</w:t>
              </w:r>
            </w:hyperlink>
          </w:p>
        </w:tc>
        <w:tc>
          <w:tcPr>
            <w:tcW w:w="240" w:type="dxa"/>
            <w:vAlign w:val="bottom"/>
            <w:gridSpan w:val="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11"/>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22"/>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Amendment No. 5 to the Xbox One Publisher License Agreement, signed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on January 10, 2018, between Microsoft Corporation and the Company</w:t>
              </w:r>
              <w:r>
                <w:rPr>
                  <w:rFonts w:ascii="Arial" w:cs="Arial" w:eastAsia="Arial" w:hAnsi="Arial"/>
                  <w:sz w:val="18"/>
                  <w:szCs w:val="18"/>
                  <w:color w:val="000000"/>
                  <w:w w:val="92"/>
                </w:rPr>
                <w:t>*</w:t>
              </w:r>
            </w:hyperlink>
          </w:p>
        </w:tc>
        <w:tc>
          <w:tcPr>
            <w:tcW w:w="160" w:type="dxa"/>
            <w:vAlign w:val="bottom"/>
            <w:gridSpan w:val="5"/>
          </w:tcPr>
          <w:p>
            <w:pPr>
              <w:spacing w:after="0"/>
              <w:rPr>
                <w:sz w:val="17"/>
                <w:szCs w:val="17"/>
                <w:color w:val="auto"/>
              </w:rPr>
            </w:pPr>
          </w:p>
        </w:tc>
      </w:tr>
      <w:tr>
        <w:trPr>
          <w:trHeight w:val="50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Borders>
              <w:top w:val="single" w:sz="8" w:color="0000FF"/>
            </w:tcBorders>
            <w:gridSpan w:val="5"/>
          </w:tcPr>
          <w:p>
            <w:pPr>
              <w:ind w:left="4080"/>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73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0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11/8/2011</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10.3</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10.1</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2/3/2012</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10.1</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2/6/2013</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10.2</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10.2</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10/30/2014</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10.1</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2/8/2018</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10.2</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10.1</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8/6/2014</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10.1</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5/19/2016</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88"/>
              </w:rPr>
              <w:t>10.48</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5/19/2016</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88"/>
              </w:rPr>
              <w:t>10.49</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5/23/2017</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91"/>
              </w:rPr>
              <w:t>10.2</w:t>
            </w:r>
          </w:p>
        </w:tc>
      </w:tr>
      <w:tr>
        <w:trPr>
          <w:trHeight w:val="486"/>
        </w:trPr>
        <w:tc>
          <w:tcPr>
            <w:tcW w:w="78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5/17/2018</w:t>
            </w:r>
          </w:p>
        </w:tc>
        <w:tc>
          <w:tcPr>
            <w:tcW w:w="700" w:type="dxa"/>
            <w:vAlign w:val="bottom"/>
          </w:tcPr>
          <w:p>
            <w:pPr>
              <w:jc w:val="center"/>
              <w:ind w:left="210"/>
              <w:spacing w:after="0"/>
              <w:rPr>
                <w:sz w:val="20"/>
                <w:szCs w:val="20"/>
                <w:color w:val="auto"/>
              </w:rPr>
            </w:pPr>
            <w:r>
              <w:rPr>
                <w:rFonts w:ascii="Arial" w:cs="Arial" w:eastAsia="Arial" w:hAnsi="Arial"/>
                <w:sz w:val="18"/>
                <w:szCs w:val="18"/>
                <w:color w:val="auto"/>
                <w:w w:val="88"/>
              </w:rPr>
              <w:t>10.55</w:t>
            </w:r>
          </w:p>
        </w:tc>
      </w:tr>
    </w:tbl>
    <w:p>
      <w:pPr>
        <w:sectPr>
          <w:pgSz w:w="11900" w:h="16838" w:orient="portrait"/>
          <w:cols w:equalWidth="0" w:num="2">
            <w:col w:w="7000" w:space="120"/>
            <w:col w:w="4300"/>
          </w:cols>
          <w:pgMar w:left="240" w:top="738" w:right="239" w:bottom="1440" w:gutter="0" w:footer="0" w:header="0"/>
        </w:sectPr>
      </w:pPr>
    </w:p>
    <w:bookmarkStart w:id="51" w:name="page52"/>
    <w:bookmarkEnd w:id="51"/>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16"/>
          </w:tcPr>
          <w:p>
            <w:pPr>
              <w:ind w:left="780"/>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10.49</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900" w:type="dxa"/>
            <w:vAlign w:val="bottom"/>
            <w:tcBorders>
              <w:top w:val="single" w:sz="8" w:color="auto"/>
              <w:bottom w:val="single" w:sz="8" w:color="0000FF"/>
            </w:tcBorders>
            <w:gridSpan w:val="6"/>
          </w:tcPr>
          <w:p>
            <w:pPr>
              <w:spacing w:after="0" w:line="202"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PlayStation Global Developer and Publisher Agreement, dated as of</w:t>
              </w:r>
            </w:hyperlink>
          </w:p>
        </w:tc>
        <w:tc>
          <w:tcPr>
            <w:tcW w:w="560" w:type="dxa"/>
            <w:vAlign w:val="bottom"/>
            <w:tcBorders>
              <w:top w:val="single" w:sz="8" w:color="auto"/>
            </w:tcBorders>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March 23, 2017, between the Company and certain of its affiliates and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FF"/>
            </w:tcBorders>
            <w:gridSpan w:val="9"/>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Sony Interactive Entertainment, Inc., Sony Interactive Entertainment</w:t>
              </w:r>
            </w:hyperlink>
          </w:p>
        </w:tc>
        <w:tc>
          <w:tcPr>
            <w:tcW w:w="40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tcBorders>
              <w:top w:val="single" w:sz="8" w:color="0000FF"/>
            </w:tcBorders>
            <w:gridSpan w:val="7"/>
          </w:tcPr>
          <w:p>
            <w:pPr>
              <w:spacing w:after="0" w:line="19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America LLC, and Sony Interactive Entertainment Europe Ltd.</w:t>
              </w:r>
              <w:r>
                <w:rPr>
                  <w:rFonts w:ascii="Arial" w:cs="Arial" w:eastAsia="Arial" w:hAnsi="Arial"/>
                  <w:sz w:val="18"/>
                  <w:szCs w:val="18"/>
                  <w:color w:val="000000"/>
                  <w:w w:val="96"/>
                </w:rPr>
                <w:t>**</w:t>
              </w:r>
            </w:hyperlink>
          </w:p>
        </w:tc>
        <w:tc>
          <w:tcPr>
            <w:tcW w:w="52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00" w:type="dxa"/>
            <w:vAlign w:val="bottom"/>
            <w:tcBorders>
              <w:bottom w:val="single" w:sz="8" w:color="0000FF"/>
            </w:tcBorders>
            <w:gridSpan w:val="10"/>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Lease Agreement between the Company and Moklam Enterprises, Inc.</w:t>
              </w:r>
            </w:hyperlink>
          </w:p>
        </w:tc>
        <w:tc>
          <w:tcPr>
            <w:tcW w:w="360" w:type="dxa"/>
            <w:vAlign w:val="bottom"/>
            <w:gridSpan w:val="8"/>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dated July 1, 2002</w:t>
              </w:r>
            </w:hyperlink>
          </w:p>
        </w:tc>
        <w:tc>
          <w:tcPr>
            <w:tcW w:w="4140" w:type="dxa"/>
            <w:vAlign w:val="bottom"/>
            <w:gridSpan w:val="16"/>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18"/>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Sixth Lease Modification Agreement, dated January 18, 2012, between the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Company and Moklam Enterprises, Inc.</w:t>
              </w:r>
            </w:hyperlink>
          </w:p>
        </w:tc>
        <w:tc>
          <w:tcPr>
            <w:tcW w:w="2500" w:type="dxa"/>
            <w:vAlign w:val="bottom"/>
            <w:tcBorders>
              <w:top w:val="single" w:sz="8" w:color="0000FF"/>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20" w:type="dxa"/>
            <w:vAlign w:val="bottom"/>
            <w:tcBorders>
              <w:bottom w:val="single" w:sz="8" w:color="0000FF"/>
            </w:tcBorders>
            <w:gridSpan w:val="14"/>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Seventh Lease Modification Agreement, dated April 8, 2014, between the</w:t>
              </w:r>
            </w:hyperlink>
          </w:p>
        </w:tc>
        <w:tc>
          <w:tcPr>
            <w:tcW w:w="140" w:type="dxa"/>
            <w:vAlign w:val="bottom"/>
            <w:gridSpan w:val="4"/>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Company and Moklam Enterprises, Inc.</w:t>
              </w:r>
            </w:hyperlink>
          </w:p>
        </w:tc>
        <w:tc>
          <w:tcPr>
            <w:tcW w:w="2580" w:type="dxa"/>
            <w:vAlign w:val="bottom"/>
            <w:gridSpan w:val="15"/>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18"/>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Eighth Lease Modification Agreement, dated as of January 6, 2015, by and</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between Take-Two Interactive Software, Inc. and Moklam Enterprises, Inc.</w:t>
              </w:r>
            </w:hyperlink>
          </w:p>
        </w:tc>
        <w:tc>
          <w:tcPr>
            <w:tcW w:w="40" w:type="dxa"/>
            <w:vAlign w:val="bottom"/>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00" w:type="dxa"/>
            <w:vAlign w:val="bottom"/>
            <w:tcBorders>
              <w:bottom w:val="single" w:sz="8" w:color="0000FF"/>
            </w:tcBorders>
            <w:gridSpan w:val="13"/>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Ninth Lease Modification Agreement, dated as of December 15, 2015, by</w:t>
              </w:r>
            </w:hyperlink>
          </w:p>
        </w:tc>
        <w:tc>
          <w:tcPr>
            <w:tcW w:w="160" w:type="dxa"/>
            <w:vAlign w:val="bottom"/>
            <w:gridSpan w:val="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and between Take-Two Interactive Software, Inc. and Moklam</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Enterprises, Inc.</w:t>
              </w:r>
            </w:hyperlink>
          </w:p>
        </w:tc>
        <w:tc>
          <w:tcPr>
            <w:tcW w:w="920" w:type="dxa"/>
            <w:vAlign w:val="bottom"/>
            <w:gridSpan w:val="1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bottom w:val="single" w:sz="8" w:color="0000FF"/>
            </w:tcBorders>
            <w:gridSpan w:val="12"/>
          </w:tcPr>
          <w:p>
            <w:pPr>
              <w:spacing w:after="0"/>
              <w:rPr>
                <w:rFonts w:ascii="Arial" w:cs="Arial" w:eastAsia="Arial" w:hAnsi="Arial"/>
                <w:sz w:val="18"/>
                <w:szCs w:val="18"/>
                <w:color w:val="0000FF"/>
                <w:w w:val="88"/>
              </w:rPr>
            </w:pPr>
            <w:hyperlink r:id="rId76">
              <w:r>
                <w:rPr>
                  <w:rFonts w:ascii="Arial" w:cs="Arial" w:eastAsia="Arial" w:hAnsi="Arial"/>
                  <w:sz w:val="18"/>
                  <w:szCs w:val="18"/>
                  <w:color w:val="0000FF"/>
                  <w:w w:val="88"/>
                </w:rPr>
                <w:t>Lease Agreement, dated as of December 12, 2016, by and between Take-</w:t>
              </w:r>
            </w:hyperlink>
          </w:p>
        </w:tc>
        <w:tc>
          <w:tcPr>
            <w:tcW w:w="20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Two Interactive Software, Inc. and DOLP 1133 Properties II LLC for a</w:t>
              </w:r>
            </w:hyperlink>
          </w:p>
        </w:tc>
        <w:tc>
          <w:tcPr>
            <w:tcW w:w="32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76">
              <w:r>
                <w:rPr>
                  <w:rFonts w:ascii="Arial" w:cs="Arial" w:eastAsia="Arial" w:hAnsi="Arial"/>
                  <w:sz w:val="18"/>
                  <w:szCs w:val="18"/>
                  <w:color w:val="0000FF"/>
                  <w:w w:val="88"/>
                </w:rPr>
                <w:t>premises with entrances at 1133 Avenue of the Americas and 110 West</w:t>
              </w:r>
            </w:hyperlink>
          </w:p>
        </w:tc>
        <w:tc>
          <w:tcPr>
            <w:tcW w:w="36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44th Street, New York, New York 10036</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80" w:type="dxa"/>
            <w:vAlign w:val="bottom"/>
            <w:tcBorders>
              <w:bottom w:val="single" w:sz="8" w:color="0000FF"/>
            </w:tcBorders>
            <w:gridSpan w:val="8"/>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First Amendment to Lease, dated as of July 25, 2018 by and between</w:t>
              </w:r>
            </w:hyperlink>
          </w:p>
        </w:tc>
        <w:tc>
          <w:tcPr>
            <w:tcW w:w="480" w:type="dxa"/>
            <w:vAlign w:val="bottom"/>
            <w:gridSpan w:val="10"/>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Take-Two Interactive Software, Inc. and DOLP 1133 Properties II LLC</w:t>
              </w:r>
            </w:hyperlink>
          </w:p>
        </w:tc>
        <w:tc>
          <w:tcPr>
            <w:tcW w:w="320" w:type="dxa"/>
            <w:vAlign w:val="bottom"/>
            <w:gridSpan w:val="7"/>
          </w:tcPr>
          <w:p>
            <w:pPr>
              <w:spacing w:after="0"/>
              <w:rPr>
                <w:sz w:val="17"/>
                <w:szCs w:val="17"/>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18"/>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Registration Rights Agreement, dated January 31, 2017, by and among</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w w:val="97"/>
              </w:rPr>
            </w:pPr>
            <w:hyperlink r:id="rId78">
              <w:r>
                <w:rPr>
                  <w:rFonts w:ascii="Arial" w:cs="Arial" w:eastAsia="Arial" w:hAnsi="Arial"/>
                  <w:sz w:val="18"/>
                  <w:szCs w:val="18"/>
                  <w:color w:val="0000FF"/>
                  <w:w w:val="97"/>
                </w:rPr>
                <w:t>Take-Two Interactive Software, Inc, Andres Bou Ortiz, Horacio Martos</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540" w:right="80"/>
        <w:spacing w:after="0" w:line="269" w:lineRule="auto"/>
        <w:rPr>
          <w:rFonts w:ascii="Arial" w:cs="Arial" w:eastAsia="Arial" w:hAnsi="Arial"/>
          <w:sz w:val="17"/>
          <w:szCs w:val="17"/>
          <w:u w:val="single" w:color="auto"/>
          <w:color w:val="0000FF"/>
        </w:rPr>
      </w:pPr>
      <w:hyperlink r:id="rId78">
        <w:r>
          <w:rPr>
            <w:rFonts w:ascii="Arial" w:cs="Arial" w:eastAsia="Arial" w:hAnsi="Arial"/>
            <w:sz w:val="17"/>
            <w:szCs w:val="17"/>
            <w:u w:val="single" w:color="auto"/>
            <w:color w:val="0000FF"/>
          </w:rPr>
          <w:t>Borja, Marc Canaleta Caupena, Voladuras Hinojo, S.L., Nauta Tech Invest</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III, S.C.R., S.A., Bilbao Vizcaya Holding, S.A., La Banque Postale</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Innovation 11 FCPI, Capital Croissance 4, Objectif Innovation Patrimoine</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4 FCPI, Strategie PME 2011 FCPI, Idinvest Patrimoine FCPI, Allianz Eco</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Innovation 3 FCPI, Objectif Innovation 5 FCPI, Idinvest Crossance FCPI,</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SG Innovation 2011 FCPI, Allianz Eco Innovation 2 FCPI, Objectif</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Innovation 4 FCPI, Idinvest Flexible 2016 FCPI, Capital Croissance 5</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FCPI, Objectif Innovation Patrimoine 5 FCPI, Idinvest Patrimoine 2 FCPI,</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Objectif Innovation Patrimoine 6 FCPI, Idinvest Patrimoine 3 FCPI,</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Greylock Israel Investment Vehicle in Social Point, LTD, and HCPESP,</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S.a.r.l.</w:t>
        </w:r>
      </w:hyperlink>
    </w:p>
    <w:p>
      <w:pPr>
        <w:spacing w:after="0" w:line="237" w:lineRule="exact"/>
        <w:rPr>
          <w:rFonts w:ascii="Arial" w:cs="Arial" w:eastAsia="Arial" w:hAnsi="Arial"/>
          <w:sz w:val="17"/>
          <w:szCs w:val="17"/>
          <w:u w:val="single" w:color="auto"/>
          <w:color w:val="0000FF"/>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735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5/24/2017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9/16/2002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5/23/2012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5/14/2014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5/19/2016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2/4/2016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000" w:space="120"/>
            <w:col w:w="4300"/>
          </w:cols>
          <w:pgMar w:left="240" w:top="738" w:right="239" w:bottom="1440" w:gutter="0" w:footer="0" w:header="0"/>
        </w:sectPr>
      </w:pPr>
    </w:p>
    <w:bookmarkStart w:id="52" w:name="page53"/>
    <w:bookmarkEnd w:id="52"/>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Importance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10"/>
            <w:vMerge w:val="restart"/>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3"/>
                <w:szCs w:val="13"/>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tcPr>
          <w:p>
            <w:pPr>
              <w:spacing w:after="0" w:line="202" w:lineRule="exact"/>
              <w:rPr>
                <w:rFonts w:ascii="Arial" w:cs="Arial" w:eastAsia="Arial" w:hAnsi="Arial"/>
                <w:sz w:val="18"/>
                <w:szCs w:val="18"/>
                <w:color w:val="0000FF"/>
                <w:w w:val="90"/>
              </w:rPr>
            </w:pPr>
            <w:hyperlink w:anchor="page255">
              <w:r>
                <w:rPr>
                  <w:rFonts w:ascii="Arial" w:cs="Arial" w:eastAsia="Arial" w:hAnsi="Arial"/>
                  <w:sz w:val="18"/>
                  <w:szCs w:val="18"/>
                  <w:color w:val="0000FF"/>
                  <w:w w:val="90"/>
                </w:rPr>
                <w:t>Subsidiaries of the Company</w:t>
              </w:r>
            </w:hyperlink>
          </w:p>
        </w:tc>
        <w:tc>
          <w:tcPr>
            <w:tcW w:w="22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1"/>
          </w:tcPr>
          <w:p>
            <w:pPr>
              <w:spacing w:after="0"/>
              <w:rPr>
                <w:rFonts w:ascii="Arial" w:cs="Arial" w:eastAsia="Arial" w:hAnsi="Arial"/>
                <w:sz w:val="18"/>
                <w:szCs w:val="18"/>
                <w:color w:val="0000FF"/>
              </w:rPr>
            </w:pPr>
            <w:hyperlink w:anchor="page258">
              <w:r>
                <w:rPr>
                  <w:rFonts w:ascii="Arial" w:cs="Arial" w:eastAsia="Arial" w:hAnsi="Arial"/>
                  <w:sz w:val="18"/>
                  <w:szCs w:val="18"/>
                  <w:color w:val="0000FF"/>
                </w:rPr>
                <w:t>Consent of Ernst &amp; Young LLP</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1"/>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Chief Executive Officer Certification Pursuant to</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1"/>
          </w:tcPr>
          <w:p>
            <w:pPr>
              <w:spacing w:after="0" w:line="196" w:lineRule="exact"/>
              <w:rPr>
                <w:rFonts w:ascii="Arial" w:cs="Arial" w:eastAsia="Arial" w:hAnsi="Arial"/>
                <w:sz w:val="18"/>
                <w:szCs w:val="18"/>
                <w:color w:val="0000FF"/>
                <w:w w:val="97"/>
              </w:rPr>
            </w:pPr>
            <w:hyperlink w:anchor="page259">
              <w:r>
                <w:rPr>
                  <w:rFonts w:ascii="Arial" w:cs="Arial" w:eastAsia="Arial" w:hAnsi="Arial"/>
                  <w:sz w:val="18"/>
                  <w:szCs w:val="18"/>
                  <w:color w:val="0000FF"/>
                  <w:w w:val="97"/>
                </w:rPr>
                <w:t>Rules 13a-15(e) and 15d-15(e) under the Securities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1"/>
          </w:tcPr>
          <w:p>
            <w:pPr>
              <w:spacing w:after="0" w:line="196" w:lineRule="exact"/>
              <w:rPr>
                <w:rFonts w:ascii="Arial" w:cs="Arial" w:eastAsia="Arial" w:hAnsi="Arial"/>
                <w:sz w:val="18"/>
                <w:szCs w:val="18"/>
                <w:color w:val="0000FF"/>
                <w:w w:val="92"/>
              </w:rPr>
            </w:pPr>
            <w:hyperlink w:anchor="page259">
              <w:r>
                <w:rPr>
                  <w:rFonts w:ascii="Arial" w:cs="Arial" w:eastAsia="Arial" w:hAnsi="Arial"/>
                  <w:sz w:val="18"/>
                  <w:szCs w:val="18"/>
                  <w:color w:val="0000FF"/>
                  <w:w w:val="92"/>
                </w:rPr>
                <w:t>Exchange Act of 1934, as adopted pursuant to Section 302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w:anchor="page259">
              <w:r>
                <w:rPr>
                  <w:rFonts w:ascii="Arial" w:cs="Arial" w:eastAsia="Arial" w:hAnsi="Arial"/>
                  <w:sz w:val="18"/>
                  <w:szCs w:val="18"/>
                  <w:color w:val="0000FF"/>
                  <w:w w:val="91"/>
                </w:rPr>
                <w:t>of the Sarbanes-Oxley Act of 2002</w:t>
              </w:r>
            </w:hyperlink>
          </w:p>
        </w:tc>
        <w:tc>
          <w:tcPr>
            <w:tcW w:w="168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260">
              <w:r>
                <w:rPr>
                  <w:rFonts w:ascii="Arial" w:cs="Arial" w:eastAsia="Arial" w:hAnsi="Arial"/>
                  <w:sz w:val="18"/>
                  <w:szCs w:val="18"/>
                  <w:color w:val="0000FF"/>
                  <w:w w:val="93"/>
                </w:rPr>
                <w:t>Chief Financial Officer Certification Pursuant to</w:t>
              </w:r>
            </w:hyperlink>
          </w:p>
        </w:tc>
        <w:tc>
          <w:tcPr>
            <w:tcW w:w="840" w:type="dxa"/>
            <w:vAlign w:val="bottom"/>
            <w:gridSpan w:val="6"/>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1"/>
          </w:tcPr>
          <w:p>
            <w:pPr>
              <w:spacing w:after="0" w:line="196" w:lineRule="exact"/>
              <w:rPr>
                <w:rFonts w:ascii="Arial" w:cs="Arial" w:eastAsia="Arial" w:hAnsi="Arial"/>
                <w:sz w:val="18"/>
                <w:szCs w:val="18"/>
                <w:color w:val="0000FF"/>
                <w:w w:val="97"/>
              </w:rPr>
            </w:pPr>
            <w:hyperlink w:anchor="page260">
              <w:r>
                <w:rPr>
                  <w:rFonts w:ascii="Arial" w:cs="Arial" w:eastAsia="Arial" w:hAnsi="Arial"/>
                  <w:sz w:val="18"/>
                  <w:szCs w:val="18"/>
                  <w:color w:val="0000FF"/>
                  <w:w w:val="97"/>
                </w:rPr>
                <w:t>Rules 13a-15(e) and 15d-15(e) under the Securities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1"/>
          </w:tcPr>
          <w:p>
            <w:pPr>
              <w:spacing w:after="0" w:line="196" w:lineRule="exact"/>
              <w:rPr>
                <w:rFonts w:ascii="Arial" w:cs="Arial" w:eastAsia="Arial" w:hAnsi="Arial"/>
                <w:sz w:val="18"/>
                <w:szCs w:val="18"/>
                <w:color w:val="0000FF"/>
                <w:w w:val="92"/>
              </w:rPr>
            </w:pPr>
            <w:hyperlink w:anchor="page260">
              <w:r>
                <w:rPr>
                  <w:rFonts w:ascii="Arial" w:cs="Arial" w:eastAsia="Arial" w:hAnsi="Arial"/>
                  <w:sz w:val="18"/>
                  <w:szCs w:val="18"/>
                  <w:color w:val="0000FF"/>
                  <w:w w:val="92"/>
                </w:rPr>
                <w:t>Exchange Act of 1934, as adopted pursuant to Section 302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w:anchor="page260">
              <w:r>
                <w:rPr>
                  <w:rFonts w:ascii="Arial" w:cs="Arial" w:eastAsia="Arial" w:hAnsi="Arial"/>
                  <w:sz w:val="18"/>
                  <w:szCs w:val="18"/>
                  <w:color w:val="0000FF"/>
                  <w:w w:val="91"/>
                </w:rPr>
                <w:t>of the Sarbanes-Oxley Act of 2002</w:t>
              </w:r>
            </w:hyperlink>
          </w:p>
        </w:tc>
        <w:tc>
          <w:tcPr>
            <w:tcW w:w="168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1"/>
          </w:tcPr>
          <w:p>
            <w:pPr>
              <w:spacing w:after="0"/>
              <w:rPr>
                <w:rFonts w:ascii="Arial" w:cs="Arial" w:eastAsia="Arial" w:hAnsi="Arial"/>
                <w:sz w:val="18"/>
                <w:szCs w:val="18"/>
                <w:color w:val="0000FF"/>
              </w:rPr>
            </w:pPr>
            <w:hyperlink w:anchor="page261">
              <w:r>
                <w:rPr>
                  <w:rFonts w:ascii="Arial" w:cs="Arial" w:eastAsia="Arial" w:hAnsi="Arial"/>
                  <w:sz w:val="18"/>
                  <w:szCs w:val="18"/>
                  <w:color w:val="0000FF"/>
                </w:rPr>
                <w:t>Chief Executive Officer Certification pursuant to 18</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w:anchor="page261">
              <w:r>
                <w:rPr>
                  <w:rFonts w:ascii="Arial" w:cs="Arial" w:eastAsia="Arial" w:hAnsi="Arial"/>
                  <w:sz w:val="18"/>
                  <w:szCs w:val="18"/>
                  <w:color w:val="0000FF"/>
                  <w:w w:val="88"/>
                </w:rPr>
                <w:t>U.S.C. Section 1350, as adopted Pursuant to Section 906</w:t>
              </w:r>
            </w:hyperlink>
          </w:p>
        </w:tc>
        <w:tc>
          <w:tcPr>
            <w:tcW w:w="2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261">
              <w:r>
                <w:rPr>
                  <w:rFonts w:ascii="Arial" w:cs="Arial" w:eastAsia="Arial" w:hAnsi="Arial"/>
                  <w:sz w:val="18"/>
                  <w:szCs w:val="18"/>
                  <w:color w:val="0000FF"/>
                  <w:w w:val="91"/>
                </w:rPr>
                <w:t>of the Sarbanes-Oxley Act of 2002</w:t>
              </w:r>
            </w:hyperlink>
          </w:p>
        </w:tc>
        <w:tc>
          <w:tcPr>
            <w:tcW w:w="18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262">
              <w:r>
                <w:rPr>
                  <w:rFonts w:ascii="Arial" w:cs="Arial" w:eastAsia="Arial" w:hAnsi="Arial"/>
                  <w:sz w:val="18"/>
                  <w:szCs w:val="18"/>
                  <w:color w:val="0000FF"/>
                  <w:w w:val="93"/>
                </w:rPr>
                <w:t>Chief Financial Officer Certification pursuant to 18</w:t>
              </w:r>
            </w:hyperlink>
          </w:p>
        </w:tc>
        <w:tc>
          <w:tcPr>
            <w:tcW w:w="62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w:anchor="page262">
              <w:r>
                <w:rPr>
                  <w:rFonts w:ascii="Arial" w:cs="Arial" w:eastAsia="Arial" w:hAnsi="Arial"/>
                  <w:sz w:val="18"/>
                  <w:szCs w:val="18"/>
                  <w:color w:val="0000FF"/>
                  <w:w w:val="88"/>
                </w:rPr>
                <w:t>U.S.C. Section 1350, as adopted Pursuant to Section 906</w:t>
              </w:r>
            </w:hyperlink>
          </w:p>
        </w:tc>
        <w:tc>
          <w:tcPr>
            <w:tcW w:w="2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1"/>
          </w:tcPr>
          <w:p>
            <w:pPr>
              <w:spacing w:after="0" w:line="196" w:lineRule="exact"/>
              <w:rPr>
                <w:rFonts w:ascii="Arial" w:cs="Arial" w:eastAsia="Arial" w:hAnsi="Arial"/>
                <w:sz w:val="18"/>
                <w:szCs w:val="18"/>
                <w:color w:val="0000FF"/>
              </w:rPr>
            </w:pPr>
            <w:hyperlink w:anchor="page262">
              <w:r>
                <w:rPr>
                  <w:rFonts w:ascii="Arial" w:cs="Arial" w:eastAsia="Arial" w:hAnsi="Arial"/>
                  <w:sz w:val="18"/>
                  <w:szCs w:val="18"/>
                  <w:color w:val="0000FF"/>
                </w:rPr>
                <w:t>of the Sarbanes-Oxley Act of 2002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25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18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3"/>
                <w:szCs w:val="23"/>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XBRL Taxonomy Calculation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3"/>
                <w:szCs w:val="23"/>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XBRL Taxonomy Label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3"/>
                <w:szCs w:val="23"/>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XBRL Taxonomy Presentation Linkbase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3"/>
                <w:szCs w:val="23"/>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6" w:lineRule="exact"/>
        <w:rPr>
          <w:sz w:val="20"/>
          <w:szCs w:val="20"/>
          <w:color w:val="auto"/>
        </w:rPr>
      </w:pPr>
    </w:p>
    <w:p>
      <w:pPr>
        <w:ind w:right="1020" w:firstLine="8"/>
        <w:spacing w:after="0" w:line="442" w:lineRule="auto"/>
        <w:tabs>
          <w:tab w:leader="none" w:pos="405" w:val="left"/>
        </w:tabs>
        <w:numPr>
          <w:ilvl w:val="0"/>
          <w:numId w:val="11"/>
        </w:numPr>
        <w:rPr>
          <w:rFonts w:ascii="Arial" w:cs="Arial" w:eastAsia="Arial" w:hAnsi="Arial"/>
          <w:sz w:val="14"/>
          <w:szCs w:val="14"/>
          <w:color w:val="auto"/>
        </w:rPr>
      </w:pPr>
      <w:r>
        <w:rPr>
          <w:rFonts w:ascii="Arial" w:cs="Arial" w:eastAsia="Arial" w:hAnsi="Arial"/>
          <w:sz w:val="14"/>
          <w:szCs w:val="14"/>
          <w:color w:val="auto"/>
        </w:rPr>
        <w:t>Schedules omitted pursuant to item 601(b)(2) of Regulation S-K. The Company agrees to furnish supplementally a copy of any omitted schedule to the SEC upon its request. + Represents a management contract or compensatory plan or arrangement.</w:t>
      </w:r>
    </w:p>
    <w:p>
      <w:pPr>
        <w:spacing w:after="0" w:line="1" w:lineRule="exact"/>
        <w:rPr>
          <w:sz w:val="20"/>
          <w:szCs w:val="20"/>
          <w:color w:val="auto"/>
        </w:rPr>
      </w:pPr>
    </w:p>
    <w:p>
      <w:pPr>
        <w:ind w:left="420" w:right="580" w:hanging="412"/>
        <w:spacing w:after="0" w:line="273"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93" w:lineRule="exact"/>
        <w:rPr>
          <w:sz w:val="20"/>
          <w:szCs w:val="20"/>
          <w:color w:val="auto"/>
        </w:rPr>
      </w:pPr>
    </w:p>
    <w:p>
      <w:pPr>
        <w:ind w:left="420" w:right="440" w:hanging="412"/>
        <w:spacing w:after="0" w:line="273"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Portions hereof have been omitted and filed separately with the Securities and Exchange Commission pursuant to a request for confidential treatment in accordance with Exchange Act Rule 24b-2.</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March 31, 2019 and 2018, (ii) Consolidated Statements of Operations for the fiscal years ended March 31, 2019, 2018 and 2017, (iii) Consolidated Statements of Comprehensive Income for the fiscal years ended March 31, 2019, 2018 and 2017, (iv) Consolidated Statements of Cash Flows for the fiscal years ended March 31, 2019, 2018 and 2017, (v) Consolidated Statements of Stockholders' Equity for the fiscal years ended March 31, 2019, 2018 and 2017; and (vi) Notes to the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6" w:right="239" w:bottom="1440" w:gutter="0" w:footer="0" w:header="0"/>
        </w:sectPr>
      </w:pPr>
    </w:p>
    <w:bookmarkStart w:id="53" w:name="page54"/>
    <w:bookmarkEnd w:id="53"/>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715"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TAKE-TWO INTERACTIVE SOFTWARE, INC.</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8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8"/>
              </w:rPr>
              <w:t>FISCAL YEAR ENDED MARCH 31, 2019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0"/>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189"/>
        </w:trPr>
        <w:tc>
          <w:tcPr>
            <w:tcW w:w="8720" w:type="dxa"/>
            <w:vAlign w:val="bottom"/>
            <w:gridSpan w:val="8"/>
          </w:tcPr>
          <w:p>
            <w:pPr>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Reports of Independent Registered Public Accounting Firm</w:t>
              </w:r>
            </w:hyperlink>
          </w:p>
        </w:tc>
        <w:tc>
          <w:tcPr>
            <w:tcW w:w="26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27"/>
        </w:trPr>
        <w:tc>
          <w:tcPr>
            <w:tcW w:w="20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980" w:type="dxa"/>
            <w:vAlign w:val="bottom"/>
            <w:gridSpan w:val="2"/>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872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r>
              <w:rPr>
                <w:rFonts w:ascii="Arial" w:cs="Arial" w:eastAsia="Arial" w:hAnsi="Arial"/>
                <w:sz w:val="18"/>
                <w:szCs w:val="18"/>
                <w:color w:val="000000"/>
              </w:rPr>
              <w:t>—At</w:t>
            </w:r>
            <w:r>
              <w:rPr>
                <w:rFonts w:ascii="Arial" w:cs="Arial" w:eastAsia="Arial" w:hAnsi="Arial"/>
                <w:sz w:val="18"/>
                <w:szCs w:val="18"/>
                <w:color w:val="0000EE"/>
              </w:rPr>
              <w:t xml:space="preserve"> </w:t>
            </w:r>
            <w:r>
              <w:rPr>
                <w:rFonts w:ascii="Arial" w:cs="Arial" w:eastAsia="Arial" w:hAnsi="Arial"/>
                <w:sz w:val="18"/>
                <w:szCs w:val="18"/>
                <w:color w:val="000000"/>
              </w:rPr>
              <w:t>March 31, 2019 and 2018</w:t>
            </w:r>
          </w:p>
        </w:tc>
        <w:tc>
          <w:tcPr>
            <w:tcW w:w="260" w:type="dxa"/>
            <w:vAlign w:val="bottom"/>
          </w:tcPr>
          <w:p>
            <w:pPr>
              <w:spacing w:after="0"/>
              <w:rPr>
                <w:sz w:val="22"/>
                <w:szCs w:val="22"/>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fiscal years ended March 31, 2019, 2018 and 2017</w:t>
            </w:r>
          </w:p>
        </w:tc>
        <w:tc>
          <w:tcPr>
            <w:tcW w:w="480" w:type="dxa"/>
            <w:vAlign w:val="bottom"/>
            <w:gridSpan w:val="3"/>
          </w:tcPr>
          <w:p>
            <w:pPr>
              <w:jc w:val="right"/>
              <w:ind w:right="4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Consolidated Statements of Comprehensive Income</w:t>
              </w:r>
            </w:hyperlink>
            <w:r>
              <w:rPr>
                <w:rFonts w:ascii="Arial" w:cs="Arial" w:eastAsia="Arial" w:hAnsi="Arial"/>
                <w:sz w:val="18"/>
                <w:szCs w:val="18"/>
                <w:color w:val="000000"/>
                <w:w w:val="96"/>
              </w:rPr>
              <w:t>—For</w:t>
            </w:r>
            <w:r>
              <w:rPr>
                <w:rFonts w:ascii="Arial" w:cs="Arial" w:eastAsia="Arial" w:hAnsi="Arial"/>
                <w:sz w:val="18"/>
                <w:szCs w:val="18"/>
                <w:color w:val="0000EE"/>
                <w:w w:val="96"/>
              </w:rPr>
              <w:t xml:space="preserve"> </w:t>
            </w:r>
            <w:r>
              <w:rPr>
                <w:rFonts w:ascii="Arial" w:cs="Arial" w:eastAsia="Arial" w:hAnsi="Arial"/>
                <w:sz w:val="18"/>
                <w:szCs w:val="18"/>
                <w:color w:val="000000"/>
                <w:w w:val="96"/>
              </w:rPr>
              <w:t>the fiscal years ended March 31, 2019, 2018 and 2017</w:t>
            </w:r>
          </w:p>
        </w:tc>
        <w:tc>
          <w:tcPr>
            <w:tcW w:w="480" w:type="dxa"/>
            <w:vAlign w:val="bottom"/>
            <w:gridSpan w:val="3"/>
          </w:tcPr>
          <w:p>
            <w:pPr>
              <w:jc w:val="right"/>
              <w:ind w:right="40"/>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fiscal years ended March 31, 2019, 2018 and 2017</w:t>
            </w:r>
          </w:p>
        </w:tc>
        <w:tc>
          <w:tcPr>
            <w:tcW w:w="480" w:type="dxa"/>
            <w:vAlign w:val="bottom"/>
            <w:gridSpan w:val="3"/>
          </w:tcPr>
          <w:p>
            <w:pPr>
              <w:jc w:val="right"/>
              <w:ind w:right="40"/>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20" w:type="dxa"/>
            <w:vAlign w:val="bottom"/>
            <w:gridSpan w:val="8"/>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Consolidated Statements of Stockholders' Equity</w:t>
              </w:r>
            </w:hyperlink>
            <w:r>
              <w:rPr>
                <w:rFonts w:ascii="Arial" w:cs="Arial" w:eastAsia="Arial" w:hAnsi="Arial"/>
                <w:sz w:val="18"/>
                <w:szCs w:val="18"/>
                <w:color w:val="000000"/>
                <w:w w:val="99"/>
              </w:rPr>
              <w:t>—For</w:t>
            </w:r>
            <w:r>
              <w:rPr>
                <w:rFonts w:ascii="Arial" w:cs="Arial" w:eastAsia="Arial" w:hAnsi="Arial"/>
                <w:sz w:val="18"/>
                <w:szCs w:val="18"/>
                <w:color w:val="0000EE"/>
                <w:w w:val="99"/>
              </w:rPr>
              <w:t xml:space="preserve"> </w:t>
            </w:r>
            <w:r>
              <w:rPr>
                <w:rFonts w:ascii="Arial" w:cs="Arial" w:eastAsia="Arial" w:hAnsi="Arial"/>
                <w:sz w:val="18"/>
                <w:szCs w:val="18"/>
                <w:color w:val="000000"/>
                <w:w w:val="99"/>
              </w:rPr>
              <w:t>the fiscal years ended March 31, 2019, 2018 and 2017</w:t>
            </w:r>
          </w:p>
        </w:tc>
        <w:tc>
          <w:tcPr>
            <w:tcW w:w="480" w:type="dxa"/>
            <w:vAlign w:val="bottom"/>
            <w:gridSpan w:val="3"/>
          </w:tcPr>
          <w:p>
            <w:pPr>
              <w:jc w:val="right"/>
              <w:ind w:right="40"/>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Notes to the Consolidated Financial Statements</w:t>
              </w:r>
            </w:hyperlink>
          </w:p>
        </w:tc>
        <w:tc>
          <w:tcPr>
            <w:tcW w:w="520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79"/>
          </w:cols>
          <w:pgMar w:left="280" w:top="796" w:right="1440" w:bottom="1440" w:gutter="0" w:footer="0" w:header="0"/>
        </w:sectPr>
      </w:pPr>
    </w:p>
    <w:bookmarkStart w:id="55" w:name="page56"/>
    <w:bookmarkEnd w:id="5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Take-Two Interactive Software,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Take-Two Interactive Software, Inc. (the Company) as of March 31, 2019 and 2018, the related consolidated statements of operations, comprehensive income, cash flows and stockholders’ equity for each of the three years in the period ended March 31, 2019, and the related notes (collectively referred to as the “consolidated financial statements”). In our opinion, the consolidated financial statements present fairly, in all material respects, the financial position of the Company at March 31, 2019 and 2018, and the results of its operations and its cash flows for each of the three years in the period ended March 31, 2019, in conformity with U.S. generally accepted accounting principles.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2019, based on criteria established in Internal Control-Integrated Framework issued by the Committee of Sponsoring Organizations of the Treadway Commission (2013 framework) and our report dated May 13, 2019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recognition effective April 1, 2018 due to the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the related amendments.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2016-09</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stock-based compensation effective April 1, 2017 due to the adoption of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31" w:right="239" w:bottom="1440" w:gutter="0" w:footer="0" w:header="0"/>
        </w:sectPr>
      </w:pPr>
    </w:p>
    <w:bookmarkStart w:id="56" w:name="page57"/>
    <w:bookmarkEnd w:id="56"/>
    <w:p>
      <w:pPr>
        <w:ind w:right="2620" w:firstLine="2624"/>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Take-Two Interactive Software, Inc. </w:t>
      </w:r>
      <w:r>
        <w:rPr>
          <w:rFonts w:ascii="Arial" w:cs="Arial" w:eastAsia="Arial" w:hAnsi="Arial"/>
          <w:sz w:val="18"/>
          <w:szCs w:val="18"/>
          <w:b w:val="1"/>
          <w:bCs w:val="1"/>
          <w:color w:val="auto"/>
        </w:rPr>
        <w:t>Opinion on Internal Control over Financial Reporting</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Take-Two Interactive Software, Inc.'s (the Company) internal control over financial reporting as of March 31, 2019,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March 31, 2019, based on the COSO criteria.</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2019 and 2018, the related consolidated statements of operations, comprehensive income, cash flows and stockholders’ equity for each of the three years in the period ended March 31, 2019, and the related notes and our report dated May 13, 2019 expressed an unqualified opinion thereon.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3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826,525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808,973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744,485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615,406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565,461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allowances of $995 and $54,290 at March 31, 2019 and 2018, respectively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395,729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247,649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28,200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Software development costs and licenses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28,880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51,867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186,688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133,454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2,827,835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2,409,177</w:t>
            </w:r>
          </w:p>
        </w:tc>
        <w:tc>
          <w:tcPr>
            <w:tcW w:w="0" w:type="dxa"/>
            <w:vAlign w:val="bottom"/>
          </w:tcPr>
          <w:p>
            <w:pPr>
              <w:spacing w:after="0"/>
              <w:rPr>
                <w:sz w:val="1"/>
                <w:szCs w:val="1"/>
                <w:color w:val="auto"/>
              </w:rPr>
            </w:pP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127,882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licenses,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603,436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639,369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cost of goods sold, net of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1,028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26,719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381,717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399,530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intangibles,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73,115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103,681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134,732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93,320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51,957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4,243,065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3,737,841</w:t>
            </w:r>
          </w:p>
        </w:tc>
        <w:tc>
          <w:tcPr>
            <w:tcW w:w="0" w:type="dxa"/>
            <w:vAlign w:val="bottom"/>
          </w:tcPr>
          <w:p>
            <w:pPr>
              <w:spacing w:after="0"/>
              <w:rPr>
                <w:sz w:val="1"/>
                <w:szCs w:val="1"/>
                <w:color w:val="auto"/>
              </w:rPr>
            </w:pP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72,797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35,029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1,035,695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914,748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843,302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777,152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1,951,794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1,726,929</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Non-current 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229,633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158,285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2,202,485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2,248,871</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 shares authorized: no shares issued and outstanding at March 31, 2019</w:t>
            </w:r>
          </w:p>
        </w:tc>
        <w:tc>
          <w:tcPr>
            <w:tcW w:w="36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and 2018</w:t>
            </w:r>
          </w:p>
        </w:tc>
        <w:tc>
          <w:tcPr>
            <w:tcW w:w="3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Common stock, $.01 par value, 200,000 shares authorized; 134,602 and 132,743 shares issued and 112,181 and</w:t>
            </w: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114,038 outstanding at March 31, 2019 and 2018,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2,019,369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1,888,039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22,421 and 18,705 common shares at March 31, 2019 and 2018,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(820,572)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877,626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73,516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2,040,580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1,488,970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4,243,065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3,737,841</w:t>
            </w:r>
          </w:p>
        </w:tc>
        <w:tc>
          <w:tcPr>
            <w:tcW w:w="0" w:type="dxa"/>
            <w:vAlign w:val="bottom"/>
          </w:tcPr>
          <w:p>
            <w:pPr>
              <w:spacing w:after="0"/>
              <w:rPr>
                <w:sz w:val="1"/>
                <w:szCs w:val="1"/>
                <w:color w:val="auto"/>
              </w:rPr>
            </w:pP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64"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3"/>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2,668,394</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1,779,748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1,523,644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898,311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1,022,959</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1,144,750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756,789</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391,400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285,453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281,234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211,409</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230,170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137,915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30,707</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Business reorganization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938,078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665,484</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206,672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91,305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on long-term investments,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1,350</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76,965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(101,052)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9,662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333,837</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173,533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67,303</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333,837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67,303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Cash flow hedges: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unrealized gains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Reclassification to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3,726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effect on effective cash flow hedges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Change in fair value of cash flow hedges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Net unrealized gain (loss), net of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to earnings for realized net loss, net of taxes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6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Change in fair value of available-for-sale securities</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312,380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204,943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58,057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28"/>
              <w:spacing w:after="0"/>
              <w:rPr>
                <w:sz w:val="20"/>
                <w:szCs w:val="20"/>
                <w:color w:val="auto"/>
              </w:rPr>
            </w:pPr>
            <w:r>
              <w:rPr>
                <w:rFonts w:ascii="Arial" w:cs="Arial" w:eastAsia="Arial" w:hAnsi="Arial"/>
                <w:sz w:val="14"/>
                <w:szCs w:val="14"/>
                <w:b w:val="1"/>
                <w:bCs w:val="1"/>
                <w:color w:val="auto"/>
                <w:w w:val="94"/>
              </w:rPr>
              <w:t>Fiscal Year Ended March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508"/>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Adjusted) (1)</w:t>
            </w:r>
          </w:p>
        </w:tc>
        <w:tc>
          <w:tcPr>
            <w:tcW w:w="160" w:type="dxa"/>
            <w:vAlign w:val="bottom"/>
          </w:tcPr>
          <w:p>
            <w:pPr>
              <w:spacing w:after="0"/>
              <w:rPr>
                <w:sz w:val="16"/>
                <w:szCs w:val="16"/>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(as Adjusted) (1)</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333,837</w:t>
            </w:r>
          </w:p>
        </w:tc>
        <w:tc>
          <w:tcPr>
            <w:tcW w:w="3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173,533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67,303</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Amortization and impairment of software development costs and licenses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201,221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77,887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221,911</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247,700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116,349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81,879</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Amortization of intellectual property</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23,879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6,738</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30,707</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Amortization of discount on Convertible Notes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15,662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21,222</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Impairment of in-process research and development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809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Gain on long-term investments, net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 on redemption of Convertible Notes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6,375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(98,075)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(26,998)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(41,956)</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Software development costs and licenses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(206,831)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(225,269)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(252,951)</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Prepaid expenses, other current and other non-current assets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(275,800)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(22,155)</w:t>
            </w:r>
          </w:p>
        </w:tc>
        <w:tc>
          <w:tcPr>
            <w:tcW w:w="0" w:type="dxa"/>
            <w:vAlign w:val="bottom"/>
          </w:tcPr>
          <w:p>
            <w:pPr>
              <w:spacing w:after="0"/>
              <w:rPr>
                <w:sz w:val="1"/>
                <w:szCs w:val="1"/>
                <w:color w:val="auto"/>
              </w:rPr>
            </w:pPr>
          </w:p>
        </w:tc>
      </w:tr>
      <w:tr>
        <w:trPr>
          <w:trHeight w:val="264"/>
        </w:trPr>
        <w:tc>
          <w:tcPr>
            <w:tcW w:w="6760" w:type="dxa"/>
            <w:vAlign w:val="bottom"/>
            <w:gridSpan w:val="2"/>
          </w:tcPr>
          <w:p>
            <w:pPr>
              <w:ind w:left="28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304,713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198,397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126,285</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cost of goods sold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(24,882)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(14,969)</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Accounts payable, accrued expenses and other liabilities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201,152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198,733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189,344</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843,515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493,527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407,903</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 in bank time deposits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89,076</w:t>
            </w: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Proceeds from available-for-sale securities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325,133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241,012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155,936</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(282,534)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(221,671)</w:t>
            </w: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Purchases of fixed assets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(66,969)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(61,557)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(21,167)</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 of long-term investment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Purchase of long-term investments</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Business acquisitions, net of cash acquired</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(28,149)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(130,669)</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Asset acquisition</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(223,576)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(129,030)</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Tax payment related to net share settlements on restricted stock awards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(101,293)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(51,762)</w:t>
            </w: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(362,392)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(154,792)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Excess tax benefit from stock-based compensation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(463,685)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(281,467)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(49,772)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Effects of foreign currency exchange rates on cash, cash equivalents, and restricted cash</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(10,639)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(7,798)</w:t>
            </w:r>
          </w:p>
        </w:tc>
        <w:tc>
          <w:tcPr>
            <w:tcW w:w="0" w:type="dxa"/>
            <w:vAlign w:val="bottom"/>
          </w:tcPr>
          <w:p>
            <w:pPr>
              <w:spacing w:after="0"/>
              <w:rPr>
                <w:sz w:val="1"/>
                <w:szCs w:val="1"/>
                <w:color w:val="auto"/>
              </w:rPr>
            </w:pPr>
          </w:p>
        </w:tc>
      </w:tr>
      <w:tr>
        <w:trPr>
          <w:trHeight w:val="25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change in cash, cash equivalents, and restricted cash</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145,615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221,303</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cash equivalents, and restricted cash, beginning of year</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1,246,371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1,281,214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1,059,911</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end of year</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1,391,986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1,246,371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1,281,214</w:t>
            </w:r>
          </w:p>
        </w:tc>
        <w:tc>
          <w:tcPr>
            <w:tcW w:w="0" w:type="dxa"/>
            <w:vAlign w:val="bottom"/>
          </w:tcPr>
          <w:p>
            <w:pPr>
              <w:spacing w:after="0"/>
              <w:rPr>
                <w:sz w:val="1"/>
                <w:szCs w:val="1"/>
                <w:color w:val="auto"/>
              </w:rPr>
            </w:pP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tcPr>
          <w:p>
            <w:pPr>
              <w:ind w:left="180"/>
              <w:spacing w:after="0"/>
              <w:rPr>
                <w:sz w:val="20"/>
                <w:szCs w:val="20"/>
                <w:color w:val="auto"/>
              </w:rPr>
            </w:pPr>
            <w:r>
              <w:rPr>
                <w:rFonts w:ascii="Arial" w:cs="Arial" w:eastAsia="Arial" w:hAnsi="Arial"/>
                <w:sz w:val="14"/>
                <w:szCs w:val="14"/>
                <w:b w:val="1"/>
                <w:bCs w:val="1"/>
                <w:color w:val="auto"/>
              </w:rPr>
              <w:t>Supplemental data:</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5,265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7,628</w:t>
            </w:r>
          </w:p>
        </w:tc>
        <w:tc>
          <w:tcPr>
            <w:tcW w:w="0" w:type="dxa"/>
            <w:vAlign w:val="bottom"/>
          </w:tcPr>
          <w:p>
            <w:pPr>
              <w:spacing w:after="0"/>
              <w:rPr>
                <w:sz w:val="1"/>
                <w:szCs w:val="1"/>
                <w:color w:val="auto"/>
              </w:rPr>
            </w:pPr>
          </w:p>
        </w:tc>
      </w:tr>
      <w:tr>
        <w:trPr>
          <w:trHeight w:val="258"/>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Income taxes paid (refunded)</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19,280</w:t>
            </w:r>
          </w:p>
        </w:tc>
        <w:tc>
          <w:tcPr>
            <w:tcW w:w="3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800" w:firstLine="8"/>
        <w:spacing w:after="0" w:line="273" w:lineRule="auto"/>
        <w:tabs>
          <w:tab w:leader="none" w:pos="2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Prior period amounts have been adjusted retrospectively to reflect the adoption of ASU 2016-18, </w:t>
      </w:r>
      <w:r>
        <w:rPr>
          <w:rFonts w:ascii="Arial" w:cs="Arial" w:eastAsia="Arial" w:hAnsi="Arial"/>
          <w:sz w:val="14"/>
          <w:szCs w:val="14"/>
          <w:i w:val="1"/>
          <w:iCs w:val="1"/>
          <w:color w:val="auto"/>
        </w:rPr>
        <w:t>Statement of Cash Flows (Topic 230): Restricted</w:t>
      </w:r>
      <w:r>
        <w:rPr>
          <w:rFonts w:ascii="Arial" w:cs="Arial" w:eastAsia="Arial" w:hAnsi="Arial"/>
          <w:sz w:val="14"/>
          <w:szCs w:val="14"/>
          <w:color w:val="auto"/>
        </w:rPr>
        <w:t xml:space="preserve"> </w:t>
      </w:r>
      <w:r>
        <w:rPr>
          <w:rFonts w:ascii="Arial" w:cs="Arial" w:eastAsia="Arial" w:hAnsi="Arial"/>
          <w:sz w:val="14"/>
          <w:szCs w:val="14"/>
          <w:i w:val="1"/>
          <w:iCs w:val="1"/>
          <w:color w:val="auto"/>
        </w:rPr>
        <w:t>Cash</w:t>
      </w:r>
      <w:r>
        <w:rPr>
          <w:rFonts w:ascii="Arial" w:cs="Arial" w:eastAsia="Arial" w:hAnsi="Arial"/>
          <w:sz w:val="14"/>
          <w:szCs w:val="14"/>
          <w:color w:val="auto"/>
        </w:rPr>
        <w:t>. Refer to Note 1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64" w:right="239" w:bottom="6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64" w:right="239" w:bottom="663"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Retained</w:t>
            </w: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
                <w:szCs w:val="2"/>
                <w:color w:val="auto"/>
              </w:rPr>
            </w:pPr>
          </w:p>
        </w:tc>
        <w:tc>
          <w:tcPr>
            <w:tcW w:w="10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Earnings/(Accumulated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0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7"/>
        </w:trPr>
        <w:tc>
          <w:tcPr>
            <w:tcW w:w="26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Balance, March 31, 2016</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103,765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1,038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1,088,628</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(303,388)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(166,997)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(37,896)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581,385</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67,303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67,303</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Change in cumulative foreign currency translation</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(9,086)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1"/>
              </w:rPr>
              <w:t>Net unrealized gain on available-for-sale securities,</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net of taxes</w:t>
            </w: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88,378</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88,378</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Tax benefit associated with stock awards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1,990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Issuance of restricted stock, net of forfeitures and</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1,738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w w:val="95"/>
              </w:rPr>
              <w:t>Settlement of 1.75% Convertible Notes Due 2016</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13,094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249,866</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249,997</w:t>
            </w: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Conversion of 1.00% Convertible Notes Due 2018</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18,332</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18,341</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Issuance of shares related to Social Point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color w:val="auto"/>
              </w:rPr>
              <w:t>57,327</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4"/>
                <w:szCs w:val="14"/>
                <w:color w:val="auto"/>
              </w:rPr>
              <w:t>57,342</w:t>
            </w:r>
          </w:p>
        </w:tc>
        <w:tc>
          <w:tcPr>
            <w:tcW w:w="0" w:type="dxa"/>
            <w:vAlign w:val="bottom"/>
          </w:tcPr>
          <w:p>
            <w:pPr>
              <w:spacing w:after="0"/>
              <w:rPr>
                <w:sz w:val="1"/>
                <w:szCs w:val="1"/>
                <w:color w:val="auto"/>
              </w:rPr>
            </w:pP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acquisition</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5"/>
              </w:rPr>
              <w:t>Net share settlement of restricted stock awards</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(51,750)</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(51,762)</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Balance, March 31, 2017</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119,813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1,452,754</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(303,388)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(99,694)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(47,142)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1,003,728</w:t>
            </w:r>
          </w:p>
        </w:tc>
        <w:tc>
          <w:tcPr>
            <w:tcW w:w="0" w:type="dxa"/>
            <w:vAlign w:val="bottom"/>
          </w:tcPr>
          <w:p>
            <w:pPr>
              <w:spacing w:after="0"/>
              <w:rPr>
                <w:sz w:val="1"/>
                <w:szCs w:val="1"/>
                <w:color w:val="auto"/>
              </w:rPr>
            </w:pPr>
          </w:p>
        </w:tc>
      </w:tr>
      <w:tr>
        <w:trPr>
          <w:trHeight w:val="25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173,533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173,533</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Change in cumulative foreign currency translation</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vMerge w:val="restart"/>
          </w:tcPr>
          <w:p>
            <w:pPr>
              <w:jc w:val="right"/>
              <w:ind w:right="52"/>
              <w:spacing w:after="0"/>
              <w:rPr>
                <w:sz w:val="20"/>
                <w:szCs w:val="20"/>
                <w:color w:val="auto"/>
              </w:rPr>
            </w:pPr>
            <w:r>
              <w:rPr>
                <w:rFonts w:ascii="Arial" w:cs="Arial" w:eastAsia="Arial" w:hAnsi="Arial"/>
                <w:sz w:val="14"/>
                <w:szCs w:val="14"/>
                <w:color w:val="auto"/>
              </w:rPr>
              <w:t>43,379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4"/>
                <w:szCs w:val="14"/>
                <w:color w:val="auto"/>
              </w:rPr>
              <w:t>43,379</w:t>
            </w:r>
          </w:p>
        </w:tc>
        <w:tc>
          <w:tcPr>
            <w:tcW w:w="0" w:type="dxa"/>
            <w:vAlign w:val="bottom"/>
          </w:tcPr>
          <w:p>
            <w:pPr>
              <w:spacing w:after="0"/>
              <w:rPr>
                <w:sz w:val="1"/>
                <w:szCs w:val="1"/>
                <w:color w:val="auto"/>
              </w:rPr>
            </w:pP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adjustment</w:t>
            </w: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1"/>
              </w:rPr>
              <w:t>Net unrealized gain on available-for-sale securities,</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of taxes</w:t>
            </w: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w w:val="90"/>
              </w:rPr>
              <w:t>Change in unrealized gains on cash flow hedge, net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(10,191)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293,214</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293,214</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Repurchased common stock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(154,792)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(154,792)</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Issuance of restricted stock, net of forfeitures and</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2,151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w w:val="93"/>
              </w:rPr>
              <w:t>Conversion of 1.00% Convertible Notes Due 2018</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12,082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254,963</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255,084</w:t>
            </w: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Net share settlement of restricted stock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(112,871)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(112,884)</w:t>
            </w:r>
          </w:p>
        </w:tc>
        <w:tc>
          <w:tcPr>
            <w:tcW w:w="0" w:type="dxa"/>
            <w:vAlign w:val="bottom"/>
          </w:tcPr>
          <w:p>
            <w:pPr>
              <w:spacing w:after="0"/>
              <w:rPr>
                <w:sz w:val="1"/>
                <w:szCs w:val="1"/>
                <w:color w:val="auto"/>
              </w:rPr>
            </w:pPr>
          </w:p>
        </w:tc>
      </w:tr>
      <w:tr>
        <w:trPr>
          <w:trHeight w:val="264"/>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Adoption of ASU 2016-09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Balance, March 31, 2018</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132,743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1,888,039</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(458,180)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73,516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(15,732)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1,488,970</w:t>
            </w:r>
          </w:p>
        </w:tc>
        <w:tc>
          <w:tcPr>
            <w:tcW w:w="0" w:type="dxa"/>
            <w:vAlign w:val="bottom"/>
          </w:tcPr>
          <w:p>
            <w:pPr>
              <w:spacing w:after="0"/>
              <w:rPr>
                <w:sz w:val="1"/>
                <w:szCs w:val="1"/>
                <w:color w:val="auto"/>
              </w:rPr>
            </w:pPr>
          </w:p>
        </w:tc>
      </w:tr>
      <w:tr>
        <w:trPr>
          <w:trHeight w:val="250"/>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333,837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333,837</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Change in cumulative foreign currency translation</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(33,456)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1"/>
              </w:rPr>
              <w:t>Net unrealized gain on available-for-sale securities,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52"/>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net of taxes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0"/>
              </w:rPr>
              <w:t>Change in unrealized gains on cash flow hedge, net</w:t>
            </w: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4,906</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219,460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219,460</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Issuance of restricted stock, net of forfeitures and</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2,345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cancellations</w:t>
            </w: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rPr>
              <w:t>Repurchased common stock</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(362,392)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(362,392)</w:t>
            </w: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Conversion of 1.00% Convertible Notes Due 2018</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8,112</w:t>
            </w:r>
          </w:p>
        </w:tc>
        <w:tc>
          <w:tcPr>
            <w:tcW w:w="0" w:type="dxa"/>
            <w:vAlign w:val="bottom"/>
          </w:tcPr>
          <w:p>
            <w:pPr>
              <w:spacing w:after="0"/>
              <w:rPr>
                <w:sz w:val="1"/>
                <w:szCs w:val="1"/>
                <w:color w:val="auto"/>
              </w:rPr>
            </w:pPr>
          </w:p>
        </w:tc>
      </w:tr>
      <w:tr>
        <w:trPr>
          <w:trHeight w:val="263"/>
        </w:trPr>
        <w:tc>
          <w:tcPr>
            <w:tcW w:w="2760" w:type="dxa"/>
            <w:vAlign w:val="bottom"/>
            <w:gridSpan w:val="2"/>
          </w:tcPr>
          <w:p>
            <w:pPr>
              <w:ind w:left="40"/>
              <w:spacing w:after="0"/>
              <w:rPr>
                <w:sz w:val="20"/>
                <w:szCs w:val="20"/>
                <w:color w:val="auto"/>
              </w:rPr>
            </w:pPr>
            <w:r>
              <w:rPr>
                <w:rFonts w:ascii="Arial" w:cs="Arial" w:eastAsia="Arial" w:hAnsi="Arial"/>
                <w:sz w:val="13"/>
                <w:szCs w:val="13"/>
                <w:color w:val="auto"/>
                <w:w w:val="99"/>
              </w:rPr>
              <w:t>Net share settlement of restricted stock awards</w:t>
            </w:r>
          </w:p>
        </w:tc>
        <w:tc>
          <w:tcPr>
            <w:tcW w:w="78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(101,284)</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(101,293)</w:t>
            </w:r>
          </w:p>
        </w:tc>
        <w:tc>
          <w:tcPr>
            <w:tcW w:w="0" w:type="dxa"/>
            <w:vAlign w:val="bottom"/>
          </w:tcPr>
          <w:p>
            <w:pPr>
              <w:spacing w:after="0"/>
              <w:rPr>
                <w:sz w:val="1"/>
                <w:szCs w:val="1"/>
                <w:color w:val="auto"/>
              </w:rPr>
            </w:pPr>
          </w:p>
        </w:tc>
      </w:tr>
      <w:tr>
        <w:trPr>
          <w:trHeight w:val="15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Impact from adoption of New Revenue</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4"/>
                <w:szCs w:val="14"/>
                <w:color w:val="auto"/>
              </w:rPr>
              <w:t>470,273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4,653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474,926</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Accounting Standard (Note 2)</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5,069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5,070</w:t>
            </w:r>
          </w:p>
        </w:tc>
        <w:tc>
          <w:tcPr>
            <w:tcW w:w="0" w:type="dxa"/>
            <w:vAlign w:val="bottom"/>
          </w:tcPr>
          <w:p>
            <w:pPr>
              <w:spacing w:after="0"/>
              <w:rPr>
                <w:sz w:val="1"/>
                <w:szCs w:val="1"/>
                <w:color w:val="auto"/>
              </w:rPr>
            </w:pPr>
          </w:p>
        </w:tc>
      </w:tr>
      <w:tr>
        <w:trPr>
          <w:trHeight w:val="23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March 31, 2019</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134,602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1,346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2,019,369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(820,572)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877,626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(37,189)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2,040,580</w:t>
            </w:r>
          </w:p>
        </w:tc>
        <w:tc>
          <w:tcPr>
            <w:tcW w:w="0" w:type="dxa"/>
            <w:vAlign w:val="bottom"/>
          </w:tcPr>
          <w:p>
            <w:pPr>
              <w:spacing w:after="0"/>
              <w:rPr>
                <w:sz w:val="1"/>
                <w:szCs w:val="1"/>
                <w:color w:val="auto"/>
              </w:rPr>
            </w:pPr>
          </w:p>
        </w:tc>
      </w:tr>
      <w:tr>
        <w:trPr>
          <w:trHeight w:val="20"/>
        </w:trPr>
        <w:tc>
          <w:tcPr>
            <w:tcW w:w="2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our two wholly-owned labels Rockstar Games and 2K, as well as our Private Division label and Social Point, a leading developer of mobile games. Our products are designed for console systems and personal computers, including smart phones and tablets, and are delivered through physical retail, digital download, online platforms and cloud streaming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wholly-owned subsidiaries. All inter-company balances and transactions have been eliminated in consolidation.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immaterial amounts in the financial statements of the prior years have been reclassified to conform to the current year presentation for comparative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assumptions that affect the reported amounts of assets and liabilities and the disclosure of contingent assets and liabilities at the dates of the financial statements and the reported amounts of net revenue and expenses during the reporting periods. Our most significant estimates and assumptions relate to revenue recognition (see Note 2 - Revenue from Contracts with Customers), the recoverability and amortization of software development costs and prepaid royalties, licenses, and intangible assets, the realization of deferred income taxes, the valuation of stock-based compensation, and assumptions used in our goodwill impairment tests. These estimates generally involve complex issues and require us to make judgments, involve analysis of historical and the prediction of future trends, and are subject to change from period to period. Actual amounts could differ significantly from these estimates. We consider transactions or events that occur after the balance sheet date, but before the financial statements are issued, to provide additional evidence relative to certain estimates or to identify matters that require additional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one operating and reportable segment. Our operations involve similar products and customers worldwide. Revenue earned is primarily derived from the sale of software titles, which are internally developed and developed by third parties. Our Chief Executive Officer, who is our Chief Operating Decision Maker ("CODM"), manages our operations on a consolidated basis--supplemented by sales information by product category, major product title, and platform--for the purpose of evaluating performance and allocating resources. Financial information about our one segment and geographic areas is included in Note 2 - Revenue from Contracts with Customers and Note 9 - Fixed Assets, Net.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Accounts Receivable</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maintain cash balances at several major financial institutions. While we attempt to limit credit exposure with any single institution, balances often exceed insurable amounts.</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 financial condition and operations of our customers deteriorate, our risk of collection could increase substantially. A majority of our trade receivables are derived from sales to major retailers and distributors. Our five largest customers accounted for 70.1% 70.7% and 65.5% of net revenue during the fiscal years ended March 31, 2019, 2018 and 2017, respectively. One customer accounted for 31.3%, 30.2% and 26.3% of net revenue during the fiscal years ended March 31, 2019, 2018, and 2017, respectively. A second customer accounted for 18.1%, 17.6%, and 14.2% of net revenue during the fiscal years ended March 31, 2019, 2018, and 2017 respectively. A third customer accounted for 10.5% of net revenue during the fiscal year ended March 31, 2019. As of March 31, 2019 and 2018, five customers accounted for 66.6% and 65.4% of our gross accounts receivable, respectively. Customers that individually accounted for more than 10% of our gross accounts receivable balance comprised 55.8% and 53.2% of such balances at March 31, 2019 and 2018, respectively. We had two customers who accounted for 40.1% and 15.7% of our gross accounts receivable as of March 31, 2019 and two customers who accounted for 37.7% and 15.5% of our gross accounts receivable as of March 31, 2018. We did not have any additional customers that exceeded 10% of our gross accounts receivable</w:t>
      </w:r>
    </w:p>
    <w:p>
      <w:pPr>
        <w:sectPr>
          <w:pgSz w:w="11900" w:h="16838" w:orient="portrait"/>
          <w:cols w:equalWidth="0" w:num="1">
            <w:col w:w="11420"/>
          </w:cols>
          <w:pgMar w:left="240" w:top="796"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96" w:right="239" w:bottom="1440" w:gutter="0" w:footer="0" w:header="0"/>
          <w:type w:val="continuous"/>
        </w:sectPr>
      </w:pPr>
    </w:p>
    <w:bookmarkStart w:id="63" w:name="page64"/>
    <w:bookmarkEnd w:id="63"/>
    <w:p>
      <w:pPr>
        <w:jc w:val="both"/>
        <w:spacing w:after="0" w:line="308" w:lineRule="auto"/>
        <w:rPr>
          <w:sz w:val="20"/>
          <w:szCs w:val="20"/>
          <w:color w:val="auto"/>
        </w:rPr>
      </w:pPr>
      <w:r>
        <w:rPr>
          <w:rFonts w:ascii="Arial" w:cs="Arial" w:eastAsia="Arial" w:hAnsi="Arial"/>
          <w:sz w:val="17"/>
          <w:szCs w:val="17"/>
          <w:color w:val="auto"/>
        </w:rPr>
        <w:t>as of March 31, 2019 and 2018. Based upon performing ongoing credit evaluations, maintaining trade credit insurance on a majority of our customers and our past collection experience, we believe that the receivable balances from these largest customers do not represent a significant credit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consider all highly liquid instruments purchased with original maturities of three months or less to be cash equivalents. Our restricted cash balance is primarily related to a dedicated account limited to the payment of certain internal royalty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Short-term investments designated as available-for-sale securities are carried at fair value, which is based on quoted market prices for such securities, if available, or is estimated on the basis of quoted market prices of financial instruments with similar characteristics. Investments with original maturities greater than 90 days and remaining maturities of less than one year are normally classified within Short-term investments on our Consolidated Balance Sheets. In addition, investments with maturities beyond one year at the time of purchase that are highly liquid in nature and represent the investment of cash that is available for current operations are classified as short-term investments.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Unrealized gains and losses of available-for-sale securities are excluded from earnings and are reported as a component of Other comprehensive income (loss), net of tax, until the security is sold, the security has matured, or we determine that the fair value of the security has declined below its adjusted cost basis and the decline is other-than-temporary. Realized gains and losses on short-term investments are calculated based on the specific identification method and would be reclassified from accumulated other comprehensive loss to interest and other, net.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Short-term investments are evaluated for impairment quarterly. We consider various factors in determining whether we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we conclude that an investment is other-than-temporarily impaired, it recognizes an impairment charge at that time in the Consolidated Statements of Operations. In determining whether the decline in fair value is other-than-temporary requires management judgment based on the specific facts and circumstances of each security. The ultimate value realized on these securities is subject to market price volatility until they are sold.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Inventory consists of materials, including manufacturing royalties paid to console manufacturers, and is stated at the lower of weighted average cost or net realizable value. Estimated product returns are included in the inventory balance at their cost. We regularly review inventory quantities on-hand and in the retail channels and record an inventory provision for excess or obsolete inventory based on the future expected demand for our products. Significant changes in demand for our products would affect management's estimates in establishing our inventory provision. We write down inventory based on excess or obsolete inventories determined primarily by future anticipated demand for our products. Inventory write-downs are measured as the difference between the cost of the inventory and market value, based upon assumptions about future demand that are inherently difficult to assess.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 and Licenses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Capitalized software development costs include direct costs incurred for internally developed titles and payments made to third-party software developers under development agreements.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capitalize internal software development costs (including specifically identifiable employee stock-based compensation, payroll expense, and incentive compensation costs related to the completion and release of titles, as well as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Technological feasibility is evaluated on a product-by-product basis.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enter into agreements with third-party developers that require us to make payments for game development and production services. In exchange for our payments, we receive the exclusive publishing and distribution rights to the finished game title as well as, in some cases, the underlying intellectual property rights. Such agreements typically allow us to fully recover these payments to the developers at an agreed upon royalty rate earned on the subsequent sales of such software, net of any agreed upon costs. Prior to establishing technological feasibility of a product, we record any costs incurred by third-party developers as research and development expenses. Subsequent to establishing technological feasibility of a product, we capitalize all development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19" w:right="239" w:bottom="1440" w:gutter="0" w:footer="0" w:header="0"/>
        </w:sectPr>
      </w:pPr>
    </w:p>
    <w:bookmarkStart w:id="64" w:name="page65"/>
    <w:bookmarkEnd w:id="64"/>
    <w:p>
      <w:pPr>
        <w:jc w:val="both"/>
        <w:spacing w:after="0" w:line="293" w:lineRule="auto"/>
        <w:rPr>
          <w:sz w:val="20"/>
          <w:szCs w:val="20"/>
          <w:color w:val="auto"/>
        </w:rPr>
      </w:pPr>
      <w:r>
        <w:rPr>
          <w:rFonts w:ascii="Arial" w:cs="Arial" w:eastAsia="Arial" w:hAnsi="Arial"/>
          <w:sz w:val="16"/>
          <w:szCs w:val="16"/>
          <w:color w:val="auto"/>
        </w:rPr>
        <w:t>and production service payments to third-party developers as software development costs and licenses. We typically enter into agreements with third-party developers after completing the technical design documentation for our products and therefore record the design costs leading up to a signed development contract as research and development expense. When we contract with third-party developers, we generally select those that have proven technology and experience in the genre of the software being developed, which often allows for the establishment of technological feasibility early in the development cycle. In instances where the documentation of the design and technology are not in place prior to an executed contract, we monitor the software development process and require our third-party developers to adhere to the same technological feasibility standards that apply to our internally developed products.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Amortization of capitalized software development costs and licenses commences when a product is available for general release and is recorded on a title-by-title basis in cost of goods sold.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For capitalized licenses, amortization is calculated as a ratio of (1) current period revenue to the total revenue expected to be recorded over the remaining estimated life of the title or (2) the contractual royalty rate based on actual net product sales as defined in the licensing agreement, whichever is greater. Amortization periods for our software products generally range from 12 to 36 months.</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the future recoverability of capitalized software development costs and licenses on a quarterly basis. Recoverability is primarily assessed based on the title's actual performance. For products that are scheduled to be released in the future, recoverability is evaluated based on the expected performance of the specific products to which the cost or license relates. We use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capitalized costs is charged to cost of goods sold in the period in which such determination is made.</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profit and unit sales based internal royalty programs that allow selected employees to participate in the success of software titles that they assist in developing. Royalties earned under this program are recorded as a component of Cost of goods sold in the period earned. Amounts earned and not yet paid are reflected within the software development royalties component of Accrued expenses and other current liabilities on our Consolidated Balance Sheets.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net</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The cost of additions and betterments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is the excess of purchase price paid over identified intangible and tangible net assets of acquired companies. Intangible assets consist of intellectual property, developed game technology, analytics technology, user base, trade names, and in-process research and development. Certain intangible assets acquired in a business combination are recognized as assets apart from goodwill.</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or combination of approaches, ultimately selected is based on the characteristics of the asset and the availability of information.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19" w:right="239" w:bottom="1440" w:gutter="0" w:footer="0" w:header="0"/>
        </w:sectPr>
      </w:pPr>
    </w:p>
    <w:bookmarkStart w:id="65" w:name="page66"/>
    <w:bookmarkEnd w:id="65"/>
    <w:p>
      <w:pPr>
        <w:jc w:val="both"/>
        <w:ind w:firstLine="648"/>
        <w:spacing w:after="0" w:line="257" w:lineRule="auto"/>
        <w:rPr>
          <w:sz w:val="20"/>
          <w:szCs w:val="20"/>
          <w:color w:val="auto"/>
        </w:rPr>
      </w:pPr>
      <w:r>
        <w:rPr>
          <w:rFonts w:ascii="Arial" w:cs="Arial" w:eastAsia="Arial" w:hAnsi="Arial"/>
          <w:sz w:val="18"/>
          <w:szCs w:val="18"/>
          <w:color w:val="auto"/>
        </w:rPr>
        <w:t>We test our goodwill for impairment annually, or more frequently if events and circumstances indicate the fair value of a reporting unit may be below its carrying amount. A reporting unit is defined as an operating segment or one level below an operating segment. We have determined that we operate in two reporting units, which are components of our operating segment. In the evaluation of goodwill for impairment, we have the option to first perform a qualitative assessment to determine if the fair value of a reporting unit is more likely than not (i.e., a likelihood of more than 50%) less than the carrying value before performing a quantitative impairment test.</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a qualitative assessment is not used, or if the qualitative assessment is not conclusive, a quantitative impairment analysis for goodwill is performed at the reporting unit level. The quantitative goodwill impairment test is used to identify potential impairment by comparing the fair value of a reporting unit with its carrying amount, including goodwill. If the carrying value exceeds the fair value, an impairment charge is recognized equal to the difference between the carrying value of the reporting unit and its fair value, considering the related income tax effect of any goodwill deductible for tax purposes.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performing the quantitative assessment, we measure the fair value of the reporting unit using a combination of the income and market approaches. The assessment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future economic and market conditions and the determination of appropriate, comparable market data. Our estimates for market growth are based on historical data, various internal estimates and observable external sources when available, and are based on assumptions that are consistent with the plans and estimates we use to manage the underlying business.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Consistent with prior years, we performed our annual impairment assessment process for goodwill in August 2018 and did not record any goodwill impairments. During the fiscal quarter ended March 31, 2019, we changed the measurement date for performing our annual goodwill impairment test from the beginning of August to the beginning of March. As a result, we performed an additional impairment test for our goodwill as of March 1, 2019 which did not result in any impairment of our goodwill. This voluntary change in accounting principle, applied prospectively, is preferable as it aligns the annual goodwill impairment test date more closely with our internal budgeting process and did not delay, accelerate, or avoid an impairment of our goodwill. Retrospective application to prior periods is impracticable as we are unable to objectively determine, without the use of hindsight, the assumptions that would be used in those earlier periods.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our annual impairment assessment process for goodwill, no impairments were recorded during the fiscal years ended March 31, 2019, 2018, or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review all long-lived assets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our incremental borrowing rate or fair value, if available. As of March 31, 2019, no indicators of impairment existed.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2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(loss) while the ineffective portion of the changes in fair value is recorded currently in earnings as interest and other, net in our Consolidated Statements of Operations. Amounts included in Accumulated other comprehensive income (loss) for cash flow hedges are reclassified into earnings in the same period that the hedged item is recognized in Cost of goods sold, Research and development expenses, or Interest and other, net, as appropriate.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19"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the differences are expected to reverse. The effect on deferred taxes of a change in tax rates is recognized in income in the period that includes the enactment.</w:t>
      </w:r>
    </w:p>
    <w:p>
      <w:pPr>
        <w:spacing w:after="0" w:line="3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Valuation allowances are established when we determine that it is more likely than not that such deferred tax assets will not be realized. We do not record income tax expense related to foreign withholding taxes or United States income taxes that may become payable upon the repatriation of undistributed earnings of foreign subsidiaries, as such earnings are expected to be reinvested indefinitely outside of the United States.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Act subjects a U.S. shareholder to current tax on GILTI earned by foreign subsidiaries. The FASB Staff Q&amp;A Topic No. 5, Accounting for Global Intangible Low-Taxed Income, states that an entity can make an accounting policy election either to recognize deferred taxes for temporary differences that are expected to reverse as GILTI in future years or provide for the tax expense related to GILTI resulting from those items in the year the tax is incurred. We have elected to recognize the resulting tax on GILTI as an expense in the period incurred.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Under the new standard, revenue is recognized when a customer obtains control of promised goods or services and is recognized in an amount that reflects the consideration that the entity expects to receive in exchange for those goods or services. On April 1, 2018, we adopted the new accounting standard and related amendments (the “New Revenue Accounting Standard”) using the modified retrospective method. Refer to the Recently Adopted Accounting Pronouncements section below for the impact of adoption on our Consolidated Financial Statements. Refer to Note 1 to our Consolidated Financial Statements in our Annual Report on Form 10-K for the fiscal year ended March 31, 2018 for our revenue recognition accounting policy as it relates to revenue transactions prior to April 1, 2018.</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derive revenue primarily from the sale of our interactive entertainment content, principally for console gaming systems such as the Sony Computer Entertainment, Inc. ("Sony") PlayStation®4 ("PS4") and Microsoft Corporation ("Microsoft") Xbox One® ("Xbox One"), and personal computers ("PC"), including smartphones and tablets. Our interactive entertainment content consists of full game software products that may contain offline gameplay, online gameplay, or a 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by:</w:t>
      </w:r>
    </w:p>
    <w:p>
      <w:pPr>
        <w:spacing w:after="0" w:line="1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the contract, or contracts, with the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allocating the transaction price to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have been transferred to our customers.</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19" w:right="239" w:bottom="1440" w:gutter="0" w:footer="0" w:header="0"/>
        </w:sectPr>
      </w:pPr>
    </w:p>
    <w:bookmarkStart w:id="67" w:name="page68"/>
    <w:bookmarkEnd w:id="67"/>
    <w:p>
      <w:pPr>
        <w:jc w:val="both"/>
        <w:spacing w:after="0" w:line="293" w:lineRule="auto"/>
        <w:rPr>
          <w:sz w:val="20"/>
          <w:szCs w:val="20"/>
          <w:color w:val="auto"/>
        </w:rPr>
      </w:pPr>
      <w:r>
        <w:rPr>
          <w:rFonts w:ascii="Arial" w:cs="Arial" w:eastAsia="Arial" w:hAnsi="Arial"/>
          <w:sz w:val="16"/>
          <w:szCs w:val="16"/>
          <w:color w:val="auto"/>
        </w:rPr>
        <w:t>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sales of our full game software products, certain of our software products provide customers with the option to acquire virtual currency or make in-game purchases. Revenue from the sale of virtual currency and in-game purchases is deferred and recognized ratably over an estimated service period.</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Determining the estimated sell-through period is subjective and requires significant management judgment and estimates.</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some of our software products are sold as digital downloads. Revenue from digital downloads generally commences when the download is made available to the end user by a third-party digital storefront.</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payment terms and conditions vary by customer and typically provide net 30 to 60 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 Contract assets are recorded within Prepaid expenses and other on our Consolidated Balance Sheet.</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allowance for doubtful accounts are typically immaterial and, if required, are based on our best estimate of probable losses inherent in our accounts receivable balance.</w:t>
      </w:r>
    </w:p>
    <w:p>
      <w:pPr>
        <w:spacing w:after="0" w:line="8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Deferred revenue is comprised primarily of unsatisfied revenue related to the portion of the transaction price allocable to game related services of our full game software products. These sales are typically invoiced at the beginning of the contract period, and revenue is recognized ratably over the estimated service period. Deferred revenue may also include amounts related to software products with future street dates.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8" w:name="page69"/>
    <w:bookmarkEnd w:id="68"/>
    <w:p>
      <w:pPr>
        <w:ind w:right="700" w:firstLine="648"/>
        <w:spacing w:after="0" w:line="407" w:lineRule="auto"/>
        <w:rPr>
          <w:sz w:val="20"/>
          <w:szCs w:val="20"/>
          <w:color w:val="auto"/>
        </w:rPr>
      </w:pPr>
      <w:r>
        <w:rPr>
          <w:rFonts w:ascii="Arial" w:cs="Arial" w:eastAsia="Arial" w:hAnsi="Arial"/>
          <w:sz w:val="18"/>
          <w:szCs w:val="18"/>
          <w:color w:val="auto"/>
        </w:rPr>
        <w:t xml:space="preserve">Refer to Note 2 - Revenue from Contracts with Customers for further information, including changes in deferred revenue during the period. </w:t>
      </w:r>
      <w:r>
        <w:rPr>
          <w:rFonts w:ascii="Arial" w:cs="Arial" w:eastAsia="Arial" w:hAnsi="Arial"/>
          <w:sz w:val="18"/>
          <w:szCs w:val="18"/>
          <w:i w:val="1"/>
          <w:iCs w:val="1"/>
          <w:color w:val="auto"/>
        </w:rPr>
        <w:t>Principal Agent Considerations</w:t>
      </w:r>
    </w:p>
    <w:p>
      <w:pPr>
        <w:jc w:val="both"/>
        <w:ind w:firstLine="648"/>
        <w:spacing w:after="0" w:line="297" w:lineRule="auto"/>
        <w:rPr>
          <w:sz w:val="20"/>
          <w:szCs w:val="20"/>
          <w:color w:val="auto"/>
        </w:rPr>
      </w:pPr>
      <w:r>
        <w:rPr>
          <w:rFonts w:ascii="Arial" w:cs="Arial" w:eastAsia="Arial" w:hAnsi="Arial"/>
          <w:sz w:val="16"/>
          <w:szCs w:val="16"/>
          <w:color w:val="auto"/>
        </w:rPr>
        <w:t>We offer certain software products via third party digital storefronts, such as Microsoft’s Xbox Live, Sony’s PlayStation Network, Valve's Steam, Apple's App Store, and the Google Play Store. For sales of our software products via third 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7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and Valve's Steam,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goods sold.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14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Shipping and handling costs are incurred to move physical software products to customers. We recognize all shipping and handling costs as an expense in Cost of goods sold because we are responsible for delivery of the product to our customers prior to transfer of control to the customer.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Service Period</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and last days played online.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9 and 15 months depending on the software product.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with Multiple Performance Obligations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Price Protection and Allowances for Returns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contract inception and at each subsequent reporting period, we make estimates of future price protection and product returns related to current period software product revenue. We estimate the amount of future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0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Revenue is recognized after deducting the estimated price protection and allowances for returns, which are accounted for as variable consideration. Price protection and allowances for returns are considered refund liabilities and are reported within Accrued expenses and other current liabilities on our Consolidated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Incentives</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 and are considered refund liabilities, which are reported within Accrued expenses and other current liabilities in our Consolidated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management judgment and estimates must be used in connection with many of the determinations described above, such as estimating the fair value allocation to distinct and separable performance obligations, the service period over which to defer recognition of revenue, the time it takes our physical products to sell-through to end users, and the amounts of future price protection and allowance for returns.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8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expense advertising costs as incurred. Advertising expense for the fiscal years ended March 31, 2019, 2018 and 2017 amounted to $249,315, $140,618 and $173,947, respectively, and are included in "Selling and marketing expense" in our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stock-based compensation plans that are broad-based long-term retention programs intended to attract and retain talented employees and align stockholder and employee interests, which allows for awards of restricted stock, restricted stock units and other stock-based awards of our common stock to employees and non-employees. Our plans include time-based, market-based, and performance-based awards of our common stock to employees and non-employees.</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 for time-based stock awards and on an accelerated attribution method for market-based and performance-based stock awards.</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estimate the fair value of time-based awards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performance-based shares, we do not record expense until the performance criteria are considered probable.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recorded net of forfeitures as they occur.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Earnings (loss) per Share ("EPS")</w:t>
      </w:r>
    </w:p>
    <w:p>
      <w:pPr>
        <w:spacing w:after="0" w:line="28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Basic EPS is computed by dividing the net income (loss) applicable to common stockholders for the period by the weighted average number of shares of common stock outstanding during the same period. Diluted EPS is computed by dividing the net income (loss) applicable to common stockholders for the period by the weighted average number of shares of common stock and common stock equivalents outstanding.</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unvested stock-based awards are considered participating securities since these securities have non-forfeitable rights to dividends or dividend equivalents during the contractual period of the award, and thus require the two-class method of computing EPS. The calculation of EPS for common stock under the two-class method excludes the income attributable to the participating securities from the numerator and excludes the dilutive effect of those awards from the denominator.</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common stock equivalents as unvested stock-based awards and common stock underlying our Convertible Notes (see Note 12 - Debt) outstanding during the period. Common stock equivalents are measured using the treasury stock method, and common stock equivalents underlying the Convertible Notes are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 However, potential common shares are not included in the denominator of the diluted earnings (loss) per share calculation when inclusion of such shares would be anti-dilutive, such as in a period in which a net loss is recorded.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income (loss). Realized and unrealized transaction gains and losses are included in our Consolidated Statements of Operations in the period in which they occur.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owners and distributions to owners. Accumulated other comprehensive income (loss) includes foreign currency translation adjustments, which relate to investments that are permanent in nature and therefore do not require tax adjustments, and the amounts for unrealized gains (losses), net on derivative instruments designated as cash flow hedges, as well as any associated tax impact, and available for sale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Implementation Costs Incurred in a Cloud Computing Arrangement</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2018-15: </w:t>
      </w:r>
      <w:r>
        <w:rPr>
          <w:rFonts w:ascii="Arial" w:cs="Arial" w:eastAsia="Arial" w:hAnsi="Arial"/>
          <w:sz w:val="18"/>
          <w:szCs w:val="18"/>
          <w:i w:val="1"/>
          <w:iCs w:val="1"/>
          <w:color w:val="auto"/>
        </w:rPr>
        <w:t>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 Internal-Use Software - (Subtopic 350-40): Customer’s Accounting for Implementation Costs Incurred in a Cloud Computing Arrangement That Is a Service Contract. </w:t>
      </w:r>
      <w:r>
        <w:rPr>
          <w:rFonts w:ascii="Arial" w:cs="Arial" w:eastAsia="Arial" w:hAnsi="Arial"/>
          <w:sz w:val="18"/>
          <w:szCs w:val="18"/>
          <w:color w:val="auto"/>
        </w:rPr>
        <w:t>This ASU aligns the requirements for capitalizing implementation costs incurred in a hosting arrangement that is a service contract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to develop or obtain internal-use software. The standard is effective for fiscal years beginning December 15, 2019 (April 1, 2020 for the Company), with early adoption permitted. ASU 2018-15 is required to be applied either retrospectively or prospectively to all implementation costs after the date of adoption. We early adopted this update effective July 1, 2018 as the standard aligns with how we are currently accounting for implementation costs incurred in a cloud computing arrangement. The adoption did not have an impact on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Restricted Cash</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ASU amends the presentation of restricted cash within the statement of cash flows by requiring that restricted cash and restricted cash equivalents be included within cash and cash equivalents when reconciling the beginning-of-period and end-of-period total amounts. This standard is effective for fiscal years beginning after December 15, 2017 (April 1, 2018 for the Company), including interim periods within those fiscal years.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adopted the new standard during the first quarter of fiscal 2019 and applied the standard retrospectively for all periods presented. The application of this new standard resulted in a decrease of $128,063, a decrease of $99,580, and an increase of $76,474 of net cash from operating activities on our Consolidated Statements of Cash Flows for the twelve months ended March 31, 2019, 2018, and 2017, respectively.</w:t>
      </w:r>
    </w:p>
    <w:p>
      <w:pPr>
        <w:sectPr>
          <w:pgSz w:w="11900" w:h="16838" w:orient="portrait"/>
          <w:cols w:equalWidth="0" w:num="1">
            <w:col w:w="11420"/>
          </w:cols>
          <w:pgMar w:left="240" w:top="71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715"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Accounting for Stock Compensation</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guidance aligns the accounting for share-based payment transactions with non-employees to accounting for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with employees. Companies are required to record a cumulative-effect adjustment (net of tax) to retained earnings as of the beginning of the fiscal year of the adoption. Upon transition, non-employee awards are required to be measured at fair value as of the adoption date. This standard will be effective for fiscal years beginning December 15, 2018 (April 1, 2019 for the Company), including interim periods within those fiscal years. Early adoption is permitted.</w:t>
      </w:r>
    </w:p>
    <w:p>
      <w:pPr>
        <w:spacing w:after="0" w:line="1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early adopted this update effective April 1, 2018 to simplify the accounting for non-employee stock-based awards so that it is better aligned with the current guidance for employee stock-based awards. The application of this new standard did not have a significant impact to our Consolidated Financial Statements for the fiscal year ended March 31, 2019, as our last re-measurement date for non-employee awards was March 31, 2018. The adoption of this ASU results in a change to our accounting policy for non-employee stock-based awards.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This new guidance identifies areas for simplification involving several aspects of accounting for share-based payment transactions,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consequences, classification of awards as either equity or liabilities, an option to recognize gross stock compensation expense with actual forfeitures recognized as they occur, as well as certain classifications on the statement of cash flows.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adopted this update effective April 1, 2017. Upon adoption, using the modified retrospective transition method, we recognized previously unrecognized excess tax benefits as a deferred tax asset, which was fully offset by a valuation allowance, resulting in no net impact to retained earnings. Without the valuation allowance, upon adoption, our deferred tax asset would have increased by $24,594. We elected to apply the change in presentation of excess tax benefits as an operating activity in the Consolidated Statement of Cash Flows prospectively and thus no prior periods were adjusted. We also elected to account for forfeitures as they occur using the modified retrospective transition method, which resulted in a cumulative effect adjustment of $323 to retained earnings (an increase in the accumulated deficit). During the fiscal year ended March 31, 2019 and 2018, we recognized $13,340 and $53,169, respectively, of excess tax benefits on stock-based compensation in our Consolidated Statement of Operations as a result of adopting this update. The other aspects of the new guidance did not have a material effect on our Consolidated Financial Statements.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Goodwill</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w:t>
      </w:r>
      <w:r>
        <w:rPr>
          <w:rFonts w:ascii="Arial" w:cs="Arial" w:eastAsia="Arial" w:hAnsi="Arial"/>
          <w:sz w:val="17"/>
          <w:szCs w:val="17"/>
          <w:color w:val="auto"/>
        </w:rPr>
        <w:t>. This ASU eliminates Step 2 from the goodwill impairment test. Under the new guidance, an entity should perform its annual or interim goodwill impairment test by comparing the fair value of a reporting unit with its carrying amount and recognize an impairment charge for the amount by which the carrying amount exceeds the reporting unit’s fair value. Additionally, this ASU eliminates the requirements for any reporting unit with a zero or negative carrying amount to perform a qualitative assessment and, if it fails that qualitative test, to perform Step 2 of the goodwill impairment test. The amendments in this ASU are effective for fiscal years beginning after December 15, 2019 (April 1, 2020 for the Company), including interim periods within those fiscal years, and are applied on a prospective basis. Early adoption is permitted for interim or annual goodwill impairment tests performed on testing dates after January 1, 2017. We early adopted this update effective April 1, 2018. The adoption did not have an impact on our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noted in our Revenue Recognition accounting policy above, we adopted the New Revenue Accounting Standard effective April 1,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Adopting New Revenue Accounting Standard</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We elected to apply the New Revenue Accounting Standard only to contracts not completed as of the adoption date. For contracts that were modified before the date of adoption, we elected to reflect the aggregate effect of all modifications when (i) identifying the satisfied and unsatisfied performance obligations, (ii) determining the transaction price, and (iii) allocating the transaction price to the satisfied and unsatisfied performance obligations. We recognized the cumulative effect of initially applying the New Revenue Accounting Standard as an adjustment to the opening balance of retained earnings, net of tax. The comparative information has not been restated and continues to be reported under the accounting standards in effect for those periods. The cumulative effect adjustment recorded to our retained earnings was $470,273, net of tax.</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19"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The most significant impacts of adopting the New Revenue Accounting Standard are:</w:t>
      </w:r>
    </w:p>
    <w:p>
      <w:pPr>
        <w:spacing w:after="0" w:line="225" w:lineRule="exact"/>
        <w:rPr>
          <w:sz w:val="20"/>
          <w:szCs w:val="20"/>
          <w:color w:val="auto"/>
        </w:rPr>
      </w:pPr>
    </w:p>
    <w:p>
      <w:pPr>
        <w:jc w:val="both"/>
        <w:ind w:left="660" w:hanging="328"/>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elimination of the requirement for vendor-specific objective evidence (“VSOE”) of fair value for software products that offer offline gameplay functionality and benefit from meaningful game related services which may include online functionality that is dependent on our online support services and/or additional free content updates. Under the prior revenue accounting guidance, for software products with multiple deliverables for which we did not have VSOE for our game related service deliverables, we recognized revenue ratably over an estimated service period that was based on game life. Under the New Revenue Accounting Standard, we allocate the sales price and recognize revenue for the offline software upon delivery and the remainder over an estimated service period, which represents a player's typical user life (see below). Upon adoption, this difference in accounting primarily affected revenue recognition from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where the majority of the sales price was allocated to the offline software and recognized upon transfer of control to our customers, and the remaining amounts allocated to the game related service performance obligation and recognized over the estimated service period.</w:t>
      </w:r>
    </w:p>
    <w:p>
      <w:pPr>
        <w:spacing w:after="0" w:line="16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performance obligations that are satisfied over time, we have determined that the estimated service period is the time period in which an average user plays our software products (“user life”) which faithfully depicts the timing of satisfying our performance obligation. Previously, our estimated service period was based on the economic game life.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New Revenue Accounting Standard, we are able to recognize revenue to the extent it is probable that a significant reversal will not occur even if we do not have a right to invoice as of the reporting date. Contract assets are classified within Prepaid expenses and other on the Consolidated Balance Sheet.</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classification of allowances for estimated price protection, reserves for returns and other allowances as refund liabilities. Such allowances were previously recorded as contra-Accounts receivable and now are classified within Accrued expenses and other current liabilities on the Consolidated Balance Sheet.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adopting the New Revenue Accounting Standard the following adjustments were made to our Consolidated Balance Sheet at April 1, 2018, which also reflect the changes related to income tax accounts included in Prepaid expenses and other, Other assets, Accrued expenses and other current liabilities, and Other long-term liabilities:</w:t>
      </w: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April 1, 2018</w:t>
            </w:r>
          </w:p>
        </w:tc>
      </w:tr>
      <w:tr>
        <w:trPr>
          <w:trHeight w:val="27"/>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247,649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53,940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301,589</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Software development costs and licenses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22,188</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Deferred cost of goods sold</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117,851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(89,867)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27,984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167,074</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Deferred cost of goods sold, net of current portion</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26,719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1,032</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56,360</w:t>
            </w:r>
          </w:p>
        </w:tc>
      </w:tr>
      <w:tr>
        <w:trPr>
          <w:trHeight w:val="32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914,748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69,678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984,426</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547,008</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Non-current deferred revenue</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355,589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(336,456)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19,133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192,621</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73,516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470,273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543,789</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r>
      <w:tr>
        <w:trPr>
          <w:trHeight w:val="27"/>
        </w:trPr>
        <w:tc>
          <w:tcPr>
            <w:tcW w:w="5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Fair Value Measurement</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the disclosure requirements on fair value measurements by removing, modifying, or adding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disclosures. ASU 2018-13 is effective for fiscal years, and interim periods within those fiscal years, beginning December 15, 2019 (April 1, 2020 for the Company), with early adoption permitted. Certain</w:t>
      </w:r>
    </w:p>
    <w:p>
      <w:pPr>
        <w:sectPr>
          <w:pgSz w:w="11900" w:h="16838" w:orient="portrait"/>
          <w:cols w:equalWidth="0" w:num="1">
            <w:col w:w="11420"/>
          </w:cols>
          <w:pgMar w:left="240" w:top="584"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84" w:right="239" w:bottom="1440" w:gutter="0" w:footer="0" w:header="0"/>
          <w:type w:val="continuous"/>
        </w:sectPr>
      </w:pPr>
    </w:p>
    <w:bookmarkStart w:id="73" w:name="page74"/>
    <w:bookmarkEnd w:id="73"/>
    <w:p>
      <w:pPr>
        <w:jc w:val="both"/>
        <w:ind w:right="20"/>
        <w:spacing w:after="0" w:line="277" w:lineRule="auto"/>
        <w:rPr>
          <w:sz w:val="20"/>
          <w:szCs w:val="20"/>
          <w:color w:val="auto"/>
        </w:rPr>
      </w:pPr>
      <w:r>
        <w:rPr>
          <w:rFonts w:ascii="Arial" w:cs="Arial" w:eastAsia="Arial" w:hAnsi="Arial"/>
          <w:sz w:val="18"/>
          <w:szCs w:val="18"/>
          <w:color w:val="auto"/>
        </w:rPr>
        <w:t>disclosures in ASU 2018-13 are required to be applied on a retrospective basis and others on a prospective basis. We are currently evaluating the potential impact of adopting this guidance on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2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This new guidance requires lessees to recognize a right-of-use asset and a lease liability for virtually all leases (other than leases that meet the definition of a short-term lease). The liability will be equal to the present value of committed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This update is effective for annual periods, and interim periods within those years, beginning after December 15, 2018 (April 1, 2019 for the Company). We will adopt the new guidance using a modified retrospective approach whereby lessees and lessors are required to recognize and measure leases at the beginning of the earliest period presented. While we are still evaluating the effect that ASU 2016-02 will have on our Consolidated Balance Sheet, we expect that assets and liabilities will increase materially when operating leases are recorded on our Consolidated Balance Sheets under the new standard. Our current operating lease portfolio primarily includes leases related to real estate. See Note 14 - Commitments and Contingencies for a summary of our undiscounted future minimum lease payments under non-cancellable operating leases as of March 31, 2019.</w:t>
      </w:r>
    </w:p>
    <w:p>
      <w:pPr>
        <w:spacing w:after="0" w:line="88" w:lineRule="exact"/>
        <w:rPr>
          <w:sz w:val="20"/>
          <w:szCs w:val="20"/>
          <w:color w:val="auto"/>
        </w:rPr>
      </w:pPr>
    </w:p>
    <w:p>
      <w:pPr>
        <w:ind w:right="6840" w:firstLine="8"/>
        <w:spacing w:after="0" w:line="503"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Impacts on financial statement line items</w:t>
      </w:r>
    </w:p>
    <w:p>
      <w:pPr>
        <w:spacing w:after="0" w:line="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adoption of the New Revenue Accounting Standard had the following impact on our Consolidated Statement of Operations for the twelve months ended March 31,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Amounts without adoption</w:t>
            </w:r>
          </w:p>
        </w:tc>
        <w:tc>
          <w:tcPr>
            <w:tcW w:w="12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Increase (decrease) due to</w:t>
            </w: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of New Revenue</w:t>
            </w:r>
          </w:p>
        </w:tc>
        <w:tc>
          <w:tcPr>
            <w:tcW w:w="12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adoption of New Revenue</w:t>
            </w:r>
          </w:p>
        </w:tc>
      </w:tr>
      <w:tr>
        <w:trPr>
          <w:trHeight w:val="234"/>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Amounts as reported</w:t>
            </w:r>
          </w:p>
        </w:tc>
        <w:tc>
          <w:tcPr>
            <w:tcW w:w="180" w:type="dxa"/>
            <w:vAlign w:val="bottom"/>
          </w:tcPr>
          <w:p>
            <w:pPr>
              <w:spacing w:after="0"/>
              <w:rPr>
                <w:sz w:val="20"/>
                <w:szCs w:val="20"/>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Accounting Standard</w:t>
            </w:r>
          </w:p>
        </w:tc>
        <w:tc>
          <w:tcPr>
            <w:tcW w:w="120" w:type="dxa"/>
            <w:vAlign w:val="bottom"/>
          </w:tcPr>
          <w:p>
            <w:pPr>
              <w:spacing w:after="0"/>
              <w:rPr>
                <w:sz w:val="20"/>
                <w:szCs w:val="20"/>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Accounting Standard</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741,246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1,523,644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1,218,056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305,588</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435,658</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391,400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391,400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Business reorganization</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938,078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938,078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435,658</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433,475</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103,730</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333,837</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329,745</w:t>
            </w:r>
          </w:p>
        </w:tc>
      </w:tr>
      <w:tr>
        <w:trPr>
          <w:trHeight w:val="67"/>
        </w:trPr>
        <w:tc>
          <w:tcPr>
            <w:tcW w:w="3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r>
      <w:tr>
        <w:trPr>
          <w:trHeight w:val="231"/>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675"/>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color w:val="auto"/>
        </w:rPr>
        <w:t>Our adoption of the New Revenue Accounting Standard had the following impact on our Consolidated Balance Sheet as of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Amounts without</w:t>
            </w: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Increase (decrease)</w:t>
            </w:r>
          </w:p>
        </w:tc>
      </w:tr>
      <w:tr>
        <w:trPr>
          <w:trHeight w:val="216"/>
        </w:trPr>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adoption of New</w:t>
            </w: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due to adoption of</w:t>
            </w:r>
          </w:p>
        </w:tc>
      </w:tr>
      <w:tr>
        <w:trPr>
          <w:trHeight w:val="216"/>
        </w:trPr>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Revenue Accounting</w:t>
            </w: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New Revenue</w:t>
            </w:r>
          </w:p>
        </w:tc>
      </w:tr>
      <w:tr>
        <w:trPr>
          <w:trHeight w:val="234"/>
        </w:trPr>
        <w:tc>
          <w:tcPr>
            <w:tcW w:w="574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Amounts as reported</w:t>
            </w:r>
          </w:p>
        </w:tc>
        <w:tc>
          <w:tcPr>
            <w:tcW w:w="1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Standard</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Accounting Standard</w:t>
            </w:r>
          </w:p>
        </w:tc>
      </w:tr>
      <w:tr>
        <w:trPr>
          <w:trHeight w:val="27"/>
        </w:trPr>
        <w:tc>
          <w:tcPr>
            <w:tcW w:w="5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395,729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330,448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65,281</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licenses</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(10,311)</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Deferred cost of goods sold</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176,802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(124,935)</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Software development costs and licenses, net of current portion</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603,436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777,238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(173,802)</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cost of goods sold, net of current portion</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(74,891)</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134,732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157,741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(23,009)</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4"/>
        </w:trPr>
        <w:tc>
          <w:tcPr>
            <w:tcW w:w="5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843,302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1,445,936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(602,634)</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deferred revenue</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(656,090)</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229,633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202,721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26,912</w:t>
            </w:r>
          </w:p>
        </w:tc>
      </w:tr>
      <w:tr>
        <w:trPr>
          <w:trHeight w:val="27"/>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800,018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(5,277)</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adoption of the New Revenue Accounting Standard accelerated the revenue recognition of prior period game sales into retained earnings, which resulted in increased cash taxes paid on our Consolidated Statement of Cash Flows for the fiscal year ending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 revenue is primarily comprised of the portion of revenue from software products that is recognized when the customer takes control of the product (i.e. upon delivery of the software product).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Service and other revenue is primarily comprised of revenue from our software products that include game related services, or separate virtual currency transactions, and in-game purchases, which are recognized over an estimated service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Net revenue by product revenue and service and other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Twelve Months Ended</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31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revenue recognized</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Service and other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1,319,033</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1,349,361</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2,668,394</w:t>
            </w: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8"/>
          <w:szCs w:val="8"/>
          <w:color w:val="auto"/>
        </w:rPr>
      </w:pPr>
      <w:r>
        <w:rPr>
          <w:rFonts w:ascii="Arial" w:cs="Arial" w:eastAsia="Arial" w:hAnsi="Arial"/>
          <w:sz w:val="13"/>
          <w:szCs w:val="13"/>
          <w:color w:val="auto"/>
        </w:rPr>
        <w:t>Disaggregated revenue category added as a result of adoption of ASC 606. As we used the modified retrospective method in adopting ASC 606, no comparative periods are presented.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game and other revenue</w:t>
      </w:r>
    </w:p>
    <w:p>
      <w:pPr>
        <w:spacing w:after="0" w:line="1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Recurrent consumer spending revenue</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Recurrent consumer spending revenue is generated from ongoing consumer engagement and includes revenue from virtual currency, add-on content, and in-game purchases.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full game and other revenue and recurrent consumer spending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Twelve Months Ended</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31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revenue recognized</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Full game and other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1,597,478</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5"/>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Recurrent consumer spending</w:t>
            </w:r>
          </w:p>
        </w:tc>
        <w:tc>
          <w:tcPr>
            <w:tcW w:w="1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1,070,916</w:t>
            </w:r>
          </w:p>
        </w:tc>
      </w:tr>
      <w:tr>
        <w:trPr>
          <w:trHeight w:val="237"/>
        </w:trPr>
        <w:tc>
          <w:tcPr>
            <w:tcW w:w="3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2,668,394</w:t>
            </w: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8"/>
          <w:szCs w:val="8"/>
          <w:color w:val="auto"/>
        </w:rPr>
      </w:pPr>
      <w:r>
        <w:rPr>
          <w:rFonts w:ascii="Arial" w:cs="Arial" w:eastAsia="Arial" w:hAnsi="Arial"/>
          <w:sz w:val="13"/>
          <w:szCs w:val="13"/>
          <w:color w:val="auto"/>
        </w:rPr>
        <w:t>Disaggregated revenue category added as a result of adoption of ASC 606. As we used the modified retrospective method in adopting ASC 606, no comparative periods are presented.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Twelve Months Ended March 31,</w:t>
            </w:r>
          </w:p>
        </w:tc>
        <w:tc>
          <w:tcPr>
            <w:tcW w:w="13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(1)</w:t>
            </w:r>
          </w:p>
        </w:tc>
      </w:tr>
      <w:tr>
        <w:trPr>
          <w:trHeight w:val="24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 recognized: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1,426,906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1,052,313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999,128</w:t>
            </w: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1,241,488</w:t>
            </w: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740,579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780,620</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2,668,394</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1,792,892</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1,779,748</w:t>
            </w:r>
          </w:p>
        </w:tc>
      </w:tr>
      <w:tr>
        <w:trPr>
          <w:trHeight w:val="27"/>
        </w:trPr>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20" w:firstLine="8"/>
        <w:spacing w:after="0" w:line="273" w:lineRule="auto"/>
        <w:tabs>
          <w:tab w:leader="none" w:pos="127" w:val="left"/>
        </w:tabs>
        <w:numPr>
          <w:ilvl w:val="0"/>
          <w:numId w:val="22"/>
        </w:numPr>
        <w:rPr>
          <w:rFonts w:ascii="Arial" w:cs="Arial" w:eastAsia="Arial" w:hAnsi="Arial"/>
          <w:sz w:val="9"/>
          <w:szCs w:val="9"/>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4"/>
          </w:tcPr>
          <w:p>
            <w:pPr>
              <w:ind w:left="660"/>
              <w:spacing w:after="0"/>
              <w:rPr>
                <w:sz w:val="20"/>
                <w:szCs w:val="20"/>
                <w:color w:val="auto"/>
              </w:rPr>
            </w:pPr>
            <w:r>
              <w:rPr>
                <w:rFonts w:ascii="Arial" w:cs="Arial" w:eastAsia="Arial" w:hAnsi="Arial"/>
                <w:sz w:val="18"/>
                <w:szCs w:val="18"/>
                <w:color w:val="auto"/>
              </w:rPr>
              <w:t>Net revenue by platform was as follows: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13"/>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Twelve Months Ended March 31,</w:t>
            </w:r>
          </w:p>
        </w:tc>
        <w:tc>
          <w:tcPr>
            <w:tcW w:w="1340" w:type="dxa"/>
            <w:vAlign w:val="bottom"/>
          </w:tcPr>
          <w:p>
            <w:pPr>
              <w:spacing w:after="0"/>
              <w:rPr>
                <w:sz w:val="24"/>
                <w:szCs w:val="24"/>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(1)</w:t>
            </w:r>
          </w:p>
        </w:tc>
      </w:tr>
      <w:tr>
        <w:trPr>
          <w:trHeight w:val="244"/>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 recognized: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Console</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2,233,861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1,463,306</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1,440,724</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PC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434,533</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329,586</w:t>
            </w:r>
          </w:p>
        </w:tc>
        <w:tc>
          <w:tcPr>
            <w:tcW w:w="5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339,024</w:t>
            </w:r>
          </w:p>
        </w:tc>
      </w:tr>
      <w:tr>
        <w:trPr>
          <w:trHeight w:val="237"/>
        </w:trPr>
        <w:tc>
          <w:tcPr>
            <w:tcW w:w="2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2,668,394</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1,792,892</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1,779,748</w:t>
            </w: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20" w:firstLine="8"/>
        <w:spacing w:after="0" w:line="273" w:lineRule="auto"/>
        <w:tabs>
          <w:tab w:leader="none" w:pos="127" w:val="left"/>
        </w:tabs>
        <w:numPr>
          <w:ilvl w:val="0"/>
          <w:numId w:val="23"/>
        </w:numPr>
        <w:rPr>
          <w:rFonts w:ascii="Arial" w:cs="Arial" w:eastAsia="Arial" w:hAnsi="Arial"/>
          <w:sz w:val="9"/>
          <w:szCs w:val="9"/>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distribution channel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Twelve Months Ended March 31,</w:t>
            </w:r>
          </w:p>
        </w:tc>
        <w:tc>
          <w:tcPr>
            <w:tcW w:w="13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(1)</w:t>
            </w:r>
          </w:p>
        </w:tc>
      </w:tr>
      <w:tr>
        <w:trPr>
          <w:trHeight w:val="244"/>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 recognized: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Digital online</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1,681,609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1,130,946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921,734</w:t>
            </w: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Physical retail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986,785</w:t>
            </w: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661,946</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858,014</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2,668,394</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1,792,892</w:t>
            </w:r>
          </w:p>
        </w:tc>
        <w:tc>
          <w:tcPr>
            <w:tcW w:w="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1,779,748</w:t>
            </w:r>
          </w:p>
        </w:tc>
      </w:tr>
      <w:tr>
        <w:trPr>
          <w:trHeight w:val="27"/>
        </w:trPr>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20" w:firstLine="8"/>
        <w:spacing w:after="0" w:line="273" w:lineRule="auto"/>
        <w:tabs>
          <w:tab w:leader="none" w:pos="127" w:val="left"/>
        </w:tabs>
        <w:numPr>
          <w:ilvl w:val="0"/>
          <w:numId w:val="24"/>
        </w:numPr>
        <w:rPr>
          <w:rFonts w:ascii="Arial" w:cs="Arial" w:eastAsia="Arial" w:hAnsi="Arial"/>
          <w:sz w:val="9"/>
          <w:szCs w:val="9"/>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record deferred revenue when payments are due or received in advance of the fulfillment of our associated performance obligations. The opening balance and ending balance of deferred revenue, including current and non-current balances as of April 1, 2018 and March 31, 2019 were $566,141 and $864,360, respectively. For the twelve months ended March 31, 2019, the additions to our deferred revenue balance were primarily due to cash payments received or due in advance of satisfying our performance obligations, while the reductions to our deferred revenue balance were primarily due to the recognition of revenue upon fulfillment of our performance obligations, both of which were in the ordinary course of business.</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twelve months ended March 31, 2019, $548,531 of revenue was recognized that was included in the deferred revenue balance at the beginning of the period. As of March 31, 2019, the aggregate amount of contract revenue allocated to unsatisfied performance obligations is $1,131,714, which includes our deferred revenue balances and amounts to be invoiced and recognized as revenue in future periods. We expect to recognize approximately $1,047,309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and April 1, 2018, our contract asset balances were $57,643 and $69,522, respectively.</w:t>
      </w:r>
    </w:p>
    <w:p>
      <w:pPr>
        <w:spacing w:after="0" w:line="27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2014, we entered into an amended management services agreement, (the "2014 Management Agreement") with ZelnickMedia Corporation ("ZelnickMedia") pursuant to which ZelnickMedia provided us with certain management, consulting and executive level services. The 2014 Management Agreement became effective April 1, 2014. The 2014 Management Agreement provided for an annual management fee of $2,970 over the term of the agreement and a maximum annual bonus opportunity of $4,752 over the term of the agreement, based on the Company achieving certain performance thresholds. In November 2017, we entered into a new management agreement, (the "2017 Management Agreement"), with ZelnickMedia pursuant to which</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273" w:lineRule="auto"/>
        <w:rPr>
          <w:sz w:val="20"/>
          <w:szCs w:val="20"/>
          <w:color w:val="auto"/>
        </w:rPr>
      </w:pPr>
      <w:r>
        <w:rPr>
          <w:rFonts w:ascii="Arial" w:cs="Arial" w:eastAsia="Arial" w:hAnsi="Arial"/>
          <w:sz w:val="17"/>
          <w:szCs w:val="17"/>
          <w:color w:val="auto"/>
        </w:rPr>
        <w:t>ZelnickMedia continues to provide financial and management consulting services to the Company through March 31, 2024. The 2017 Management Agreement became effective January 1, 2018 and supersedes and replaces the 2014 Management Agreement, except as otherwise contemplated by the 2017 Management Agreement.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for ZelnickMedia's services, we recorded consulting expense (a component of General and administrative expenses) of $9,265, $8,426 and $7,722 for the fiscal years ended March 31, 2019, 2018 and 2017, respectively.</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Pursuant to the 2017 Management Agreement and 2014 Management Agreement, we also issued stock-based awards to ZelnickMedia. During the fiscal years ended March 31, 2019, 2018 and 2017, we recorded $21,257, $32,801 and $29,573, respectively, of stock-based compensation expense for non-employee awards, which is included in General and administrative expenses. See Note 16 - Stock-Based Compensation for a discussion of such awards.</w:t>
      </w:r>
    </w:p>
    <w:p>
      <w:pPr>
        <w:spacing w:after="0" w:line="197"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our financial instruments, including cash and cash equivalents, restricted cash, accounts receivable, accounts payable and accrued liabilities, approximate fair value because of their short maturities.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70" w:lineRule="exact"/>
        <w:rPr>
          <w:rFonts w:ascii="Arial" w:cs="Arial" w:eastAsia="Arial" w:hAnsi="Arial"/>
          <w:sz w:val="18"/>
          <w:szCs w:val="18"/>
          <w:color w:val="auto"/>
        </w:rPr>
      </w:pPr>
    </w:p>
    <w:p>
      <w:pPr>
        <w:ind w:left="660" w:right="32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segregates all assets that are measured at fair value on a recurring basis (which is measured at least annually) into the most appropriate level within the fair value hierarchy based on the inputs used to determine the fair value at the measurement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27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Money market funds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389,936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389,936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66"/>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39,246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39,246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Treasuries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Money market funds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565,461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565,461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Restricted cash</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Bank-time deposits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387,720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387,720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296,141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296,141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Treasuries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4,990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Cross-currency swap</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Private equity</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forward contracts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0" w:type="dxa"/>
            <w:vAlign w:val="bottom"/>
          </w:tcPr>
          <w:p>
            <w:pPr>
              <w:spacing w:after="0"/>
              <w:rPr>
                <w:sz w:val="1"/>
                <w:szCs w:val="1"/>
                <w:color w:val="auto"/>
              </w:rPr>
            </w:pPr>
          </w:p>
        </w:tc>
      </w:tr>
      <w:tr>
        <w:trPr>
          <w:trHeight w:val="74"/>
        </w:trPr>
        <w:tc>
          <w:tcPr>
            <w:tcW w:w="29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Total recurring fair value measurements, net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1,766,768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1,424,200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340,745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19"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27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Money market funds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516,626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516,626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66"/>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Bank-time deposits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308,716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308,716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Treasuries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59,725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59,725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25,422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25,422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Mutual funds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Bank-time deposits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216,663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216,663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forward contracts</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Foreign currency forward contracts</w:t>
            </w:r>
          </w:p>
        </w:tc>
        <w:tc>
          <w:tcPr>
            <w:tcW w:w="12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Accrued and other current liabilities</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Cross-currency swap</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Private equity</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74"/>
        </w:trPr>
        <w:tc>
          <w:tcPr>
            <w:tcW w:w="2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recurring fair value measurements,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1,128,364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793,035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334,124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fiscal year ended March 31, 2019.</w:t>
      </w:r>
    </w:p>
    <w:p>
      <w:pPr>
        <w:spacing w:after="0" w:line="220"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investments consisted of the following as of March 31, 2019:</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March 31, 2019</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6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Bank time deposits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387,720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387,720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295,526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296,141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Treasuries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55,634</w:t>
            </w: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743,892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744,485</w:t>
            </w:r>
          </w:p>
        </w:tc>
        <w:tc>
          <w:tcPr>
            <w:tcW w:w="0" w:type="dxa"/>
            <w:vAlign w:val="bottom"/>
          </w:tcPr>
          <w:p>
            <w:pPr>
              <w:spacing w:after="0"/>
              <w:rPr>
                <w:sz w:val="1"/>
                <w:szCs w:val="1"/>
                <w:color w:val="auto"/>
              </w:rPr>
            </w:pP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March 31, 2018</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6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Bank time deposits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216,663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216,663</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310,387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308,716</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Treasuries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59,725</w:t>
            </w:r>
          </w:p>
        </w:tc>
        <w:tc>
          <w:tcPr>
            <w:tcW w:w="0" w:type="dxa"/>
            <w:vAlign w:val="bottom"/>
          </w:tcPr>
          <w:p>
            <w:pPr>
              <w:spacing w:after="0"/>
              <w:rPr>
                <w:sz w:val="1"/>
                <w:szCs w:val="1"/>
                <w:color w:val="auto"/>
              </w:rPr>
            </w:pPr>
          </w:p>
        </w:tc>
      </w:tr>
      <w:tr>
        <w:trPr>
          <w:trHeight w:val="243"/>
        </w:trPr>
        <w:tc>
          <w:tcPr>
            <w:tcW w:w="63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25,422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25,422</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617,318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615,406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our evaluation of impairment for these investments, we did not consider any of these investments to be other-than-temporarily impaired as of March 31, 2019 or 2018. We do not intend to sell any of our investments with unrealized losses, nor is it more likely than not that we will be required to sell those investments.</w:t>
      </w:r>
    </w:p>
    <w:p>
      <w:pPr>
        <w:sectPr>
          <w:pgSz w:w="11900" w:h="16838" w:orient="portrait"/>
          <w:cols w:equalWidth="0" w:num="1">
            <w:col w:w="11420"/>
          </w:cols>
          <w:pgMar w:left="240" w:top="726"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726" w:right="239" w:bottom="1440" w:gutter="0" w:footer="0" w:header="0"/>
          <w:type w:val="continuous"/>
        </w:sectPr>
      </w:pPr>
    </w:p>
    <w:bookmarkStart w:id="79" w:name="page80"/>
    <w:bookmarkEnd w:id="79"/>
    <w:p>
      <w:pPr>
        <w:ind w:left="660"/>
        <w:spacing w:after="0"/>
        <w:rPr>
          <w:sz w:val="20"/>
          <w:szCs w:val="20"/>
          <w:color w:val="auto"/>
        </w:rPr>
      </w:pPr>
      <w:r>
        <w:rPr>
          <w:rFonts w:ascii="Arial" w:cs="Arial" w:eastAsia="Arial" w:hAnsi="Arial"/>
          <w:sz w:val="18"/>
          <w:szCs w:val="18"/>
          <w:color w:val="auto"/>
        </w:rPr>
        <w:t>The following table summarizes the contracted maturities of our short-term investments at March 31,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March 31, 2019</w:t>
            </w: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Due in 1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629,474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629,496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Due in 1-2 years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114,418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114,989</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743,892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744,485</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8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classify cash flows from its derivative transactions as cash flows from operating activities in our Consolidated Statements of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Forward contracts to purchase foreign currencies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116,590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Forward contracts to sell foreign currencies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b w:val="1"/>
                <w:bCs w:val="1"/>
                <w:color w:val="auto"/>
              </w:rPr>
              <w:t>87,793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67,580</w:t>
            </w:r>
          </w:p>
        </w:tc>
      </w:tr>
    </w:tbl>
    <w:p>
      <w:pPr>
        <w:spacing w:after="0" w:line="148" w:lineRule="exact"/>
        <w:rPr>
          <w:sz w:val="20"/>
          <w:szCs w:val="20"/>
          <w:color w:val="auto"/>
        </w:rPr>
      </w:pPr>
    </w:p>
    <w:p>
      <w:pPr>
        <w:jc w:val="both"/>
        <w:ind w:firstLine="1134"/>
        <w:spacing w:after="0" w:line="276" w:lineRule="auto"/>
        <w:rPr>
          <w:sz w:val="20"/>
          <w:szCs w:val="20"/>
          <w:color w:val="auto"/>
        </w:rPr>
      </w:pPr>
      <w:r>
        <w:rPr>
          <w:rFonts w:ascii="Arial" w:cs="Arial" w:eastAsia="Arial" w:hAnsi="Arial"/>
          <w:sz w:val="17"/>
          <w:szCs w:val="17"/>
          <w:color w:val="auto"/>
        </w:rPr>
        <w:t>For the fiscal years ended March 31, 2019, 2018 and 2017, we recorded a gain of $16,831, a loss of $19,473, and a gain of $7,197, respectively, related to foreign currency forward contracts in Interest and other, net on the Consolidated Statements of Operations. Our derivative contracts are foreign currency exchange forward contracts that are not designated as hedging instruments under hedge accounting and are used to reduce the impact of foreign currency on certain balance sheet exposures and certain revenue and expense. These instruments are generally short term in nature, with typical maturities of less than one year, and are subject to fluctuations in foreign exchange rates.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 cross-currency swap agreement in August 2017 related to an intercompany loan that has been designated and accounted for as a cash flow hedge of foreign currency exchange risk. The intercompany loan is related to the acquisition of Social Point (See note 23). As of March 31, 2019, the notional amount of the cross-currency swap is $115,641. This cross-currency swap mitigates the exposure to fluctuations in the U.S. dollar-euro exchange rate related to the intercompany loan. The critical terms of the cross-currency swap agreement correspond to the intercompany loan and both mature at the same time in 2027; as such, there was no ineffectiveness during the period.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Changes in the fair value of this cross-currency swap are recorded in Accumulated other comprehensive income (loss) and offset the change in value of interest and principal payment as a result of changes in foreign exchange rates. Resulting gains or losses from the cross-currency swap are reclassified from Accumulated other comprehensive income (loss) to earnings to offset foreign currency transaction gains and losses recognized on the intercompany loan. We recognize the difference between the U.S. dollar interest payments received from the swap counterparty and the U.S. dollar equivalent of the euro interest payments made to the swap counterparty in Interest and other, net on our Consolidated Statement of Operations. There are no credit-risk related contingent features associated with these swaps.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19" w:right="239" w:bottom="1440" w:gutter="0" w:footer="0" w:header="0"/>
        </w:sectPr>
      </w:pPr>
    </w:p>
    <w:bookmarkStart w:id="80" w:name="page81"/>
    <w:bookmarkEnd w:id="80"/>
    <w:p>
      <w:pPr>
        <w:spacing w:after="0"/>
        <w:tabs>
          <w:tab w:leader="none" w:pos="340" w:val="left"/>
        </w:tabs>
        <w:rPr>
          <w:sz w:val="20"/>
          <w:szCs w:val="20"/>
          <w:color w:val="auto"/>
        </w:rPr>
      </w:pPr>
      <w:r>
        <w:rPr>
          <w:rFonts w:ascii="Arial" w:cs="Arial" w:eastAsia="Arial" w:hAnsi="Arial"/>
          <w:sz w:val="18"/>
          <w:szCs w:val="18"/>
          <w:b w:val="1"/>
          <w:bCs w:val="1"/>
          <w:color w:val="auto"/>
        </w:rPr>
        <w:t>7.</w:t>
        <w:tab/>
        <w:t>INVENTORY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balances by category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24,847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Parts and supplies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3,353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28,200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15,162</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product returns included in inventory at March 31, 2019 and 2018 were $491 and $373, respectively.</w:t>
      </w:r>
    </w:p>
    <w:p>
      <w:pPr>
        <w:spacing w:after="0" w:line="275"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COSTS AND LICENSES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our capitalized software development costs and licenses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2019</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2018</w:t>
            </w:r>
          </w:p>
        </w:tc>
        <w:tc>
          <w:tcPr>
            <w:tcW w:w="1240" w:type="dxa"/>
            <w:vAlign w:val="bottom"/>
            <w:tcBorders>
              <w:bottom w:val="single" w:sz="8" w:color="auto"/>
            </w:tcBorders>
          </w:tcPr>
          <w:p>
            <w:pPr>
              <w:spacing w:after="0"/>
              <w:rPr>
                <w:sz w:val="22"/>
                <w:szCs w:val="22"/>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Non-current</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development costs, internally developed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14,809</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434,712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515,761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Software development costs, externally developed</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b w:val="1"/>
                <w:bCs w:val="1"/>
                <w:color w:val="auto"/>
              </w:rPr>
              <w:t>168,381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122,270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Software development costs and licenses</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28,880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603,436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639,369</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Software development costs and licenses, net of current portion as of March 31, 2019 and 2018 included $378,030 and $638,055, respectively, related to titles that have not been released.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and impairment of software development costs and licenses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3"/>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software development costs and licenses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342,870</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222,801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Impairment of software development costs and licenses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20,166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Portion representing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(149,075)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(21,056)</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Amortization and impairment, net of stock-based compensation</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201,221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77,887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221,911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During the twelve months ended March 31, 2019, we recorded $7,426 of software development impairment charges (a component of Cost of goods sold). The impairment charges relate to a decision not to proceed with further development of certain interactive entertainment software.</w:t>
      </w:r>
    </w:p>
    <w:p>
      <w:pPr>
        <w:spacing w:after="0" w:line="62"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Fixed asset balances by category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118,841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87,926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99,093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88,762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52,641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16,179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8,139</w:t>
            </w:r>
          </w:p>
        </w:tc>
      </w:tr>
      <w:tr>
        <w:trPr>
          <w:trHeight w:val="237"/>
        </w:trPr>
        <w:tc>
          <w:tcPr>
            <w:tcW w:w="8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297,512</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246,462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(169,630)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(143,984)</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127,882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102,478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related to fixed assets for the fiscal years ended March 31, 2019, 2018 and 2017 was $39,726, $32,202 and $30,629, respectively.</w:t>
      </w:r>
    </w:p>
    <w:p>
      <w:pPr>
        <w:sectPr>
          <w:pgSz w:w="11900" w:h="16838" w:orient="portrait"/>
          <w:cols w:equalWidth="0" w:num="1">
            <w:col w:w="11420"/>
          </w:cols>
          <w:pgMar w:left="240" w:top="715" w:right="239" w:bottom="541"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715" w:right="239" w:bottom="541" w:gutter="0" w:footer="0" w:header="0"/>
          <w:type w:val="continuous"/>
        </w:sectPr>
      </w:pPr>
    </w:p>
    <w:bookmarkStart w:id="81" w:name="page82"/>
    <w:bookmarkEnd w:id="81"/>
    <w:p>
      <w:pPr>
        <w:ind w:left="660"/>
        <w:spacing w:after="0"/>
        <w:rPr>
          <w:sz w:val="20"/>
          <w:szCs w:val="20"/>
          <w:color w:val="auto"/>
        </w:rPr>
      </w:pPr>
      <w:r>
        <w:rPr>
          <w:rFonts w:ascii="Arial" w:cs="Arial" w:eastAsia="Arial" w:hAnsi="Arial"/>
          <w:sz w:val="18"/>
          <w:szCs w:val="18"/>
          <w:color w:val="auto"/>
        </w:rPr>
        <w:t>The following represents our fixed assets, net by location:</w:t>
      </w:r>
    </w:p>
    <w:p>
      <w:pPr>
        <w:spacing w:after="0" w:line="200" w:lineRule="exact"/>
        <w:rPr>
          <w:sz w:val="20"/>
          <w:szCs w:val="20"/>
          <w:color w:val="auto"/>
        </w:rPr>
      </w:pPr>
    </w:p>
    <w:p>
      <w:pPr>
        <w:spacing w:after="0" w:line="23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34290</wp:posOffset>
            </wp:positionV>
            <wp:extent cx="291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06"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28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2018</w:t>
            </w: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4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65,476</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49,685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37,002</w:t>
            </w:r>
          </w:p>
        </w:tc>
      </w:tr>
      <w:tr>
        <w:trPr>
          <w:trHeight w:val="27"/>
        </w:trPr>
        <w:tc>
          <w:tcPr>
            <w:tcW w:w="28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144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102,478</w:t>
            </w:r>
          </w:p>
        </w:tc>
      </w:tr>
      <w:tr>
        <w:trPr>
          <w:trHeight w:val="20"/>
        </w:trPr>
        <w:tc>
          <w:tcPr>
            <w:tcW w:w="2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goodwill balance is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359,115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Additions from immaterial acquisition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6,236</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(see Note 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Currency translation adjustment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29,934</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399,530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Additions from immaterial acquisition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3,149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(20,962)</w:t>
            </w:r>
          </w:p>
        </w:tc>
      </w:tr>
      <w:tr>
        <w:trPr>
          <w:trHeight w:val="237"/>
        </w:trPr>
        <w:tc>
          <w:tcPr>
            <w:tcW w:w="9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381,717</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Other intangibles, net, as of March 31, 2018, included in-process research and development ("IPR&amp;D") assets of $5,226 acquired as part of the Social Point acquisition, which were indefinite-lived intangibles and therefore not subject to amortization until the related games were released or development was abandoned. During the fiscal year ended March 31, 2019, we released </w:t>
      </w:r>
      <w:r>
        <w:rPr>
          <w:rFonts w:ascii="Arial" w:cs="Arial" w:eastAsia="Arial" w:hAnsi="Arial"/>
          <w:sz w:val="18"/>
          <w:szCs w:val="18"/>
          <w:i w:val="1"/>
          <w:iCs w:val="1"/>
          <w:color w:val="auto"/>
        </w:rPr>
        <w:t>Tasty Town</w:t>
      </w:r>
      <w:r>
        <w:rPr>
          <w:rFonts w:ascii="Arial" w:cs="Arial" w:eastAsia="Arial" w:hAnsi="Arial"/>
          <w:sz w:val="18"/>
          <w:szCs w:val="18"/>
          <w:color w:val="auto"/>
        </w:rPr>
        <w:t xml:space="preserve"> and reclassified the balance to definite-lived intangibles. As of March 31, 2019, there are no IPR&amp;D assets included in Other intangibles, net. During the fiscal year ended March 31, 2018, as a result of our decision not to proceed with further development of a certain game related IPR&amp;D, we recognized an impairment charge of $11,257 in Depreciation and amortization expense in our Consolidated Statements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intangible assets that are subject to amortization: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60" w:type="dxa"/>
            <w:vAlign w:val="bottom"/>
          </w:tcPr>
          <w:p>
            <w:pPr>
              <w:spacing w:after="0"/>
              <w:rPr>
                <w:sz w:val="13"/>
                <w:szCs w:val="13"/>
                <w:color w:val="auto"/>
              </w:rPr>
            </w:pPr>
          </w:p>
        </w:tc>
        <w:tc>
          <w:tcPr>
            <w:tcW w:w="9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 Book</w:t>
            </w: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useful</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250"/>
        </w:trPr>
        <w:tc>
          <w:tcPr>
            <w:tcW w:w="2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game technology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65,428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32,453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43,944</w:t>
            </w: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26,109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b w:val="1"/>
                <w:bCs w:val="1"/>
                <w:color w:val="auto"/>
              </w:rPr>
              <w:t>19,585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37,431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(13,616)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23,815</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Analytics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31,271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17,720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26,449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Branding and trade names</w:t>
            </w:r>
          </w:p>
        </w:tc>
        <w:tc>
          <w:tcPr>
            <w:tcW w:w="2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4,422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b w:val="1"/>
                <w:bCs w:val="1"/>
                <w:color w:val="auto"/>
              </w:rPr>
              <w:t>3,357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4,247</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User base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 year</w:t>
            </w:r>
          </w:p>
        </w:tc>
        <w:tc>
          <w:tcPr>
            <w:tcW w:w="0" w:type="dxa"/>
            <w:vAlign w:val="bottom"/>
          </w:tcPr>
          <w:p>
            <w:pPr>
              <w:spacing w:after="0"/>
              <w:rPr>
                <w:sz w:val="1"/>
                <w:szCs w:val="1"/>
                <w:color w:val="auto"/>
              </w:rPr>
            </w:pPr>
          </w:p>
        </w:tc>
      </w:tr>
      <w:tr>
        <w:trPr>
          <w:trHeight w:val="237"/>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8"/>
              </w:rPr>
              <w:t>Total definite-lived intangible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127,230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73,115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154,396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98,455</w:t>
            </w: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fiscal year ended March 31, 2018, we acquired intellectual property related to </w:t>
      </w:r>
      <w:r>
        <w:rPr>
          <w:rFonts w:ascii="Arial" w:cs="Arial" w:eastAsia="Arial" w:hAnsi="Arial"/>
          <w:sz w:val="18"/>
          <w:szCs w:val="18"/>
          <w:i w:val="1"/>
          <w:iCs w:val="1"/>
          <w:color w:val="auto"/>
        </w:rPr>
        <w:t>Kerbal Space Program</w:t>
      </w:r>
      <w:r>
        <w:rPr>
          <w:rFonts w:ascii="Arial" w:cs="Arial" w:eastAsia="Arial" w:hAnsi="Arial"/>
          <w:sz w:val="18"/>
          <w:szCs w:val="18"/>
          <w:color w:val="auto"/>
        </w:rPr>
        <w:t>, which was treated as an asset acquisition, resulting in a $21,500 increase in Intellectual property, and a $4,465 increase in Developed game technology.</w:t>
      </w:r>
    </w:p>
    <w:p>
      <w:pPr>
        <w:sectPr>
          <w:pgSz w:w="11900" w:h="16838" w:orient="portrait"/>
          <w:cols w:equalWidth="0" w:num="1">
            <w:col w:w="11420"/>
          </w:cols>
          <w:pgMar w:left="240" w:top="7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719"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Amortization of intangible assets is included in our Consolidated Statements of Operations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16,937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amortization of intangible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23,879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6,816</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future amortization of intangible assets that will be recorded in cost of goods sold and operating expenses for the years ending March 31,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Fiscal Year Ended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r>
      <w:tr>
        <w:trPr>
          <w:trHeight w:val="243"/>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20,669</w:t>
            </w: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19,371</w:t>
            </w:r>
          </w:p>
        </w:tc>
      </w:tr>
      <w:tr>
        <w:trPr>
          <w:trHeight w:val="243"/>
        </w:trPr>
        <w:tc>
          <w:tcPr>
            <w:tcW w:w="18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7,084</w:t>
            </w: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7"/>
        </w:trPr>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 AND OTHER CURRENT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development royalties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713,201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600,512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73,695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57,499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Refund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65,853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Licenses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56,221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43,261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and promotions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Business reorganization (see Note 20)</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72,074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acquisition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84,335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96,671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1,035,695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914,748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Agreement</w:t>
      </w:r>
    </w:p>
    <w:p>
      <w:pPr>
        <w:spacing w:after="0" w:line="14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February 8, 2019, we entered into an unsecured Credit Agreement (the “New Credit Agreement”). The New Credit Agreement replaced our existing Credit Agreement (see below), which was terminated on the same day. The New Credit Agreement runs through February 8, 2024. The New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New Credit Agreement contains uncommitted incremental capacity permitting the incurrence of up to an additional $250,000 in term loans or revolving credit facilities.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Loans under the New Credit Agreement will bear interest at a rate of (a) 0.250% to 0.750% above a certain base rate (5.50% at March 31, 2019) or</w:t>
      </w:r>
    </w:p>
    <w:p>
      <w:pPr>
        <w:spacing w:after="0" w:line="46" w:lineRule="exact"/>
        <w:rPr>
          <w:sz w:val="20"/>
          <w:szCs w:val="20"/>
          <w:color w:val="auto"/>
        </w:rPr>
      </w:pPr>
    </w:p>
    <w:p>
      <w:pPr>
        <w:ind w:firstLine="8"/>
        <w:spacing w:after="0" w:line="261" w:lineRule="auto"/>
        <w:tabs>
          <w:tab w:leader="none" w:pos="2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1.125% to 1.750% above LIBOR (approximately 2.49% at March 31, 2019), which rates are determined by reference to our consolidated total net leverage ratio. We had no outstanding borrowings at March 31, 2019.</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719" w:right="239" w:bottom="1440" w:gutter="0" w:footer="0" w:header="0"/>
          <w:type w:val="continuous"/>
        </w:sectPr>
      </w:pPr>
    </w:p>
    <w:bookmarkStart w:id="83" w:name="page84"/>
    <w:bookmarkEnd w:id="83"/>
    <w:p>
      <w:pPr>
        <w:ind w:left="500"/>
        <w:spacing w:after="0"/>
        <w:rPr>
          <w:sz w:val="20"/>
          <w:szCs w:val="20"/>
          <w:color w:val="auto"/>
        </w:rPr>
      </w:pPr>
      <w:r>
        <w:rPr>
          <w:rFonts w:ascii="Arial" w:cs="Arial" w:eastAsia="Arial" w:hAnsi="Arial"/>
          <w:sz w:val="18"/>
          <w:szCs w:val="18"/>
          <w:color w:val="auto"/>
        </w:rPr>
        <w:t>Information related to availability on our New Credit Agreement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3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2019</w:t>
            </w:r>
          </w:p>
        </w:tc>
      </w:tr>
      <w:tr>
        <w:trPr>
          <w:trHeight w:val="25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198,336</w:t>
            </w:r>
          </w:p>
        </w:tc>
      </w:tr>
      <w:tr>
        <w:trPr>
          <w:trHeight w:val="243"/>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Outstanding letters of credit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1,664</w:t>
            </w:r>
          </w:p>
        </w:tc>
      </w:tr>
    </w:tbl>
    <w:p>
      <w:pPr>
        <w:spacing w:after="0" w:line="229" w:lineRule="exact"/>
        <w:rPr>
          <w:sz w:val="20"/>
          <w:szCs w:val="20"/>
          <w:color w:val="auto"/>
        </w:rPr>
      </w:pPr>
    </w:p>
    <w:p>
      <w:pPr>
        <w:jc w:val="both"/>
        <w:ind w:firstLine="222"/>
        <w:spacing w:after="0" w:line="291" w:lineRule="auto"/>
        <w:rPr>
          <w:sz w:val="20"/>
          <w:szCs w:val="20"/>
          <w:color w:val="auto"/>
        </w:rPr>
      </w:pPr>
      <w:r>
        <w:rPr>
          <w:rFonts w:ascii="Arial" w:cs="Arial" w:eastAsia="Arial" w:hAnsi="Arial"/>
          <w:sz w:val="16"/>
          <w:szCs w:val="16"/>
          <w:color w:val="auto"/>
        </w:rPr>
        <w:t>We recorded interest expense and fees related to the New Credit Agreement of $372, for the fiscal year ended March 31, 2019. The New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New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2017, we entered into a Seventh Amendment to our Second Amended and Restated Credit Agreement (as amended, the “Credit Agreement”). The Credit Agreement provided for borrowings of up to $100,000 which could have been increased by up to $100,000 pursuant to the terms of the Credit Agreement and which was secured by substantially all of our assets and the equity of our subsidiaries. The Credit Agreement was terminated in connection with our entering into the New Credit Agreement. We had no outstanding borrowings at March 31, 2018.</w:t>
      </w:r>
    </w:p>
    <w:p>
      <w:pPr>
        <w:spacing w:after="0" w:line="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interest expense and fees related to the Credit Agreement of $472, $441 and $441, for the fiscal years ended March 31, 2019, 2018, and 2017,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 Convertible Notes Due 2018</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18, 2013, we issued $250,000 aggregate principal amount of 1.00% Convertible Notes due 2018. The Convertible Notes were issued at 98.5% of par value for proceeds of $283,188, which included a $37,500 overallotment option that was exercised. Interest on the Convertible Notes was payable semi-annually in arrears on July 1</w:t>
      </w:r>
      <w:r>
        <w:rPr>
          <w:rFonts w:ascii="Arial" w:cs="Arial" w:eastAsia="Arial" w:hAnsi="Arial"/>
          <w:sz w:val="13"/>
          <w:szCs w:val="13"/>
          <w:color w:val="auto"/>
        </w:rPr>
        <w:t>st</w:t>
      </w:r>
      <w:r>
        <w:rPr>
          <w:rFonts w:ascii="Arial" w:cs="Arial" w:eastAsia="Arial" w:hAnsi="Arial"/>
          <w:sz w:val="16"/>
          <w:szCs w:val="16"/>
          <w:color w:val="auto"/>
        </w:rPr>
        <w:t xml:space="preserve"> and January 1</w:t>
      </w:r>
      <w:r>
        <w:rPr>
          <w:rFonts w:ascii="Arial" w:cs="Arial" w:eastAsia="Arial" w:hAnsi="Arial"/>
          <w:sz w:val="13"/>
          <w:szCs w:val="13"/>
          <w:color w:val="auto"/>
        </w:rPr>
        <w:t>st</w:t>
      </w:r>
      <w:r>
        <w:rPr>
          <w:rFonts w:ascii="Arial" w:cs="Arial" w:eastAsia="Arial" w:hAnsi="Arial"/>
          <w:sz w:val="16"/>
          <w:szCs w:val="16"/>
          <w:color w:val="auto"/>
        </w:rPr>
        <w:t xml:space="preserve"> of each year, commencing on January 1, 2014. The Convertible Notes matured on July 1,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interest expense related to our Convertible Notes: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expense (coupon interest expense)</w:t>
            </w:r>
          </w:p>
        </w:tc>
        <w:tc>
          <w:tcPr>
            <w:tcW w:w="3180" w:type="dxa"/>
            <w:vAlign w:val="bottom"/>
            <w:tcBorders>
              <w:bottom w:val="single" w:sz="8" w:color="CCEEFF"/>
            </w:tcBorders>
            <w:gridSpan w:val="3"/>
            <w:shd w:val="clear" w:color="auto" w:fill="CCEEFF"/>
          </w:tcPr>
          <w:p>
            <w:pPr>
              <w:jc w:val="right"/>
              <w:ind w:right="659"/>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Non-cash amortization of discount on 1.00% Convertible Notes</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14,221</w:t>
            </w:r>
          </w:p>
        </w:tc>
      </w:tr>
      <w:tr>
        <w:trPr>
          <w:trHeight w:val="27"/>
        </w:trPr>
        <w:tc>
          <w:tcPr>
            <w:tcW w:w="5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2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interest expense related to 1.00% Convertible Notes</w:t>
            </w:r>
          </w:p>
        </w:tc>
        <w:tc>
          <w:tcPr>
            <w:tcW w:w="2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17,458</w:t>
            </w:r>
          </w:p>
        </w:tc>
      </w:tr>
      <w:tr>
        <w:trPr>
          <w:trHeight w:val="27"/>
        </w:trPr>
        <w:tc>
          <w:tcPr>
            <w:tcW w:w="5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2200" w:type="dxa"/>
            <w:vAlign w:val="bottom"/>
          </w:tcPr>
          <w:p>
            <w:pPr>
              <w:jc w:val="right"/>
              <w:ind w:right="14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13.  EARNINGS PER SHARE ("EPS")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EPS (in thousands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333,837</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67,303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37"/>
        </w:trPr>
        <w:tc>
          <w:tcPr>
            <w:tcW w:w="6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for basic earnings per share calculation</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333,837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173,374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66,028</w:t>
            </w:r>
          </w:p>
        </w:tc>
      </w:tr>
      <w:tr>
        <w:trPr>
          <w:trHeight w:val="67"/>
        </w:trPr>
        <w:tc>
          <w:tcPr>
            <w:tcW w:w="6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weighted average shares outstanding—basic</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91,921</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Diluted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333,837</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173,533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67,303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37"/>
        </w:trPr>
        <w:tc>
          <w:tcPr>
            <w:tcW w:w="6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for diluted earnings per share calculation</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333,837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173,378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66,057</w:t>
            </w:r>
          </w:p>
        </w:tc>
      </w:tr>
      <w:tr>
        <w:trPr>
          <w:trHeight w:val="67"/>
        </w:trPr>
        <w:tc>
          <w:tcPr>
            <w:tcW w:w="6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113,176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91,921</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94,073</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115,198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92,332</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0.72</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of our unvested stock-based awards (including restricted stock units and restricted stock awards) are considered participating securities since these securities have non-forfeitable rights to dividends or dividend equivalents during the contractual period of the award and thus requires the two-class method of computing EPS. As of March 31, 2019, we have no material participating securities.</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of EPS for common stock under the two-class method shown above excludes income attributable to the participating securities from the numerator and excludes the dilutive effect of those awards from the denominator.</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common stock equivalents as stock-based awards and common stock related to our Convertible Notes (see Note 12 - Debt) outstanding during the period. Common stock equivalents are measured using the treasury stock method, except for the Convertible Notes, which were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1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annual minimum contractual obligations and commitments as of March 31, 2019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Software</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Purchase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 Ending March 31,</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300" w:type="dxa"/>
            <w:vAlign w:val="bottom"/>
          </w:tcPr>
          <w:p>
            <w:pPr>
              <w:spacing w:after="0"/>
              <w:rPr>
                <w:sz w:val="12"/>
                <w:szCs w:val="12"/>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Marketing</w:t>
            </w: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and Licensing</w:t>
            </w:r>
          </w:p>
        </w:tc>
        <w:tc>
          <w:tcPr>
            <w:tcW w:w="3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Obligations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288,334</w:t>
            </w:r>
          </w:p>
        </w:tc>
        <w:tc>
          <w:tcPr>
            <w:tcW w:w="0" w:type="dxa"/>
            <w:vAlign w:val="bottom"/>
          </w:tcPr>
          <w:p>
            <w:pPr>
              <w:spacing w:after="0"/>
              <w:rPr>
                <w:sz w:val="1"/>
                <w:szCs w:val="1"/>
                <w:color w:val="auto"/>
              </w:rPr>
            </w:pPr>
          </w:p>
        </w:tc>
      </w:tr>
      <w:tr>
        <w:trPr>
          <w:trHeight w:val="243"/>
        </w:trPr>
        <w:tc>
          <w:tcPr>
            <w:tcW w:w="298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120,008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186,279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174,730</w:t>
            </w:r>
          </w:p>
        </w:tc>
        <w:tc>
          <w:tcPr>
            <w:tcW w:w="0" w:type="dxa"/>
            <w:vAlign w:val="bottom"/>
          </w:tcPr>
          <w:p>
            <w:pPr>
              <w:spacing w:after="0"/>
              <w:rPr>
                <w:sz w:val="1"/>
                <w:szCs w:val="1"/>
                <w:color w:val="auto"/>
              </w:rPr>
            </w:pPr>
          </w:p>
        </w:tc>
      </w:tr>
      <w:tr>
        <w:trPr>
          <w:trHeight w:val="243"/>
        </w:trPr>
        <w:tc>
          <w:tcPr>
            <w:tcW w:w="2980" w:type="dxa"/>
            <w:vAlign w:val="bottom"/>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56,884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78,100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159,394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93,350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55,792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82,570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187,562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582,519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262,344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205,350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39,436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1,089,649</w:t>
            </w: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Software Development and Licensing Agreements: </w:t>
      </w:r>
      <w:r>
        <w:rPr>
          <w:rFonts w:ascii="Arial" w:cs="Arial" w:eastAsia="Arial" w:hAnsi="Arial"/>
          <w:sz w:val="18"/>
          <w:szCs w:val="18"/>
          <w:color w:val="auto"/>
        </w:rPr>
        <w:t>We make payments to third-party software developers that include contractual payments to developers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several software development agreements that expire at various times through March 2025.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Marketing Agreements: </w:t>
      </w:r>
      <w:r>
        <w:rPr>
          <w:rFonts w:ascii="Arial" w:cs="Arial" w:eastAsia="Arial" w:hAnsi="Arial"/>
          <w:sz w:val="18"/>
          <w:szCs w:val="18"/>
          <w:color w:val="auto"/>
        </w:rPr>
        <w:t>We have certain minimum marketing support commitments where we commit to spend specified amounts related to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Marketing commitments expire at various times through September 2024 and primarily reflect our agreements with major sports leagues and players' associations.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Our offices are occupied under non-cancelable operating leases expiring at various times through December 2032. We also lease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furniture, equipment and automobiles under non-cancelable leases expiring through June 2023. Some of the leases have fixed rent increases and also include inducements to enter into the lease. The effect of such amounts are deferred and recognized on a straight-line basis over the related lease term. Rent expense amounted to $29,204, $25,301 and $19,545 for the fiscal years ended March 31, 2019, 2018 and 2017,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These obligations are primarily related to agreements to purchase services that are enforceable and legally binding on us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all significant terms, including fixed, minimum or variable pricing provisions; and the approximate timing of the transactions, expiring at various times through March 2024.</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Employee Savings Plans: </w:t>
      </w:r>
      <w:r>
        <w:rPr>
          <w:rFonts w:ascii="Arial" w:cs="Arial" w:eastAsia="Arial" w:hAnsi="Arial"/>
          <w:sz w:val="18"/>
          <w:szCs w:val="18"/>
          <w:color w:val="auto"/>
        </w:rPr>
        <w:t>For our United States employees we maintain a 401(k) retirement savings plan and trust. Our 401(k) plan is offered to all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participants may make voluntary contributions. We also have various pension plans for our non-U.S. employees, some of which are required by local laws, and allow or require Company contributions. Employer contributions under all defined contribution and pension plans during the fiscal years ended March 31, 2019, 2018 and 2017 were $10,881, $9,592 and $8,018, respectively.</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Legal and Other Proceedings: </w:t>
      </w:r>
      <w:r>
        <w:rPr>
          <w:rFonts w:ascii="Arial" w:cs="Arial" w:eastAsia="Arial" w:hAnsi="Arial"/>
          <w:sz w:val="16"/>
          <w:szCs w:val="16"/>
          <w:color w:val="auto"/>
        </w:rPr>
        <w:t>We are, or may become, subject to demands and claims (including intellectual property claims) and are involved in routine</w:t>
      </w:r>
      <w:r>
        <w:rPr>
          <w:rFonts w:ascii="Arial" w:cs="Arial" w:eastAsia="Arial" w:hAnsi="Arial"/>
          <w:sz w:val="16"/>
          <w:szCs w:val="16"/>
          <w:i w:val="1"/>
          <w:iCs w:val="1"/>
          <w:color w:val="auto"/>
        </w:rPr>
        <w:t xml:space="preserve"> </w:t>
      </w:r>
      <w:r>
        <w:rPr>
          <w:rFonts w:ascii="Arial" w:cs="Arial" w:eastAsia="Arial" w:hAnsi="Arial"/>
          <w:sz w:val="16"/>
          <w:szCs w:val="16"/>
          <w:color w:val="auto"/>
        </w:rPr>
        <w:t>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7, 2019, all of the previously disclosed lawsuits, claims, and counterclaims that had been pending since April 2016 with Mr. Leslie Benzies, the former president of one of our subsidiaries, were resolved. See Note 20 - Business Reorganization.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2017, the U.S. enacted comprehensive tax legislation commonly referred to as the Tax Cuts and Jobs Act (herein referred to as the "Act”). The Act made broad and complex changes to the U.S. tax code. The Act reduced the U.S. federal corporate income tax rate from 35% to 21%, effective January 1, 2018 and required companies to pay a one-time transition tax on the previously untaxed earnings of certain foreign subsidiaries. In addition, the Act made other changes, including, but not limited to, (1) a Base Erosion Anti-abuse Tax ("BEAT"), which is a new minimum tax, (2) generally eliminating U.S. federal income taxes on dividends from foreign subsidiaries, (3) a new provision that taxes global intangible low-taxed income ("GILTI"), (4) the repeal of the domestic production activity deduction, and (5) other base broadening provisions. As of March 31, 2018, we</w:t>
      </w:r>
    </w:p>
    <w:p>
      <w:pPr>
        <w:sectPr>
          <w:pgSz w:w="11900" w:h="16838" w:orient="portrait"/>
          <w:cols w:equalWidth="0" w:num="1">
            <w:col w:w="11420"/>
          </w:cols>
          <w:pgMar w:left="240" w:top="71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715"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color w:val="auto"/>
        </w:rPr>
        <w:t>recognized a tax benefit of $6,202 due to the re-measurement of the deferred tax liability relating to indefinite lived intangibles as a result of the reduced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corporate income tax rate.</w:t>
      </w:r>
    </w:p>
    <w:p>
      <w:pPr>
        <w:spacing w:after="0" w:line="2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issued Staff Accounting Bulletin No. 118, Income Tax Accounting Implications of the Tax Cuts and Jobs Act ("SAB 118"), which provides guidance on accounting for the Act’s impact. SAB 118 provides a measurement period, which should not extend beyond one year from the Act enactment date, during which a company acting in good faith may complete the accounting for the impact of the Act under ASC 740. In accordance with SAB 118, the income tax effects of the Act must be reflected in the reporting period in which the accounting under ASC Topic 740 is complete. As of March 31, 2018, we recorded an estimated increase to income tax expense of $18,078 related to the one-time transition tax on the previously untaxed earnings of certain foreign subsidiaries as a result of the Act. The estimated increase was a result of transition tax of $26,649, offset by an increased benefit from domestic production deductions and other tax credits. As of March 31, 2019, we completed the accounting and recorded a decrease to income tax expense of $4,553 to adjust the provisional estimate related to the one-time transition tax on the previously untaxed earnings of certain foreign subsidiaries as a result of the Act. The impact of the Act differs from these estimates due to changes in interpretations and assumptions we have made, guidance that was issued, and actions taken as a result of the Act.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before income taxes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5"/>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134,265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86,050</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98,520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(9,085)</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232,785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76,965</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(benefit from) current and deferred income taxes consists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4"/>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8,240</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19,271</w:t>
            </w:r>
          </w:p>
        </w:tc>
      </w:tr>
      <w:tr>
        <w:trPr>
          <w:trHeight w:val="27"/>
        </w:trPr>
        <w:tc>
          <w:tcPr>
            <w:tcW w:w="4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state and local</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Foreign</w:t>
            </w: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22,274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(13,012)</w:t>
            </w:r>
          </w:p>
        </w:tc>
      </w:tr>
      <w:tr>
        <w:trPr>
          <w:trHeight w:val="27"/>
        </w:trPr>
        <w:tc>
          <w:tcPr>
            <w:tcW w:w="4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income taxes</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8,780</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U.S. state and local</w:t>
            </w: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(9,157)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2,395</w:t>
            </w:r>
          </w:p>
        </w:tc>
      </w:tr>
      <w:tr>
        <w:trPr>
          <w:trHeight w:val="27"/>
        </w:trPr>
        <w:tc>
          <w:tcPr>
            <w:tcW w:w="4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5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37"/>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income taxes</w:t>
            </w:r>
          </w:p>
        </w:tc>
        <w:tc>
          <w:tcPr>
            <w:tcW w:w="25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(134,423)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882</w:t>
            </w:r>
          </w:p>
        </w:tc>
      </w:tr>
      <w:tr>
        <w:trPr>
          <w:trHeight w:val="27"/>
        </w:trPr>
        <w:tc>
          <w:tcPr>
            <w:tcW w:w="4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(101,052)</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9,662</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2520" w:type="dxa"/>
            <w:vAlign w:val="bottom"/>
          </w:tcPr>
          <w:p>
            <w:pPr>
              <w:jc w:val="right"/>
              <w:ind w:right="97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87" w:name="page88"/>
    <w:bookmarkEnd w:id="87"/>
    <w:p>
      <w:pPr>
        <w:ind w:left="652"/>
        <w:spacing w:after="0"/>
        <w:rPr>
          <w:sz w:val="20"/>
          <w:szCs w:val="20"/>
          <w:color w:val="auto"/>
        </w:rPr>
      </w:pPr>
      <w:r>
        <w:rPr>
          <w:rFonts w:ascii="Arial" w:cs="Arial" w:eastAsia="Arial" w:hAnsi="Arial"/>
          <w:sz w:val="18"/>
          <w:szCs w:val="18"/>
          <w:color w:val="auto"/>
        </w:rPr>
        <w:t>A reconciliation of our effective tax rate to the U.S. statutory federal income tax rate is as follows:</w:t>
      </w:r>
    </w:p>
    <w:p>
      <w:pPr>
        <w:spacing w:after="0" w:line="298" w:lineRule="exact"/>
        <w:rPr>
          <w:sz w:val="20"/>
          <w:szCs w:val="20"/>
          <w:color w:val="auto"/>
        </w:rPr>
      </w:pPr>
    </w:p>
    <w:p>
      <w:pPr>
        <w:ind w:left="8492"/>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752"/>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13335</wp:posOffset>
            </wp:positionV>
            <wp:extent cx="3001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87" w:lineRule="exact"/>
        <w:rPr>
          <w:sz w:val="20"/>
          <w:szCs w:val="20"/>
          <w:color w:val="auto"/>
        </w:rPr>
      </w:pPr>
    </w:p>
    <w:p>
      <w:pPr>
        <w:jc w:val="both"/>
        <w:ind w:left="7292"/>
        <w:spacing w:after="0"/>
        <w:tabs>
          <w:tab w:leader="none" w:pos="8892" w:val="left"/>
          <w:tab w:leader="none" w:pos="10512"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12"/>
          </w:cols>
          <w:pgMar w:left="248" w:top="719" w:right="239" w:bottom="1440" w:gutter="0" w:footer="0" w:header="0"/>
        </w:sectPr>
      </w:pPr>
    </w:p>
    <w:p>
      <w:pPr>
        <w:spacing w:after="0" w:line="63" w:lineRule="exact"/>
        <w:rPr>
          <w:sz w:val="20"/>
          <w:szCs w:val="20"/>
          <w:color w:val="auto"/>
        </w:rPr>
      </w:pPr>
    </w:p>
    <w:p>
      <w:pPr>
        <w:ind w:left="32"/>
        <w:spacing w:after="0"/>
        <w:rPr>
          <w:sz w:val="20"/>
          <w:szCs w:val="20"/>
          <w:color w:val="auto"/>
        </w:rPr>
      </w:pPr>
      <w:r>
        <w:rPr>
          <w:rFonts w:ascii="Arial" w:cs="Arial" w:eastAsia="Arial" w:hAnsi="Arial"/>
          <w:sz w:val="18"/>
          <w:szCs w:val="18"/>
          <w:color w:val="auto"/>
        </w:rPr>
        <w:t>U.S. federal statutory rate</w:t>
      </w:r>
    </w:p>
    <w:p>
      <w:pPr>
        <w:spacing w:after="0" w:line="63" w:lineRule="exact"/>
        <w:rPr>
          <w:sz w:val="20"/>
          <w:szCs w:val="20"/>
          <w:color w:val="auto"/>
        </w:rPr>
      </w:pPr>
    </w:p>
    <w:p>
      <w:pPr>
        <w:ind w:left="32"/>
        <w:spacing w:after="0"/>
        <w:rPr>
          <w:sz w:val="20"/>
          <w:szCs w:val="20"/>
          <w:color w:val="auto"/>
        </w:rPr>
      </w:pPr>
      <w:r>
        <w:rPr>
          <w:rFonts w:ascii="Arial" w:cs="Arial" w:eastAsia="Arial" w:hAnsi="Arial"/>
          <w:sz w:val="18"/>
          <w:szCs w:val="18"/>
          <w:color w:val="auto"/>
        </w:rPr>
        <w:t>State and local taxes, net of U.S. federal benefit</w:t>
      </w:r>
    </w:p>
    <w:p>
      <w:pPr>
        <w:spacing w:after="0" w:line="62" w:lineRule="exact"/>
        <w:rPr>
          <w:sz w:val="20"/>
          <w:szCs w:val="20"/>
          <w:color w:val="auto"/>
        </w:rPr>
      </w:pPr>
    </w:p>
    <w:p>
      <w:pPr>
        <w:ind w:left="32"/>
        <w:spacing w:after="0"/>
        <w:rPr>
          <w:sz w:val="20"/>
          <w:szCs w:val="20"/>
          <w:color w:val="auto"/>
        </w:rPr>
      </w:pPr>
      <w:r>
        <w:rPr>
          <w:rFonts w:ascii="Arial" w:cs="Arial" w:eastAsia="Arial" w:hAnsi="Arial"/>
          <w:sz w:val="18"/>
          <w:szCs w:val="18"/>
          <w:color w:val="auto"/>
        </w:rPr>
        <w:t>Foreign tax rate differential</w:t>
      </w:r>
      <w:r>
        <w:rPr>
          <w:rFonts w:ascii="Arial" w:cs="Arial" w:eastAsia="Arial" w:hAnsi="Arial"/>
          <w:sz w:val="25"/>
          <w:szCs w:val="25"/>
          <w:color w:val="auto"/>
          <w:vertAlign w:val="superscript"/>
        </w:rPr>
        <w:t>(1)</w:t>
      </w:r>
    </w:p>
    <w:p>
      <w:pPr>
        <w:ind w:left="32"/>
        <w:spacing w:after="0"/>
        <w:rPr>
          <w:sz w:val="20"/>
          <w:szCs w:val="20"/>
          <w:color w:val="auto"/>
        </w:rPr>
      </w:pPr>
      <w:r>
        <w:rPr>
          <w:rFonts w:ascii="Arial" w:cs="Arial" w:eastAsia="Arial" w:hAnsi="Arial"/>
          <w:sz w:val="18"/>
          <w:szCs w:val="18"/>
          <w:color w:val="auto"/>
        </w:rPr>
        <w:t>Foreign earnings</w:t>
      </w:r>
    </w:p>
    <w:p>
      <w:pPr>
        <w:spacing w:after="0" w:line="40" w:lineRule="exact"/>
        <w:rPr>
          <w:sz w:val="20"/>
          <w:szCs w:val="20"/>
          <w:color w:val="auto"/>
        </w:rPr>
      </w:pPr>
    </w:p>
    <w:p>
      <w:pPr>
        <w:ind w:left="32"/>
        <w:spacing w:after="0"/>
        <w:rPr>
          <w:sz w:val="20"/>
          <w:szCs w:val="20"/>
          <w:color w:val="auto"/>
        </w:rPr>
      </w:pPr>
      <w:r>
        <w:rPr>
          <w:rFonts w:ascii="Arial" w:cs="Arial" w:eastAsia="Arial" w:hAnsi="Arial"/>
          <w:sz w:val="18"/>
          <w:szCs w:val="18"/>
          <w:color w:val="auto"/>
        </w:rPr>
        <w:t>Tax credits</w:t>
      </w:r>
      <w:r>
        <w:rPr>
          <w:rFonts w:ascii="Arial" w:cs="Arial" w:eastAsia="Arial" w:hAnsi="Arial"/>
          <w:sz w:val="25"/>
          <w:szCs w:val="25"/>
          <w:color w:val="auto"/>
          <w:vertAlign w:val="superscript"/>
        </w:rPr>
        <w:t>(2)</w:t>
      </w:r>
    </w:p>
    <w:p>
      <w:pPr>
        <w:ind w:left="32"/>
        <w:spacing w:after="0"/>
        <w:rPr>
          <w:sz w:val="20"/>
          <w:szCs w:val="20"/>
          <w:color w:val="auto"/>
        </w:rPr>
      </w:pPr>
      <w:r>
        <w:rPr>
          <w:rFonts w:ascii="Arial" w:cs="Arial" w:eastAsia="Arial" w:hAnsi="Arial"/>
          <w:sz w:val="15"/>
          <w:szCs w:val="15"/>
          <w:color w:val="auto"/>
        </w:rPr>
        <w:t>Excess tax benefits from stock-based compensation</w:t>
      </w:r>
      <w:r>
        <w:rPr>
          <w:rFonts w:ascii="Arial" w:cs="Arial" w:eastAsia="Arial" w:hAnsi="Arial"/>
          <w:sz w:val="21"/>
          <w:szCs w:val="21"/>
          <w:color w:val="auto"/>
          <w:vertAlign w:val="superscript"/>
        </w:rPr>
        <w:t>(3)</w:t>
      </w:r>
    </w:p>
    <w:p>
      <w:pPr>
        <w:spacing w:after="0" w:line="17" w:lineRule="exact"/>
        <w:rPr>
          <w:sz w:val="20"/>
          <w:szCs w:val="20"/>
          <w:color w:val="auto"/>
        </w:rPr>
      </w:pPr>
    </w:p>
    <w:p>
      <w:pPr>
        <w:ind w:left="32"/>
        <w:spacing w:after="0"/>
        <w:rPr>
          <w:sz w:val="20"/>
          <w:szCs w:val="20"/>
          <w:color w:val="auto"/>
        </w:rPr>
      </w:pPr>
      <w:r>
        <w:rPr>
          <w:rFonts w:ascii="Arial" w:cs="Arial" w:eastAsia="Arial" w:hAnsi="Arial"/>
          <w:sz w:val="18"/>
          <w:szCs w:val="18"/>
          <w:color w:val="auto"/>
        </w:rPr>
        <w:t>One-time transition tax</w:t>
      </w:r>
      <w:r>
        <w:rPr>
          <w:rFonts w:ascii="Arial" w:cs="Arial" w:eastAsia="Arial" w:hAnsi="Arial"/>
          <w:sz w:val="25"/>
          <w:szCs w:val="25"/>
          <w:color w:val="auto"/>
          <w:vertAlign w:val="superscript"/>
        </w:rPr>
        <w:t>(4)</w:t>
      </w:r>
    </w:p>
    <w:p>
      <w:pPr>
        <w:ind w:left="32"/>
        <w:spacing w:after="0"/>
        <w:rPr>
          <w:sz w:val="20"/>
          <w:szCs w:val="20"/>
          <w:color w:val="auto"/>
        </w:rPr>
      </w:pPr>
      <w:r>
        <w:rPr>
          <w:rFonts w:ascii="Arial" w:cs="Arial" w:eastAsia="Arial" w:hAnsi="Arial"/>
          <w:sz w:val="18"/>
          <w:szCs w:val="18"/>
          <w:color w:val="auto"/>
        </w:rPr>
        <w:t>Domestic production deduction</w:t>
      </w:r>
    </w:p>
    <w:p>
      <w:pPr>
        <w:spacing w:after="0" w:line="46" w:lineRule="exact"/>
        <w:rPr>
          <w:sz w:val="20"/>
          <w:szCs w:val="20"/>
          <w:color w:val="auto"/>
        </w:rPr>
      </w:pPr>
    </w:p>
    <w:p>
      <w:pPr>
        <w:ind w:left="32"/>
        <w:spacing w:after="0"/>
        <w:rPr>
          <w:sz w:val="20"/>
          <w:szCs w:val="20"/>
          <w:color w:val="auto"/>
        </w:rPr>
      </w:pPr>
      <w:r>
        <w:rPr>
          <w:rFonts w:ascii="Arial" w:cs="Arial" w:eastAsia="Arial" w:hAnsi="Arial"/>
          <w:sz w:val="18"/>
          <w:szCs w:val="18"/>
          <w:color w:val="auto"/>
        </w:rPr>
        <w:t>Valuation allowance—domestic</w:t>
      </w:r>
      <w:r>
        <w:rPr>
          <w:rFonts w:ascii="Arial" w:cs="Arial" w:eastAsia="Arial" w:hAnsi="Arial"/>
          <w:sz w:val="25"/>
          <w:szCs w:val="25"/>
          <w:color w:val="auto"/>
          <w:vertAlign w:val="superscript"/>
        </w:rPr>
        <w:t>(5)</w:t>
      </w:r>
    </w:p>
    <w:p>
      <w:pPr>
        <w:ind w:left="32"/>
        <w:spacing w:after="0"/>
        <w:rPr>
          <w:sz w:val="20"/>
          <w:szCs w:val="20"/>
          <w:color w:val="auto"/>
        </w:rPr>
      </w:pPr>
      <w:r>
        <w:rPr>
          <w:rFonts w:ascii="Arial" w:cs="Arial" w:eastAsia="Arial" w:hAnsi="Arial"/>
          <w:sz w:val="18"/>
          <w:szCs w:val="18"/>
          <w:color w:val="auto"/>
        </w:rPr>
        <w:t>Valuation allowance—foreign</w:t>
      </w:r>
    </w:p>
    <w:p>
      <w:pPr>
        <w:spacing w:after="0" w:line="47" w:lineRule="exact"/>
        <w:rPr>
          <w:sz w:val="20"/>
          <w:szCs w:val="20"/>
          <w:color w:val="auto"/>
        </w:rPr>
      </w:pPr>
    </w:p>
    <w:p>
      <w:pPr>
        <w:ind w:left="32"/>
        <w:spacing w:after="0"/>
        <w:rPr>
          <w:sz w:val="20"/>
          <w:szCs w:val="20"/>
          <w:color w:val="auto"/>
        </w:rPr>
      </w:pPr>
      <w:r>
        <w:rPr>
          <w:rFonts w:ascii="Arial" w:cs="Arial" w:eastAsia="Arial" w:hAnsi="Arial"/>
          <w:sz w:val="18"/>
          <w:szCs w:val="18"/>
          <w:color w:val="auto"/>
        </w:rPr>
        <w:t>Change in reserves</w:t>
      </w:r>
    </w:p>
    <w:p>
      <w:pPr>
        <w:spacing w:after="0" w:line="63" w:lineRule="exact"/>
        <w:rPr>
          <w:sz w:val="20"/>
          <w:szCs w:val="20"/>
          <w:color w:val="auto"/>
        </w:rPr>
      </w:pPr>
    </w:p>
    <w:p>
      <w:pPr>
        <w:ind w:left="32"/>
        <w:spacing w:after="0"/>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(6)</w:t>
      </w:r>
    </w:p>
    <w:p>
      <w:pPr>
        <w:spacing w:after="0" w:line="12" w:lineRule="exact"/>
        <w:rPr>
          <w:sz w:val="20"/>
          <w:szCs w:val="20"/>
          <w:color w:val="auto"/>
        </w:rPr>
      </w:pPr>
    </w:p>
    <w:p>
      <w:pPr>
        <w:ind w:left="32"/>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4176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gridSpan w:val="2"/>
          </w:tcPr>
          <w:p>
            <w:pPr>
              <w:ind w:left="1020"/>
              <w:spacing w:after="0"/>
              <w:rPr>
                <w:sz w:val="20"/>
                <w:szCs w:val="20"/>
                <w:color w:val="auto"/>
              </w:rPr>
            </w:pPr>
            <w:r>
              <w:rPr>
                <w:rFonts w:ascii="Arial" w:cs="Arial" w:eastAsia="Arial" w:hAnsi="Arial"/>
                <w:sz w:val="18"/>
                <w:szCs w:val="18"/>
                <w:b w:val="1"/>
                <w:bCs w:val="1"/>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0"/>
        </w:trPr>
        <w:tc>
          <w:tcPr>
            <w:tcW w:w="1580" w:type="dxa"/>
            <w:vAlign w:val="bottom"/>
            <w:gridSpan w:val="2"/>
          </w:tcPr>
          <w:p>
            <w:pPr>
              <w:ind w:left="1020"/>
              <w:spacing w:after="0"/>
              <w:rPr>
                <w:sz w:val="20"/>
                <w:szCs w:val="20"/>
                <w:color w:val="auto"/>
              </w:rPr>
            </w:pPr>
            <w:r>
              <w:rPr>
                <w:rFonts w:ascii="Arial" w:cs="Arial" w:eastAsia="Arial" w:hAnsi="Arial"/>
                <w:sz w:val="18"/>
                <w:szCs w:val="18"/>
                <w:b w:val="1"/>
                <w:bCs w:val="1"/>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-1920240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-1577340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-1234440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-891540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-548005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-205105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972" w:space="720"/>
            <w:col w:w="4720"/>
          </w:cols>
          <w:pgMar w:left="248" w:top="719" w:right="239" w:bottom="1440" w:gutter="0" w:footer="0" w:header="0"/>
          <w:type w:val="continuous"/>
        </w:sectPr>
      </w:pPr>
    </w:p>
    <w:p>
      <w:pPr>
        <w:ind w:left="-8" w:firstLine="8"/>
        <w:spacing w:after="0" w:line="250" w:lineRule="auto"/>
        <w:tabs>
          <w:tab w:leader="none" w:pos="142"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foreign rate differential in relation to foreign earnings, for all periods presented, are primarily driven by changes in the mix of our foreign earnings and the difference in the foreign versus U.S. income tax rate.</w:t>
      </w:r>
    </w:p>
    <w:p>
      <w:pPr>
        <w:ind w:left="132" w:hanging="132"/>
        <w:spacing w:after="0"/>
        <w:tabs>
          <w:tab w:leader="none" w:pos="132" w:val="left"/>
        </w:tabs>
        <w:numPr>
          <w:ilvl w:val="0"/>
          <w:numId w:val="34"/>
        </w:numPr>
        <w:rPr>
          <w:rFonts w:ascii="Arial" w:cs="Arial" w:eastAsia="Arial" w:hAnsi="Arial"/>
          <w:sz w:val="9"/>
          <w:szCs w:val="9"/>
          <w:color w:val="auto"/>
        </w:rPr>
      </w:pPr>
      <w:r>
        <w:rPr>
          <w:rFonts w:ascii="Arial" w:cs="Arial" w:eastAsia="Arial" w:hAnsi="Arial"/>
          <w:sz w:val="14"/>
          <w:szCs w:val="14"/>
          <w:color w:val="auto"/>
        </w:rPr>
        <w:t>Tax benefits were recorded for fiscal years ended March 31, 2019, 2018, and 2017 attributable to certain tax credits related to software development activities.</w:t>
      </w:r>
    </w:p>
    <w:p>
      <w:pPr>
        <w:spacing w:after="0" w:line="1" w:lineRule="exact"/>
        <w:rPr>
          <w:rFonts w:ascii="Arial" w:cs="Arial" w:eastAsia="Arial" w:hAnsi="Arial"/>
          <w:sz w:val="9"/>
          <w:szCs w:val="9"/>
          <w:color w:val="auto"/>
        </w:rPr>
      </w:pPr>
    </w:p>
    <w:p>
      <w:pPr>
        <w:ind w:left="-8" w:firstLine="8"/>
        <w:spacing w:after="0" w:line="241" w:lineRule="auto"/>
        <w:tabs>
          <w:tab w:leader="none" w:pos="133"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accounting for stock based compensation will increase or decrease our effective tax rate based upon the difference between our share-based compensation expense and the deductions taken on our tax return, which depends upon the stock price at the time of employee award vesting.</w:t>
      </w:r>
    </w:p>
    <w:p>
      <w:pPr>
        <w:ind w:left="-8" w:firstLine="8"/>
        <w:spacing w:after="0" w:line="241" w:lineRule="auto"/>
        <w:tabs>
          <w:tab w:leader="none" w:pos="144" w:val="left"/>
        </w:tabs>
        <w:numPr>
          <w:ilvl w:val="0"/>
          <w:numId w:val="34"/>
        </w:numPr>
        <w:rPr>
          <w:rFonts w:ascii="Arial" w:cs="Arial" w:eastAsia="Arial" w:hAnsi="Arial"/>
          <w:sz w:val="9"/>
          <w:szCs w:val="9"/>
          <w:color w:val="auto"/>
        </w:rPr>
      </w:pPr>
      <w:r>
        <w:rPr>
          <w:rFonts w:ascii="Arial" w:cs="Arial" w:eastAsia="Arial" w:hAnsi="Arial"/>
          <w:sz w:val="14"/>
          <w:szCs w:val="14"/>
          <w:color w:val="auto"/>
        </w:rPr>
        <w:t>Represents the true-up related to the provisional estimate recorded in the fiscal year ended March 31, 2018 in accordance with SAB 118 for the one-time transition tax on previously untaxed earnings of certain foreign subsidiaries.</w:t>
      </w:r>
    </w:p>
    <w:p>
      <w:pPr>
        <w:ind w:left="-8" w:right="20" w:firstLine="8"/>
        <w:spacing w:after="0" w:line="241" w:lineRule="auto"/>
        <w:tabs>
          <w:tab w:leader="none" w:pos="137"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change in domestic valuation allowance includes a reduction in our valuation allowance on certain U.S. deferred tax assets as a result of a determination that it was more-likely-than-not that such deferred tax assets would be realized in the fiscal year ended March 31, 2019.</w:t>
      </w:r>
    </w:p>
    <w:p>
      <w:pPr>
        <w:ind w:left="132" w:hanging="132"/>
        <w:spacing w:after="0"/>
        <w:tabs>
          <w:tab w:leader="none" w:pos="132"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Includes the effects from the Act, excluding the SAB 118 true-up relating to the one-time transition tax, which were not material</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12"/>
          </w:cols>
          <w:pgMar w:left="248" w:top="719" w:right="239" w:bottom="1440" w:gutter="0" w:footer="0" w:header="0"/>
          <w:type w:val="continuous"/>
        </w:sectPr>
      </w:pPr>
    </w:p>
    <w:bookmarkStart w:id="88" w:name="page89"/>
    <w:bookmarkEnd w:id="88"/>
    <w:p>
      <w:pPr>
        <w:ind w:left="660"/>
        <w:spacing w:after="0"/>
        <w:rPr>
          <w:sz w:val="20"/>
          <w:szCs w:val="20"/>
          <w:color w:val="auto"/>
        </w:rPr>
      </w:pPr>
      <w:r>
        <w:rPr>
          <w:rFonts w:ascii="Arial" w:cs="Arial" w:eastAsia="Arial" w:hAnsi="Arial"/>
          <w:sz w:val="18"/>
          <w:szCs w:val="18"/>
          <w:color w:val="auto"/>
        </w:rPr>
        <w:t>The effects of temporary differences that gave rise to our deferred tax assets and liabilities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Accrued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113,517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94,919</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82,720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78,293</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Tax credit carryforward</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72,408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64,175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35,378</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5,965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5,729</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reorganization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16,369</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42,426</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returns and allowances (including bad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1,145</w:t>
            </w:r>
          </w:p>
        </w:tc>
      </w:tr>
      <w:tr>
        <w:trPr>
          <w:trHeight w:val="27"/>
        </w:trPr>
        <w:tc>
          <w:tcPr>
            <w:tcW w:w="8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302,677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339,009</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(195,640)</w:t>
            </w:r>
          </w:p>
        </w:tc>
      </w:tr>
      <w:tr>
        <w:trPr>
          <w:trHeight w:val="27"/>
        </w:trPr>
        <w:tc>
          <w:tcPr>
            <w:tcW w:w="8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253,264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143,369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software and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(118,119)</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Intangible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(22,486)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(24,651)</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(145,444)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(147,317)</w:t>
            </w:r>
          </w:p>
        </w:tc>
      </w:tr>
      <w:tr>
        <w:trPr>
          <w:trHeight w:val="27"/>
        </w:trPr>
        <w:tc>
          <w:tcPr>
            <w:tcW w:w="8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60" w:type="dxa"/>
            <w:vAlign w:val="bottom"/>
            <w:gridSpan w:val="2"/>
            <w:shd w:val="clear" w:color="auto" w:fill="CCEEFF"/>
          </w:tcPr>
          <w:p>
            <w:pPr>
              <w:ind w:left="680"/>
              <w:spacing w:after="0" w:line="264" w:lineRule="exact"/>
              <w:rPr>
                <w:sz w:val="20"/>
                <w:szCs w:val="20"/>
                <w:color w:val="auto"/>
              </w:rPr>
            </w:pPr>
            <w:r>
              <w:rPr>
                <w:rFonts w:ascii="Arial" w:cs="Arial" w:eastAsia="Arial" w:hAnsi="Arial"/>
                <w:sz w:val="18"/>
                <w:szCs w:val="18"/>
                <w:color w:val="auto"/>
              </w:rPr>
              <w:t xml:space="preserve">Net deferred tax asset / (liability)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107,820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0"/>
        </w:trPr>
        <w:tc>
          <w:tcPr>
            <w:tcW w:w="8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(1) As of March 31, 2019, $134,732 is included in Deferred tax assets and $26,912 is included in Other long-term liabilities. As of March 31, 2018</w:t>
      </w:r>
      <w:r>
        <w:rPr>
          <w:rFonts w:ascii="Arial" w:cs="Arial" w:eastAsia="Arial" w:hAnsi="Arial"/>
          <w:sz w:val="16"/>
          <w:szCs w:val="16"/>
          <w:color w:val="auto"/>
        </w:rPr>
        <w:t>,</w:t>
      </w:r>
      <w:r>
        <w:rPr>
          <w:rFonts w:ascii="Arial" w:cs="Arial" w:eastAsia="Arial" w:hAnsi="Arial"/>
          <w:sz w:val="13"/>
          <w:szCs w:val="13"/>
          <w:color w:val="auto"/>
        </w:rPr>
        <w:t xml:space="preserve"> $3,948 is included in Other long-term liabilities.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recognized a tax benefit of $107,132 from a reduction in our valuation allowance on certain U.S. deferred tax assets as a result of a determination that it was more-likely-than-not that such deferred tax assets would be realized. Our determination took into account that successful launch of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2 </w:t>
      </w:r>
      <w:r>
        <w:rPr>
          <w:rFonts w:ascii="Arial" w:cs="Arial" w:eastAsia="Arial" w:hAnsi="Arial"/>
          <w:sz w:val="18"/>
          <w:szCs w:val="18"/>
          <w:color w:val="auto"/>
        </w:rPr>
        <w:t>during the fiscal 2019 along with our recent positive trend of earnings.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valuation allowance is primarily attributable to deferred tax assets for which no benefit is provided due to uncertainty with respect to their realization. In the previous year, the net deferred tax liability is primarily the result of deferred tax liabilities related to indefinite lived intangibles, which cannot be used to offset deferred tax assets, as well as deferred tax liabilities related to intangibles as a result of the acquisition of Social Point.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March 31, 2019, we had domestic net operating loss carryforwards totaling $47,520 of which $23,986 will expire in 2022 to 2027, $15,308 will expire from 2029 to 2032, and $8,226 will expire in 2038 to 2039. In addition, we had foreign net operating loss carryforwards of $20,563, of which $4,494 will expire from 2023 to 2028 and the remainder may be carried forward indefinitely.</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2019, we had domestic credit carryforwards totaling $202,450, of which $115,008 expire in 2029 to 2039, and the remainder may be carried forward indefinitely.</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amount of undistributed earnings of foreign subsidiaries was approximately $410,095 at March 31, 2019 and $314,800 at March 31, 2018. As of March 31, 2019, it is our intention to reinvest indefinitely undistributed earnings of our foreign subsidiaries. Accordingly, no provision has been made for foreign withholding taxes or U.S. income taxes which may become payable if undistributed earnings of foreign subsidiaries are repatriated. It is not practicable to estimate the tax liability that would arise if these earnings were remitted.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the Consolidated Financial Statements.</w:t>
      </w:r>
    </w:p>
    <w:p>
      <w:pPr>
        <w:sectPr>
          <w:pgSz w:w="11900" w:h="16838" w:orient="portrait"/>
          <w:cols w:equalWidth="0" w:num="1">
            <w:col w:w="11420"/>
          </w:cols>
          <w:pgMar w:left="240" w:top="7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719"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It is possible that settlement of audits or the expiration of the statute of limitations may have an impact on our effective tax rate in future periods.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 interest and penalties related to uncertain tax positions in the provision for income taxes in our Consolidated Statements of Operations. For the fiscal years ended March 31, 2019, 2018 and 2017, we recognized an increase in interest and penalties of $232, $2,363 and $877, respectively. The gross amount of interest and penalties accrued as of March 31, 2019 and 2018 was $6,686 and $6,453, respectively.</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2019, we had gross unrecognized tax benefits, including interest and penalties, of $139,006, of which $23,937 would affect our effective tax rate if realized. For the fiscal year ended March 31, 2019, gross unrecognized tax benefits increased by $10,496.</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 longer subject to audit for U.S. federal income tax returns for periods prior to our fiscal year ended March 31, 2016 and state income tax returns for periods prior to the fiscal year ended March 31, 2014. With few exceptions, we are no longer subject to income tax examinations in non-U.S. jurisdictions for years prior to our fiscal year ended March 31, 2014. U.S. federal taxing authorities have completed examinations of our income tax returns through the fiscal year ended March 31, 2015.</w:t>
      </w:r>
    </w:p>
    <w:p>
      <w:pPr>
        <w:spacing w:after="0" w:line="1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timing of the resolution of income tax examinations is highly uncertain, and the amounts ultimately paid, if any, upon resolution of the issues raised by the taxing authorities may differ materially from the amounts accrued for each year. Although potential resolution of uncertain tax positions involve multiple tax periods and jurisdictions, it is reasonably possible that a reduction of $11,117 of unrecognized tax benefits may occur within the next 12 months, some of which, depending on the nature of the settlement or expiration of statutes of limitations, may affect our income tax provision and therefore benefit the resulting effective tax rate. The actual amount could vary significantly depending on the ultimate timing and nature of any settlements.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to the liability for gross uncertain tax positions, excluding interest and penalties,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4"/>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122,056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52,799</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65,669</w:t>
            </w:r>
          </w:p>
        </w:tc>
      </w:tr>
      <w:tr>
        <w:trPr>
          <w:trHeight w:val="243"/>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Prior year tax positions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5,086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 of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Lapse of statute of limitations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(7,469)</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132,320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116,085</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220" w:lineRule="exact"/>
        <w:rPr>
          <w:sz w:val="20"/>
          <w:szCs w:val="20"/>
          <w:color w:val="auto"/>
        </w:rPr>
      </w:pPr>
    </w:p>
    <w:p>
      <w:pPr>
        <w:ind w:right="8240" w:firstLine="8"/>
        <w:spacing w:after="0" w:line="599" w:lineRule="auto"/>
        <w:tabs>
          <w:tab w:leader="none" w:pos="3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Stock Incentive Plan</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September 2017, our stockholders approved our 2017 Stock Incentive Plan (the "2017 Plan"). The aggregate number of shares issuable under the 2017 Plan is 7,596, subject to adjustment as set forth in the 2017 Plan, and, as of March 31, 2019, there were approximately 5,426 shares available for issuance. The 2017 Plan is administered by the Compensation Committee of the Board of Directors and allows for awards of restricted stock units and other stock-based awards of our common stock to employees and non-employees, including to ZelnickMedia in connection with their contract to provide executive management service to us. Subject to the provisions of the plans, the Board of Directors or any Committee appointed by the Board of Directors, has the authority to determine the individuals to whom the equity awards are to be granted, the number of shares to be covered by each equity award, the vesting period, restrictions, if any, on the equity award and the terms and conditions of the equity award. Upon the vesting of certain stock-based awards, employees have the option to have us withhold shares to satisfy the employee's federal and state tax withholding requirements.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1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included in our Consolidated Statements of Operations: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149,075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21,056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23,685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9,963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42,908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23,037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7,952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reorganization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Stock-based compensation expense before income taxes</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247,700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116,349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81,879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37"/>
        </w:trPr>
        <w:tc>
          <w:tcPr>
            <w:tcW w:w="74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Stock-based compensation expense, net of income tax benefit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199,317</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112,788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80,327</w:t>
            </w:r>
          </w:p>
        </w:tc>
      </w:tr>
      <w:tr>
        <w:trPr>
          <w:trHeight w:val="67"/>
        </w:trPr>
        <w:tc>
          <w:tcPr>
            <w:tcW w:w="7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2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Capitalized stock-based compensation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75,725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74,717</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fiscal year ended March 31, 2019, the forfeiture of awards resulted in the reversal of expense of $5,784 and amounts capitalized as software development costs of $17,504. During the fiscal year ended March 31, 2018, the forfeiture of awards resulted in the reversal of expense of $17,069 and amounts capitalized as software development costs of $53,779.</w:t>
      </w:r>
    </w:p>
    <w:p>
      <w:pPr>
        <w:spacing w:after="0" w:line="23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March 31, 2019, the total future unrecognized compensation cost related to outstanding unvested restricted stock was $345,858 and will be either recognized as compensation expense over a weighted-average period of approximately 2.9 years or capitalized as software development costs.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years ended March 31, 2019, 2018 and 2017, the weighted average fair values of restricted stock units that vested were $264,162, $268,570 and $137,130,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Time-based restricted stock units granted to employees under our stock-based compensation plans generally vest either annually or quarterly over 3 years from the date of grant. Certain restricted stock units granted to key officers, senior-level employees, or key employees vest based on market conditions, primarily related to the performance of the price of our common stock. Certain restricted stock units granted to key officers, senior-level employees, or key employees vest based on performance conditions, primarily related to performance metrics around certain of our titles.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ZelnickMedia Non-Employee Awards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2014 Management Agreement and the 2017 Management Agreement, we granted restricted stock units to ZelnickMedia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3 - Management Agreement)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Fiscal Year Ended March 31,</w:t>
            </w:r>
          </w:p>
        </w:tc>
      </w:tr>
      <w:tr>
        <w:trPr>
          <w:trHeight w:val="264"/>
        </w:trPr>
        <w:tc>
          <w:tcPr>
            <w:tcW w:w="9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70"/>
        </w:trPr>
        <w:tc>
          <w:tcPr>
            <w:tcW w:w="9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Market-based</w:t>
            </w:r>
            <w:r>
              <w:rPr>
                <w:rFonts w:ascii="Arial" w:cs="Arial" w:eastAsia="Arial" w:hAnsi="Arial"/>
                <w:sz w:val="25"/>
                <w:szCs w:val="25"/>
                <w:color w:val="auto"/>
                <w:vertAlign w:val="superscript"/>
              </w:rPr>
              <w:t>(1)</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0"/>
        </w:trPr>
        <w:tc>
          <w:tcPr>
            <w:tcW w:w="94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Performance-based</w:t>
            </w:r>
            <w:r>
              <w:rPr>
                <w:rFonts w:ascii="Arial" w:cs="Arial" w:eastAsia="Arial" w:hAnsi="Arial"/>
                <w:sz w:val="25"/>
                <w:szCs w:val="25"/>
                <w:color w:val="auto"/>
                <w:vertAlign w:val="superscript"/>
              </w:rPr>
              <w:t>(1)</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9480" w:type="dxa"/>
            <w:vAlign w:val="bottom"/>
            <w:gridSpan w:val="2"/>
          </w:tcPr>
          <w:p>
            <w:pPr>
              <w:ind w:left="180"/>
              <w:spacing w:after="0"/>
              <w:rPr>
                <w:sz w:val="20"/>
                <w:szCs w:val="20"/>
                <w:color w:val="auto"/>
              </w:rPr>
            </w:pPr>
            <w:r>
              <w:rPr>
                <w:rFonts w:ascii="Arial" w:cs="Arial" w:eastAsia="Arial" w:hAnsi="Arial"/>
                <w:sz w:val="18"/>
                <w:szCs w:val="18"/>
                <w:color w:val="auto"/>
              </w:rPr>
              <w:t>New IP</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Major IP</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9480" w:type="dxa"/>
            <w:vAlign w:val="bottom"/>
            <w:gridSpan w:val="2"/>
          </w:tcPr>
          <w:p>
            <w:pPr>
              <w:ind w:left="180"/>
              <w:spacing w:after="0"/>
              <w:rPr>
                <w:sz w:val="20"/>
                <w:szCs w:val="20"/>
                <w:color w:val="auto"/>
              </w:rPr>
            </w:pPr>
            <w:r>
              <w:rPr>
                <w:rFonts w:ascii="Arial" w:cs="Arial" w:eastAsia="Arial" w:hAnsi="Arial"/>
                <w:sz w:val="18"/>
                <w:szCs w:val="18"/>
                <w:color w:val="auto"/>
              </w:rPr>
              <w:t>IP</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Recurrent Consumer Spending ("RCS")</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Total-Performance-based</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r>
      <w:tr>
        <w:trPr>
          <w:trHeight w:val="20"/>
        </w:trPr>
        <w:tc>
          <w:tcPr>
            <w:tcW w:w="9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Represents the maximum number of shares eligible to vest.</w:t>
      </w:r>
    </w:p>
    <w:p>
      <w:pPr>
        <w:sectPr>
          <w:pgSz w:w="11900" w:h="16838" w:orient="portrait"/>
          <w:cols w:equalWidth="0" w:num="1">
            <w:col w:w="11420"/>
          </w:cols>
          <w:pgMar w:left="240" w:top="71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715" w:right="239" w:bottom="1440" w:gutter="0" w:footer="0" w:header="0"/>
          <w:type w:val="continuous"/>
        </w:sectPr>
      </w:pPr>
    </w:p>
    <w:bookmarkStart w:id="91" w:name="page92"/>
    <w:bookmarkEnd w:id="91"/>
    <w:p>
      <w:pPr>
        <w:jc w:val="both"/>
        <w:ind w:firstLine="648"/>
        <w:spacing w:after="0" w:line="277" w:lineRule="auto"/>
        <w:rPr>
          <w:sz w:val="20"/>
          <w:szCs w:val="20"/>
          <w:color w:val="auto"/>
        </w:rPr>
      </w:pPr>
      <w:r>
        <w:rPr>
          <w:rFonts w:ascii="Arial" w:cs="Arial" w:eastAsia="Arial" w:hAnsi="Arial"/>
          <w:sz w:val="18"/>
          <w:szCs w:val="18"/>
          <w:color w:val="auto"/>
        </w:rPr>
        <w:t>Time-based restricted stock units granted in fiscal 2019 will vest on April 13, 2020, provided that the 2017 Management Agreement has not been terminated prior to such vesting date, and those granted in fiscal 2018 vested on April 4, 2019.</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Market-based restricted stock units granted in fiscal 2019 are eligible to vest on April 13, 2020, provided that the 2017 Management Agreement has not been terminated prior to such vesting date, and those granted in fiscal 2018 vested on April 4, 2019. Market-based restricted stock units are eligible to vest based on our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least at the 75th percentile.</w:t>
      </w: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Performance-based restricted stock units granted in fiscal 2019 are eligible to vest on April 13, 2020, provided that the 2017 Management Agreement has not been terminated prior to such vesting date, and those granted in fiscal 2018 vested on April 4, 2019. The performance-based restricted stock units granted in fiscal 2018, of which 50% are tied to "New IP" and 50% to "Major IP" (as defined in the relevant grant agreement), were eligible to vest based on the Company's achievement of certain performance metrics (as defined in the relevant grant agreement) of individual product releases of "New IP" or "Major IP", respectively, measured over a two-year period. The performance-based restricted stock units granted in fiscal 2019, of which 50% are tied to "IP" and 50% to "RCS" (as defined in the relevant grant agreement), are eligible to vest based on the Company's achievement of certain performance metrics (as defined in the relevant grant agreement) of either (a) individual product releases of "IP" or (b)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 Certain performance metrics have been achieved as of March 31, 2019 for the "Major IP," "IP," and "RCS" performance-based restricted stock units granted in fiscal 2018 and fiscal 2019.</w:t>
      </w:r>
    </w:p>
    <w:p>
      <w:pPr>
        <w:spacing w:after="0" w:line="2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ZelnickMedia as of March 31, 2019 and 2018 were 526 and 602, respectively. During the fiscal year ended March 31, 2019, 340 restricted stock units previously granted to ZelnickMedia vested and 33 restricted stock units were forfeited by ZelnickMedia.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Stock-Based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Awards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value, based on the closing price of our stock on the grant date, of time-based restricted stock units granted to employees during the fiscal years ended March 31, 2019, 2018 and 2017 was $103.79, $106.28 and $49.43 per share, respectively.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years ended March 31, 2019, 2018 and 2017, the estimated value, based on the closing price of our stock on the grant date, of time-based restricted stock awards granted to ZelnickMedia was $97.19, $78.53 and $36.37 per share,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19" w:right="239" w:bottom="1440" w:gutter="0" w:footer="0" w:header="0"/>
        </w:sectPr>
      </w:pPr>
    </w:p>
    <w:bookmarkStart w:id="92" w:name="page93"/>
    <w:bookmarkEnd w:id="92"/>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time-based restricted stock awards presented at 100% of target number of shares that may potentially vest:</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3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2016</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2017</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3,023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3,480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(1,053)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2018</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995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Awards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weighted-average assumptions used in the Monte Carlo Simulation to estimate the fair value of market-based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5"/>
              </w:rPr>
              <w:t>Fiscal Year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right"/>
              <w:ind w:right="600"/>
              <w:spacing w:after="0" w:line="153" w:lineRule="exact"/>
              <w:rPr>
                <w:sz w:val="20"/>
                <w:szCs w:val="20"/>
                <w:color w:val="auto"/>
              </w:rPr>
            </w:pPr>
            <w:r>
              <w:rPr>
                <w:rFonts w:ascii="Arial" w:cs="Arial" w:eastAsia="Arial" w:hAnsi="Arial"/>
                <w:sz w:val="14"/>
                <w:szCs w:val="14"/>
                <w:b w:val="1"/>
                <w:bCs w:val="1"/>
                <w:color w:val="auto"/>
              </w:rPr>
              <w:t>Employee</w:t>
            </w: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Non-Employee</w:t>
            </w:r>
          </w:p>
        </w:tc>
        <w:tc>
          <w:tcPr>
            <w:tcW w:w="152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Employee</w:t>
            </w:r>
          </w:p>
        </w:tc>
        <w:tc>
          <w:tcPr>
            <w:tcW w:w="12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5"/>
              </w:rPr>
              <w:t>Non-Employee</w:t>
            </w:r>
          </w:p>
        </w:tc>
        <w:tc>
          <w:tcPr>
            <w:tcW w:w="1540" w:type="dxa"/>
            <w:vAlign w:val="bottom"/>
            <w:gridSpan w:val="3"/>
          </w:tcPr>
          <w:p>
            <w:pPr>
              <w:jc w:val="right"/>
              <w:ind w:right="600"/>
              <w:spacing w:after="0" w:line="153" w:lineRule="exact"/>
              <w:rPr>
                <w:sz w:val="20"/>
                <w:szCs w:val="20"/>
                <w:color w:val="auto"/>
              </w:rPr>
            </w:pPr>
            <w:r>
              <w:rPr>
                <w:rFonts w:ascii="Arial" w:cs="Arial" w:eastAsia="Arial" w:hAnsi="Arial"/>
                <w:sz w:val="14"/>
                <w:szCs w:val="14"/>
                <w:b w:val="1"/>
                <w:bCs w:val="1"/>
                <w:color w:val="auto"/>
              </w:rPr>
              <w:t>Employee</w:t>
            </w:r>
          </w:p>
        </w:tc>
        <w:tc>
          <w:tcPr>
            <w:tcW w:w="114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3"/>
              </w:rPr>
              <w:t>Non-Employee</w:t>
            </w:r>
          </w:p>
        </w:tc>
      </w:tr>
      <w:tr>
        <w:trPr>
          <w:trHeight w:val="192"/>
        </w:trPr>
        <w:tc>
          <w:tcPr>
            <w:tcW w:w="3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Market-Based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Market-Based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Market-Based</w:t>
            </w: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service period (years)</w:t>
            </w: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Dividends</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None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None</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None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None</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None</w:t>
            </w:r>
          </w:p>
        </w:tc>
        <w:tc>
          <w:tcPr>
            <w:tcW w:w="1140" w:type="dxa"/>
            <w:vAlign w:val="bottom"/>
          </w:tcPr>
          <w:p>
            <w:pPr>
              <w:jc w:val="right"/>
              <w:ind w:right="96"/>
              <w:spacing w:after="0"/>
              <w:rPr>
                <w:sz w:val="20"/>
                <w:szCs w:val="20"/>
                <w:color w:val="auto"/>
              </w:rPr>
            </w:pPr>
            <w:r>
              <w:rPr>
                <w:rFonts w:ascii="Arial" w:cs="Arial" w:eastAsia="Arial" w:hAnsi="Arial"/>
                <w:sz w:val="18"/>
                <w:szCs w:val="18"/>
                <w:b w:val="1"/>
                <w:bCs w:val="1"/>
                <w:color w:val="auto"/>
              </w:rPr>
              <w:t>None</w:t>
            </w:r>
          </w:p>
        </w:tc>
      </w:tr>
    </w:tbl>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estimated value of market-based restricted stock awards granted to employees during the fiscal years ended March 31, 2019, 2018, and 2017 was $150.91, $141.78, and $63.60 per share, respectively. For the fiscal years ended March 31, 2019, 2018, and 2017, the estimated value of the market-based restricted stock awards granted to ZelnickMedia was $119.21, $185.66, and $51.92 per share, respectively.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19" w:right="239" w:bottom="1440" w:gutter="0" w:footer="0" w:header="0"/>
        </w:sectPr>
      </w:pPr>
    </w:p>
    <w:bookmarkStart w:id="93" w:name="page94"/>
    <w:bookmarkEnd w:id="93"/>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market-based restricted stock awards presented at 100% of target number of shares that may potentially vest:</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3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2016</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2017</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614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2018</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value of performance-based restricted stock awards granted to employees during the fiscal year ended March 31, 2019 and 2018 was $100.29 and $102.57, respectively. None were granted to employees during the fiscal year ended March 31, 2017. For the fiscal years ended March 31, 2019, 2018, and 2017, the estimated value of the performance-based restricted stock awards granted to ZelnickMedia was $97.19, $97.78, and $59.27 per share, respectively.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performance restricted stock awards presented at 100% of target number of shares that may potentially vest:</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3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2016</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2017</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3,945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(573)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2018</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3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2017, our stockholders approved our 2017 Global Employee Stock Purchase Plan as amended and restated ("ESPP"). The maximum aggregate number of shares of common stock that may be issued under the plan is 9,000, and as of March 31, 2019, there were approximately 8,943 shares available for issuance. The ESPP is administered by the Compensation Committee of the Board of Directors and allows for eligible employees an option to purchase shares of our common stock, which the employee may or may not exercise during an offering period. Eligible employees may authorize payroll deductions of between 1% and 10%</w:t>
      </w:r>
    </w:p>
    <w:p>
      <w:pPr>
        <w:sectPr>
          <w:pgSz w:w="11900" w:h="16838" w:orient="portrait"/>
          <w:cols w:equalWidth="0" w:num="1">
            <w:col w:w="11420"/>
          </w:cols>
          <w:pgMar w:left="240" w:top="719" w:right="239" w:bottom="919"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719" w:right="239" w:bottom="919" w:gutter="0" w:footer="0" w:header="0"/>
          <w:type w:val="continuous"/>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of their compensation to purchase shares of common stock at 85% of the lower of the market price of our common stock on the date of commencement of the applicable offering period or on the last day of each six-month purchase period.</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is determined using the Black-Scholes valuation model. Key assumptions of the Black-Scholes valuation model are the risk-free interest rate, expected volatility, expected term and expected dividends. The risk-free interest rate is based on U.S. Treasury yields in effect at the time of grant for the expected term of the option. Expected volatility is based on a combination of historical stock price volatility and implied volatility of publicly-traded options on our common stock. Expected term is determined based on historical exercise behavior, post-vesting termination patterns, options outstanding and future expected exercise behavior. The following table summarizes the assumptions used in the Black-Scholes valuation model to value our purchase rights for the fiscal year ended March 31, 2019:</w:t>
      </w:r>
    </w:p>
    <w:p>
      <w:pPr>
        <w:spacing w:after="0" w:line="200" w:lineRule="exact"/>
        <w:rPr>
          <w:sz w:val="20"/>
          <w:szCs w:val="20"/>
          <w:color w:val="auto"/>
        </w:rPr>
      </w:pPr>
    </w:p>
    <w:p>
      <w:pPr>
        <w:spacing w:after="0" w:line="268" w:lineRule="exact"/>
        <w:rPr>
          <w:sz w:val="20"/>
          <w:szCs w:val="20"/>
          <w:color w:val="auto"/>
        </w:rPr>
      </w:pPr>
    </w:p>
    <w:tbl>
      <w:tblPr>
        <w:tblLayout w:type="fixed"/>
        <w:tblInd w:w="312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Fiscal Year Ended March 31,</w:t>
            </w:r>
          </w:p>
        </w:tc>
      </w:tr>
      <w:tr>
        <w:trPr>
          <w:trHeight w:val="250"/>
        </w:trPr>
        <w:tc>
          <w:tcPr>
            <w:tcW w:w="30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2019</w:t>
            </w: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 - 2.5%</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39.1% - 40.0%</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service period (years)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March 31, 2019, our employees purchased 57 shares for $5,069 with a weighted-average fair value of $88.66.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REPURCHASE PROGRAM</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authorized the repurchase of up to 14,218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years ended March 31, 2019, 2018, and 2017 we repurchased 3,716, 1,513, and 0 shares of our common stock in the open market, respectively, for $362,429, $154,808, and $0, respectively, including commissions of $37, $16 and $0, respectively as part of the program. As of March 31, 2019, we had repurchased a total of 10,400 shares of our common stock under the program, and 3,818 shares of our common stock remained available for repurchase under the share repurchase program.</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repurchased shares are classified as Treasury stock in our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AND OTHER, NET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Fiscal Year Ended March 31,</w:t>
            </w:r>
          </w:p>
        </w:tc>
        <w:tc>
          <w:tcPr>
            <w:tcW w:w="1040" w:type="dxa"/>
            <w:vAlign w:val="bottom"/>
            <w:tcBorders>
              <w:bottom w:val="single" w:sz="8" w:color="auto"/>
            </w:tcBorders>
          </w:tcPr>
          <w:p>
            <w:pPr>
              <w:spacing w:after="0"/>
              <w:rPr>
                <w:sz w:val="16"/>
                <w:szCs w:val="16"/>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38,019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(29,569)</w:t>
            </w:r>
          </w:p>
        </w:tc>
      </w:tr>
      <w:tr>
        <w:trPr>
          <w:trHeight w:val="27"/>
        </w:trPr>
        <w:tc>
          <w:tcPr>
            <w:tcW w:w="4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4,990</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1,020</w:t>
            </w:r>
          </w:p>
        </w:tc>
      </w:tr>
      <w:tr>
        <w:trPr>
          <w:trHeight w:val="27"/>
        </w:trPr>
        <w:tc>
          <w:tcPr>
            <w:tcW w:w="4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3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26,113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(15,690)</w:t>
            </w:r>
          </w:p>
        </w:tc>
      </w:tr>
      <w:tr>
        <w:trPr>
          <w:trHeight w:val="20"/>
        </w:trPr>
        <w:tc>
          <w:tcPr>
            <w:tcW w:w="42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2780" w:type="dxa"/>
            <w:vAlign w:val="bottom"/>
          </w:tcPr>
          <w:p>
            <w:pPr>
              <w:jc w:val="right"/>
              <w:ind w:right="109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19.  ACCUMULATED OTHER COMPREHENSIVE INCOME (LOSS)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120" w:type="dxa"/>
            <w:vAlign w:val="bottom"/>
            <w:gridSpan w:val="3"/>
            <w:vMerge w:val="continue"/>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(loss) on</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available-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derivative</w:t>
            </w: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(loss) on cross-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for-sales</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currency swap</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43,379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25,942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Tax effect on cross-currency swap</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Tax effect on cross-currency swap</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REORGANIZATION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first quarter of fiscal 2018, we announced and initiated actions to implement a strategic reorganization at one of our labels (the "2018 Plan"). In the fourth quarter of fiscal 2018, we announced and initiated a second phase of the 2018 plan. In connection with both phases of this initiative, we incurred business reorganization expenses of $972 and $14,742 during the fiscal year ended March 31, 2019 and 2018, respectively, due primarily to employee separation costs. Through March 31, 2019, we had paid $9,502 related to these reorganization activities. As of March 31, 2019, $0 remained accrued for in Accrued expenses and other current liabilities and $6,214 in Other non-current liabilities. Although we may record additional expense or benefit in future periods to true-up estimates, we do not expect to incur additional reorganization in connection with the 2018 Plan.</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fiscal 2016, we announced and initiated actions to implement a strategic reorganization at one of our labels (the "2016 Plan"), including reorganizing one development studio and closing two development studios. During fiscal 2016, we incurred business reorganization expenses of $71,285 due primarily to employee separation costs in connection with this initiative and did not incur expenses in fiscal 2017 or 2018. During fiscal 2019, we recognized a benefit of $5,930 as a result of updating our estimate of costs to complete the plan. Through March 31, 2019 and 2018, we had paid $65,355 and $5,350, respectively, related to these reorganization activities. As of March 31, 2019, the 2016 Plan was completed and no further amounts remain accrued or are expected to be incurred.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1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21.  SUPPLEMENTARY FINANCIAL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valuation and qualifying accounts: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Additions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Deductions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53"/>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31, 2019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Valuation allowance for deferred income taxes </w:t>
            </w:r>
            <w:r>
              <w:rPr>
                <w:rFonts w:ascii="Arial" w:cs="Arial" w:eastAsia="Arial" w:hAnsi="Arial"/>
                <w:sz w:val="25"/>
                <w:szCs w:val="25"/>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195,640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11,850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(107,133)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(50,944)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49,413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25"/>
                <w:szCs w:val="25"/>
                <w:b w:val="1"/>
                <w:bCs w:val="1"/>
                <w:color w:val="auto"/>
                <w:vertAlign w:val="superscript"/>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1,247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995</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i w:val="1"/>
                <w:iCs w:val="1"/>
                <w:color w:val="auto"/>
              </w:rPr>
              <w:t>Fiscal Year Ended March 31, 2018</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184,085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195,640</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Price protection, sales returns and other allowances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65,114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53,043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accounts receivable allowances</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66,483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54,290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Ended March 31, 2017</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Valuation allowance for deferred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170,574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184,085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Price protection, sales returns and other allowances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45,153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127,744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65,114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45,552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128,718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66,483</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right="100" w:firstLine="8"/>
        <w:spacing w:after="0" w:line="269" w:lineRule="auto"/>
        <w:tabs>
          <w:tab w:leader="none" w:pos="204"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 categorized as Other represents a reduction to the valuation allowance included in the cumulative effect of initially applying the New Revenue Accounting Standard as an adjustment to the opening balance of retained earnings, due to revenues that were previously deferred being accelerated to retained earnings, for which a timing difference exists for accounting and tax purposes.</w:t>
      </w:r>
    </w:p>
    <w:p>
      <w:pPr>
        <w:spacing w:after="0" w:line="1" w:lineRule="exact"/>
        <w:rPr>
          <w:rFonts w:ascii="Arial" w:cs="Arial" w:eastAsia="Arial" w:hAnsi="Arial"/>
          <w:sz w:val="13"/>
          <w:szCs w:val="13"/>
          <w:color w:val="auto"/>
        </w:rPr>
      </w:pPr>
    </w:p>
    <w:p>
      <w:pPr>
        <w:ind w:right="180" w:firstLine="8"/>
        <w:spacing w:after="0" w:line="255" w:lineRule="auto"/>
        <w:tabs>
          <w:tab w:leader="none" w:pos="204"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Under the New Revenue Accounting Standard, Price protection, sales returns and other allowances are considered refund liabilities and are reported within Accrued expenses and other current liabilities on our Consolidated Balance Sheet and are no longer considered accounts receivable allowance as they were under ASC 605.</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quarterly supplementary data for each of the years in the two-year period ended March 31, 2019:</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Quarter</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March 31, 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539,007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256,617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350,254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280,092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58,061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71,693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25,367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179,948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56,829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0.50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r>
      <w:tr>
        <w:trPr>
          <w:trHeight w:val="53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Quarter</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March 31, 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450,274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223,647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197,014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212,857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261,063</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87,825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60,276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25,140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90,853</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Basic earnings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0.80</w:t>
            </w: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715" w:right="239" w:bottom="1440" w:gutter="0" w:footer="0" w:header="0"/>
          <w:type w:val="continuous"/>
        </w:sectPr>
      </w:pPr>
    </w:p>
    <w:bookmarkStart w:id="97" w:name="page98"/>
    <w:bookmarkEnd w:id="97"/>
    <w:p>
      <w:pPr>
        <w:jc w:val="both"/>
        <w:ind w:firstLine="648"/>
        <w:spacing w:after="0" w:line="277" w:lineRule="auto"/>
        <w:rPr>
          <w:sz w:val="20"/>
          <w:szCs w:val="20"/>
          <w:color w:val="auto"/>
        </w:rPr>
      </w:pPr>
      <w:r>
        <w:rPr>
          <w:rFonts w:ascii="Arial" w:cs="Arial" w:eastAsia="Arial" w:hAnsi="Arial"/>
          <w:sz w:val="18"/>
          <w:szCs w:val="18"/>
          <w:color w:val="auto"/>
        </w:rPr>
        <w:t>Basic and diluted earnings (loss) per share are computed independently for each of the quarters presented. Therefore, the sum of quarterly basic and diluted earnings (loss) per share information may not equal annual basic and diluted earnings per share.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31, 2017, we completed the acquisition of privately-held Social Point, S.L. (“Social Point”), a Spanish free-to-play mobile game developer, for consideration of $175,000 in cash and the issuance of 1,480 shares of our common stock, plus contingent earn-out consideration of up to an aggregate of $25,900 in cash and shares of our common stock. During the fiscal year ended March 31, 2019, we paid the remaining $25,000 deferred amounts related to this acquisition. The cash portion was funded from our cash on hand. Certain of the shares that were issued to continuing employees are subject to transferability restrictions and forfeiture provisions requiring their continued employment subject to certain exceptions over the three-year period following the closing and are therefore considered share-based compensation over the service period. We acquired Social Point to leverage its strong portfolio of technology, assembled workforce, and existing free-to-play mobile games in order to expand and enhance our game offerings, particularly on mobile platforms.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acquisition-date fair value of the consideration transferred totaled $238,736. Of this amount, $143,566 was recorded as Goodwill, $111,550 was recorded as Intangible assets, and $(16,380) was recorded as Tangible assets, net of liabilities assumed from Social Point. Goodwill, which is not deductible for U.S. income tax purposes, represents the excess of the purchase price over the fair value of the net tangible and intangible assets acquired, and is primarily attributable to the assembled workforce of the acquired business and expected synergies at the time of the acquisition.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fiscal year ended March 31, 2018, we recorded adjustments to finalize the purchase accounting of the Social Point acquisition, which resulted in a net increase in Goodwill of $4,245 and a corresponding decrease in Tangible net liabilities assumed. The measurement period for the contingent consideration has expired, and we have not made any payments for contingent consideration.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1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TAKE-TWO INTERACTIVE SOFTWARE, INC.</w:t>
      </w:r>
    </w:p>
    <w:p>
      <w:pPr>
        <w:spacing w:after="0" w:line="67" w:lineRule="exact"/>
        <w:rPr>
          <w:sz w:val="20"/>
          <w:szCs w:val="20"/>
          <w:color w:val="auto"/>
        </w:rPr>
      </w:pPr>
    </w:p>
    <w:p>
      <w:pPr>
        <w:ind w:left="52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22726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13,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9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 STRAUSS ZELNICK</w:t>
            </w:r>
          </w:p>
        </w:tc>
        <w:tc>
          <w:tcPr>
            <w:tcW w:w="120" w:type="dxa"/>
            <w:vAlign w:val="bottom"/>
          </w:tcPr>
          <w:p>
            <w:pPr>
              <w:spacing w:after="0"/>
              <w:rPr>
                <w:sz w:val="21"/>
                <w:szCs w:val="21"/>
                <w:color w:val="auto"/>
              </w:rPr>
            </w:pPr>
          </w:p>
        </w:tc>
        <w:tc>
          <w:tcPr>
            <w:tcW w:w="4340" w:type="dxa"/>
            <w:vAlign w:val="bottom"/>
            <w:gridSpan w:val="2"/>
            <w:vMerge w:val="restart"/>
          </w:tcPr>
          <w:p>
            <w:pPr>
              <w:ind w:left="40"/>
              <w:spacing w:after="0"/>
              <w:rPr>
                <w:sz w:val="20"/>
                <w:szCs w:val="20"/>
                <w:color w:val="auto"/>
              </w:rPr>
            </w:pPr>
            <w:r>
              <w:rPr>
                <w:rFonts w:ascii="Arial" w:cs="Arial" w:eastAsia="Arial" w:hAnsi="Arial"/>
                <w:sz w:val="18"/>
                <w:szCs w:val="18"/>
                <w:color w:val="auto"/>
              </w:rPr>
              <w:t>Chairman and Chief Executive Officer (Principal</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Strauss Zelnick</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Executive Officer)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LAINIE GOLDSTEIN</w:t>
            </w:r>
          </w:p>
        </w:tc>
        <w:tc>
          <w:tcPr>
            <w:tcW w:w="120" w:type="dxa"/>
            <w:vAlign w:val="bottom"/>
          </w:tcPr>
          <w:p>
            <w:pPr>
              <w:spacing w:after="0"/>
              <w:rPr>
                <w:sz w:val="23"/>
                <w:szCs w:val="23"/>
                <w:color w:val="auto"/>
              </w:rPr>
            </w:pPr>
          </w:p>
        </w:tc>
        <w:tc>
          <w:tcPr>
            <w:tcW w:w="434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Financial Officer (Principal Financial and</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gridSpan w:val="2"/>
            <w:vMerge w:val="continue"/>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Lainie Goldstein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MICHAEL DORNEMANN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Michael Dornemann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Lead Independent 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J MOSES</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J Moses</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MICHAEL SHERESKY</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Michael Sheresky</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LAVERNE SRINIVASAN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LaVerne Srinivasan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SUSAN TOLSON</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Susan Tolson</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/s/ PAUL VIERA</w:t>
            </w:r>
          </w:p>
        </w:tc>
        <w:tc>
          <w:tcPr>
            <w:tcW w:w="1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Paul Viera</w:t>
            </w: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960" w:type="dxa"/>
            <w:vAlign w:val="bottom"/>
          </w:tcPr>
          <w:p>
            <w:pPr>
              <w:ind w:left="20"/>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702"/>
        </w:trPr>
        <w:tc>
          <w:tcPr>
            <w:tcW w:w="4000" w:type="dxa"/>
            <w:vAlign w:val="bottom"/>
          </w:tcPr>
          <w:p>
            <w:pPr>
              <w:spacing w:after="0"/>
              <w:rPr>
                <w:sz w:val="24"/>
                <w:szCs w:val="24"/>
                <w:color w:val="auto"/>
              </w:rPr>
            </w:pPr>
          </w:p>
        </w:tc>
        <w:tc>
          <w:tcPr>
            <w:tcW w:w="4360" w:type="dxa"/>
            <w:vAlign w:val="bottom"/>
            <w:gridSpan w:val="2"/>
          </w:tcPr>
          <w:p>
            <w:pPr>
              <w:jc w:val="right"/>
              <w:ind w:right="247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260350</wp:posOffset>
            </wp:positionV>
            <wp:extent cx="1149350" cy="831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extLst>
                    </a:blip>
                    <a:srcRect/>
                    <a:stretch>
                      <a:fillRect/>
                    </a:stretch>
                  </pic:blipFill>
                  <pic:spPr bwMode="auto">
                    <a:xfrm>
                      <a:off x="0" y="0"/>
                      <a:ext cx="11493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TAKE-TWO INTERACTIVE SOFTWARE,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2017 GLOBAL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Effective March 28, 2019</w:t>
      </w:r>
    </w:p>
    <w:p>
      <w:pPr>
        <w:spacing w:after="0" w:line="200" w:lineRule="exact"/>
        <w:rPr>
          <w:sz w:val="20"/>
          <w:szCs w:val="20"/>
          <w:color w:val="auto"/>
        </w:rPr>
      </w:pPr>
    </w:p>
    <w:p>
      <w:pPr>
        <w:spacing w:after="0" w:line="22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20"/>
          </w:cols>
          <w:pgMar w:left="1440" w:top="108" w:right="239" w:bottom="1440" w:gutter="0" w:footer="0" w:header="0"/>
        </w:sectPr>
      </w:pPr>
    </w:p>
    <w:bookmarkStart w:id="100" w:name="page101"/>
    <w:bookmarkEnd w:id="100"/>
    <w:p>
      <w:pPr>
        <w:jc w:val="center"/>
        <w:ind w:right="440"/>
        <w:spacing w:after="0"/>
        <w:rPr>
          <w:sz w:val="20"/>
          <w:szCs w:val="20"/>
          <w:color w:val="auto"/>
        </w:rPr>
      </w:pPr>
      <w:r>
        <w:rPr>
          <w:rFonts w:ascii="Arial" w:cs="Arial" w:eastAsia="Arial" w:hAnsi="Arial"/>
          <w:sz w:val="20"/>
          <w:szCs w:val="20"/>
          <w:color w:val="auto"/>
        </w:rPr>
        <w:t>TAKE-TWO INTERACTIVE SOFTWARE, INC.</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SECOND AMENDED AND RESTATED 2017 GLOBAL EMPLOYEE STOCK PURCHASE PLAN</w:t>
      </w:r>
    </w:p>
    <w:p>
      <w:pPr>
        <w:spacing w:after="0" w:line="340"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auto"/>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gridSpan w:val="24"/>
          </w:tcPr>
          <w:p>
            <w:pPr>
              <w:spacing w:after="0"/>
              <w:rPr>
                <w:sz w:val="20"/>
                <w:szCs w:val="20"/>
                <w:color w:val="auto"/>
              </w:rPr>
            </w:pPr>
            <w:r>
              <w:rPr>
                <w:rFonts w:ascii="Arial" w:cs="Arial" w:eastAsia="Arial" w:hAnsi="Arial"/>
                <w:sz w:val="18"/>
                <w:szCs w:val="18"/>
                <w:color w:val="auto"/>
              </w:rPr>
              <w:t>SECTION 1 Purpose and Term</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74"/>
        </w:trPr>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1</w:t>
            </w: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3"/>
              </w:rPr>
              <w:t>Purpose</w:t>
            </w:r>
          </w:p>
        </w:tc>
        <w:tc>
          <w:tcPr>
            <w:tcW w:w="280" w:type="dxa"/>
            <w:vAlign w:val="bottom"/>
            <w:tcBorders>
              <w:top w:val="single" w:sz="8" w:color="auto"/>
            </w:tcBorders>
            <w:gridSpan w:val="4"/>
          </w:tcPr>
          <w:p>
            <w:pPr>
              <w:spacing w:after="0"/>
              <w:rPr>
                <w:sz w:val="24"/>
                <w:szCs w:val="24"/>
                <w:color w:val="auto"/>
              </w:rPr>
            </w:pPr>
          </w:p>
        </w:tc>
        <w:tc>
          <w:tcPr>
            <w:tcW w:w="6180" w:type="dxa"/>
            <w:vAlign w:val="bottom"/>
            <w:gridSpan w:val="1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12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8"/>
              </w:rPr>
              <w:t>Term of the Plan.</w:t>
            </w:r>
          </w:p>
        </w:tc>
        <w:tc>
          <w:tcPr>
            <w:tcW w:w="580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74"/>
        </w:trPr>
        <w:tc>
          <w:tcPr>
            <w:tcW w:w="8420" w:type="dxa"/>
            <w:vAlign w:val="bottom"/>
            <w:gridSpan w:val="24"/>
          </w:tcPr>
          <w:p>
            <w:pPr>
              <w:spacing w:after="0"/>
              <w:rPr>
                <w:sz w:val="20"/>
                <w:szCs w:val="20"/>
                <w:color w:val="auto"/>
              </w:rPr>
            </w:pPr>
            <w:r>
              <w:rPr>
                <w:rFonts w:ascii="Arial" w:cs="Arial" w:eastAsia="Arial" w:hAnsi="Arial"/>
                <w:sz w:val="18"/>
                <w:szCs w:val="18"/>
                <w:color w:val="auto"/>
              </w:rPr>
              <w:t>SECTION 2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94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5"/>
              </w:rPr>
              <w:t>SECTION 3 Eligibility and participation</w:t>
            </w:r>
          </w:p>
        </w:tc>
        <w:tc>
          <w:tcPr>
            <w:tcW w:w="548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Eligibility.</w:t>
            </w:r>
          </w:p>
        </w:tc>
        <w:tc>
          <w:tcPr>
            <w:tcW w:w="6240" w:type="dxa"/>
            <w:vAlign w:val="bottom"/>
            <w:gridSpan w:val="1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9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Participation.</w:t>
            </w:r>
          </w:p>
        </w:tc>
        <w:tc>
          <w:tcPr>
            <w:tcW w:w="6080" w:type="dxa"/>
            <w:vAlign w:val="bottom"/>
            <w:gridSpan w:val="1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3.</w:t>
            </w:r>
            <w:r>
              <w:rPr>
                <w:rFonts w:ascii="Arial" w:cs="Arial" w:eastAsia="Arial" w:hAnsi="Arial"/>
                <w:sz w:val="18"/>
                <w:szCs w:val="18"/>
                <w:u w:val="single" w:color="auto"/>
                <w:color w:val="auto"/>
                <w:w w:val="79"/>
              </w:rPr>
              <w:t>3</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Termination of Employment or Loss of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w:t>
            </w:r>
            <w:r>
              <w:rPr>
                <w:rFonts w:ascii="Arial" w:cs="Arial" w:eastAsia="Arial" w:hAnsi="Arial"/>
                <w:sz w:val="18"/>
                <w:szCs w:val="18"/>
                <w:u w:val="single" w:color="auto"/>
                <w:color w:val="auto"/>
                <w:w w:val="79"/>
              </w:rPr>
              <w:t>4</w:t>
            </w:r>
          </w:p>
        </w:tc>
        <w:tc>
          <w:tcPr>
            <w:tcW w:w="940" w:type="dxa"/>
            <w:vAlign w:val="bottom"/>
          </w:tcPr>
          <w:p>
            <w:pPr>
              <w:spacing w:after="0"/>
              <w:rPr>
                <w:sz w:val="24"/>
                <w:szCs w:val="24"/>
                <w:color w:val="auto"/>
              </w:rPr>
            </w:pPr>
          </w:p>
        </w:tc>
        <w:tc>
          <w:tcPr>
            <w:tcW w:w="362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[Reserved].</w:t>
            </w:r>
          </w:p>
        </w:tc>
        <w:tc>
          <w:tcPr>
            <w:tcW w:w="342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w:t>
            </w:r>
            <w:r>
              <w:rPr>
                <w:rFonts w:ascii="Arial" w:cs="Arial" w:eastAsia="Arial" w:hAnsi="Arial"/>
                <w:sz w:val="18"/>
                <w:szCs w:val="18"/>
                <w:u w:val="single" w:color="auto"/>
                <w:color w:val="auto"/>
                <w:w w:val="79"/>
              </w:rPr>
              <w:t>5</w:t>
            </w:r>
          </w:p>
        </w:tc>
        <w:tc>
          <w:tcPr>
            <w:tcW w:w="940" w:type="dxa"/>
            <w:vAlign w:val="bottom"/>
          </w:tcPr>
          <w:p>
            <w:pPr>
              <w:spacing w:after="0"/>
              <w:rPr>
                <w:sz w:val="24"/>
                <w:szCs w:val="24"/>
                <w:color w:val="auto"/>
              </w:rPr>
            </w:pPr>
          </w:p>
        </w:tc>
        <w:tc>
          <w:tcPr>
            <w:tcW w:w="26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1"/>
              </w:rPr>
              <w:t>Voluntary Withdrawal from the Plan.</w:t>
            </w:r>
          </w:p>
        </w:tc>
        <w:tc>
          <w:tcPr>
            <w:tcW w:w="438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74"/>
        </w:trPr>
        <w:tc>
          <w:tcPr>
            <w:tcW w:w="408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0"/>
              </w:rPr>
              <w:t>SECTION 4 Payroll deductions and participant accounts</w:t>
            </w:r>
          </w:p>
        </w:tc>
        <w:tc>
          <w:tcPr>
            <w:tcW w:w="434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4.</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Payroll Deductions.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4.</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Participant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8420" w:type="dxa"/>
            <w:vAlign w:val="bottom"/>
            <w:gridSpan w:val="24"/>
          </w:tcPr>
          <w:p>
            <w:pPr>
              <w:spacing w:after="0"/>
              <w:rPr>
                <w:sz w:val="20"/>
                <w:szCs w:val="20"/>
                <w:color w:val="auto"/>
              </w:rPr>
            </w:pPr>
            <w:r>
              <w:rPr>
                <w:rFonts w:ascii="Arial" w:cs="Arial" w:eastAsia="Arial" w:hAnsi="Arial"/>
                <w:sz w:val="18"/>
                <w:szCs w:val="18"/>
                <w:color w:val="auto"/>
              </w:rPr>
              <w:t>SECTION 5 Grant of purchase right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74"/>
        </w:trPr>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1</w:t>
            </w:r>
          </w:p>
        </w:tc>
        <w:tc>
          <w:tcPr>
            <w:tcW w:w="9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General.</w:t>
            </w:r>
          </w:p>
        </w:tc>
        <w:tc>
          <w:tcPr>
            <w:tcW w:w="582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Term of Purchase Right.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gridSpan w:val="9"/>
            <w:shd w:val="clear" w:color="auto" w:fill="000000"/>
          </w:tcPr>
          <w:p>
            <w:pPr>
              <w:spacing w:after="0" w:line="20" w:lineRule="exact"/>
              <w:rPr>
                <w:sz w:val="1"/>
                <w:szCs w:val="1"/>
                <w:color w:val="auto"/>
              </w:rPr>
            </w:pPr>
          </w:p>
        </w:tc>
        <w:tc>
          <w:tcPr>
            <w:tcW w:w="580" w:type="dxa"/>
            <w:vAlign w:val="bottom"/>
            <w:gridSpan w:val="6"/>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3</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Number of Shares of Common Stock Subject to a Purchase Right.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4</w:t>
            </w:r>
          </w:p>
        </w:tc>
        <w:tc>
          <w:tcPr>
            <w:tcW w:w="940" w:type="dxa"/>
            <w:vAlign w:val="bottom"/>
          </w:tcPr>
          <w:p>
            <w:pPr>
              <w:spacing w:after="0"/>
              <w:rPr>
                <w:sz w:val="24"/>
                <w:szCs w:val="24"/>
                <w:color w:val="auto"/>
              </w:rPr>
            </w:pPr>
          </w:p>
        </w:tc>
        <w:tc>
          <w:tcPr>
            <w:tcW w:w="300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18"/>
                <w:szCs w:val="18"/>
                <w:color w:val="auto"/>
                <w:w w:val="91"/>
              </w:rPr>
              <w:t>Limitation under Code Section 423(b)(8).</w:t>
            </w:r>
          </w:p>
        </w:tc>
        <w:tc>
          <w:tcPr>
            <w:tcW w:w="1740" w:type="dxa"/>
            <w:vAlign w:val="bottom"/>
            <w:tcBorders>
              <w:top w:val="single" w:sz="8" w:color="auto"/>
            </w:tcBorders>
            <w:gridSpan w:val="2"/>
          </w:tcPr>
          <w:p>
            <w:pPr>
              <w:spacing w:after="0"/>
              <w:rPr>
                <w:sz w:val="24"/>
                <w:szCs w:val="24"/>
                <w:color w:val="auto"/>
              </w:rPr>
            </w:pPr>
          </w:p>
        </w:tc>
        <w:tc>
          <w:tcPr>
            <w:tcW w:w="23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5</w:t>
            </w:r>
          </w:p>
        </w:tc>
        <w:tc>
          <w:tcPr>
            <w:tcW w:w="940" w:type="dxa"/>
            <w:vAlign w:val="bottom"/>
          </w:tcPr>
          <w:p>
            <w:pPr>
              <w:spacing w:after="0"/>
              <w:rPr>
                <w:sz w:val="24"/>
                <w:szCs w:val="24"/>
                <w:color w:val="auto"/>
              </w:rPr>
            </w:pPr>
          </w:p>
        </w:tc>
        <w:tc>
          <w:tcPr>
            <w:tcW w:w="7040" w:type="dxa"/>
            <w:vAlign w:val="bottom"/>
            <w:gridSpan w:val="21"/>
          </w:tcPr>
          <w:p>
            <w:pPr>
              <w:spacing w:after="0"/>
              <w:rPr>
                <w:sz w:val="20"/>
                <w:szCs w:val="20"/>
                <w:color w:val="auto"/>
              </w:rPr>
            </w:pPr>
            <w:r>
              <w:rPr>
                <w:rFonts w:ascii="Arial" w:cs="Arial" w:eastAsia="Arial" w:hAnsi="Arial"/>
                <w:sz w:val="18"/>
                <w:szCs w:val="18"/>
                <w:color w:val="auto"/>
              </w:rPr>
              <w:t>No 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740" w:top="744" w:right="339" w:bottom="1085"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820"/>
          </w:cols>
          <w:pgMar w:left="740" w:top="744" w:right="339" w:bottom="1085"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6</w:t>
            </w:r>
          </w:p>
        </w:tc>
        <w:tc>
          <w:tcPr>
            <w:tcW w:w="940" w:type="dxa"/>
            <w:vAlign w:val="bottom"/>
          </w:tcPr>
          <w:p>
            <w:pPr>
              <w:spacing w:after="0"/>
              <w:rPr>
                <w:sz w:val="17"/>
                <w:szCs w:val="17"/>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Rights As Stockholder and Employee.</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7</w:t>
            </w:r>
          </w:p>
        </w:tc>
        <w:tc>
          <w:tcPr>
            <w:tcW w:w="940" w:type="dxa"/>
            <w:vAlign w:val="bottom"/>
          </w:tcPr>
          <w:p>
            <w:pPr>
              <w:spacing w:after="0"/>
              <w:rPr>
                <w:sz w:val="24"/>
                <w:szCs w:val="24"/>
                <w:color w:val="auto"/>
              </w:rPr>
            </w:pPr>
          </w:p>
        </w:tc>
        <w:tc>
          <w:tcPr>
            <w:tcW w:w="274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Notices.</w:t>
            </w:r>
          </w:p>
        </w:tc>
        <w:tc>
          <w:tcPr>
            <w:tcW w:w="482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28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SECTION 6 Exercise of purchase right</w:t>
            </w:r>
          </w:p>
        </w:tc>
        <w:tc>
          <w:tcPr>
            <w:tcW w:w="6120" w:type="dxa"/>
            <w:vAlign w:val="bottom"/>
            <w:gridSpan w:val="1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20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9"/>
              </w:rPr>
              <w:t>Exercise of Purchase Right.</w:t>
            </w:r>
          </w:p>
        </w:tc>
        <w:tc>
          <w:tcPr>
            <w:tcW w:w="5560" w:type="dxa"/>
            <w:vAlign w:val="bottom"/>
            <w:gridSpan w:val="1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1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Oversubscription.</w:t>
            </w:r>
          </w:p>
        </w:tc>
        <w:tc>
          <w:tcPr>
            <w:tcW w:w="6280" w:type="dxa"/>
            <w:vAlign w:val="bottom"/>
            <w:gridSpan w:val="17"/>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3</w:t>
            </w:r>
          </w:p>
        </w:tc>
        <w:tc>
          <w:tcPr>
            <w:tcW w:w="940" w:type="dxa"/>
            <w:vAlign w:val="bottom"/>
          </w:tcPr>
          <w:p>
            <w:pPr>
              <w:spacing w:after="0"/>
              <w:rPr>
                <w:sz w:val="24"/>
                <w:szCs w:val="24"/>
                <w:color w:val="auto"/>
              </w:rPr>
            </w:pPr>
          </w:p>
        </w:tc>
        <w:tc>
          <w:tcPr>
            <w:tcW w:w="20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2"/>
              </w:rPr>
              <w:t>Delivery of Common Stock.</w:t>
            </w:r>
          </w:p>
        </w:tc>
        <w:tc>
          <w:tcPr>
            <w:tcW w:w="5520" w:type="dxa"/>
            <w:vAlign w:val="bottom"/>
            <w:gridSpan w:val="11"/>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4</w:t>
            </w:r>
          </w:p>
        </w:tc>
        <w:tc>
          <w:tcPr>
            <w:tcW w:w="940" w:type="dxa"/>
            <w:vAlign w:val="bottom"/>
          </w:tcPr>
          <w:p>
            <w:pPr>
              <w:spacing w:after="0"/>
              <w:rPr>
                <w:sz w:val="24"/>
                <w:szCs w:val="24"/>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Tax Withholding.</w:t>
            </w:r>
          </w:p>
        </w:tc>
        <w:tc>
          <w:tcPr>
            <w:tcW w:w="6300" w:type="dxa"/>
            <w:vAlign w:val="bottom"/>
            <w:gridSpan w:val="18"/>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5</w:t>
            </w:r>
          </w:p>
        </w:tc>
        <w:tc>
          <w:tcPr>
            <w:tcW w:w="940" w:type="dxa"/>
            <w:vAlign w:val="bottom"/>
          </w:tcPr>
          <w:p>
            <w:pPr>
              <w:spacing w:after="0"/>
              <w:rPr>
                <w:sz w:val="24"/>
                <w:szCs w:val="24"/>
                <w:color w:val="auto"/>
              </w:rPr>
            </w:pPr>
          </w:p>
        </w:tc>
        <w:tc>
          <w:tcPr>
            <w:tcW w:w="21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0"/>
              </w:rPr>
              <w:t>Expiration of Purchase Right.</w:t>
            </w:r>
          </w:p>
        </w:tc>
        <w:tc>
          <w:tcPr>
            <w:tcW w:w="5420" w:type="dxa"/>
            <w:vAlign w:val="bottom"/>
            <w:gridSpan w:val="10"/>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6</w:t>
            </w:r>
          </w:p>
        </w:tc>
        <w:tc>
          <w:tcPr>
            <w:tcW w:w="940" w:type="dxa"/>
            <w:vAlign w:val="bottom"/>
          </w:tcPr>
          <w:p>
            <w:pPr>
              <w:spacing w:after="0"/>
              <w:rPr>
                <w:sz w:val="24"/>
                <w:szCs w:val="24"/>
                <w:color w:val="auto"/>
              </w:rPr>
            </w:pPr>
          </w:p>
        </w:tc>
        <w:tc>
          <w:tcPr>
            <w:tcW w:w="16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8"/>
              </w:rPr>
              <w:t>Reports to Participants.</w:t>
            </w:r>
          </w:p>
        </w:tc>
        <w:tc>
          <w:tcPr>
            <w:tcW w:w="5880" w:type="dxa"/>
            <w:vAlign w:val="bottom"/>
            <w:gridSpan w:val="1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7</w:t>
            </w:r>
          </w:p>
        </w:tc>
        <w:tc>
          <w:tcPr>
            <w:tcW w:w="940" w:type="dxa"/>
            <w:vAlign w:val="bottom"/>
          </w:tcPr>
          <w:p>
            <w:pPr>
              <w:spacing w:after="0"/>
              <w:rPr>
                <w:sz w:val="24"/>
                <w:szCs w:val="24"/>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Notification of Sale of Shares of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8</w:t>
            </w:r>
          </w:p>
        </w:tc>
        <w:tc>
          <w:tcPr>
            <w:tcW w:w="940" w:type="dxa"/>
            <w:vAlign w:val="bottom"/>
          </w:tcPr>
          <w:p>
            <w:pPr>
              <w:spacing w:after="0"/>
              <w:rPr>
                <w:sz w:val="24"/>
                <w:szCs w:val="24"/>
                <w:color w:val="auto"/>
              </w:rPr>
            </w:pPr>
          </w:p>
        </w:tc>
        <w:tc>
          <w:tcPr>
            <w:tcW w:w="354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Clawback/Recoupment Policy.</w:t>
            </w:r>
          </w:p>
        </w:tc>
        <w:tc>
          <w:tcPr>
            <w:tcW w:w="402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34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0"/>
              </w:rPr>
              <w:t>SECTION 7 Common Stock subject to the plan</w:t>
            </w:r>
          </w:p>
        </w:tc>
        <w:tc>
          <w:tcPr>
            <w:tcW w:w="5520" w:type="dxa"/>
            <w:vAlign w:val="bottom"/>
            <w:gridSpan w:val="11"/>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Common Stock Subject to the Plan.</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25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Legends.</w:t>
            </w:r>
          </w:p>
        </w:tc>
        <w:tc>
          <w:tcPr>
            <w:tcW w:w="5000" w:type="dxa"/>
            <w:vAlign w:val="bottom"/>
            <w:gridSpan w:val="7"/>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3</w:t>
            </w:r>
          </w:p>
        </w:tc>
        <w:tc>
          <w:tcPr>
            <w:tcW w:w="940" w:type="dxa"/>
            <w:vAlign w:val="bottom"/>
          </w:tcPr>
          <w:p>
            <w:pPr>
              <w:spacing w:after="0"/>
              <w:rPr>
                <w:sz w:val="24"/>
                <w:szCs w:val="24"/>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Securities Laws.</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8940" w:type="dxa"/>
            <w:vAlign w:val="bottom"/>
            <w:gridSpan w:val="26"/>
          </w:tcPr>
          <w:p>
            <w:pPr>
              <w:spacing w:after="0"/>
              <w:rPr>
                <w:sz w:val="20"/>
                <w:szCs w:val="20"/>
                <w:color w:val="auto"/>
              </w:rPr>
            </w:pPr>
            <w:r>
              <w:rPr>
                <w:rFonts w:ascii="Arial" w:cs="Arial" w:eastAsia="Arial" w:hAnsi="Arial"/>
                <w:sz w:val="18"/>
                <w:szCs w:val="18"/>
                <w:color w:val="auto"/>
              </w:rPr>
              <w:t>SECTION 8 Recapitalization, reorganization and change in control</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74"/>
        </w:trPr>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1</w:t>
            </w:r>
          </w:p>
        </w:tc>
        <w:tc>
          <w:tcPr>
            <w:tcW w:w="94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w w:val="96"/>
              </w:rPr>
              <w:t>Adjustments for Changes in Common Stock.</w:t>
            </w:r>
          </w:p>
        </w:tc>
        <w:tc>
          <w:tcPr>
            <w:tcW w:w="412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322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Change in Control.</w:t>
            </w:r>
          </w:p>
        </w:tc>
        <w:tc>
          <w:tcPr>
            <w:tcW w:w="434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23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SECTION 9 Plan administration</w:t>
            </w:r>
          </w:p>
        </w:tc>
        <w:tc>
          <w:tcPr>
            <w:tcW w:w="6600" w:type="dxa"/>
            <w:vAlign w:val="bottom"/>
            <w:gridSpan w:val="20"/>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9.</w:t>
            </w:r>
            <w:r>
              <w:rPr>
                <w:rFonts w:ascii="Arial" w:cs="Arial" w:eastAsia="Arial" w:hAnsi="Arial"/>
                <w:sz w:val="18"/>
                <w:szCs w:val="18"/>
                <w:u w:val="single" w:color="auto"/>
                <w:color w:val="auto"/>
                <w:w w:val="79"/>
              </w:rPr>
              <w:t>1</w:t>
            </w:r>
          </w:p>
        </w:tc>
        <w:tc>
          <w:tcPr>
            <w:tcW w:w="940" w:type="dxa"/>
            <w:vAlign w:val="bottom"/>
          </w:tcPr>
          <w:p>
            <w:pPr>
              <w:spacing w:after="0"/>
              <w:rPr>
                <w:sz w:val="24"/>
                <w:szCs w:val="24"/>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Administration by the Committee.</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74"/>
        </w:trPr>
        <w:tc>
          <w:tcPr>
            <w:tcW w:w="2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9.</w:t>
            </w:r>
            <w:r>
              <w:rPr>
                <w:rFonts w:ascii="Arial" w:cs="Arial" w:eastAsia="Arial" w:hAnsi="Arial"/>
                <w:sz w:val="18"/>
                <w:szCs w:val="18"/>
                <w:u w:val="single" w:color="auto"/>
                <w:color w:val="auto"/>
                <w:w w:val="79"/>
              </w:rPr>
              <w:t>2</w:t>
            </w:r>
          </w:p>
        </w:tc>
        <w:tc>
          <w:tcPr>
            <w:tcW w:w="940" w:type="dxa"/>
            <w:vAlign w:val="bottom"/>
          </w:tcPr>
          <w:p>
            <w:pPr>
              <w:spacing w:after="0"/>
              <w:rPr>
                <w:sz w:val="24"/>
                <w:szCs w:val="24"/>
                <w:color w:val="auto"/>
              </w:rPr>
            </w:pPr>
          </w:p>
        </w:tc>
        <w:tc>
          <w:tcPr>
            <w:tcW w:w="246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Authority of Officers.</w:t>
            </w:r>
          </w:p>
        </w:tc>
        <w:tc>
          <w:tcPr>
            <w:tcW w:w="5100" w:type="dxa"/>
            <w:vAlign w:val="bottom"/>
            <w:gridSpan w:val="8"/>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w:t>
            </w:r>
            <w:r>
              <w:rPr>
                <w:rFonts w:ascii="Arial" w:cs="Arial" w:eastAsia="Arial" w:hAnsi="Arial"/>
                <w:sz w:val="18"/>
                <w:szCs w:val="18"/>
                <w:u w:val="single" w:color="auto"/>
                <w:color w:val="auto"/>
                <w:w w:val="79"/>
              </w:rPr>
              <w:t>3</w:t>
            </w:r>
          </w:p>
        </w:tc>
        <w:tc>
          <w:tcPr>
            <w:tcW w:w="940" w:type="dxa"/>
            <w:vAlign w:val="bottom"/>
          </w:tcPr>
          <w:p>
            <w:pPr>
              <w:spacing w:after="0"/>
              <w:rPr>
                <w:sz w:val="24"/>
                <w:szCs w:val="24"/>
                <w:color w:val="auto"/>
              </w:rPr>
            </w:pPr>
          </w:p>
        </w:tc>
        <w:tc>
          <w:tcPr>
            <w:tcW w:w="386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88"/>
              </w:rPr>
              <w:t>Policies and Procedures Established by the Company.</w:t>
            </w:r>
          </w:p>
        </w:tc>
        <w:tc>
          <w:tcPr>
            <w:tcW w:w="370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74"/>
        </w:trPr>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9.</w:t>
            </w:r>
            <w:r>
              <w:rPr>
                <w:rFonts w:ascii="Arial" w:cs="Arial" w:eastAsia="Arial" w:hAnsi="Arial"/>
                <w:sz w:val="18"/>
                <w:szCs w:val="18"/>
                <w:u w:val="single" w:color="auto"/>
                <w:color w:val="auto"/>
                <w:w w:val="79"/>
              </w:rPr>
              <w:t>4</w:t>
            </w:r>
          </w:p>
        </w:tc>
        <w:tc>
          <w:tcPr>
            <w:tcW w:w="940" w:type="dxa"/>
            <w:vAlign w:val="bottom"/>
          </w:tcPr>
          <w:p>
            <w:pPr>
              <w:spacing w:after="0"/>
              <w:rPr>
                <w:sz w:val="24"/>
                <w:szCs w:val="24"/>
                <w:color w:val="auto"/>
              </w:rPr>
            </w:pPr>
          </w:p>
        </w:tc>
        <w:tc>
          <w:tcPr>
            <w:tcW w:w="7560" w:type="dxa"/>
            <w:vAlign w:val="bottom"/>
            <w:gridSpan w:val="23"/>
          </w:tcPr>
          <w:p>
            <w:pPr>
              <w:spacing w:after="0"/>
              <w:rPr>
                <w:sz w:val="20"/>
                <w:szCs w:val="20"/>
                <w:color w:val="auto"/>
              </w:rPr>
            </w:pPr>
            <w:r>
              <w:rPr>
                <w:rFonts w:ascii="Arial" w:cs="Arial" w:eastAsia="Arial" w:hAnsi="Arial"/>
                <w:sz w:val="18"/>
                <w:szCs w:val="18"/>
                <w:color w:val="auto"/>
              </w:rPr>
              <w:t>Non-Code Section 423 Component for Participation Outside of the United States.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740" w:top="878"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820"/>
          </w:cols>
          <w:pgMar w:left="740" w:top="878"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7540" w:type="dxa"/>
            <w:vAlign w:val="bottom"/>
            <w:gridSpan w:val="14"/>
          </w:tcPr>
          <w:p>
            <w:pPr>
              <w:spacing w:after="0"/>
              <w:rPr>
                <w:sz w:val="20"/>
                <w:szCs w:val="20"/>
                <w:color w:val="auto"/>
              </w:rPr>
            </w:pPr>
            <w:r>
              <w:rPr>
                <w:rFonts w:ascii="Arial" w:cs="Arial" w:eastAsia="Arial" w:hAnsi="Arial"/>
                <w:sz w:val="18"/>
                <w:szCs w:val="18"/>
                <w:color w:val="auto"/>
              </w:rPr>
              <w:t>SECTION 10 Code Section 409A Tax Qualification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74"/>
        </w:trPr>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w:t>
            </w:r>
            <w:r>
              <w:rPr>
                <w:rFonts w:ascii="Arial" w:cs="Arial" w:eastAsia="Arial" w:hAnsi="Arial"/>
                <w:sz w:val="18"/>
                <w:szCs w:val="18"/>
                <w:u w:val="single" w:color="auto"/>
                <w:color w:val="auto"/>
                <w:w w:val="85"/>
              </w:rPr>
              <w:t>1</w:t>
            </w:r>
          </w:p>
        </w:tc>
        <w:tc>
          <w:tcPr>
            <w:tcW w:w="84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Code Section 409A.</w:t>
            </w:r>
          </w:p>
        </w:tc>
        <w:tc>
          <w:tcPr>
            <w:tcW w:w="380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74"/>
        </w:trPr>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w:t>
            </w:r>
            <w:r>
              <w:rPr>
                <w:rFonts w:ascii="Arial" w:cs="Arial" w:eastAsia="Arial" w:hAnsi="Arial"/>
                <w:sz w:val="18"/>
                <w:szCs w:val="18"/>
                <w:u w:val="single" w:color="auto"/>
                <w:color w:val="auto"/>
                <w:w w:val="85"/>
              </w:rPr>
              <w:t>2</w:t>
            </w:r>
          </w:p>
        </w:tc>
        <w:tc>
          <w:tcPr>
            <w:tcW w:w="840" w:type="dxa"/>
            <w:vAlign w:val="bottom"/>
          </w:tcPr>
          <w:p>
            <w:pPr>
              <w:spacing w:after="0"/>
              <w:rPr>
                <w:sz w:val="24"/>
                <w:szCs w:val="24"/>
                <w:color w:val="auto"/>
              </w:rPr>
            </w:pPr>
          </w:p>
        </w:tc>
        <w:tc>
          <w:tcPr>
            <w:tcW w:w="13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2"/>
              </w:rPr>
              <w:t>Tax Qualification.</w:t>
            </w:r>
          </w:p>
        </w:tc>
        <w:tc>
          <w:tcPr>
            <w:tcW w:w="140" w:type="dxa"/>
            <w:vAlign w:val="bottom"/>
            <w:tcBorders>
              <w:top w:val="single" w:sz="8" w:color="auto"/>
            </w:tcBorders>
          </w:tcPr>
          <w:p>
            <w:pPr>
              <w:spacing w:after="0"/>
              <w:rPr>
                <w:sz w:val="24"/>
                <w:szCs w:val="24"/>
                <w:color w:val="auto"/>
              </w:rPr>
            </w:pPr>
          </w:p>
        </w:tc>
        <w:tc>
          <w:tcPr>
            <w:tcW w:w="4720" w:type="dxa"/>
            <w:vAlign w:val="bottom"/>
            <w:gridSpan w:val="3"/>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574"/>
        </w:trPr>
        <w:tc>
          <w:tcPr>
            <w:tcW w:w="7540" w:type="dxa"/>
            <w:vAlign w:val="bottom"/>
            <w:gridSpan w:val="14"/>
          </w:tcPr>
          <w:p>
            <w:pPr>
              <w:spacing w:after="0"/>
              <w:rPr>
                <w:sz w:val="20"/>
                <w:szCs w:val="20"/>
                <w:color w:val="auto"/>
              </w:rPr>
            </w:pPr>
            <w:r>
              <w:rPr>
                <w:rFonts w:ascii="Arial" w:cs="Arial" w:eastAsia="Arial" w:hAnsi="Arial"/>
                <w:sz w:val="18"/>
                <w:szCs w:val="18"/>
                <w:color w:val="auto"/>
              </w:rPr>
              <w:t>SECTION 11 Indemnification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574"/>
        </w:trPr>
        <w:tc>
          <w:tcPr>
            <w:tcW w:w="44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1"/>
              </w:rPr>
              <w:t>SECTION 12 Plan amendment or termination; Miscellaneous</w:t>
            </w:r>
          </w:p>
        </w:tc>
        <w:tc>
          <w:tcPr>
            <w:tcW w:w="310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1</w:t>
            </w:r>
          </w:p>
        </w:tc>
        <w:tc>
          <w:tcPr>
            <w:tcW w:w="840" w:type="dxa"/>
            <w:vAlign w:val="bottom"/>
          </w:tcPr>
          <w:p>
            <w:pPr>
              <w:spacing w:after="0"/>
              <w:rPr>
                <w:sz w:val="24"/>
                <w:szCs w:val="2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Termination.</w:t>
            </w:r>
          </w:p>
        </w:tc>
        <w:tc>
          <w:tcPr>
            <w:tcW w:w="5240" w:type="dxa"/>
            <w:vAlign w:val="bottom"/>
            <w:gridSpan w:val="7"/>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2</w:t>
            </w:r>
          </w:p>
        </w:tc>
        <w:tc>
          <w:tcPr>
            <w:tcW w:w="840" w:type="dxa"/>
            <w:vAlign w:val="bottom"/>
          </w:tcPr>
          <w:p>
            <w:pPr>
              <w:spacing w:after="0"/>
              <w:rPr>
                <w:sz w:val="24"/>
                <w:szCs w:val="24"/>
                <w:color w:val="auto"/>
              </w:rPr>
            </w:pPr>
          </w:p>
        </w:tc>
        <w:tc>
          <w:tcPr>
            <w:tcW w:w="6160" w:type="dxa"/>
            <w:vAlign w:val="bottom"/>
            <w:gridSpan w:val="11"/>
          </w:tcPr>
          <w:p>
            <w:pPr>
              <w:spacing w:after="0"/>
              <w:rPr>
                <w:sz w:val="20"/>
                <w:szCs w:val="20"/>
                <w:color w:val="auto"/>
              </w:rPr>
            </w:pPr>
            <w:r>
              <w:rPr>
                <w:rFonts w:ascii="Arial" w:cs="Arial" w:eastAsia="Arial" w:hAnsi="Arial"/>
                <w:sz w:val="18"/>
                <w:szCs w:val="18"/>
                <w:color w:val="auto"/>
              </w:rPr>
              <w:t>Amendment.</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3</w:t>
            </w:r>
          </w:p>
        </w:tc>
        <w:tc>
          <w:tcPr>
            <w:tcW w:w="840" w:type="dxa"/>
            <w:vAlign w:val="bottom"/>
          </w:tcPr>
          <w:p>
            <w:pPr>
              <w:spacing w:after="0"/>
              <w:rPr>
                <w:sz w:val="24"/>
                <w:szCs w:val="24"/>
                <w:color w:val="auto"/>
              </w:rPr>
            </w:pPr>
          </w:p>
        </w:tc>
        <w:tc>
          <w:tcPr>
            <w:tcW w:w="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Death.</w:t>
            </w:r>
          </w:p>
        </w:tc>
        <w:tc>
          <w:tcPr>
            <w:tcW w:w="5240" w:type="dxa"/>
            <w:vAlign w:val="bottom"/>
            <w:gridSpan w:val="7"/>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574"/>
        </w:trPr>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4</w:t>
            </w:r>
          </w:p>
        </w:tc>
        <w:tc>
          <w:tcPr>
            <w:tcW w:w="840" w:type="dxa"/>
            <w:vAlign w:val="bottom"/>
          </w:tcPr>
          <w:p>
            <w:pPr>
              <w:spacing w:after="0"/>
              <w:rPr>
                <w:sz w:val="24"/>
                <w:szCs w:val="24"/>
                <w:color w:val="auto"/>
              </w:rPr>
            </w:pPr>
          </w:p>
        </w:tc>
        <w:tc>
          <w:tcPr>
            <w:tcW w:w="6160" w:type="dxa"/>
            <w:vAlign w:val="bottom"/>
            <w:gridSpan w:val="11"/>
          </w:tcPr>
          <w:p>
            <w:pPr>
              <w:spacing w:after="0"/>
              <w:rPr>
                <w:sz w:val="20"/>
                <w:szCs w:val="20"/>
                <w:color w:val="auto"/>
              </w:rPr>
            </w:pPr>
            <w:r>
              <w:rPr>
                <w:rFonts w:ascii="Arial" w:cs="Arial" w:eastAsia="Arial" w:hAnsi="Arial"/>
                <w:sz w:val="18"/>
                <w:szCs w:val="18"/>
                <w:color w:val="auto"/>
              </w:rPr>
              <w:t>Transferability.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5</w:t>
            </w:r>
          </w:p>
        </w:tc>
        <w:tc>
          <w:tcPr>
            <w:tcW w:w="840" w:type="dxa"/>
            <w:vAlign w:val="bottom"/>
          </w:tcPr>
          <w:p>
            <w:pPr>
              <w:spacing w:after="0"/>
              <w:rPr>
                <w:sz w:val="24"/>
                <w:szCs w:val="24"/>
                <w:color w:val="auto"/>
              </w:rPr>
            </w:pPr>
          </w:p>
        </w:tc>
        <w:tc>
          <w:tcPr>
            <w:tcW w:w="10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87"/>
              </w:rPr>
              <w:t>Use of Funds.</w:t>
            </w:r>
          </w:p>
        </w:tc>
        <w:tc>
          <w:tcPr>
            <w:tcW w:w="80" w:type="dxa"/>
            <w:vAlign w:val="bottom"/>
            <w:tcBorders>
              <w:top w:val="single" w:sz="8" w:color="auto"/>
            </w:tcBorders>
          </w:tcPr>
          <w:p>
            <w:pPr>
              <w:spacing w:after="0"/>
              <w:rPr>
                <w:sz w:val="24"/>
                <w:szCs w:val="24"/>
                <w:color w:val="auto"/>
              </w:rPr>
            </w:pPr>
          </w:p>
        </w:tc>
        <w:tc>
          <w:tcPr>
            <w:tcW w:w="5080" w:type="dxa"/>
            <w:vAlign w:val="bottom"/>
            <w:gridSpan w:val="5"/>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6</w:t>
            </w:r>
          </w:p>
        </w:tc>
        <w:tc>
          <w:tcPr>
            <w:tcW w:w="840" w:type="dxa"/>
            <w:vAlign w:val="bottom"/>
          </w:tcPr>
          <w:p>
            <w:pPr>
              <w:spacing w:after="0"/>
              <w:rPr>
                <w:sz w:val="24"/>
                <w:szCs w:val="2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Severability.</w:t>
            </w:r>
          </w:p>
        </w:tc>
        <w:tc>
          <w:tcPr>
            <w:tcW w:w="5260" w:type="dxa"/>
            <w:vAlign w:val="bottom"/>
            <w:gridSpan w:val="8"/>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74"/>
        </w:trPr>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7</w:t>
            </w:r>
          </w:p>
        </w:tc>
        <w:tc>
          <w:tcPr>
            <w:tcW w:w="840" w:type="dxa"/>
            <w:vAlign w:val="bottom"/>
          </w:tcPr>
          <w:p>
            <w:pPr>
              <w:spacing w:after="0"/>
              <w:rPr>
                <w:sz w:val="24"/>
                <w:szCs w:val="24"/>
                <w:color w:val="auto"/>
              </w:rPr>
            </w:pPr>
          </w:p>
        </w:tc>
        <w:tc>
          <w:tcPr>
            <w:tcW w:w="6160" w:type="dxa"/>
            <w:vAlign w:val="bottom"/>
            <w:gridSpan w:val="11"/>
          </w:tcPr>
          <w:p>
            <w:pPr>
              <w:spacing w:after="0"/>
              <w:rPr>
                <w:sz w:val="20"/>
                <w:szCs w:val="20"/>
                <w:color w:val="auto"/>
              </w:rPr>
            </w:pPr>
            <w:r>
              <w:rPr>
                <w:rFonts w:ascii="Arial" w:cs="Arial" w:eastAsia="Arial" w:hAnsi="Arial"/>
                <w:sz w:val="18"/>
                <w:szCs w:val="18"/>
                <w:color w:val="auto"/>
              </w:rPr>
              <w:t>Governing Law and Jurisdiction.</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74"/>
        </w:trPr>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w:t>
            </w:r>
            <w:r>
              <w:rPr>
                <w:rFonts w:ascii="Arial" w:cs="Arial" w:eastAsia="Arial" w:hAnsi="Arial"/>
                <w:sz w:val="18"/>
                <w:szCs w:val="18"/>
                <w:u w:val="single" w:color="auto"/>
                <w:color w:val="auto"/>
                <w:w w:val="85"/>
              </w:rPr>
              <w:t>8</w:t>
            </w:r>
          </w:p>
        </w:tc>
        <w:tc>
          <w:tcPr>
            <w:tcW w:w="840" w:type="dxa"/>
            <w:vAlign w:val="bottom"/>
          </w:tcPr>
          <w:p>
            <w:pPr>
              <w:spacing w:after="0"/>
              <w:rPr>
                <w:sz w:val="24"/>
                <w:szCs w:val="24"/>
                <w:color w:val="auto"/>
              </w:rPr>
            </w:pPr>
          </w:p>
        </w:tc>
        <w:tc>
          <w:tcPr>
            <w:tcW w:w="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1"/>
              </w:rPr>
              <w:t>Headings.</w:t>
            </w:r>
          </w:p>
        </w:tc>
        <w:tc>
          <w:tcPr>
            <w:tcW w:w="1580" w:type="dxa"/>
            <w:vAlign w:val="bottom"/>
            <w:tcBorders>
              <w:top w:val="single" w:sz="8" w:color="auto"/>
            </w:tcBorders>
            <w:gridSpan w:val="7"/>
          </w:tcPr>
          <w:p>
            <w:pPr>
              <w:spacing w:after="0"/>
              <w:rPr>
                <w:sz w:val="24"/>
                <w:szCs w:val="24"/>
                <w:color w:val="auto"/>
              </w:rPr>
            </w:pPr>
          </w:p>
        </w:tc>
        <w:tc>
          <w:tcPr>
            <w:tcW w:w="380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50"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820"/>
          </w:cols>
          <w:pgMar w:left="740" w:top="878" w:right="33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20"/>
          <w:szCs w:val="20"/>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2017 GLOBAL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1</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PURPOSE AND TERM</w:t>
      </w:r>
    </w:p>
    <w:p>
      <w:pPr>
        <w:spacing w:after="0" w:line="189" w:lineRule="exact"/>
        <w:rPr>
          <w:sz w:val="20"/>
          <w:szCs w:val="20"/>
          <w:color w:val="auto"/>
        </w:rPr>
      </w:pPr>
    </w:p>
    <w:p>
      <w:pPr>
        <w:jc w:val="both"/>
        <w:ind w:left="620" w:hanging="620"/>
        <w:spacing w:after="0" w:line="285" w:lineRule="auto"/>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color w:val="auto"/>
        </w:rPr>
        <w:t>Purpose</w:t>
      </w:r>
      <w:r>
        <w:rPr>
          <w:rFonts w:ascii="Arial" w:cs="Arial" w:eastAsia="Arial" w:hAnsi="Arial"/>
          <w:sz w:val="19"/>
          <w:szCs w:val="19"/>
          <w:color w:val="auto"/>
        </w:rPr>
        <w:t>. The purpose of the Take-Two Interactive Software, Inc. Second Amended and Restated 2017 Global Employee Stock</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Plan (the "Plan") is to afford Eligible Employees an opportunity to obtain a proprietary interest in the continued growth and prosperity of Take-Two Interactive Software, Inc. (the "Company") through ownership of its shares of Common Stock. The Company intends for the Plan to have two components: a component that is intended to qualify as an "employee stock purchase plan" under Code Section 423 (the "Code Section 423 Component"), and a component that is not intended to qualify as an "employee stock purchase plan" under Code Section 423 (the "Non-Code Section 423 Component"). The provisions of the Code Section 423 Component shall be construed so as to extend and limit participation in a uniform and non-discriminatory basis consistent with the requirements of Code Section 423. A Purchase Right to purchase shares of Common Stock under the Non-Code Section 423 Component shall be effectuated via separate Offerings under one or more sub-plans of the Non-Code Section 423 Component of the Plan for Employees of Participating Affiliates in countries outside of the United States in order to achieve tax, employment, securities law or other purposes and objectives, and to conform the terms of the sub-plans with the laws and requirements of such countries. Except as otherwise provided herein or in the applicable sub-plan, the Non-Code Section 423 Component of the Plan shall be operated and administered in the same manner as the Code Section 423 Component.</w:t>
      </w:r>
    </w:p>
    <w:p>
      <w:pPr>
        <w:spacing w:after="0" w:line="125"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b w:val="1"/>
          <w:bCs w:val="1"/>
          <w:color w:val="auto"/>
        </w:rPr>
        <w:t xml:space="preserve">Term of the Plan. </w:t>
      </w:r>
      <w:r>
        <w:rPr>
          <w:rFonts w:ascii="Arial" w:cs="Arial" w:eastAsia="Arial" w:hAnsi="Arial"/>
          <w:sz w:val="20"/>
          <w:szCs w:val="20"/>
          <w:color w:val="auto"/>
        </w:rPr>
        <w:t>The Plan shall continue in effect until the date on which all of the shares of Common Stock authorized for issuance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have been issued.</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2</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color w:val="auto"/>
        </w:rPr>
        <w:t>Definitions.</w:t>
      </w:r>
    </w:p>
    <w:p>
      <w:pPr>
        <w:spacing w:after="0" w:line="195" w:lineRule="exact"/>
        <w:rPr>
          <w:sz w:val="20"/>
          <w:szCs w:val="20"/>
          <w:color w:val="auto"/>
        </w:rPr>
      </w:pPr>
    </w:p>
    <w:p>
      <w:pPr>
        <w:ind w:left="620"/>
        <w:spacing w:after="0" w:line="289" w:lineRule="auto"/>
        <w:rPr>
          <w:sz w:val="20"/>
          <w:szCs w:val="20"/>
          <w:color w:val="auto"/>
        </w:rPr>
      </w:pPr>
      <w:r>
        <w:rPr>
          <w:rFonts w:ascii="Arial" w:cs="Arial" w:eastAsia="Arial" w:hAnsi="Arial"/>
          <w:sz w:val="20"/>
          <w:szCs w:val="20"/>
          <w:color w:val="auto"/>
        </w:rPr>
        <w:t>Any term not expressly defined in the Plan shall have the same definition as set forth in Code Section 423. Whenever the following words and phrases are used in the Plan, they shall have the respective meanings set forth below:</w:t>
      </w:r>
    </w:p>
    <w:p>
      <w:pPr>
        <w:spacing w:after="0" w:line="121" w:lineRule="exact"/>
        <w:rPr>
          <w:sz w:val="20"/>
          <w:szCs w:val="20"/>
          <w:color w:val="auto"/>
        </w:rPr>
      </w:pPr>
    </w:p>
    <w:p>
      <w:pPr>
        <w:ind w:left="1360" w:hanging="623"/>
        <w:spacing w:after="0"/>
        <w:tabs>
          <w:tab w:leader="none" w:pos="1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Act</w:t>
      </w:r>
      <w:r>
        <w:rPr>
          <w:rFonts w:ascii="Arial" w:cs="Arial" w:eastAsia="Arial" w:hAnsi="Arial"/>
          <w:sz w:val="20"/>
          <w:szCs w:val="20"/>
          <w:color w:val="auto"/>
        </w:rPr>
        <w:t>" means the Securities Exchange Act of 1934, as amended from time to time.</w:t>
      </w:r>
    </w:p>
    <w:p>
      <w:pPr>
        <w:spacing w:after="0" w:line="188" w:lineRule="exact"/>
        <w:rPr>
          <w:rFonts w:ascii="Arial" w:cs="Arial" w:eastAsia="Arial" w:hAnsi="Arial"/>
          <w:sz w:val="20"/>
          <w:szCs w:val="20"/>
          <w:color w:val="auto"/>
        </w:rPr>
      </w:pPr>
    </w:p>
    <w:p>
      <w:pPr>
        <w:jc w:val="both"/>
        <w:ind w:left="1380" w:hanging="643"/>
        <w:spacing w:after="0" w:line="287" w:lineRule="auto"/>
        <w:tabs>
          <w:tab w:leader="none" w:pos="1362"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each of the following: (i) any Subsidiary; (ii) any corporation, trade or business (including, without limitation, a partnership or limited liability company) that is directly or indirectly controlled fifty percent (50%) or more (whether by ownership of stock, assets or an equivalent ownership interest or voting interest) by the Company; (iii) any corporation, trade or business (including, without limitation, a partnership or limited liability company) that directly or indirectly controls fifty percent (50%) or more (whether by ownership of stock, assets or an equivalent ownership interest or voting interest) of the Company; and (iv) any other entity in which the Company or any of its Affiliates has a material equity interest and that is designated as an "Affiliate" by resolution of the Board.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738" w:right="239" w:bottom="1440" w:gutter="0" w:footer="0" w:header="0"/>
        </w:sectPr>
      </w:pPr>
    </w:p>
    <w:bookmarkStart w:id="104" w:name="page105"/>
    <w:bookmarkEnd w:id="104"/>
    <w:p>
      <w:pPr>
        <w:jc w:val="both"/>
        <w:ind w:left="643" w:hanging="643"/>
        <w:spacing w:after="0" w:line="278"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each individual designated by the Company to receive Enrollment Agreements, withdrawal notices and other communications from Eligible Employees. The Administrator shall also include any third-party vendor hired by the Company to assist with the day-to-day operation and administration of the Plan.</w:t>
      </w:r>
    </w:p>
    <w:p>
      <w:pPr>
        <w:spacing w:after="0" w:line="132" w:lineRule="exact"/>
        <w:rPr>
          <w:rFonts w:ascii="Arial" w:cs="Arial" w:eastAsia="Arial" w:hAnsi="Arial"/>
          <w:sz w:val="20"/>
          <w:szCs w:val="20"/>
          <w:color w:val="auto"/>
        </w:rPr>
      </w:pPr>
    </w:p>
    <w:p>
      <w:pPr>
        <w:ind w:left="623" w:hanging="623"/>
        <w:spacing w:after="0"/>
        <w:tabs>
          <w:tab w:leader="none" w:pos="6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188"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"Change in Control" as defined in the Take-Two Interactive Software, Inc. 2009 Stock Incentive Plan, as amended and restated, or any successor plan that the Company may establish.</w:t>
      </w:r>
    </w:p>
    <w:p>
      <w:pPr>
        <w:spacing w:after="0" w:line="121"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United States Internal Revenue Code of 1986, as amended, and any applicable regulations promulgated thereunder.</w:t>
      </w:r>
    </w:p>
    <w:p>
      <w:pPr>
        <w:spacing w:after="0" w:line="121" w:lineRule="exact"/>
        <w:rPr>
          <w:rFonts w:ascii="Arial" w:cs="Arial" w:eastAsia="Arial" w:hAnsi="Arial"/>
          <w:sz w:val="20"/>
          <w:szCs w:val="20"/>
          <w:color w:val="auto"/>
        </w:rPr>
      </w:pPr>
    </w:p>
    <w:p>
      <w:pPr>
        <w:ind w:left="643" w:right="20" w:hanging="643"/>
        <w:spacing w:after="0" w:line="289"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 Section 423 Component</w:t>
      </w:r>
      <w:r>
        <w:rPr>
          <w:rFonts w:ascii="Arial" w:cs="Arial" w:eastAsia="Arial" w:hAnsi="Arial"/>
          <w:sz w:val="20"/>
          <w:szCs w:val="20"/>
          <w:color w:val="auto"/>
        </w:rPr>
        <w:t>" means those Offerings under the Plan that are intended to meet the requirements of Code Section 423(b).</w:t>
      </w:r>
    </w:p>
    <w:p>
      <w:pPr>
        <w:spacing w:after="0" w:line="121" w:lineRule="exact"/>
        <w:rPr>
          <w:rFonts w:ascii="Arial" w:cs="Arial" w:eastAsia="Arial" w:hAnsi="Arial"/>
          <w:sz w:val="20"/>
          <w:szCs w:val="20"/>
          <w:color w:val="auto"/>
        </w:rPr>
      </w:pPr>
    </w:p>
    <w:p>
      <w:pPr>
        <w:jc w:val="both"/>
        <w:ind w:left="643" w:hanging="643"/>
        <w:spacing w:after="0" w:line="273"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or another committee of the Board duly appointed to administer the Plan and having such powers as shall be specified by the Board as described in Section 9.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37" w:lineRule="exact"/>
        <w:rPr>
          <w:rFonts w:ascii="Arial" w:cs="Arial" w:eastAsia="Arial" w:hAnsi="Arial"/>
          <w:sz w:val="20"/>
          <w:szCs w:val="20"/>
          <w:color w:val="auto"/>
        </w:rPr>
      </w:pPr>
    </w:p>
    <w:p>
      <w:pPr>
        <w:ind w:left="623" w:hanging="623"/>
        <w:spacing w:after="0"/>
        <w:tabs>
          <w:tab w:leader="none" w:pos="6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the common stock, $0.01 par value per share, of the Company.</w:t>
      </w:r>
    </w:p>
    <w:p>
      <w:pPr>
        <w:spacing w:after="0" w:line="188"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Take-Two Interactive Software, Inc., a Delaware corporation, and any present or future parent corporation of the Company (as defined in Code Section 424(e)).</w:t>
      </w:r>
    </w:p>
    <w:p>
      <w:pPr>
        <w:spacing w:after="0" w:line="121" w:lineRule="exact"/>
        <w:rPr>
          <w:rFonts w:ascii="Arial" w:cs="Arial" w:eastAsia="Arial" w:hAnsi="Arial"/>
          <w:sz w:val="20"/>
          <w:szCs w:val="20"/>
          <w:color w:val="auto"/>
        </w:rPr>
      </w:pPr>
    </w:p>
    <w:p>
      <w:pPr>
        <w:jc w:val="both"/>
        <w:ind w:left="643" w:hanging="643"/>
        <w:spacing w:after="0" w:line="274"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means, with respect to each payroll period in any Offering Period, the actual wages or salary paid to a Participant for services actually rendered at the Participant's base rate of pay prior to any salary reductions, along with overtime, holiday pay and paid time-off, but excluding any other amounts of pay, such as living or other allowances, and incentive compensation of any kind, including annual and long-term bonuses.</w:t>
      </w:r>
    </w:p>
    <w:p>
      <w:pPr>
        <w:spacing w:after="0" w:line="138" w:lineRule="exact"/>
        <w:rPr>
          <w:rFonts w:ascii="Arial" w:cs="Arial" w:eastAsia="Arial" w:hAnsi="Arial"/>
          <w:sz w:val="20"/>
          <w:szCs w:val="20"/>
          <w:color w:val="auto"/>
        </w:rPr>
      </w:pPr>
    </w:p>
    <w:p>
      <w:pPr>
        <w:ind w:left="623" w:hanging="623"/>
        <w:spacing w:after="0"/>
        <w:tabs>
          <w:tab w:leader="none" w:pos="6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March 28, 2019.</w:t>
      </w:r>
    </w:p>
    <w:p>
      <w:pPr>
        <w:spacing w:after="0" w:line="188"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Employee</w:t>
      </w:r>
      <w:r>
        <w:rPr>
          <w:rFonts w:ascii="Arial" w:cs="Arial" w:eastAsia="Arial" w:hAnsi="Arial"/>
          <w:sz w:val="20"/>
          <w:szCs w:val="20"/>
          <w:color w:val="auto"/>
        </w:rPr>
        <w:t>" means an individual who, on the Offering Date, is an Employee of the Company, a Participating Company or a Participating Affiliate, excluding any individual:</w:t>
      </w:r>
    </w:p>
    <w:p>
      <w:pPr>
        <w:spacing w:after="0" w:line="121" w:lineRule="exact"/>
        <w:rPr>
          <w:rFonts w:ascii="Arial" w:cs="Arial" w:eastAsia="Arial" w:hAnsi="Arial"/>
          <w:sz w:val="20"/>
          <w:szCs w:val="20"/>
          <w:color w:val="auto"/>
        </w:rPr>
      </w:pPr>
    </w:p>
    <w:p>
      <w:pPr>
        <w:jc w:val="both"/>
        <w:ind w:left="1183" w:hanging="642"/>
        <w:spacing w:after="0" w:line="322" w:lineRule="auto"/>
        <w:tabs>
          <w:tab w:leader="none" w:pos="118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who, immediately after any rights under this Plan are granted, owns (directly or through attribution) shares of Common Stock possessing five percent (5%) or more of the total combined voting power or value of all classes of stock or other stock of the Company, a future parent corporation, or a Subsidiary (as determined under Code Section 423(b)(3)); and</w:t>
      </w:r>
    </w:p>
    <w:p>
      <w:pPr>
        <w:spacing w:after="0" w:line="98" w:lineRule="exact"/>
        <w:rPr>
          <w:rFonts w:ascii="Arial" w:cs="Arial" w:eastAsia="Arial" w:hAnsi="Arial"/>
          <w:sz w:val="18"/>
          <w:szCs w:val="18"/>
          <w:color w:val="auto"/>
        </w:rPr>
      </w:pPr>
    </w:p>
    <w:p>
      <w:pPr>
        <w:jc w:val="both"/>
        <w:ind w:left="1183" w:hanging="642"/>
        <w:spacing w:after="0" w:line="297" w:lineRule="auto"/>
        <w:tabs>
          <w:tab w:leader="none" w:pos="118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who has not satisfied a service requirement of at least six (6) consecutive months, including service with the Company, its Subsidiaries, and its Affiliates, or such other period designated by the Committee pursuant to Code Section 423(b)</w:t>
      </w:r>
    </w:p>
    <w:p>
      <w:pPr>
        <w:ind w:left="1183"/>
        <w:spacing w:after="0" w:line="289" w:lineRule="auto"/>
        <w:rPr>
          <w:rFonts w:ascii="Arial" w:cs="Arial" w:eastAsia="Arial" w:hAnsi="Arial"/>
          <w:sz w:val="18"/>
          <w:szCs w:val="18"/>
          <w:color w:val="auto"/>
        </w:rPr>
      </w:pPr>
      <w:r>
        <w:rPr>
          <w:rFonts w:ascii="Arial" w:cs="Arial" w:eastAsia="Arial" w:hAnsi="Arial"/>
          <w:sz w:val="20"/>
          <w:szCs w:val="20"/>
          <w:color w:val="auto"/>
        </w:rPr>
        <w:t>(4)(A) (which service requirement may not exceed two (2) years); provided however, that the limitation contained in this Section</w:t>
      </w:r>
    </w:p>
    <w:p>
      <w:pPr>
        <w:spacing w:after="0" w:line="359" w:lineRule="exact"/>
        <w:rPr>
          <w:sz w:val="20"/>
          <w:szCs w:val="20"/>
          <w:color w:val="auto"/>
        </w:rPr>
      </w:pPr>
    </w:p>
    <w:p>
      <w:pPr>
        <w:ind w:left="4943"/>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683"/>
          </w:cols>
          <w:pgMar w:left="977" w:top="744" w:right="239" w:bottom="1440" w:gutter="0" w:footer="0" w:header="0"/>
        </w:sectPr>
      </w:pPr>
    </w:p>
    <w:bookmarkStart w:id="105" w:name="page106"/>
    <w:bookmarkEnd w:id="105"/>
    <w:p>
      <w:pPr>
        <w:ind w:left="1183"/>
        <w:spacing w:after="0" w:line="303" w:lineRule="auto"/>
        <w:rPr>
          <w:sz w:val="20"/>
          <w:szCs w:val="20"/>
          <w:color w:val="auto"/>
        </w:rPr>
      </w:pPr>
      <w:r>
        <w:rPr>
          <w:rFonts w:ascii="Arial" w:cs="Arial" w:eastAsia="Arial" w:hAnsi="Arial"/>
          <w:sz w:val="20"/>
          <w:szCs w:val="20"/>
          <w:color w:val="auto"/>
        </w:rPr>
        <w:t>2.1(m)(ii) shall only apply to the extent the Committee expressly provides for such limitation, and then, such limitation shall only apply to such Offering Period.</w:t>
      </w:r>
    </w:p>
    <w:p>
      <w:pPr>
        <w:spacing w:after="0" w:line="95" w:lineRule="exact"/>
        <w:rPr>
          <w:sz w:val="20"/>
          <w:szCs w:val="20"/>
          <w:color w:val="auto"/>
        </w:rPr>
      </w:pPr>
    </w:p>
    <w:p>
      <w:pPr>
        <w:jc w:val="both"/>
        <w:ind w:left="563"/>
        <w:spacing w:after="0" w:line="259" w:lineRule="auto"/>
        <w:rPr>
          <w:sz w:val="20"/>
          <w:szCs w:val="20"/>
          <w:color w:val="auto"/>
        </w:rPr>
      </w:pPr>
      <w:r>
        <w:rPr>
          <w:rFonts w:ascii="Arial" w:cs="Arial" w:eastAsia="Arial" w:hAnsi="Arial"/>
          <w:sz w:val="19"/>
          <w:szCs w:val="19"/>
          <w:color w:val="auto"/>
        </w:rPr>
        <w:t>For purposes of clause (i) above, the rules of Code Section 424(d) with regard to the attribution of stock ownership shall apply in determining the stock ownership of an individual, and stock, which an Employee may purchase or otherwise acquire under outstanding options or other forms of equity compensation awards granted by the Company, shall be treated as stock owned by the Employee. For purposes of the Plan, the employment relationship shall be treated as continuing intact while the individual is on sick leave or other leave of absence approved by the Company or a Designated Subsidiary and meeting the requirements of Treasury Regulation Section 1.421-7(h)(2).</w:t>
      </w:r>
    </w:p>
    <w:p>
      <w:pPr>
        <w:spacing w:after="0" w:line="206" w:lineRule="exact"/>
        <w:rPr>
          <w:sz w:val="20"/>
          <w:szCs w:val="20"/>
          <w:color w:val="auto"/>
        </w:rPr>
      </w:pPr>
    </w:p>
    <w:p>
      <w:pPr>
        <w:jc w:val="both"/>
        <w:ind w:left="643" w:hanging="643"/>
        <w:spacing w:after="0" w:line="302" w:lineRule="auto"/>
        <w:tabs>
          <w:tab w:leader="none" w:pos="6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 person treated as an employee of the Company or a Participating Company for purposes of the Code Section 423 Component of the Plan or, for Participating Affiliates offering participation in the Non-Code Section 423 Component of the Plan, persons treated as an employee as determined under local laws, rules and regulations and specified in the applicable sub-plan. For purposes of this Plan, a Participant shall cease to be an Employee either upon an actual termination of employment or upon the company employing the employee ceasing to be a Participating Company or a Participating Affiliate. For purposes of the Plan, an individual shall not cease to be an Employee while such individual is on any military leave, sick leave, statutory leave (as determined under local law) or other bona fide leave of absence approved by the Company. The Company shall determine in good faith and in the exercise of its discretion whether an individual has become or has ceased to be an Employee and the effective date of such individual's employment or termination of employment, as the case may be. For purposes of an individual's participation in or other rights, if any, under the Plan as of the time of the Company's determination, all such determinations by the Company shall be final, binding and conclusive, notwithstanding that the Company or any governmental agency subsequently makes a contrary determination.</w:t>
      </w:r>
    </w:p>
    <w:p>
      <w:pPr>
        <w:spacing w:after="0" w:line="115" w:lineRule="exact"/>
        <w:rPr>
          <w:rFonts w:ascii="Arial" w:cs="Arial" w:eastAsia="Arial" w:hAnsi="Arial"/>
          <w:sz w:val="18"/>
          <w:szCs w:val="18"/>
          <w:color w:val="auto"/>
        </w:rPr>
      </w:pPr>
    </w:p>
    <w:p>
      <w:pPr>
        <w:jc w:val="both"/>
        <w:ind w:left="643" w:hanging="643"/>
        <w:spacing w:after="0" w:line="322" w:lineRule="auto"/>
        <w:tabs>
          <w:tab w:leader="none" w:pos="6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Enrollment Agreement</w:t>
      </w:r>
      <w:r>
        <w:rPr>
          <w:rFonts w:ascii="Arial" w:cs="Arial" w:eastAsia="Arial" w:hAnsi="Arial"/>
          <w:sz w:val="18"/>
          <w:szCs w:val="18"/>
          <w:color w:val="auto"/>
        </w:rPr>
        <w:t>" means an agreement in such written or electronic form as specified by the Company, stating an Employee's election to participate in the Plan and authorizing payroll deductions or such other form of contribution as may be permitted under the Plan (or any sub-plan established pursuant to Section 9.4) from the Employee's Compensation.</w:t>
      </w:r>
    </w:p>
    <w:p>
      <w:pPr>
        <w:spacing w:after="0" w:line="98" w:lineRule="exact"/>
        <w:rPr>
          <w:rFonts w:ascii="Arial" w:cs="Arial" w:eastAsia="Arial" w:hAnsi="Arial"/>
          <w:sz w:val="18"/>
          <w:szCs w:val="18"/>
          <w:color w:val="auto"/>
        </w:rPr>
      </w:pPr>
    </w:p>
    <w:p>
      <w:pPr>
        <w:ind w:left="643" w:hanging="643"/>
        <w:spacing w:after="0" w:line="316" w:lineRule="auto"/>
        <w:tabs>
          <w:tab w:leader="none" w:pos="625"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Enrollment Period</w:t>
      </w:r>
      <w:r>
        <w:rPr>
          <w:rFonts w:ascii="Arial" w:cs="Arial" w:eastAsia="Arial" w:hAnsi="Arial"/>
          <w:sz w:val="19"/>
          <w:szCs w:val="19"/>
          <w:color w:val="auto"/>
        </w:rPr>
        <w:t>" means, unless otherwise specified by the Committee, the period commencing on the first day of the month preceding each Offering Period, and ending on the 15th of the month preceding each Offering Period.</w:t>
      </w:r>
    </w:p>
    <w:p>
      <w:pPr>
        <w:spacing w:after="0" w:line="99" w:lineRule="exact"/>
        <w:rPr>
          <w:rFonts w:ascii="Arial" w:cs="Arial" w:eastAsia="Arial" w:hAnsi="Arial"/>
          <w:sz w:val="19"/>
          <w:szCs w:val="19"/>
          <w:color w:val="auto"/>
        </w:rPr>
      </w:pPr>
    </w:p>
    <w:p>
      <w:pPr>
        <w:jc w:val="both"/>
        <w:ind w:left="643" w:hanging="643"/>
        <w:spacing w:after="0" w:line="305" w:lineRule="auto"/>
        <w:tabs>
          <w:tab w:leader="none" w:pos="6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unless otherwise required by any applicable provision of the Code or any regulations issued thereunder, as of any date and except as provided below, (1) if the Common Stock is traded, listed or otherwise reported or quoted on a Stock Exchange, the last sales price reported for the Common Stock on the Purchase Date or other applicable date as reported on such Stock Exchange; or (2) if the Common Stock is not traded, listed or otherwise reported or quoted on a Stock Exchange, such amount as determined by the Committee in good faith in its sole discretion. For purposes of the grant of any Purchase Right, the applicable date shall be the Trading Day on which the Purchase Right is granted, or if such grant date is not a Trading Day, the Trading Day immediately prior to the date on which the Purchase Right is granted.</w:t>
      </w:r>
    </w:p>
    <w:p>
      <w:pPr>
        <w:spacing w:after="0" w:line="116" w:lineRule="exact"/>
        <w:rPr>
          <w:rFonts w:ascii="Arial" w:cs="Arial" w:eastAsia="Arial" w:hAnsi="Arial"/>
          <w:sz w:val="18"/>
          <w:szCs w:val="18"/>
          <w:color w:val="auto"/>
        </w:rPr>
      </w:pPr>
    </w:p>
    <w:p>
      <w:pPr>
        <w:ind w:left="643" w:hanging="643"/>
        <w:spacing w:after="0" w:line="289" w:lineRule="auto"/>
        <w:tabs>
          <w:tab w:leader="none" w:pos="62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Non-Code Section 423 Component</w:t>
      </w:r>
      <w:r>
        <w:rPr>
          <w:rFonts w:ascii="Arial" w:cs="Arial" w:eastAsia="Arial" w:hAnsi="Arial"/>
          <w:sz w:val="20"/>
          <w:szCs w:val="20"/>
          <w:color w:val="auto"/>
        </w:rPr>
        <w:t>" means those Offerings under the Plan that are not intended to meet the requirements of Code Section 423(b).</w:t>
      </w:r>
    </w:p>
    <w:p>
      <w:pPr>
        <w:spacing w:after="0" w:line="359" w:lineRule="exact"/>
        <w:rPr>
          <w:sz w:val="20"/>
          <w:szCs w:val="20"/>
          <w:color w:val="auto"/>
        </w:rPr>
      </w:pPr>
    </w:p>
    <w:p>
      <w:pPr>
        <w:ind w:left="4943"/>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683"/>
          </w:cols>
          <w:pgMar w:left="977" w:top="757" w:right="239" w:bottom="1440" w:gutter="0" w:footer="0" w:header="0"/>
        </w:sectPr>
      </w:pPr>
    </w:p>
    <w:bookmarkStart w:id="106" w:name="page107"/>
    <w:bookmarkEnd w:id="106"/>
    <w:p>
      <w:pPr>
        <w:ind w:left="623" w:hanging="623"/>
        <w:spacing w:after="0"/>
        <w:tabs>
          <w:tab w:leader="none" w:pos="6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w:t>
      </w:r>
      <w:r>
        <w:rPr>
          <w:rFonts w:ascii="Arial" w:cs="Arial" w:eastAsia="Arial" w:hAnsi="Arial"/>
          <w:sz w:val="20"/>
          <w:szCs w:val="20"/>
          <w:color w:val="auto"/>
        </w:rPr>
        <w:t>" means the Company's grant of a Purchase Right as described in Section 5.</w:t>
      </w:r>
    </w:p>
    <w:p>
      <w:pPr>
        <w:spacing w:after="0" w:line="188" w:lineRule="exact"/>
        <w:rPr>
          <w:rFonts w:ascii="Arial" w:cs="Arial" w:eastAsia="Arial" w:hAnsi="Arial"/>
          <w:sz w:val="20"/>
          <w:szCs w:val="20"/>
          <w:color w:val="auto"/>
        </w:rPr>
      </w:pPr>
    </w:p>
    <w:p>
      <w:pPr>
        <w:ind w:left="623" w:hanging="623"/>
        <w:spacing w:after="0"/>
        <w:tabs>
          <w:tab w:leader="none" w:pos="6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means the first Trading Day of each Offering Period.</w:t>
      </w:r>
    </w:p>
    <w:p>
      <w:pPr>
        <w:spacing w:after="0" w:line="188"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Period</w:t>
      </w:r>
      <w:r>
        <w:rPr>
          <w:rFonts w:ascii="Arial" w:cs="Arial" w:eastAsia="Arial" w:hAnsi="Arial"/>
          <w:sz w:val="20"/>
          <w:szCs w:val="20"/>
          <w:color w:val="auto"/>
        </w:rPr>
        <w:t>" means the consecutive six (6) month period commencing each November 1 and May 1, or such other period as may be established by the Committee in its sole discretion.</w:t>
      </w:r>
    </w:p>
    <w:p>
      <w:pPr>
        <w:spacing w:after="0" w:line="121" w:lineRule="exact"/>
        <w:rPr>
          <w:rFonts w:ascii="Arial" w:cs="Arial" w:eastAsia="Arial" w:hAnsi="Arial"/>
          <w:sz w:val="20"/>
          <w:szCs w:val="20"/>
          <w:color w:val="auto"/>
        </w:rPr>
      </w:pPr>
    </w:p>
    <w:p>
      <w:pPr>
        <w:ind w:left="643" w:right="20" w:hanging="643"/>
        <w:spacing w:after="0" w:line="289" w:lineRule="auto"/>
        <w:tabs>
          <w:tab w:leader="none" w:pos="625"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Eligible Employee who has elected to participate in the Plan by submitting an Enrollment Agreement as provided in Section 3.2.</w:t>
      </w:r>
    </w:p>
    <w:p>
      <w:pPr>
        <w:spacing w:after="0" w:line="121" w:lineRule="exact"/>
        <w:rPr>
          <w:rFonts w:ascii="Arial" w:cs="Arial" w:eastAsia="Arial" w:hAnsi="Arial"/>
          <w:sz w:val="20"/>
          <w:szCs w:val="20"/>
          <w:color w:val="auto"/>
        </w:rPr>
      </w:pPr>
    </w:p>
    <w:p>
      <w:pPr>
        <w:jc w:val="both"/>
        <w:ind w:left="643" w:hanging="643"/>
        <w:spacing w:after="0" w:line="274" w:lineRule="auto"/>
        <w:tabs>
          <w:tab w:leader="none" w:pos="625"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Participating Affiliate</w:t>
      </w:r>
      <w:r>
        <w:rPr>
          <w:rFonts w:ascii="Arial" w:cs="Arial" w:eastAsia="Arial" w:hAnsi="Arial"/>
          <w:sz w:val="20"/>
          <w:szCs w:val="20"/>
          <w:color w:val="auto"/>
        </w:rPr>
        <w:t>" means any Affiliate designated by the Committee, in its sole and absolute discretion, as a company that may offer participation in the Non-Code Section 423 Component of the Plan to its Eligible Employees pursuant to Section 9.4 of the Plan. The Committee shall have the sole and absolute discretion to determine from time to time when and if an Affiliate shall be classified as a Participating Affiliate.</w:t>
      </w:r>
    </w:p>
    <w:p>
      <w:pPr>
        <w:spacing w:after="0" w:line="138" w:lineRule="exact"/>
        <w:rPr>
          <w:rFonts w:ascii="Arial" w:cs="Arial" w:eastAsia="Arial" w:hAnsi="Arial"/>
          <w:sz w:val="20"/>
          <w:szCs w:val="20"/>
          <w:color w:val="auto"/>
        </w:rPr>
      </w:pPr>
    </w:p>
    <w:p>
      <w:pPr>
        <w:jc w:val="both"/>
        <w:ind w:left="643" w:hanging="643"/>
        <w:spacing w:after="0" w:line="274" w:lineRule="auto"/>
        <w:tabs>
          <w:tab w:leader="none" w:pos="625"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Participating Company</w:t>
      </w:r>
      <w:r>
        <w:rPr>
          <w:rFonts w:ascii="Arial" w:cs="Arial" w:eastAsia="Arial" w:hAnsi="Arial"/>
          <w:sz w:val="20"/>
          <w:szCs w:val="20"/>
          <w:color w:val="auto"/>
        </w:rPr>
        <w:t>" means any Subsidiary designated by the Committee, in its sole and absolute discretion, as a company that may offer participation in the Code Section 423 Component of the Plan to its Eligible Employees. The Committee shall have the sole and absolute discretion to determine from time to time when and if a Subsidiary shall be classified as a Participating Company.</w:t>
      </w:r>
    </w:p>
    <w:p>
      <w:pPr>
        <w:spacing w:after="0" w:line="138" w:lineRule="exact"/>
        <w:rPr>
          <w:rFonts w:ascii="Arial" w:cs="Arial" w:eastAsia="Arial" w:hAnsi="Arial"/>
          <w:sz w:val="20"/>
          <w:szCs w:val="20"/>
          <w:color w:val="auto"/>
        </w:rPr>
      </w:pPr>
    </w:p>
    <w:p>
      <w:pPr>
        <w:jc w:val="both"/>
        <w:ind w:left="643" w:hanging="643"/>
        <w:spacing w:after="0" w:line="278" w:lineRule="auto"/>
        <w:tabs>
          <w:tab w:leader="none" w:pos="625"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the Take-Two Interactive Software, Inc. Second Amended and Restated 2017 Global Employee Stock Purchase Plan, which includes both the Code Section 423 Component and the Non-Code Section 423 Component, as amended from time to time.</w:t>
      </w:r>
    </w:p>
    <w:p>
      <w:pPr>
        <w:spacing w:after="0" w:line="132" w:lineRule="exact"/>
        <w:rPr>
          <w:rFonts w:ascii="Arial" w:cs="Arial" w:eastAsia="Arial" w:hAnsi="Arial"/>
          <w:sz w:val="20"/>
          <w:szCs w:val="20"/>
          <w:color w:val="auto"/>
        </w:rPr>
      </w:pPr>
    </w:p>
    <w:p>
      <w:pPr>
        <w:ind w:left="623" w:hanging="623"/>
        <w:spacing w:after="0"/>
        <w:tabs>
          <w:tab w:leader="none" w:pos="623"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means the last Trading Day of each Offering Period.</w:t>
      </w:r>
    </w:p>
    <w:p>
      <w:pPr>
        <w:spacing w:after="0" w:line="189" w:lineRule="exact"/>
        <w:rPr>
          <w:sz w:val="20"/>
          <w:szCs w:val="20"/>
          <w:color w:val="auto"/>
        </w:rPr>
      </w:pPr>
    </w:p>
    <w:p>
      <w:pPr>
        <w:jc w:val="both"/>
        <w:ind w:left="643" w:hanging="643"/>
        <w:spacing w:after="0" w:line="272" w:lineRule="auto"/>
        <w:tabs>
          <w:tab w:leader="none" w:pos="625"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means the price at which a share of Common Stock may be purchased under the Plan, as established from time to time by the Board. For the first Offering Period and all subsequent Offering Periods unless otherwise established by the Board, the "Purchase Price" shall mean the lower of (i) 85% of the Fair Market Value of a share of Common Stock on the Offering Date, or (ii) 85% of the Fair Market Value of a share of Common Stock on the Purchase Date, as adjusted from time to time in accordance with Section 8.1 and provided that the Purchase Price shall not be less than the par value of the shares of Common Stock.</w:t>
      </w:r>
    </w:p>
    <w:p>
      <w:pPr>
        <w:spacing w:after="0" w:line="137" w:lineRule="exact"/>
        <w:rPr>
          <w:rFonts w:ascii="Arial" w:cs="Arial" w:eastAsia="Arial" w:hAnsi="Arial"/>
          <w:sz w:val="20"/>
          <w:szCs w:val="20"/>
          <w:color w:val="auto"/>
        </w:rPr>
      </w:pPr>
    </w:p>
    <w:p>
      <w:pPr>
        <w:ind w:left="643" w:hanging="643"/>
        <w:spacing w:after="0" w:line="289" w:lineRule="auto"/>
        <w:tabs>
          <w:tab w:leader="none" w:pos="625"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Right</w:t>
      </w:r>
      <w:r>
        <w:rPr>
          <w:rFonts w:ascii="Arial" w:cs="Arial" w:eastAsia="Arial" w:hAnsi="Arial"/>
          <w:sz w:val="20"/>
          <w:szCs w:val="20"/>
          <w:color w:val="auto"/>
        </w:rPr>
        <w:t>" means an option granted to a Participant pursuant to the Plan to purchase shares of Common Stock as provided in Section 5, which the Participant may or may not exercise during the Offering Period.</w:t>
      </w:r>
    </w:p>
    <w:p>
      <w:pPr>
        <w:spacing w:after="0" w:line="121" w:lineRule="exact"/>
        <w:rPr>
          <w:rFonts w:ascii="Arial" w:cs="Arial" w:eastAsia="Arial" w:hAnsi="Arial"/>
          <w:sz w:val="20"/>
          <w:szCs w:val="20"/>
          <w:color w:val="auto"/>
        </w:rPr>
      </w:pPr>
    </w:p>
    <w:p>
      <w:pPr>
        <w:jc w:val="both"/>
        <w:ind w:left="643" w:hanging="643"/>
        <w:spacing w:after="0" w:line="293" w:lineRule="auto"/>
        <w:tabs>
          <w:tab w:leader="none" w:pos="625"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Exchange</w:t>
      </w:r>
      <w:r>
        <w:rPr>
          <w:rFonts w:ascii="Arial" w:cs="Arial" w:eastAsia="Arial" w:hAnsi="Arial"/>
          <w:sz w:val="19"/>
          <w:szCs w:val="19"/>
          <w:color w:val="auto"/>
        </w:rPr>
        <w:t>” means the principal national securities exchange in the United States on which the Common Stock is listed for trading, or, if the Common Stock is not listed for trading on a national securities exchange, such other recognized trading market or quotation system upon which the largest number of shares of Common Stock has been traded in the aggregate during the last 20 days before the first or last day of an Offering Period, as applicable.</w:t>
      </w:r>
    </w:p>
    <w:p>
      <w:pPr>
        <w:spacing w:after="0" w:line="121" w:lineRule="exact"/>
        <w:rPr>
          <w:rFonts w:ascii="Arial" w:cs="Arial" w:eastAsia="Arial" w:hAnsi="Arial"/>
          <w:sz w:val="19"/>
          <w:szCs w:val="19"/>
          <w:color w:val="auto"/>
        </w:rPr>
      </w:pPr>
    </w:p>
    <w:p>
      <w:pPr>
        <w:ind w:left="623" w:hanging="623"/>
        <w:spacing w:after="0"/>
        <w:tabs>
          <w:tab w:leader="none" w:pos="6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 present or future subsidiary corporation of the Company within the meaning of Code Section 424(f).</w:t>
      </w:r>
    </w:p>
    <w:p>
      <w:pPr>
        <w:spacing w:after="0" w:line="211" w:lineRule="exact"/>
        <w:rPr>
          <w:rFonts w:ascii="Arial" w:cs="Arial" w:eastAsia="Arial" w:hAnsi="Arial"/>
          <w:sz w:val="18"/>
          <w:szCs w:val="18"/>
          <w:color w:val="auto"/>
        </w:rPr>
      </w:pPr>
    </w:p>
    <w:p>
      <w:pPr>
        <w:ind w:left="623" w:hanging="623"/>
        <w:spacing w:after="0"/>
        <w:tabs>
          <w:tab w:leader="none" w:pos="6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means a day on which the Stock Exchange is open for trading.</w:t>
      </w:r>
    </w:p>
    <w:p>
      <w:pPr>
        <w:spacing w:after="0" w:line="200" w:lineRule="exact"/>
        <w:rPr>
          <w:sz w:val="20"/>
          <w:szCs w:val="20"/>
          <w:color w:val="auto"/>
        </w:rPr>
      </w:pPr>
    </w:p>
    <w:p>
      <w:pPr>
        <w:spacing w:after="0" w:line="226" w:lineRule="exact"/>
        <w:rPr>
          <w:sz w:val="20"/>
          <w:szCs w:val="20"/>
          <w:color w:val="auto"/>
        </w:rPr>
      </w:pPr>
    </w:p>
    <w:p>
      <w:pPr>
        <w:ind w:left="4943"/>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683"/>
          </w:cols>
          <w:pgMar w:left="977" w:top="744" w:right="239" w:bottom="1440" w:gutter="0" w:footer="0" w:header="0"/>
        </w:sectPr>
      </w:pPr>
    </w:p>
    <w:bookmarkStart w:id="107" w:name="page108"/>
    <w:bookmarkEnd w:id="107"/>
    <w:p>
      <w:pPr>
        <w:jc w:val="both"/>
        <w:ind w:left="620" w:hanging="620"/>
        <w:spacing w:after="0" w:line="302" w:lineRule="auto"/>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color w:val="auto"/>
        </w:rPr>
        <w:t>Construction</w:t>
      </w:r>
      <w:r>
        <w:rPr>
          <w:rFonts w:ascii="Arial" w:cs="Arial" w:eastAsia="Arial" w:hAnsi="Arial"/>
          <w:sz w:val="19"/>
          <w:szCs w:val="19"/>
          <w:color w:val="auto"/>
        </w:rPr>
        <w:t>. Captions and titles contained herein are for convenience only and shall not affect the meaning or interpretation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0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3</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ELIGIBILITY AND PARTICIPATION</w:t>
      </w:r>
    </w:p>
    <w:p>
      <w:pPr>
        <w:spacing w:after="0" w:line="189"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color w:val="auto"/>
        </w:rPr>
        <w:t>Eligibility</w:t>
      </w:r>
      <w:r>
        <w:rPr>
          <w:rFonts w:ascii="Arial" w:cs="Arial" w:eastAsia="Arial" w:hAnsi="Arial"/>
          <w:sz w:val="20"/>
          <w:szCs w:val="20"/>
          <w:color w:val="auto"/>
        </w:rPr>
        <w:t>. An Employee may elect to participate in the Plan as of the first Offering Date on which such person becomes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by complying with the enrollment procedures set forth in Section 3.2.</w:t>
      </w:r>
    </w:p>
    <w:p>
      <w:pPr>
        <w:spacing w:after="0" w:line="1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Participation</w:t>
      </w:r>
      <w:r>
        <w:rPr>
          <w:rFonts w:ascii="Arial" w:cs="Arial" w:eastAsia="Arial" w:hAnsi="Arial"/>
          <w:sz w:val="18"/>
          <w:szCs w:val="18"/>
          <w:color w:val="auto"/>
        </w:rPr>
        <w:t>.</w:t>
      </w:r>
    </w:p>
    <w:p>
      <w:pPr>
        <w:spacing w:after="0" w:line="195" w:lineRule="exact"/>
        <w:rPr>
          <w:sz w:val="20"/>
          <w:szCs w:val="20"/>
          <w:color w:val="auto"/>
        </w:rPr>
      </w:pPr>
    </w:p>
    <w:p>
      <w:pPr>
        <w:jc w:val="both"/>
        <w:ind w:left="1380" w:hanging="643"/>
        <w:spacing w:after="0" w:line="305" w:lineRule="auto"/>
        <w:tabs>
          <w:tab w:leader="none" w:pos="13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Eligible Employee shall become a Participant in an Offering by submitting a properly completed Enrollment Agreement to the Administrator. The Company shall establish enrollment procedures for the submission of such Enrollment Agreements to the Administrator using written and/or electronic election forms and shall communicate such procedures to all Eligible Employees. An Eligible Employee who does not timely submit a properly completed Enrollment Agreement to the Administrator during the Enrollment Period for an Offering Period shall not participate in the Plan for that Offering Period but shall be eligible to elect to participate in the Plan for any subsequent Offering Period by timely submitting a properly completed Enrollment Agreement to the Administrator during the Enrollment Period for any future Offering Period.</w:t>
      </w:r>
    </w:p>
    <w:p>
      <w:pPr>
        <w:spacing w:after="0" w:line="116" w:lineRule="exact"/>
        <w:rPr>
          <w:rFonts w:ascii="Arial" w:cs="Arial" w:eastAsia="Arial" w:hAnsi="Arial"/>
          <w:sz w:val="18"/>
          <w:szCs w:val="18"/>
          <w:color w:val="auto"/>
        </w:rPr>
      </w:pPr>
    </w:p>
    <w:p>
      <w:pPr>
        <w:ind w:left="1380" w:right="20" w:hanging="643"/>
        <w:spacing w:after="0" w:line="289" w:lineRule="auto"/>
        <w:tabs>
          <w:tab w:leader="none" w:pos="1362"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Participant may deliver to the Administrator a new Enrollment Agreement for each Offering Period in accordance with the procedures established in Section 4.</w:t>
      </w:r>
    </w:p>
    <w:p>
      <w:pPr>
        <w:spacing w:after="0" w:line="121" w:lineRule="exact"/>
        <w:rPr>
          <w:rFonts w:ascii="Arial" w:cs="Arial" w:eastAsia="Arial" w:hAnsi="Arial"/>
          <w:sz w:val="20"/>
          <w:szCs w:val="20"/>
          <w:color w:val="auto"/>
        </w:rPr>
      </w:pPr>
    </w:p>
    <w:p>
      <w:pPr>
        <w:jc w:val="both"/>
        <w:ind w:left="1380" w:hanging="643"/>
        <w:spacing w:after="0" w:line="307" w:lineRule="auto"/>
        <w:tabs>
          <w:tab w:leader="none" w:pos="13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limitation set forth in Section 5.3, a Participant who (i) has elected to participate in the Plan pursuant to Section 3.2(a) for an Offering Period, and (ii) takes no action to change or revoke such election (in accordance with such procedures as established by the Company) as of the first day of the next following Offering Period, shall be deemed to have made the same election to participate in the Plan, including the same payroll deduction authorization, for each subsequent Offering Period. A Participant who is automatically enrolled in the Plan for an Offering Period pursuant to the preceding sentence shall not be required to deliver an additional Enrollment Agreement to the Administrator for the subsequent Offering Period.</w:t>
      </w:r>
    </w:p>
    <w:p>
      <w:pPr>
        <w:spacing w:after="0" w:line="10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b w:val="1"/>
          <w:bCs w:val="1"/>
          <w:color w:val="auto"/>
        </w:rPr>
        <w:t>Termination of Employment or Loss of Eligibility</w:t>
      </w:r>
      <w:r>
        <w:rPr>
          <w:rFonts w:ascii="Arial" w:cs="Arial" w:eastAsia="Arial" w:hAnsi="Arial"/>
          <w:sz w:val="18"/>
          <w:szCs w:val="18"/>
          <w:color w:val="auto"/>
        </w:rPr>
        <w:t>.</w:t>
      </w:r>
    </w:p>
    <w:p>
      <w:pPr>
        <w:spacing w:after="0" w:line="195" w:lineRule="exact"/>
        <w:rPr>
          <w:sz w:val="20"/>
          <w:szCs w:val="20"/>
          <w:color w:val="auto"/>
        </w:rPr>
      </w:pPr>
    </w:p>
    <w:p>
      <w:pPr>
        <w:jc w:val="both"/>
        <w:ind w:left="1380" w:hanging="643"/>
        <w:spacing w:after="0" w:line="305" w:lineRule="auto"/>
        <w:tabs>
          <w:tab w:leader="none" w:pos="13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the employment of a Participant is terminated, prior to a Purchase Date, for any reason, including retirement, disability or death, or in the event a Participant is no longer an Eligible Employee, the Participant's participation in the Plan shall terminate immediately and thereupon, automatically and without any further act on his or her part, such Participant's payroll deduction authorization shall terminate. Payroll deductions credited to the Participant's Plan account since the last Purchase Date shall, as soon as practicable, be returned to the Participant or, in the case of the Participant's death, to the Participant's legal representative. Interest shall not be paid on payroll deductions returned unless otherwise required under applicable law. Further, all of the Participant's rights under the Plan shall terminate.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38" w:right="239" w:bottom="1440" w:gutter="0" w:footer="0" w:header="0"/>
        </w:sectPr>
      </w:pPr>
    </w:p>
    <w:bookmarkStart w:id="108" w:name="page109"/>
    <w:bookmarkEnd w:id="108"/>
    <w:p>
      <w:pPr>
        <w:ind w:left="1380" w:right="20" w:hanging="643"/>
        <w:spacing w:after="0" w:line="289" w:lineRule="auto"/>
        <w:tabs>
          <w:tab w:leader="none" w:pos="1362"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Participant whose participation in the Plan has been terminated may become eligible to participate in the Plan for any subsequent Offering Period by again satisfying the requirements of Sections 3.1 and 3.2.</w:t>
      </w:r>
    </w:p>
    <w:p>
      <w:pPr>
        <w:spacing w:after="0" w:line="11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89"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b w:val="1"/>
          <w:bCs w:val="1"/>
          <w:color w:val="auto"/>
        </w:rPr>
        <w:t>Voluntary Withdrawal from the Plan</w:t>
      </w:r>
      <w:r>
        <w:rPr>
          <w:rFonts w:ascii="Arial" w:cs="Arial" w:eastAsia="Arial" w:hAnsi="Arial"/>
          <w:sz w:val="18"/>
          <w:szCs w:val="18"/>
          <w:color w:val="auto"/>
        </w:rPr>
        <w:t>. A Participant may withdraw from the Plan at any time and receive a refund of all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credited to his or her Plan account that have not been applied toward the purchase of shares of Common Stock by submitting a withdrawal election to the Administrator in accordance with such procedures as established by the Company, provided such withdrawal election is submitted to the Administrator no later than the fifteenth (15th) day of the month in which the applicable Purchase Date falls. The payroll deductions of a Participant who has withdrawn from the Plan shall be returned to the Participant as soon as practicable after the withdrawal and may not be applied to the purchase of shares of Common Stock in any other Offering under the Plan. A Participant who withdraws from the Plan shall be prohibited from resuming participation in the Plan for the same Offering Period, but may participate in any subsequent Offering Period by satisfying Sections 3.1 and 3.2. The Company may from time to time establish or change limitations on the frequency of withdrawals permitted under this Section 3.5, establish a minimum amount that must be retained in the Participant's Plan account, or terminate the withdrawal right provided by this Section 3.5.</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PAYROLL DEDUCTIONS AND PARTICIPANT ACCOUNTS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b w:val="1"/>
          <w:bCs w:val="1"/>
          <w:color w:val="auto"/>
        </w:rPr>
        <w:t>Payroll Deductions</w:t>
      </w:r>
      <w:r>
        <w:rPr>
          <w:rFonts w:ascii="Arial" w:cs="Arial" w:eastAsia="Arial" w:hAnsi="Arial"/>
          <w:sz w:val="16"/>
          <w:szCs w:val="16"/>
          <w:color w:val="auto"/>
        </w:rPr>
        <w:t>.</w:t>
      </w:r>
    </w:p>
    <w:p>
      <w:pPr>
        <w:spacing w:after="0" w:line="195" w:lineRule="exact"/>
        <w:rPr>
          <w:sz w:val="20"/>
          <w:szCs w:val="20"/>
          <w:color w:val="auto"/>
        </w:rPr>
      </w:pPr>
    </w:p>
    <w:p>
      <w:pPr>
        <w:jc w:val="both"/>
        <w:ind w:left="1380" w:hanging="643"/>
        <w:spacing w:after="0" w:line="278" w:lineRule="auto"/>
        <w:tabs>
          <w:tab w:leader="none" w:pos="1362" w:val="left"/>
        </w:tabs>
        <w:numPr>
          <w:ilvl w:val="0"/>
          <w:numId w:val="46"/>
        </w:numPr>
        <w:rPr>
          <w:rFonts w:ascii="Arial" w:cs="Arial" w:eastAsia="Arial" w:hAnsi="Arial"/>
          <w:sz w:val="20"/>
          <w:szCs w:val="20"/>
          <w:color w:val="auto"/>
        </w:rPr>
      </w:pPr>
      <w:r>
        <w:rPr>
          <w:rFonts w:ascii="Arial" w:cs="Arial" w:eastAsia="Arial" w:hAnsi="Arial"/>
          <w:sz w:val="20"/>
          <w:szCs w:val="20"/>
          <w:color w:val="auto"/>
        </w:rPr>
        <w:t>Shares of Common Stock acquired pursuant to the exercise of all or any portion of a Purchase Right may be paid for only by means of payroll deductions from a Participant's Compensation accumulated during the Offering Period for which such Purchase Right was granted.</w:t>
      </w:r>
    </w:p>
    <w:p>
      <w:pPr>
        <w:spacing w:after="0" w:line="132" w:lineRule="exact"/>
        <w:rPr>
          <w:rFonts w:ascii="Arial" w:cs="Arial" w:eastAsia="Arial" w:hAnsi="Arial"/>
          <w:sz w:val="20"/>
          <w:szCs w:val="20"/>
          <w:color w:val="auto"/>
        </w:rPr>
      </w:pPr>
    </w:p>
    <w:p>
      <w:pPr>
        <w:jc w:val="both"/>
        <w:ind w:left="1380" w:hanging="643"/>
        <w:spacing w:after="0" w:line="293" w:lineRule="auto"/>
        <w:tabs>
          <w:tab w:leader="none" w:pos="1362"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 Eligible Employee who elects to enroll in the Plan as a Participant shall designate in the Enrollment Agreement a whole percentage from one percent (1%) to ten percent (10%) of his or her Compensation to be deducted each pay period during the Offering Period and paid into the Plan for his or her account. Notwithstanding the foregoing, the Committee may change the limits on payroll deductions effective as of any future Offering Date.</w:t>
      </w:r>
    </w:p>
    <w:p>
      <w:pPr>
        <w:spacing w:after="0" w:line="121" w:lineRule="exact"/>
        <w:rPr>
          <w:rFonts w:ascii="Arial" w:cs="Arial" w:eastAsia="Arial" w:hAnsi="Arial"/>
          <w:sz w:val="19"/>
          <w:szCs w:val="19"/>
          <w:color w:val="auto"/>
        </w:rPr>
      </w:pPr>
    </w:p>
    <w:p>
      <w:pPr>
        <w:ind w:left="1380" w:right="20" w:hanging="643"/>
        <w:spacing w:after="0" w:line="289" w:lineRule="auto"/>
        <w:tabs>
          <w:tab w:leader="none" w:pos="1362" w:val="left"/>
        </w:tabs>
        <w:numPr>
          <w:ilvl w:val="0"/>
          <w:numId w:val="46"/>
        </w:numPr>
        <w:rPr>
          <w:rFonts w:ascii="Arial" w:cs="Arial" w:eastAsia="Arial" w:hAnsi="Arial"/>
          <w:sz w:val="20"/>
          <w:szCs w:val="20"/>
          <w:color w:val="auto"/>
        </w:rPr>
      </w:pPr>
      <w:r>
        <w:rPr>
          <w:rFonts w:ascii="Arial" w:cs="Arial" w:eastAsia="Arial" w:hAnsi="Arial"/>
          <w:sz w:val="20"/>
          <w:szCs w:val="20"/>
          <w:color w:val="auto"/>
        </w:rPr>
        <w:t>Payroll deductions shall commence on the first pay day following the Offering Date and shall continue to be deducted each pay day through the end of the Offering Period, unless as otherwise provided herein.</w:t>
      </w:r>
    </w:p>
    <w:p>
      <w:pPr>
        <w:spacing w:after="0" w:line="121" w:lineRule="exact"/>
        <w:rPr>
          <w:rFonts w:ascii="Arial" w:cs="Arial" w:eastAsia="Arial" w:hAnsi="Arial"/>
          <w:sz w:val="20"/>
          <w:szCs w:val="20"/>
          <w:color w:val="auto"/>
        </w:rPr>
      </w:pPr>
    </w:p>
    <w:p>
      <w:pPr>
        <w:ind w:left="1360" w:hanging="623"/>
        <w:spacing w:after="0"/>
        <w:tabs>
          <w:tab w:leader="none" w:pos="1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Interest shall not be paid on a Participant's payroll deductions and paid into the Plan.</w:t>
      </w:r>
    </w:p>
    <w:p>
      <w:pPr>
        <w:spacing w:after="0" w:line="188" w:lineRule="exact"/>
        <w:rPr>
          <w:rFonts w:ascii="Arial" w:cs="Arial" w:eastAsia="Arial" w:hAnsi="Arial"/>
          <w:sz w:val="20"/>
          <w:szCs w:val="20"/>
          <w:color w:val="auto"/>
        </w:rPr>
      </w:pPr>
    </w:p>
    <w:p>
      <w:pPr>
        <w:jc w:val="both"/>
        <w:ind w:left="1380" w:hanging="643"/>
        <w:spacing w:after="0" w:line="307" w:lineRule="auto"/>
        <w:tabs>
          <w:tab w:leader="none" w:pos="13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Participant may not increase, but may elect to decrease the rate of payroll deductions once during an Offering Period by submitting an amended Enrollment Agreement authorizing such change to the Administrator no later than the fifteenth (15th) day of the month in which the applicable Purchase Date falls in accordance with such procedures established by the Company, and such change shall become effective as soon as reasonably practicable. Notwithstanding the foregoing a Participant may elect to decrease the rate of payroll deductions a second time during an Offering Period if (and only if) the rate of payroll deductions is reduced to zero percent (0%). A Participant who elects to</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744" w:right="239" w:bottom="1440" w:gutter="0" w:footer="0" w:header="0"/>
        </w:sectPr>
      </w:pPr>
    </w:p>
    <w:bookmarkStart w:id="109" w:name="page110"/>
    <w:bookmarkEnd w:id="109"/>
    <w:p>
      <w:pPr>
        <w:ind w:left="1380" w:right="20"/>
        <w:spacing w:after="0" w:line="303" w:lineRule="auto"/>
        <w:rPr>
          <w:sz w:val="20"/>
          <w:szCs w:val="20"/>
          <w:color w:val="auto"/>
        </w:rPr>
      </w:pPr>
      <w:r>
        <w:rPr>
          <w:rFonts w:ascii="Arial" w:cs="Arial" w:eastAsia="Arial" w:hAnsi="Arial"/>
          <w:sz w:val="20"/>
          <w:szCs w:val="20"/>
          <w:color w:val="auto"/>
        </w:rPr>
        <w:t>decrease the rate of his or her payroll deductions to zero percent (0%) shall remain a Participant in the Plan for the Offering Period unless such Participant elects to withdraw from the Plan pursuant to Section 3.5.</w:t>
      </w:r>
    </w:p>
    <w:p>
      <w:pPr>
        <w:spacing w:after="0" w:line="108" w:lineRule="exact"/>
        <w:rPr>
          <w:sz w:val="20"/>
          <w:szCs w:val="20"/>
          <w:color w:val="auto"/>
        </w:rPr>
      </w:pPr>
    </w:p>
    <w:p>
      <w:pPr>
        <w:jc w:val="both"/>
        <w:ind w:left="1380" w:hanging="643"/>
        <w:spacing w:after="0" w:line="274" w:lineRule="auto"/>
        <w:tabs>
          <w:tab w:leader="none" w:pos="13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may, in its sole discretion, suspend a Participant's payroll deductions under the Plan as the Company deems advisable pursuant to the limitation described in Section 5.3. If the Company suspends a Participant's payroll deductions under this provision, the Participant may participate in future Offering Periods by satisfying the requirements of Sections 3.1 and 3.2.</w:t>
      </w:r>
    </w:p>
    <w:p>
      <w:pPr>
        <w:spacing w:after="0" w:line="138" w:lineRule="exact"/>
        <w:rPr>
          <w:rFonts w:ascii="Arial" w:cs="Arial" w:eastAsia="Arial" w:hAnsi="Arial"/>
          <w:sz w:val="20"/>
          <w:szCs w:val="20"/>
          <w:color w:val="auto"/>
        </w:rPr>
      </w:pPr>
    </w:p>
    <w:p>
      <w:pPr>
        <w:jc w:val="both"/>
        <w:ind w:left="1380" w:hanging="643"/>
        <w:spacing w:after="0" w:line="274" w:lineRule="auto"/>
        <w:tabs>
          <w:tab w:leader="none" w:pos="13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provisions of this Section 4.1 shall not apply to Participants in countries outside of the United States where payroll deductions are prohibited under local law. Such individuals shall be permitted to make payment under Section 6.1 through such other form(s) of contribution which may be permitted under local law and which are specified under the applicable sub-plan.</w:t>
      </w:r>
    </w:p>
    <w:p>
      <w:pPr>
        <w:spacing w:after="0" w:line="132"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b w:val="1"/>
          <w:bCs w:val="1"/>
          <w:color w:val="auto"/>
        </w:rPr>
        <w:t xml:space="preserve">Participant Accounts. </w:t>
      </w:r>
      <w:r>
        <w:rPr>
          <w:rFonts w:ascii="Arial" w:cs="Arial" w:eastAsia="Arial" w:hAnsi="Arial"/>
          <w:sz w:val="20"/>
          <w:szCs w:val="20"/>
          <w:color w:val="auto"/>
        </w:rPr>
        <w:t>Individual bookkeeping accounts shall be maintained for each Participant. All payroll deductions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contributed to the Plan by or on behalf of a Participant shall be credited to such Participant's Plan account and shall be deposited with the general funds of the Company. All payroll deductions or other amounts contributed to the Plan by or on behalf of a Participant may be used by the Company for any corporate purpose.</w:t>
      </w:r>
    </w:p>
    <w:p>
      <w:pPr>
        <w:spacing w:after="0" w:line="13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5</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GRANT OF PURCHASE RIGHT</w:t>
      </w:r>
    </w:p>
    <w:p>
      <w:pPr>
        <w:spacing w:after="0" w:line="189"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color w:val="auto"/>
        </w:rPr>
        <w:t>General</w:t>
      </w:r>
      <w:r>
        <w:rPr>
          <w:rFonts w:ascii="Arial" w:cs="Arial" w:eastAsia="Arial" w:hAnsi="Arial"/>
          <w:sz w:val="20"/>
          <w:szCs w:val="20"/>
          <w:color w:val="auto"/>
        </w:rPr>
        <w:t>. On each Offering Date, the Company shall grant to each Participant a Purchase Right under the Plan to purchase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Each Purchase Right shall be treated as an option for purposes of Code Section 423.</w:t>
      </w:r>
    </w:p>
    <w:p>
      <w:pPr>
        <w:spacing w:after="0" w:line="110"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b w:val="1"/>
          <w:bCs w:val="1"/>
          <w:color w:val="auto"/>
        </w:rPr>
        <w:t>Term of Purchase Right</w:t>
      </w:r>
      <w:r>
        <w:rPr>
          <w:rFonts w:ascii="Arial" w:cs="Arial" w:eastAsia="Arial" w:hAnsi="Arial"/>
          <w:sz w:val="20"/>
          <w:szCs w:val="20"/>
          <w:color w:val="auto"/>
        </w:rPr>
        <w:t>. Each Purchase Right shall have a term equal to the length of the Offering Period to which the Purchase Right</w:t>
      </w:r>
      <w:r>
        <w:rPr>
          <w:rFonts w:ascii="Arial" w:cs="Arial" w:eastAsia="Arial" w:hAnsi="Arial"/>
          <w:sz w:val="20"/>
          <w:szCs w:val="20"/>
          <w:b w:val="1"/>
          <w:bCs w:val="1"/>
          <w:color w:val="auto"/>
        </w:rPr>
        <w:t xml:space="preserve"> </w:t>
      </w:r>
      <w:r>
        <w:rPr>
          <w:rFonts w:ascii="Arial" w:cs="Arial" w:eastAsia="Arial" w:hAnsi="Arial"/>
          <w:sz w:val="20"/>
          <w:szCs w:val="20"/>
          <w:color w:val="auto"/>
        </w:rPr>
        <w:t>relates.</w:t>
      </w:r>
    </w:p>
    <w:p>
      <w:pPr>
        <w:spacing w:after="0" w:line="11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Number of Shares of Common Stock Subject to a Purchase Right</w:t>
      </w:r>
      <w:r>
        <w:rPr>
          <w:rFonts w:ascii="Arial" w:cs="Arial" w:eastAsia="Arial" w:hAnsi="Arial"/>
          <w:sz w:val="16"/>
          <w:szCs w:val="16"/>
          <w:color w:val="auto"/>
        </w:rPr>
        <w:t>.</w:t>
      </w:r>
    </w:p>
    <w:p>
      <w:pPr>
        <w:spacing w:after="0" w:line="195" w:lineRule="exact"/>
        <w:rPr>
          <w:sz w:val="20"/>
          <w:szCs w:val="20"/>
          <w:color w:val="auto"/>
        </w:rPr>
      </w:pPr>
    </w:p>
    <w:p>
      <w:pPr>
        <w:jc w:val="both"/>
        <w:ind w:left="1380" w:hanging="643"/>
        <w:spacing w:after="0" w:line="304" w:lineRule="auto"/>
        <w:tabs>
          <w:tab w:leader="none" w:pos="13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On the Offering Date of each Offering Period, each Participant shall be granted a Purchase Right to purchase on the Purchase Date for such Offering Period (at the applicable Purchase Price) up to a maximum number of shares of Common Stock determined by dividing such Participant's payroll deductions or contributions accumulated prior to such Purchase Date by the applicable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will a Participant be permitted to purchase more than Twenty-Five Thousand U.S. Dollars ($25,000) worth of shares of Common Stock, subject to adjustment pursuant to Section 8, for each calendar year during which such Purchase Right is outstanding. The purchase of shares of Common Stock pursuant to the Purchase Right shall occur as provided in Section 6, unless the Participant has withdrawn pursuant to Section 3. Each Purchase Right shall expire on the last day of the Offering Period.</w:t>
      </w:r>
    </w:p>
    <w:p>
      <w:pPr>
        <w:spacing w:after="0" w:line="117" w:lineRule="exact"/>
        <w:rPr>
          <w:rFonts w:ascii="Arial" w:cs="Arial" w:eastAsia="Arial" w:hAnsi="Arial"/>
          <w:sz w:val="18"/>
          <w:szCs w:val="18"/>
          <w:color w:val="auto"/>
        </w:rPr>
      </w:pPr>
    </w:p>
    <w:p>
      <w:pPr>
        <w:jc w:val="both"/>
        <w:ind w:left="1380" w:hanging="643"/>
        <w:spacing w:after="0" w:line="314" w:lineRule="auto"/>
        <w:tabs>
          <w:tab w:leader="none" w:pos="13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connection with each Offering Period made under the Plan, the Committee may specify a maximum aggregate number of shares of Common Stock that may be purchased by all Participants pursuant to such Offering Period. If the aggregate purchase of shares of Common Stock issuable upon exercise of Purchase Rights granted under the Offering Period would exceed any such maximum aggregate number, then, in the absence of any Committee action otherwise, a pro rata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757" w:right="239" w:bottom="1440" w:gutter="0" w:footer="0" w:header="0"/>
        </w:sectPr>
      </w:pPr>
    </w:p>
    <w:bookmarkStart w:id="110" w:name="page111"/>
    <w:bookmarkEnd w:id="110"/>
    <w:p>
      <w:pPr>
        <w:ind w:left="1380"/>
        <w:spacing w:after="0" w:line="303" w:lineRule="auto"/>
        <w:rPr>
          <w:sz w:val="20"/>
          <w:szCs w:val="20"/>
          <w:color w:val="auto"/>
        </w:rPr>
      </w:pPr>
      <w:r>
        <w:rPr>
          <w:rFonts w:ascii="Arial" w:cs="Arial" w:eastAsia="Arial" w:hAnsi="Arial"/>
          <w:sz w:val="20"/>
          <w:szCs w:val="20"/>
          <w:color w:val="auto"/>
        </w:rPr>
        <w:t>(based on each Participant’s accumulated payroll deductions for such Offering Period) allocation of the shares of Common Stock available will be made in as nearly a uniform manner as will be practicable and equitable.</w:t>
      </w:r>
    </w:p>
    <w:p>
      <w:pPr>
        <w:spacing w:after="0" w:line="102"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b w:val="1"/>
          <w:bCs w:val="1"/>
          <w:color w:val="auto"/>
        </w:rPr>
        <w:t>Limitation under Code Section 423(b)(8)</w:t>
      </w:r>
      <w:r>
        <w:rPr>
          <w:rFonts w:ascii="Arial" w:cs="Arial" w:eastAsia="Arial" w:hAnsi="Arial"/>
          <w:sz w:val="19"/>
          <w:szCs w:val="19"/>
          <w:color w:val="auto"/>
        </w:rPr>
        <w:t>. Notwithstanding any provision in this Plan to the contrary, no Participant shall be granted a</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Right under the Code Section 423 Component of the Plan to the extent that it permits his or her right to purchase shares of Common Stock under the Plan to accrue at a rate which, when aggregated with such Participant's rights to purchase shares under all other employee stock purchase plans of a Participating Company intended to meet the requirements of Code Section 423, exceeds Twenty-Five Thousand U.S. Dollars ($25,000) in Fair Market Value of Common Stock (or such other limit, if any, as may be imposed by the Code) for each calendar year in which such Purchase Right is outstanding at any time. Any payroll deductions in excess of the amount specified in the foregoing sentence shall be returned to the Participant as soon as administratively practicable following the next Offering Date.</w:t>
      </w:r>
    </w:p>
    <w:p>
      <w:pPr>
        <w:spacing w:after="0" w:line="125"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b w:val="1"/>
          <w:bCs w:val="1"/>
          <w:color w:val="auto"/>
        </w:rPr>
        <w:t>No Assignment</w:t>
      </w:r>
      <w:r>
        <w:rPr>
          <w:rFonts w:ascii="Arial" w:cs="Arial" w:eastAsia="Arial" w:hAnsi="Arial"/>
          <w:sz w:val="20"/>
          <w:szCs w:val="20"/>
          <w:color w:val="auto"/>
        </w:rPr>
        <w:t>. A Purchase Right granted under the Plan shall not be transferable otherwise than by will or the laws of descent and</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and shall be exercisable during the lifetime of the Participant only by the Participant. The Company shall not recognize and shall be under no duty to recognize any assignment or purported assignment by a Participant of a Purchase Right or any rights granted under the Plan.</w:t>
      </w:r>
    </w:p>
    <w:p>
      <w:pPr>
        <w:spacing w:after="0" w:line="131"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b w:val="1"/>
          <w:bCs w:val="1"/>
          <w:color w:val="auto"/>
        </w:rPr>
        <w:t>Rights As Stockholder and Employee</w:t>
      </w:r>
      <w:r>
        <w:rPr>
          <w:rFonts w:ascii="Arial" w:cs="Arial" w:eastAsia="Arial" w:hAnsi="Arial"/>
          <w:sz w:val="19"/>
          <w:szCs w:val="19"/>
          <w:color w:val="auto"/>
        </w:rPr>
        <w:t>. With respect to shares of Common Stock subject to an Offering, a Participant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be a stockholder and shall not have any rights or privileges of a stockholder by virtue of the Participant's participation in the Plan until such Purchase Right has been exercised and the Company either has issued a stock certificate for such shares, transferred the shares electronically or made a book entry in favor of the Participant representing such shares. No adjustment shall be made for dividends, distributions or other rights for which the record date is prior to the date such certificate is issued, except as provided in Section 8.1. Nothing herein shall confer upon a Participant any right to continue in the employ of a Participating Company or a Participating Affiliate, or interfere in any way with any right of a Participating Company or a Participating Affiliate to terminate the Participant's employment at any time, except as otherwise provided under applicable law.</w:t>
      </w:r>
    </w:p>
    <w:p>
      <w:pPr>
        <w:spacing w:after="0" w:line="125"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b w:val="1"/>
          <w:bCs w:val="1"/>
          <w:color w:val="auto"/>
        </w:rPr>
        <w:t>Notices</w:t>
      </w:r>
      <w:r>
        <w:rPr>
          <w:rFonts w:ascii="Arial" w:cs="Arial" w:eastAsia="Arial" w:hAnsi="Arial"/>
          <w:sz w:val="20"/>
          <w:szCs w:val="20"/>
          <w:color w:val="auto"/>
        </w:rPr>
        <w:t>. All notices or other communications by a Participant to the Board, the Committee and/or Company under or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Plan shall be deemed to have been duly given when received by the Administrator.</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6</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EXERCISE OF PURCHASE RIGHT</w:t>
      </w:r>
    </w:p>
    <w:p>
      <w:pPr>
        <w:spacing w:after="0" w:line="189"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b w:val="1"/>
          <w:bCs w:val="1"/>
          <w:color w:val="auto"/>
        </w:rPr>
        <w:t>Exercise of Purchase Right</w:t>
      </w:r>
      <w:r>
        <w:rPr>
          <w:rFonts w:ascii="Arial" w:cs="Arial" w:eastAsia="Arial" w:hAnsi="Arial"/>
          <w:sz w:val="19"/>
          <w:szCs w:val="19"/>
          <w:color w:val="auto"/>
        </w:rPr>
        <w:t>. The Purchase Right for each Participant automatically shall be exercised on each Purchase Date and such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automatically shall acquire the number of whole and fractional shares of Common Stock determined by dividing (i) the total amount of the Participant's payroll deductions accumulated in his or her Plan account during the Offering Period, by (ii) the Purchase Price, to the extent the issuance of Common Stock to such Participant upon such exercise is lawful. However, in no event shall the number of shares of Common Stock purchased by the Participant during an Offering Period exceed the number of shares of Common Stock subject to the Participant's Purchase Right, as determined under Section 5.3 above. Any cash balance remaining in a Participant's Plan account following any Purchase Date shall be refunded, without interest, to the Participant as soon as practicable after such Offering Period ends.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757" w:right="239" w:bottom="1440" w:gutter="0" w:footer="0" w:header="0"/>
        </w:sectPr>
      </w:pPr>
    </w:p>
    <w:bookmarkStart w:id="111" w:name="page112"/>
    <w:bookmarkEnd w:id="111"/>
    <w:p>
      <w:pPr>
        <w:ind w:left="620" w:right="20"/>
        <w:spacing w:after="0" w:line="303" w:lineRule="auto"/>
        <w:rPr>
          <w:sz w:val="20"/>
          <w:szCs w:val="20"/>
          <w:color w:val="auto"/>
        </w:rPr>
      </w:pPr>
      <w:r>
        <w:rPr>
          <w:rFonts w:ascii="Arial" w:cs="Arial" w:eastAsia="Arial" w:hAnsi="Arial"/>
          <w:sz w:val="20"/>
          <w:szCs w:val="20"/>
          <w:color w:val="auto"/>
        </w:rPr>
        <w:t>Notwithstanding the foregoing, the Committee may establish alternative means for treating amounts remaining in Participant Accounts following any Purchase Date to the extent consistent with applicable law.</w:t>
      </w:r>
    </w:p>
    <w:p>
      <w:pPr>
        <w:spacing w:after="0" w:line="102"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b w:val="1"/>
          <w:bCs w:val="1"/>
          <w:color w:val="auto"/>
        </w:rPr>
        <w:t>Oversubscription</w:t>
      </w:r>
      <w:r>
        <w:rPr>
          <w:rFonts w:ascii="Arial" w:cs="Arial" w:eastAsia="Arial" w:hAnsi="Arial"/>
          <w:sz w:val="20"/>
          <w:szCs w:val="20"/>
          <w:color w:val="auto"/>
        </w:rPr>
        <w:t>. In the event, with respect to any Offering hereunder, that the number of whole and fractional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that might be purchased by all Participants in the Plan on a Purchase Date exceeds the number of shares of Common Stock available in the Plan as provided in Section 7.1, the Company shall make a pro rata allocation of the remaining shares in as uniform a manner as shall be practicable and as the Company shall determine to be equitable.</w:t>
      </w:r>
    </w:p>
    <w:p>
      <w:pPr>
        <w:spacing w:after="0" w:line="131"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b w:val="1"/>
          <w:bCs w:val="1"/>
          <w:color w:val="auto"/>
        </w:rPr>
        <w:t>Delivery of Common Stock</w:t>
      </w:r>
      <w:r>
        <w:rPr>
          <w:rFonts w:ascii="Arial" w:cs="Arial" w:eastAsia="Arial" w:hAnsi="Arial"/>
          <w:sz w:val="19"/>
          <w:szCs w:val="19"/>
          <w:color w:val="auto"/>
        </w:rPr>
        <w:t>. As soon as practicable after each Purchase Date, the Company shall arrange for the delivery of the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acquired by the Participant on such Purchase Date via either (a) the issuance of stock certificates, (b) the transfer of such shares electronically to a broker that holds such shares in street name for the benefit of the Participant or the Company, or (c) the making of a book entry in favor of the Participant representing such shares. Shares of Common Stock to be delivered to a Participant under the Plan shall be registered and/or recorded in the name of the Participant.</w:t>
      </w:r>
    </w:p>
    <w:p>
      <w:pPr>
        <w:spacing w:after="0" w:line="116" w:lineRule="exact"/>
        <w:rPr>
          <w:sz w:val="20"/>
          <w:szCs w:val="20"/>
          <w:color w:val="auto"/>
        </w:rPr>
      </w:pPr>
    </w:p>
    <w:p>
      <w:pPr>
        <w:jc w:val="both"/>
        <w:ind w:left="620" w:hanging="620"/>
        <w:spacing w:after="0" w:line="272" w:lineRule="auto"/>
        <w:tabs>
          <w:tab w:leader="none" w:pos="6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b w:val="1"/>
          <w:bCs w:val="1"/>
          <w:color w:val="auto"/>
        </w:rPr>
        <w:t>Tax Withholding</w:t>
      </w:r>
      <w:r>
        <w:rPr>
          <w:rFonts w:ascii="Arial" w:cs="Arial" w:eastAsia="Arial" w:hAnsi="Arial"/>
          <w:sz w:val="20"/>
          <w:szCs w:val="20"/>
          <w:color w:val="auto"/>
        </w:rPr>
        <w:t>. At the time a Participant's Purchase Right is exercised, in whole or in part, or at the time a Participant disposes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some or all of the shares of Common Stock he or she acquires under the Plan, the Participant shall make adequate provision for the federal, state, local and non-U.S. tax withholding obligations of the Company, a Participating Company or a Participating Affiliate that arise upon exercise of the Purchase Right or upon such disposition of shares, if any, in accordance with such procedures and withholding methods as may be established by the Company. The Company, a Participating Company or a Participating Affiliate may, but shall not be obligated to, withhold from any compensation or other amounts payable to the Participant the amount necessary to meet such withholding obligations.</w:t>
      </w:r>
    </w:p>
    <w:p>
      <w:pPr>
        <w:spacing w:after="0" w:line="134"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b w:val="1"/>
          <w:bCs w:val="1"/>
          <w:color w:val="auto"/>
        </w:rPr>
        <w:t>Expiration of Purchase Right</w:t>
      </w:r>
      <w:r>
        <w:rPr>
          <w:rFonts w:ascii="Arial" w:cs="Arial" w:eastAsia="Arial" w:hAnsi="Arial"/>
          <w:sz w:val="20"/>
          <w:szCs w:val="20"/>
          <w:color w:val="auto"/>
        </w:rPr>
        <w:t>. Any portion of a Participant's Purchase Right remaining unexercised at the end of the Offering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the Purchase Right relates shall expire immediately upon the end of such Offering Period.</w:t>
      </w:r>
    </w:p>
    <w:p>
      <w:pPr>
        <w:spacing w:after="0" w:line="110" w:lineRule="exact"/>
        <w:rPr>
          <w:sz w:val="20"/>
          <w:szCs w:val="20"/>
          <w:color w:val="auto"/>
        </w:rPr>
      </w:pPr>
    </w:p>
    <w:p>
      <w:pPr>
        <w:jc w:val="both"/>
        <w:ind w:left="620" w:hanging="620"/>
        <w:spacing w:after="0" w:line="273" w:lineRule="auto"/>
        <w:tabs>
          <w:tab w:leader="none" w:pos="6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b w:val="1"/>
          <w:bCs w:val="1"/>
          <w:color w:val="auto"/>
        </w:rPr>
        <w:t>Reports to Participants</w:t>
      </w:r>
      <w:r>
        <w:rPr>
          <w:rFonts w:ascii="Arial" w:cs="Arial" w:eastAsia="Arial" w:hAnsi="Arial"/>
          <w:sz w:val="20"/>
          <w:szCs w:val="20"/>
          <w:color w:val="auto"/>
        </w:rPr>
        <w:t>. Each Participant who has exercised all or part of his or her Purchase Right shall receive, as soon as</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after the Purchase Date, a report of such Participant's Plan account setting forth the total payroll deductions accumulated prior to such exercise, the number of shares of Common Stock purchased, the Purchase Price for such shares of Common Stock, the date of purchase and the cash balance, if any, remaining immediately after such purchase that is to be refunded to the Participant pursuant to Section 6.1. The report may be delivered in such form and by such means, including by electronic transmission, as the Company may determine.</w:t>
      </w:r>
    </w:p>
    <w:p>
      <w:pPr>
        <w:spacing w:after="0" w:line="132" w:lineRule="exact"/>
        <w:rPr>
          <w:sz w:val="20"/>
          <w:szCs w:val="20"/>
          <w:color w:val="auto"/>
        </w:rPr>
      </w:pPr>
    </w:p>
    <w:p>
      <w:pPr>
        <w:jc w:val="both"/>
        <w:ind w:left="620" w:hanging="620"/>
        <w:spacing w:after="0" w:line="307" w:lineRule="auto"/>
        <w:tabs>
          <w:tab w:leader="none" w:pos="6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8"/>
          <w:szCs w:val="18"/>
          <w:b w:val="1"/>
          <w:bCs w:val="1"/>
          <w:color w:val="auto"/>
        </w:rPr>
        <w:t>Notification of Sale of Shares of Common Stock</w:t>
      </w:r>
      <w:r>
        <w:rPr>
          <w:rFonts w:ascii="Arial" w:cs="Arial" w:eastAsia="Arial" w:hAnsi="Arial"/>
          <w:sz w:val="18"/>
          <w:szCs w:val="18"/>
          <w:color w:val="auto"/>
        </w:rPr>
        <w:t>. Each Participant shall give the Company and/or the Administrator prompt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disposition of Common Stock acquired pursuant to the Purchase Rights granted under the Plan in accordance with such procedures as may be established by the Company. The Company may require that until such time as a Participant disposes of shares of Common Stock acquired pursuant to Purchase Rights granted under the Plan, the Participant shall hold all such shares of Common Stock in the Participant's name and with a third-party broker/administrator designated by the Company until the lapse of any time period(s) established by the Company. The Company may direct that the certificates evidencing shares of Common Stock acquired by exercise of a Purchase Right refer to such requirement to give prompt notice of disposition.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757" w:right="239" w:bottom="1440" w:gutter="0" w:footer="0" w:header="0"/>
        </w:sectPr>
      </w:pPr>
    </w:p>
    <w:bookmarkStart w:id="112" w:name="page113"/>
    <w:bookmarkEnd w:id="112"/>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b w:val="1"/>
          <w:bCs w:val="1"/>
          <w:color w:val="auto"/>
        </w:rPr>
        <w:t>Clawback/Recoupment Policy</w:t>
      </w:r>
      <w:r>
        <w:rPr>
          <w:rFonts w:ascii="Arial" w:cs="Arial" w:eastAsia="Arial" w:hAnsi="Arial"/>
          <w:sz w:val="20"/>
          <w:szCs w:val="20"/>
          <w:color w:val="auto"/>
        </w:rPr>
        <w:t>. Notwithstanding anything contained herein to the contrary, all shares of Common Stock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Plan shall be and remain subject to any incentive compensation clawback or recoupment policy currently in effect or as may be adopted by the Board and, in each case, as may be amended from time to time. No such policy adoption or amendment shall in any event require the prior consent of any Participant.</w:t>
      </w:r>
    </w:p>
    <w:p>
      <w:pPr>
        <w:spacing w:after="0" w:line="13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7</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COMMON STOCK SUBJECT TO THE PLAN</w:t>
      </w:r>
    </w:p>
    <w:p>
      <w:pPr>
        <w:spacing w:after="0" w:line="189" w:lineRule="exact"/>
        <w:rPr>
          <w:sz w:val="20"/>
          <w:szCs w:val="20"/>
          <w:color w:val="auto"/>
        </w:rPr>
      </w:pPr>
    </w:p>
    <w:p>
      <w:pPr>
        <w:jc w:val="both"/>
        <w:ind w:left="620" w:hanging="620"/>
        <w:spacing w:after="0" w:line="288" w:lineRule="auto"/>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b w:val="1"/>
          <w:bCs w:val="1"/>
          <w:color w:val="auto"/>
        </w:rPr>
        <w:t>Common Stock Subject to the Plan</w:t>
      </w:r>
      <w:r>
        <w:rPr>
          <w:rFonts w:ascii="Arial" w:cs="Arial" w:eastAsia="Arial" w:hAnsi="Arial"/>
          <w:sz w:val="19"/>
          <w:szCs w:val="19"/>
          <w:color w:val="auto"/>
        </w:rPr>
        <w:t>. The maximum aggregate number of shares of Common Stock that may be issued under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9,000,000, subject to adjustment in accordance with Section 8. For the sake of clarity, the aggregate share limitation set forth herein may be used to satisfy the purchase of shares of Common Stock under either the Code Section 423 Component of the Plan or the Non-Code Section 423 Component of the Plan. Shares of Common Stock issued under the Plan may consist of authorized but unissued shares, reacquired shares (treasury shares), or any combination thereof. If an outstanding Purchase Right for any reason expires or is terminated or canceled, the shares of Common Stock allocable to the unexercised portion of such Purchase Right shall again be available for issuance under the Plan.</w:t>
      </w:r>
    </w:p>
    <w:p>
      <w:pPr>
        <w:spacing w:after="0" w:line="123"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b w:val="1"/>
          <w:bCs w:val="1"/>
          <w:color w:val="auto"/>
        </w:rPr>
        <w:t>Legends</w:t>
      </w:r>
      <w:r>
        <w:rPr>
          <w:rFonts w:ascii="Arial" w:cs="Arial" w:eastAsia="Arial" w:hAnsi="Arial"/>
          <w:sz w:val="20"/>
          <w:szCs w:val="20"/>
          <w:color w:val="auto"/>
        </w:rPr>
        <w:t>. The Company may at any time place legends or other identifying symbols referencing any applicable federal, state or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law restrictions or any provision convenient in the administration of the Plan on some or all of the certificates representing shares of Common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7.2.</w:t>
      </w:r>
    </w:p>
    <w:p>
      <w:pPr>
        <w:spacing w:after="0" w:line="132" w:lineRule="exact"/>
        <w:rPr>
          <w:sz w:val="20"/>
          <w:szCs w:val="20"/>
          <w:color w:val="auto"/>
        </w:rPr>
      </w:pPr>
    </w:p>
    <w:p>
      <w:pPr>
        <w:jc w:val="both"/>
        <w:ind w:left="620" w:hanging="620"/>
        <w:spacing w:after="0" w:line="342" w:lineRule="auto"/>
        <w:tabs>
          <w:tab w:leader="none" w:pos="6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Securities Laws</w:t>
      </w:r>
      <w:r>
        <w:rPr>
          <w:rFonts w:ascii="Arial" w:cs="Arial" w:eastAsia="Arial" w:hAnsi="Arial"/>
          <w:sz w:val="16"/>
          <w:szCs w:val="16"/>
          <w:color w:val="auto"/>
        </w:rPr>
        <w:t>. The Company shall not be obligated to issue any Common Stock pursuant to any offering under the Plan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 offer, issuance, or sale of shares covered by such Offering (i) has not been registered under the Securities Act of 1933, as amended, or does not comply with such other federal, state or non-U.S. laws, rules or regulations, or the requirements of any stock exchange upon which the Common Stock may then be listed, as the Company or the Board deems applicable, and (ii) in the opinion of legal counsel for the Company, there is no exemption from the requirements of such laws, rules, regulations, or requirements available for the offer, issuance, and sale of such shares of Common Stock. Further, all stock acquired pursuant to the Plan shall be subject to the Company's policies concerning compliance with securities laws and regulations, as such policies may be amended from time to time. The issuance of shares of Common Stock under the Plan shall be subject to compliance with all applicable requirements of federal, state or non-U.S. law with respect to such securities. The inability of the Company to obtain from any regulatory body having jurisdiction the authority, if any, deemed by the Company's legal counsel to be necessary to the lawful issuance and sale of any shares of Common Stock under the Plan shall relieve the Company of any liability in respect of the failure to issue or sell such shares of Common Stock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46"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RECAPITALIZATION, REORGANIZATION AND CHANGE IN CONTROL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738" w:right="239" w:bottom="1440" w:gutter="0" w:footer="0" w:header="0"/>
        </w:sectPr>
      </w:pPr>
    </w:p>
    <w:bookmarkStart w:id="113" w:name="page114"/>
    <w:bookmarkEnd w:id="113"/>
    <w:p>
      <w:pPr>
        <w:jc w:val="both"/>
        <w:ind w:left="620" w:hanging="620"/>
        <w:spacing w:after="0" w:line="302" w:lineRule="auto"/>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b w:val="1"/>
          <w:bCs w:val="1"/>
          <w:color w:val="auto"/>
        </w:rPr>
        <w:t>Adjustments for Changes in Common Stock</w:t>
      </w:r>
      <w:r>
        <w:rPr>
          <w:rFonts w:ascii="Arial" w:cs="Arial" w:eastAsia="Arial" w:hAnsi="Arial"/>
          <w:sz w:val="18"/>
          <w:szCs w:val="18"/>
          <w:color w:val="auto"/>
        </w:rPr>
        <w:t>. In the event of any stock dividend, extraordinary cash dividend, stock split, reverse</w:t>
      </w:r>
      <w:r>
        <w:rPr>
          <w:rFonts w:ascii="Arial" w:cs="Arial" w:eastAsia="Arial" w:hAnsi="Arial"/>
          <w:sz w:val="18"/>
          <w:szCs w:val="18"/>
          <w:b w:val="1"/>
          <w:bCs w:val="1"/>
          <w:color w:val="auto"/>
        </w:rPr>
        <w:t xml:space="preserve"> </w:t>
      </w:r>
      <w:r>
        <w:rPr>
          <w:rFonts w:ascii="Arial" w:cs="Arial" w:eastAsia="Arial" w:hAnsi="Arial"/>
          <w:sz w:val="18"/>
          <w:szCs w:val="18"/>
          <w:color w:val="auto"/>
        </w:rPr>
        <w:t>stock split, recapitalization, combination, reclassification, or similar change in the capital structure of the Company, or in the event of any merger (including a merger effected for the purpose of changing the Company's domicile), sale of assets, spin-off or other reorganization in which the Company is a party, appropriate adjustments shall be made in the number and class of shares of Common Stock subject to the Plan and each Purchase Right, and in the Purchase Price. If a majority of the shares of Common Stock which are of the same class as the shares of Common Stock that are subject to outstanding Purchase Rights are exchanged for, converted into, or otherwise become (whether or not pursuant to a Change in Control as described in Section 8.2) shares of another corporation, the Committee may unilaterally amend the outstanding Purchase Rights to provide that such Purchase Rights are exercisable for new shares of Common Stock. In the event of any such amendment, the number of shares of Common Stock subject to, and the Purchase Price of, the outstanding Purchase Rights shall be adjusted in a fair and equitable manner, as determined by the Committee, in its sole discretion. In no event may the Purchase Price be decreased to an amount less than the par value, if any, of the stock subject to the Purchase Right. The adjustments determined by the Committee pursuant to this Section 8.1 shall be final, binding and conclusive.</w:t>
      </w:r>
    </w:p>
    <w:p>
      <w:pPr>
        <w:spacing w:after="0" w:line="116" w:lineRule="exact"/>
        <w:rPr>
          <w:sz w:val="20"/>
          <w:szCs w:val="20"/>
          <w:color w:val="auto"/>
        </w:rPr>
      </w:pPr>
    </w:p>
    <w:p>
      <w:pPr>
        <w:jc w:val="both"/>
        <w:ind w:left="620" w:hanging="620"/>
        <w:spacing w:after="0" w:line="307" w:lineRule="auto"/>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In the event of a Change in Control, the surviving, continuing, successor, or purchasing corporation or parent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thereof, as the case may be (the "Acquiring Company"), may assume the Company's rights and obligations under the Plan. If the Acquiring Company elects not to assume the Company's rights and obligations under outstanding Purchase Rights, the Purchase Date of the then current Offering Period shall be accelerated to a date before the date of the Change in Control specified by the Committee, but the number of shares of Common Stock subject to outstanding Purchase Rights shall not be adjusted. All Purchase Rights that are neither assumed by the Acquiring Company in connection with the Change in Control nor exercised as of the date of the Change in Control shall terminate and cease to be outstanding effective as of the date of the Change in Control.</w:t>
      </w:r>
    </w:p>
    <w:p>
      <w:pPr>
        <w:spacing w:after="0" w:line="10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SECTION 9</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PLAN ADMINISTRATION</w:t>
      </w:r>
    </w:p>
    <w:p>
      <w:pPr>
        <w:spacing w:after="0" w:line="189" w:lineRule="exact"/>
        <w:rPr>
          <w:sz w:val="20"/>
          <w:szCs w:val="20"/>
          <w:color w:val="auto"/>
        </w:rPr>
      </w:pPr>
    </w:p>
    <w:p>
      <w:pPr>
        <w:jc w:val="both"/>
        <w:ind w:left="620" w:hanging="620"/>
        <w:spacing w:after="0" w:line="286" w:lineRule="auto"/>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The Plan shall be administered by the Committee. All questions of interpretation of the Plan, any</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agreement or other document employed by the Company in the administration of the Plan, or of any Purchase Right shall be determined by the Committee and shall be final and binding upon all persons having an interest in the Plan or the Purchase Right. Subject to the provisions of the Plan, the Committee shall determine all of the relevant terms and conditions of Purchase Rights granted pursuant to the Plan; provided, however, that all Participants granted Purchase Rights pursuant to the Code Section 423 Component of the Plan shall have the same rights and privileges within the meaning of Code Section 423(b)(5). The Committee may assign any of its administrative tasks set forth herein to the Company, except that the Committee may not delegate the task of designating Participating Companies under the Code Section 423 Component of the Plan or Participating Affiliates under the Non-Code Section 423 Component of the Plan, or its authority to make adjustments pursuant to Section 8.1. All expenses incurred in connection with the administration of the Plan shall be paid by the Company.</w:t>
      </w:r>
    </w:p>
    <w:p>
      <w:pPr>
        <w:spacing w:after="0" w:line="124"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b w:val="1"/>
          <w:bCs w:val="1"/>
          <w:color w:val="auto"/>
        </w:rPr>
        <w:t xml:space="preserve">Authority of Officers. </w:t>
      </w:r>
      <w:r>
        <w:rPr>
          <w:rFonts w:ascii="Arial" w:cs="Arial" w:eastAsia="Arial" w:hAnsi="Arial"/>
          <w:sz w:val="19"/>
          <w:szCs w:val="19"/>
          <w:color w:val="auto"/>
        </w:rPr>
        <w:t>Any two (2) officers of the Company at the level of Vice President or above within the Company's Human</w:t>
      </w:r>
      <w:r>
        <w:rPr>
          <w:rFonts w:ascii="Arial" w:cs="Arial" w:eastAsia="Arial" w:hAnsi="Arial"/>
          <w:sz w:val="19"/>
          <w:szCs w:val="19"/>
          <w:b w:val="1"/>
          <w:bCs w:val="1"/>
          <w:color w:val="auto"/>
        </w:rPr>
        <w:t xml:space="preserve"> </w:t>
      </w:r>
      <w:r>
        <w:rPr>
          <w:rFonts w:ascii="Arial" w:cs="Arial" w:eastAsia="Arial" w:hAnsi="Arial"/>
          <w:sz w:val="19"/>
          <w:szCs w:val="19"/>
          <w:color w:val="auto"/>
        </w:rPr>
        <w:t>Resources Department or the Company's Legal Department (at least one (1) of whom is from with the Company's Human Resources Department) acting in concert shall have the authority to act on behalf of the Company with respect to any matter, right, obligation, determination or election that is the responsibility of or that is allocated to the Company herein.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738" w:right="239" w:bottom="1440" w:gutter="0" w:footer="0" w:header="0"/>
        </w:sectPr>
      </w:pPr>
    </w:p>
    <w:bookmarkStart w:id="114" w:name="page115"/>
    <w:bookmarkEnd w:id="114"/>
    <w:p>
      <w:pPr>
        <w:jc w:val="both"/>
        <w:ind w:left="620" w:hanging="620"/>
        <w:spacing w:after="0" w:line="299" w:lineRule="auto"/>
        <w:tabs>
          <w:tab w:leader="none" w:pos="6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b w:val="1"/>
          <w:bCs w:val="1"/>
          <w:color w:val="auto"/>
        </w:rPr>
        <w:t>Policies and Procedures Established by the Company</w:t>
      </w:r>
      <w:r>
        <w:rPr>
          <w:rFonts w:ascii="Arial" w:cs="Arial" w:eastAsia="Arial" w:hAnsi="Arial"/>
          <w:sz w:val="18"/>
          <w:szCs w:val="18"/>
          <w:color w:val="auto"/>
        </w:rPr>
        <w:t>. The Company may, from time to time, consistent with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Code Section 423, establish, change or terminate such rules, guidelines, policies, procedures, limitations, or adjustments as deemed advisable by the Company, in its sole discretion, for the proper administration of the Code Section 423 Component of the Plan, including, without limitation, (i) a minimum payroll deduction amount required for participation in an Offering,</w:t>
      </w:r>
    </w:p>
    <w:p>
      <w:pPr>
        <w:spacing w:after="0" w:line="1" w:lineRule="exact"/>
        <w:rPr>
          <w:sz w:val="20"/>
          <w:szCs w:val="20"/>
          <w:color w:val="auto"/>
        </w:rPr>
      </w:pPr>
    </w:p>
    <w:p>
      <w:pPr>
        <w:jc w:val="both"/>
        <w:ind w:left="620" w:firstLine="9"/>
        <w:spacing w:after="0" w:line="304" w:lineRule="auto"/>
        <w:tabs>
          <w:tab w:leader="none" w:pos="9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limitation on the frequency or number of changes permitted in the rate of payroll deduction during an Offering, (iii) an exchange ratio applicable to amounts withheld in a currency other than United States dollars, (iv) a supplemental payment or payroll deduction greater than or less than the amount designated by a Participant in order to adjust for the Company's delay or mistake in processing an Enrollment Agreement or in otherwise effecting a Participant's election under the Plan or as advisable to comply with the requirements of Code Section 423, and (v) a determination of the date and manner by which the Fair Market Value of a share of Common Stock is determined for purposes of administration of the Plan. Similarly, the Company may, from time to time, establish, change or terminate rules, guidelines, policies, procedures, limitations, or adjustments as deemed advisable by the Company, in its sole discretion, for the proper administration of the Non-Code Section 423 Component of the Plan.</w:t>
      </w:r>
    </w:p>
    <w:p>
      <w:pPr>
        <w:spacing w:after="0" w:line="111" w:lineRule="exact"/>
        <w:rPr>
          <w:sz w:val="20"/>
          <w:szCs w:val="20"/>
          <w:color w:val="auto"/>
        </w:rPr>
      </w:pPr>
    </w:p>
    <w:p>
      <w:pPr>
        <w:jc w:val="both"/>
        <w:ind w:left="620" w:hanging="620"/>
        <w:spacing w:after="0" w:line="301" w:lineRule="auto"/>
        <w:tabs>
          <w:tab w:leader="none" w:pos="6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b w:val="1"/>
          <w:bCs w:val="1"/>
          <w:color w:val="auto"/>
        </w:rPr>
        <w:t>Non-Code Section 423 Component for Participation Outside of the United States</w:t>
      </w:r>
      <w:r>
        <w:rPr>
          <w:rFonts w:ascii="Arial" w:cs="Arial" w:eastAsia="Arial" w:hAnsi="Arial"/>
          <w:sz w:val="18"/>
          <w:szCs w:val="18"/>
          <w:color w:val="auto"/>
        </w:rPr>
        <w:t>. The Committee may,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sub-plans under the Non-Code Section 423 Component of the Plan which do not satisfy the requirements of Code Section 423 for purposes of effectuating the participation of Eligible Employees employed by a Participating Affiliate located in countries outside of the United States. For purposes of the foregoing, the Committee may establish one or more sub-plans to: (a) amend or vary the terms of the Non-Code Section 423 Component of the Plan in order to conform such terms with the laws, rules and regulations of each country outside of the United States where the Participating Affiliate is located; (b) amend or vary the terms of the Non-Code Section 423 Component of the Plan in each country where the Participating Affiliate is located as it considers necessary or desirable to take into account or to mitigate or reduce the burden of taxation and social insurance contributions for Participants or the Participating Affiliate, or (c) amend or vary the terms of the Non-Code Section 423 Component of the Plan in each country outside of the United States where the Participating Affiliate is located as it considers necessary or desirable to meet the goals and objectives of the Non-Code Section 423 Component of the Plan. Each sub-plan established pursuant to this Section 9.4 shall be reflected in a written appendix to the Non-Code Section 423 Component of the Plan for each Participating Affiliate in such country, and shall be treated as being separate and independent from Code Section 423 Component of the Plan; provided, the total number of shares of Common Stock authorized to be issued under the Plan shall include any shares of Common Stock issued under the Non-Code Section 423 Component of the Plan (including each sub-plan). To the extent permitted under applicable law, the Committee may delegate its authority and responsibilities under this Section 9.4 to an appropriate sub-committee consisting of one or more officers of the Company.</w:t>
      </w:r>
    </w:p>
    <w:p>
      <w:pPr>
        <w:spacing w:after="0" w:line="114"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SECTION 10</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CODE SECTION 409A TAX QUALIFICATION</w:t>
      </w:r>
    </w:p>
    <w:p>
      <w:pPr>
        <w:spacing w:after="0" w:line="189" w:lineRule="exact"/>
        <w:rPr>
          <w:sz w:val="20"/>
          <w:szCs w:val="20"/>
          <w:color w:val="auto"/>
        </w:rPr>
      </w:pPr>
    </w:p>
    <w:p>
      <w:pPr>
        <w:jc w:val="both"/>
        <w:ind w:left="620" w:hanging="620"/>
        <w:spacing w:after="0" w:line="311" w:lineRule="auto"/>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b w:val="1"/>
          <w:bCs w:val="1"/>
          <w:color w:val="auto"/>
        </w:rPr>
        <w:t>Code Section 409A</w:t>
      </w:r>
      <w:r>
        <w:rPr>
          <w:rFonts w:ascii="Arial" w:cs="Arial" w:eastAsia="Arial" w:hAnsi="Arial"/>
          <w:sz w:val="18"/>
          <w:szCs w:val="18"/>
          <w:color w:val="auto"/>
        </w:rPr>
        <w:t>. Purchase Rights granted under the Plan are exempt from the application of Code Section 409A. In furtherance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and notwithstanding any provision in the Plan to the contrary, if the Committee determines that a Purchase Right granted under the Plan may be subject to Code Section 409A or that any provision in the Plan would cause a Purchase Right under the Plan to be subject to Code Section 409A, the Committee may amend the terms of the Plan and/or of an outstanding Purchase Right granted under the Plan, or take such other action the Committee determines is necessary or appropriate, in each case,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738" w:right="239" w:bottom="1440" w:gutter="0" w:footer="0" w:header="0"/>
        </w:sectPr>
      </w:pPr>
    </w:p>
    <w:bookmarkStart w:id="115" w:name="page116"/>
    <w:bookmarkEnd w:id="115"/>
    <w:p>
      <w:pPr>
        <w:jc w:val="both"/>
        <w:ind w:left="620"/>
        <w:spacing w:after="0" w:line="303" w:lineRule="auto"/>
        <w:rPr>
          <w:sz w:val="20"/>
          <w:szCs w:val="20"/>
          <w:color w:val="auto"/>
        </w:rPr>
      </w:pPr>
      <w:r>
        <w:rPr>
          <w:rFonts w:ascii="Arial" w:cs="Arial" w:eastAsia="Arial" w:hAnsi="Arial"/>
          <w:sz w:val="19"/>
          <w:szCs w:val="19"/>
          <w:color w:val="auto"/>
        </w:rPr>
        <w:t>without the Participant’s consent, to exempt any outstanding Purchase Rights that may be granted under the Plan from or to allow any such Purchase Rights to comply with Code Section 409A, but only to the extent any such amendments or action by the Committee would not violate Code Section 409A. Notwithstanding the foregoing, the Company will have no liability to a Participant or any other party if the Purchase Right under the Plan that is intended to be exempt from or compliant with Code Section 409A is not so exempt or compliant or for any action taken by the Committee with respect thereto. The Company makes no representation that the right to purchase shares of Common Stock under the Plan is compliant with Code Section 409A.</w:t>
      </w:r>
    </w:p>
    <w:p>
      <w:pPr>
        <w:spacing w:after="0" w:line="108" w:lineRule="exact"/>
        <w:rPr>
          <w:sz w:val="20"/>
          <w:szCs w:val="20"/>
          <w:color w:val="auto"/>
        </w:rPr>
      </w:pPr>
    </w:p>
    <w:p>
      <w:pPr>
        <w:jc w:val="both"/>
        <w:ind w:left="620" w:hanging="620"/>
        <w:spacing w:after="0" w:line="292" w:lineRule="auto"/>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b w:val="1"/>
          <w:bCs w:val="1"/>
          <w:color w:val="auto"/>
        </w:rPr>
        <w:t>Tax Qualification</w:t>
      </w:r>
      <w:r>
        <w:rPr>
          <w:rFonts w:ascii="Arial" w:cs="Arial" w:eastAsia="Arial" w:hAnsi="Arial"/>
          <w:sz w:val="19"/>
          <w:szCs w:val="19"/>
          <w:color w:val="auto"/>
        </w:rPr>
        <w:t>. Although the Company may endeavor to (i) qualify a Purchase Right for favorable tax treatment under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United States or jurisdictions outside of the United States or (ii) avoid adverse tax treatment (e.g., under Code Section 409A), the Company makes no representation to that effect and expressly disavows any covenant to maintain favorable or avoid unfavorable tax treatment, notwithstanding anything to the contrary in this Plan. The Company shall be unconstrained in its corporate activities without regard to the potential negative tax impact on Participant’s under the Plan.</w:t>
      </w:r>
    </w:p>
    <w:p>
      <w:pPr>
        <w:spacing w:after="0" w:line="11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SECTION 11</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INDEMNIFICATION</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addition to such other rights of indemnification as they may have as members of the Committee or officers or employees of a Participating Company or a Participating Affiliate, members of the Committee and any officers or employees of a Participating Company or a Participating Affiliate to whom authority to act for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AMENDMENT OR TERMINATION; MISCELLANEOUS</w:t>
      </w:r>
    </w:p>
    <w:p>
      <w:pPr>
        <w:spacing w:after="0" w:line="189"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b w:val="1"/>
          <w:bCs w:val="1"/>
          <w:color w:val="auto"/>
        </w:rPr>
        <w:t>Termination</w:t>
      </w:r>
      <w:r>
        <w:rPr>
          <w:rFonts w:ascii="Arial" w:cs="Arial" w:eastAsia="Arial" w:hAnsi="Arial"/>
          <w:sz w:val="20"/>
          <w:szCs w:val="20"/>
          <w:color w:val="auto"/>
        </w:rPr>
        <w:t>. The Committee may at any time terminate the Plan, except that such termination shall not affect Purchase Rights</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granted under the Plan.</w:t>
      </w:r>
    </w:p>
    <w:p>
      <w:pPr>
        <w:spacing w:after="0" w:line="110"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b w:val="1"/>
          <w:bCs w:val="1"/>
          <w:color w:val="auto"/>
        </w:rPr>
        <w:t>Amendment</w:t>
      </w:r>
      <w:r>
        <w:rPr>
          <w:rFonts w:ascii="Arial" w:cs="Arial" w:eastAsia="Arial" w:hAnsi="Arial"/>
          <w:sz w:val="18"/>
          <w:szCs w:val="18"/>
          <w:color w:val="auto"/>
        </w:rPr>
        <w:t>. The Committee may make such modification or amendment to the Plan as it shall deem advisable;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amendment may materially adversely affect a Purchase Right previously granted under the Plan (except to the extent permitted by the Plan or as may be necessary to qualify the Plan as an employee stock purchase plan pursuant to Code Section 423 or to obtain qualification or registration of the shares of Common Stock under applicable federal, state or non-U.S. securities laws).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 amendment must be approved by the stockholders of the Company within twelve (12) months of the adoption of such amendment if</w:t>
      </w:r>
    </w:p>
    <w:p>
      <w:pPr>
        <w:spacing w:after="0" w:line="50" w:lineRule="exact"/>
        <w:rPr>
          <w:sz w:val="20"/>
          <w:szCs w:val="20"/>
          <w:color w:val="auto"/>
        </w:rPr>
      </w:pPr>
    </w:p>
    <w:p>
      <w:pPr>
        <w:ind w:left="620" w:firstLine="9"/>
        <w:spacing w:after="0" w:line="289" w:lineRule="auto"/>
        <w:tabs>
          <w:tab w:leader="none" w:pos="871" w:val="left"/>
        </w:tabs>
        <w:numPr>
          <w:ilvl w:val="0"/>
          <w:numId w:val="50"/>
        </w:numPr>
        <w:rPr>
          <w:rFonts w:ascii="Arial" w:cs="Arial" w:eastAsia="Arial" w:hAnsi="Arial"/>
          <w:sz w:val="20"/>
          <w:szCs w:val="20"/>
          <w:color w:val="auto"/>
        </w:rPr>
      </w:pPr>
      <w:r>
        <w:rPr>
          <w:rFonts w:ascii="Arial" w:cs="Arial" w:eastAsia="Arial" w:hAnsi="Arial"/>
          <w:sz w:val="20"/>
          <w:szCs w:val="20"/>
          <w:color w:val="auto"/>
        </w:rPr>
        <w:t>such amendment would authorize the sale of more shares than are authorized for issuance under the Plan or (ii) would change the definition of the corporations or companies that may be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757" w:right="239" w:bottom="1440" w:gutter="0" w:footer="0" w:header="0"/>
        </w:sectPr>
      </w:pPr>
    </w:p>
    <w:bookmarkStart w:id="116" w:name="page117"/>
    <w:bookmarkEnd w:id="116"/>
    <w:p>
      <w:pPr>
        <w:jc w:val="both"/>
        <w:ind w:left="620"/>
        <w:spacing w:after="0" w:line="356" w:lineRule="auto"/>
        <w:rPr>
          <w:sz w:val="20"/>
          <w:szCs w:val="20"/>
          <w:color w:val="auto"/>
        </w:rPr>
      </w:pPr>
      <w:r>
        <w:rPr>
          <w:rFonts w:ascii="Arial" w:cs="Arial" w:eastAsia="Arial" w:hAnsi="Arial"/>
          <w:sz w:val="16"/>
          <w:szCs w:val="16"/>
          <w:color w:val="auto"/>
        </w:rPr>
        <w:t>designated by the Committee as Participating Companies or Participating Affiliates. In the event that the Committee approves an amendment to increase the number of shares of Common Stock authorized for issuance under the Plan, the Committee, in its sole discretion, may specify that any such additional shares of Common Stock may only be issued pursuant to Purchase Rights granted after the date on which the stockholders of the Company approve such amendment, and such designation by the Committee shall not be deemed to have adversely affected any Purchase Right granted prior to the date on which the stockholders approve the amendment.</w:t>
      </w:r>
    </w:p>
    <w:p>
      <w:pPr>
        <w:spacing w:after="0" w:line="74"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b w:val="1"/>
          <w:bCs w:val="1"/>
          <w:color w:val="auto"/>
        </w:rPr>
        <w:t>Death</w:t>
      </w:r>
      <w:r>
        <w:rPr>
          <w:rFonts w:ascii="Arial" w:cs="Arial" w:eastAsia="Arial" w:hAnsi="Arial"/>
          <w:sz w:val="20"/>
          <w:szCs w:val="20"/>
          <w:color w:val="auto"/>
        </w:rPr>
        <w:t>. Unless otherwise provided in an Enrollment Form or procedures established by the Administrator from time to time,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the Participant’s death, any accumulated payroll deductions and other contributions not used to purchase shares of Common Stock shall be paid to and any shares of Common Stock credited to the deceased Participant's brokerage or Plan account shall be transferred to Participant’s heirs or estate as soon as reasonably practicable following the Participant’s death in accordance with applicable law.</w:t>
      </w:r>
    </w:p>
    <w:p>
      <w:pPr>
        <w:spacing w:after="0" w:line="132" w:lineRule="exact"/>
        <w:rPr>
          <w:sz w:val="20"/>
          <w:szCs w:val="20"/>
          <w:color w:val="auto"/>
        </w:rPr>
      </w:pPr>
    </w:p>
    <w:p>
      <w:pPr>
        <w:jc w:val="both"/>
        <w:ind w:left="620" w:hanging="620"/>
        <w:spacing w:after="0" w:line="311" w:lineRule="auto"/>
        <w:tabs>
          <w:tab w:leader="none" w:pos="6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b w:val="1"/>
          <w:bCs w:val="1"/>
          <w:color w:val="auto"/>
        </w:rPr>
        <w:t>Transferability</w:t>
      </w:r>
      <w:r>
        <w:rPr>
          <w:rFonts w:ascii="Arial" w:cs="Arial" w:eastAsia="Arial" w:hAnsi="Arial"/>
          <w:sz w:val="18"/>
          <w:szCs w:val="18"/>
          <w:color w:val="auto"/>
        </w:rPr>
        <w:t>. Payroll deductions, contributions credited to a Participant’s account and any rights with regard to the purchase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pursuant to a Purchase Right or to receive shares of Common Stock under the Plan may not be assigned, alienated, pledged, attached, sold or otherwise disposed of in any way (other than by will, the laws of descent and distribution or as otherwise provided in the Plan) by the Participant. Any such attempt at assignment, transfer, pledge or other disposition shall be without effect, except that the Company may treat such act as an election to withdraw from the Plan in accordance with Section 3.</w:t>
      </w:r>
    </w:p>
    <w:p>
      <w:pPr>
        <w:spacing w:after="0" w:line="104" w:lineRule="exact"/>
        <w:rPr>
          <w:sz w:val="20"/>
          <w:szCs w:val="20"/>
          <w:color w:val="auto"/>
        </w:rPr>
      </w:pPr>
    </w:p>
    <w:p>
      <w:pPr>
        <w:jc w:val="both"/>
        <w:ind w:left="620" w:hanging="620"/>
        <w:spacing w:after="0" w:line="308" w:lineRule="auto"/>
        <w:tabs>
          <w:tab w:leader="none" w:pos="6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b w:val="1"/>
          <w:bCs w:val="1"/>
          <w:color w:val="auto"/>
        </w:rPr>
        <w:t>Use of Funds</w:t>
      </w:r>
      <w:r>
        <w:rPr>
          <w:rFonts w:ascii="Arial" w:cs="Arial" w:eastAsia="Arial" w:hAnsi="Arial"/>
          <w:sz w:val="18"/>
          <w:szCs w:val="18"/>
          <w:color w:val="auto"/>
        </w:rPr>
        <w:t>. All payroll deductions or contributions received or held by the Company under the Plan may be used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corporate purpose, and the Company shall not be obligated to segregate such payroll deductions or contributions except as may be required by applicable local law, as determined by the Administrator, and if so required by the laws of a particular jurisdiction, shall apply to all Participants in the relevant Offering except to the extent otherwise permitted by U.S. Treasury Regulation Section 1.423-2(f). Until shares of Common Stock are issued, Participants shall only have the rights of an unsecured creditor, although Participants in specified Offerings may have additional rights where required under local law, as determined by the Administrator.</w:t>
      </w:r>
    </w:p>
    <w:p>
      <w:pPr>
        <w:spacing w:after="0" w:line="108" w:lineRule="exact"/>
        <w:rPr>
          <w:sz w:val="20"/>
          <w:szCs w:val="20"/>
          <w:color w:val="auto"/>
        </w:rPr>
      </w:pPr>
    </w:p>
    <w:p>
      <w:pPr>
        <w:jc w:val="both"/>
        <w:ind w:left="620" w:hanging="620"/>
        <w:spacing w:after="0" w:line="354" w:lineRule="auto"/>
        <w:tabs>
          <w:tab w:leader="none" w:pos="6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any particular provision of this Plan is found to be invalid or otherwise unenforceable, such determination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other provisions of the Plan, but the Plan shall be construed in all respects as if such invalid provision were omitted.</w:t>
      </w:r>
    </w:p>
    <w:p>
      <w:pPr>
        <w:spacing w:after="0" w:line="65"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b w:val="1"/>
          <w:bCs w:val="1"/>
          <w:color w:val="auto"/>
        </w:rPr>
        <w:t>Governing Law and Jurisdiction</w:t>
      </w:r>
      <w:r>
        <w:rPr>
          <w:rFonts w:ascii="Arial" w:cs="Arial" w:eastAsia="Arial" w:hAnsi="Arial"/>
          <w:sz w:val="20"/>
          <w:szCs w:val="20"/>
          <w:color w:val="auto"/>
        </w:rPr>
        <w:t>. Except to the extent that provisions of this Plan are governed by applicable provisions of the Code</w:t>
      </w:r>
      <w:r>
        <w:rPr>
          <w:rFonts w:ascii="Arial" w:cs="Arial" w:eastAsia="Arial" w:hAnsi="Arial"/>
          <w:sz w:val="20"/>
          <w:szCs w:val="20"/>
          <w:b w:val="1"/>
          <w:bCs w:val="1"/>
          <w:color w:val="auto"/>
        </w:rPr>
        <w:t xml:space="preserve"> </w:t>
      </w:r>
      <w:r>
        <w:rPr>
          <w:rFonts w:ascii="Arial" w:cs="Arial" w:eastAsia="Arial" w:hAnsi="Arial"/>
          <w:sz w:val="20"/>
          <w:szCs w:val="20"/>
          <w:color w:val="auto"/>
        </w:rPr>
        <w:t>or any other substantive provision of federal law, this Plan shall be construed in accordance with the laws of Delaware, without giving effect to the conflict of laws principles thereof. The jurisdiction and venue for any disputes arising under, or any action brought to enforce (or otherwise relating to) this Plan shall be exclusively in the courts in the State of New York, County of New York, including the U.S. federal courts located therein (should federal jurisdiction exist).</w:t>
      </w:r>
    </w:p>
    <w:p>
      <w:pPr>
        <w:spacing w:after="0" w:line="132" w:lineRule="exact"/>
        <w:rPr>
          <w:sz w:val="20"/>
          <w:szCs w:val="20"/>
          <w:color w:val="auto"/>
        </w:rPr>
      </w:pPr>
    </w:p>
    <w:p>
      <w:pPr>
        <w:jc w:val="both"/>
        <w:ind w:left="620" w:hanging="620"/>
        <w:spacing w:after="0" w:line="295" w:lineRule="auto"/>
        <w:tabs>
          <w:tab w:leader="none" w:pos="6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b w:val="1"/>
          <w:bCs w:val="1"/>
          <w:color w:val="auto"/>
        </w:rPr>
        <w:t>Headings</w:t>
      </w:r>
      <w:r>
        <w:rPr>
          <w:rFonts w:ascii="Arial" w:cs="Arial" w:eastAsia="Arial" w:hAnsi="Arial"/>
          <w:sz w:val="20"/>
          <w:szCs w:val="20"/>
          <w:color w:val="auto"/>
        </w:rPr>
        <w:t>. Headings are given to the Sections and subsections of the Plan solely as a convenience to facilitate reference. Such 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be deemed in any way material or relevant to the construction or interpretation of the Plan.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744" w:right="239" w:bottom="1440" w:gutter="0" w:footer="0" w:header="0"/>
        </w:sectPr>
      </w:pPr>
    </w:p>
    <w:bookmarkStart w:id="117" w:name="page118"/>
    <w:bookmarkEnd w:id="117"/>
    <w:p>
      <w:pPr>
        <w:ind w:left="338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7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744" w:right="1440" w:bottom="1440" w:gutter="0" w:footer="0" w:header="0"/>
          <w:type w:val="continuous"/>
        </w:sectPr>
      </w:pPr>
    </w:p>
    <w:bookmarkStart w:id="118" w:name="page119"/>
    <w:bookmarkEnd w:id="118"/>
    <w:p>
      <w:pPr>
        <w:ind w:left="4520"/>
        <w:spacing w:after="0"/>
        <w:rPr>
          <w:sz w:val="20"/>
          <w:szCs w:val="20"/>
          <w:color w:val="auto"/>
        </w:rPr>
      </w:pPr>
      <w:r>
        <w:rPr>
          <w:rFonts w:ascii="Arial" w:cs="Arial" w:eastAsia="Arial" w:hAnsi="Arial"/>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-10795</wp:posOffset>
            </wp:positionV>
            <wp:extent cx="31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6" w:lineRule="exact"/>
        <w:rPr>
          <w:sz w:val="20"/>
          <w:szCs w:val="20"/>
          <w:color w:val="auto"/>
        </w:rPr>
      </w:pPr>
    </w:p>
    <w:p>
      <w:pPr>
        <w:ind w:left="4060"/>
        <w:spacing w:after="0"/>
        <w:rPr>
          <w:sz w:val="20"/>
          <w:szCs w:val="20"/>
          <w:color w:val="auto"/>
        </w:rPr>
      </w:pPr>
      <w:r>
        <w:rPr>
          <w:rFonts w:ascii="Arial" w:cs="Arial" w:eastAsia="Arial" w:hAnsi="Arial"/>
          <w:sz w:val="20"/>
          <w:szCs w:val="20"/>
          <w:u w:val="single" w:color="auto"/>
          <w:color w:val="auto"/>
        </w:rPr>
        <w:t>Participating Companies and Affiliates</w:t>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740" w:type="dxa"/>
            <w:vAlign w:val="bottom"/>
            <w:tcBorders>
              <w:top w:val="single" w:sz="8" w:color="00000A"/>
              <w:left w:val="single" w:sz="8" w:color="00000A"/>
              <w:bottom w:val="single" w:sz="8" w:color="00000A"/>
              <w:right w:val="single" w:sz="8" w:color="00000A"/>
            </w:tcBorders>
          </w:tcPr>
          <w:p>
            <w:pPr>
              <w:spacing w:after="0"/>
              <w:rPr>
                <w:sz w:val="3"/>
                <w:szCs w:val="3"/>
                <w:color w:val="auto"/>
              </w:rPr>
            </w:pPr>
          </w:p>
        </w:tc>
        <w:tc>
          <w:tcPr>
            <w:tcW w:w="1900" w:type="dxa"/>
            <w:vAlign w:val="bottom"/>
            <w:tcBorders>
              <w:top w:val="single" w:sz="8" w:color="00000A"/>
              <w:bottom w:val="single" w:sz="8" w:color="00000A"/>
              <w:right w:val="single" w:sz="8" w:color="00000A"/>
            </w:tcBorders>
          </w:tcPr>
          <w:p>
            <w:pPr>
              <w:spacing w:after="0"/>
              <w:rPr>
                <w:sz w:val="3"/>
                <w:szCs w:val="3"/>
                <w:color w:val="auto"/>
              </w:rPr>
            </w:pPr>
          </w:p>
        </w:tc>
        <w:tc>
          <w:tcPr>
            <w:tcW w:w="4580" w:type="dxa"/>
            <w:vAlign w:val="bottom"/>
            <w:tcBorders>
              <w:top w:val="single" w:sz="8" w:color="00000A"/>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740" w:type="dxa"/>
            <w:vAlign w:val="bottom"/>
            <w:tcBorders>
              <w:left w:val="single" w:sz="8" w:color="00000A"/>
              <w:right w:val="single" w:sz="8" w:color="00000A"/>
            </w:tcBorders>
            <w:vMerge w:val="restart"/>
          </w:tcPr>
          <w:p>
            <w:pPr>
              <w:ind w:left="360"/>
              <w:spacing w:after="0"/>
              <w:rPr>
                <w:sz w:val="20"/>
                <w:szCs w:val="20"/>
                <w:color w:val="auto"/>
              </w:rPr>
            </w:pPr>
            <w:r>
              <w:rPr>
                <w:rFonts w:ascii="Arial" w:cs="Arial" w:eastAsia="Arial" w:hAnsi="Arial"/>
                <w:sz w:val="20"/>
                <w:szCs w:val="20"/>
                <w:b w:val="1"/>
                <w:bCs w:val="1"/>
                <w:color w:val="auto"/>
                <w:w w:val="99"/>
              </w:rPr>
              <w:t>Participating Company / Participating Affiliate</w:t>
            </w:r>
          </w:p>
        </w:tc>
        <w:tc>
          <w:tcPr>
            <w:tcW w:w="19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0"/>
                <w:szCs w:val="20"/>
                <w:b w:val="1"/>
                <w:bCs w:val="1"/>
                <w:color w:val="auto"/>
                <w:w w:val="93"/>
              </w:rPr>
              <w:t>Country</w:t>
            </w:r>
          </w:p>
        </w:tc>
        <w:tc>
          <w:tcPr>
            <w:tcW w:w="4580" w:type="dxa"/>
            <w:vAlign w:val="bottom"/>
            <w:tcBorders>
              <w:right w:val="single" w:sz="8" w:color="00000A"/>
            </w:tcBorders>
          </w:tcPr>
          <w:p>
            <w:pPr>
              <w:jc w:val="center"/>
              <w:spacing w:after="0" w:line="214" w:lineRule="exact"/>
              <w:rPr>
                <w:sz w:val="20"/>
                <w:szCs w:val="20"/>
                <w:color w:val="auto"/>
              </w:rPr>
            </w:pPr>
            <w:r>
              <w:rPr>
                <w:rFonts w:ascii="Arial" w:cs="Arial" w:eastAsia="Arial" w:hAnsi="Arial"/>
                <w:sz w:val="20"/>
                <w:szCs w:val="20"/>
                <w:b w:val="1"/>
                <w:bCs w:val="1"/>
                <w:color w:val="auto"/>
                <w:w w:val="87"/>
              </w:rPr>
              <w:t>Code Section 423 Component / Non-Code Section</w:t>
            </w:r>
          </w:p>
        </w:tc>
        <w:tc>
          <w:tcPr>
            <w:tcW w:w="0" w:type="dxa"/>
            <w:vAlign w:val="bottom"/>
          </w:tcPr>
          <w:p>
            <w:pPr>
              <w:spacing w:after="0"/>
              <w:rPr>
                <w:sz w:val="1"/>
                <w:szCs w:val="1"/>
                <w:color w:val="auto"/>
              </w:rPr>
            </w:pPr>
          </w:p>
        </w:tc>
      </w:tr>
      <w:tr>
        <w:trPr>
          <w:trHeight w:val="135"/>
        </w:trPr>
        <w:tc>
          <w:tcPr>
            <w:tcW w:w="4740" w:type="dxa"/>
            <w:vAlign w:val="bottom"/>
            <w:tcBorders>
              <w:left w:val="single" w:sz="8" w:color="00000A"/>
              <w:right w:val="single" w:sz="8" w:color="00000A"/>
            </w:tcBorders>
            <w:vMerge w:val="continue"/>
          </w:tcPr>
          <w:p>
            <w:pPr>
              <w:spacing w:after="0"/>
              <w:rPr>
                <w:sz w:val="11"/>
                <w:szCs w:val="11"/>
                <w:color w:val="auto"/>
              </w:rPr>
            </w:pPr>
          </w:p>
        </w:tc>
        <w:tc>
          <w:tcPr>
            <w:tcW w:w="1900" w:type="dxa"/>
            <w:vAlign w:val="bottom"/>
            <w:tcBorders>
              <w:right w:val="single" w:sz="8" w:color="00000A"/>
            </w:tcBorders>
            <w:vMerge w:val="continue"/>
          </w:tcPr>
          <w:p>
            <w:pPr>
              <w:spacing w:after="0"/>
              <w:rPr>
                <w:sz w:val="11"/>
                <w:szCs w:val="11"/>
                <w:color w:val="auto"/>
              </w:rPr>
            </w:pPr>
          </w:p>
        </w:tc>
        <w:tc>
          <w:tcPr>
            <w:tcW w:w="4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0"/>
                <w:szCs w:val="20"/>
                <w:b w:val="1"/>
                <w:bCs w:val="1"/>
                <w:color w:val="auto"/>
                <w:w w:val="89"/>
              </w:rPr>
              <w:t>423 Component</w:t>
            </w:r>
          </w:p>
        </w:tc>
        <w:tc>
          <w:tcPr>
            <w:tcW w:w="0" w:type="dxa"/>
            <w:vAlign w:val="bottom"/>
          </w:tcPr>
          <w:p>
            <w:pPr>
              <w:spacing w:after="0"/>
              <w:rPr>
                <w:sz w:val="1"/>
                <w:szCs w:val="1"/>
                <w:color w:val="auto"/>
              </w:rPr>
            </w:pPr>
          </w:p>
        </w:tc>
      </w:tr>
      <w:tr>
        <w:trPr>
          <w:trHeight w:val="122"/>
        </w:trPr>
        <w:tc>
          <w:tcPr>
            <w:tcW w:w="4740" w:type="dxa"/>
            <w:vAlign w:val="bottom"/>
            <w:tcBorders>
              <w:left w:val="single" w:sz="8" w:color="00000A"/>
              <w:right w:val="single" w:sz="8" w:color="00000A"/>
            </w:tcBorders>
          </w:tcPr>
          <w:p>
            <w:pPr>
              <w:spacing w:after="0"/>
              <w:rPr>
                <w:sz w:val="10"/>
                <w:szCs w:val="10"/>
                <w:color w:val="auto"/>
              </w:rPr>
            </w:pPr>
          </w:p>
        </w:tc>
        <w:tc>
          <w:tcPr>
            <w:tcW w:w="1900" w:type="dxa"/>
            <w:vAlign w:val="bottom"/>
            <w:tcBorders>
              <w:right w:val="single" w:sz="8" w:color="00000A"/>
            </w:tcBorders>
          </w:tcPr>
          <w:p>
            <w:pPr>
              <w:spacing w:after="0"/>
              <w:rPr>
                <w:sz w:val="10"/>
                <w:szCs w:val="10"/>
                <w:color w:val="auto"/>
              </w:rPr>
            </w:pPr>
          </w:p>
        </w:tc>
        <w:tc>
          <w:tcPr>
            <w:tcW w:w="458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Studios Montreal,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5"/>
              </w:rPr>
              <w:t>Canada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Games Toronto ULC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5"/>
              </w:rPr>
              <w:t>Canada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Canada,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5"/>
              </w:rPr>
              <w:t>Canada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Games (Chengdu) Co.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China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Games (Shanghai) Co.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China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Visual Concepts China Co.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China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Czech, s.r.o.</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Czech Republic</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France SAS</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6"/>
              </w:rPr>
              <w:t>France</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GmbH</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Germany</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Asia Pte.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Singapore</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Social Point S.L.</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5"/>
              </w:rPr>
              <w:t>Spain</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Espana S.L.</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5"/>
              </w:rPr>
              <w:t>Spain</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Hangar 13 UK Limited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International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North Limited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 Two GB Limited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Software Europe Ltd.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Interactive Software UK Limited</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United Kingdom</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Non-Code Section 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Games,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2K Vegas,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Cat Daddy Games, L.L.C.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Firaxis Games,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Ghost Story Games, LLC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Games,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New England,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Rockstar San Diego, Inc.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Take-Two Vegas, LLC</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4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Visual Concepts Entertainment</w:t>
            </w:r>
          </w:p>
        </w:tc>
        <w:tc>
          <w:tcPr>
            <w:tcW w:w="19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USA</w:t>
            </w:r>
          </w:p>
        </w:tc>
        <w:tc>
          <w:tcPr>
            <w:tcW w:w="45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423 Component</w:t>
            </w:r>
          </w:p>
        </w:tc>
        <w:tc>
          <w:tcPr>
            <w:tcW w:w="0" w:type="dxa"/>
            <w:vAlign w:val="bottom"/>
          </w:tcPr>
          <w:p>
            <w:pPr>
              <w:spacing w:after="0"/>
              <w:rPr>
                <w:sz w:val="1"/>
                <w:szCs w:val="1"/>
                <w:color w:val="auto"/>
              </w:rPr>
            </w:pPr>
          </w:p>
        </w:tc>
      </w:tr>
      <w:tr>
        <w:trPr>
          <w:trHeight w:val="131"/>
        </w:trPr>
        <w:tc>
          <w:tcPr>
            <w:tcW w:w="4740" w:type="dxa"/>
            <w:vAlign w:val="bottom"/>
            <w:tcBorders>
              <w:left w:val="single" w:sz="8" w:color="00000A"/>
              <w:bottom w:val="single" w:sz="8" w:color="00000A"/>
              <w:right w:val="single" w:sz="8" w:color="00000A"/>
            </w:tcBorders>
          </w:tcPr>
          <w:p>
            <w:pPr>
              <w:spacing w:after="0"/>
              <w:rPr>
                <w:sz w:val="11"/>
                <w:szCs w:val="11"/>
                <w:color w:val="auto"/>
              </w:rPr>
            </w:pPr>
          </w:p>
        </w:tc>
        <w:tc>
          <w:tcPr>
            <w:tcW w:w="1900" w:type="dxa"/>
            <w:vAlign w:val="bottom"/>
            <w:tcBorders>
              <w:bottom w:val="single" w:sz="8" w:color="00000A"/>
              <w:right w:val="single" w:sz="8" w:color="00000A"/>
            </w:tcBorders>
          </w:tcPr>
          <w:p>
            <w:pPr>
              <w:spacing w:after="0"/>
              <w:rPr>
                <w:sz w:val="11"/>
                <w:szCs w:val="11"/>
                <w:color w:val="auto"/>
              </w:rPr>
            </w:pPr>
          </w:p>
        </w:tc>
        <w:tc>
          <w:tcPr>
            <w:tcW w:w="458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900" w:type="dxa"/>
            <w:vAlign w:val="bottom"/>
            <w:tcBorders>
              <w:bottom w:val="single" w:sz="8" w:color="00000A"/>
              <w:right w:val="single" w:sz="8" w:color="00000A"/>
            </w:tcBorders>
          </w:tcPr>
          <w:p>
            <w:pPr>
              <w:spacing w:after="0" w:line="20" w:lineRule="exact"/>
              <w:rPr>
                <w:sz w:val="1"/>
                <w:szCs w:val="1"/>
                <w:color w:val="auto"/>
              </w:rPr>
            </w:pPr>
          </w:p>
        </w:tc>
        <w:tc>
          <w:tcPr>
            <w:tcW w:w="4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60" w:top="751" w:right="319"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60" w:top="751" w:right="319" w:bottom="653"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10.35</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67" w:lineRule="exact"/>
        <w:rPr>
          <w:sz w:val="20"/>
          <w:szCs w:val="20"/>
          <w:color w:val="auto"/>
        </w:rPr>
      </w:pPr>
    </w:p>
    <w:p>
      <w:pPr>
        <w:ind w:left="4540"/>
        <w:spacing w:after="0"/>
        <w:tabs>
          <w:tab w:leader="none" w:pos="6860" w:val="left"/>
        </w:tabs>
        <w:rPr>
          <w:sz w:val="20"/>
          <w:szCs w:val="20"/>
          <w:color w:val="auto"/>
        </w:rPr>
      </w:pPr>
      <w:r>
        <w:rPr>
          <w:rFonts w:ascii="Arial" w:cs="Arial" w:eastAsia="Arial" w:hAnsi="Arial"/>
          <w:sz w:val="20"/>
          <w:szCs w:val="20"/>
          <w:color w:val="auto"/>
        </w:rPr>
        <w:t>Published CUSIP Number:</w:t>
      </w:r>
      <w:r>
        <w:rPr>
          <w:sz w:val="20"/>
          <w:szCs w:val="20"/>
          <w:color w:val="auto"/>
        </w:rPr>
        <w:tab/>
      </w:r>
      <w:r>
        <w:rPr>
          <w:rFonts w:ascii="Arial" w:cs="Arial" w:eastAsia="Arial" w:hAnsi="Arial"/>
          <w:sz w:val="18"/>
          <w:szCs w:val="18"/>
          <w:color w:val="auto"/>
        </w:rPr>
        <w:t>87405EAA5</w:t>
      </w:r>
    </w:p>
    <w:p>
      <w:pPr>
        <w:spacing w:after="0" w:line="16" w:lineRule="exact"/>
        <w:rPr>
          <w:sz w:val="20"/>
          <w:szCs w:val="20"/>
          <w:color w:val="auto"/>
        </w:rPr>
      </w:pPr>
    </w:p>
    <w:p>
      <w:pPr>
        <w:ind w:left="4540"/>
        <w:spacing w:after="0"/>
        <w:tabs>
          <w:tab w:leader="none" w:pos="7460" w:val="left"/>
        </w:tabs>
        <w:rPr>
          <w:sz w:val="20"/>
          <w:szCs w:val="20"/>
          <w:color w:val="auto"/>
        </w:rPr>
      </w:pPr>
      <w:r>
        <w:rPr>
          <w:rFonts w:ascii="Arial" w:cs="Arial" w:eastAsia="Arial" w:hAnsi="Arial"/>
          <w:sz w:val="20"/>
          <w:szCs w:val="20"/>
          <w:color w:val="auto"/>
        </w:rPr>
        <w:t>Revolving Credit CUSIP Number:</w:t>
      </w:r>
      <w:r>
        <w:rPr>
          <w:sz w:val="20"/>
          <w:szCs w:val="20"/>
          <w:color w:val="auto"/>
        </w:rPr>
        <w:tab/>
      </w:r>
      <w:r>
        <w:rPr>
          <w:rFonts w:ascii="Arial" w:cs="Arial" w:eastAsia="Arial" w:hAnsi="Arial"/>
          <w:sz w:val="18"/>
          <w:szCs w:val="18"/>
          <w:color w:val="auto"/>
        </w:rPr>
        <w:t>87405EAB3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$200,000,000</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CREDIT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February 8, 2019,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TAKE-TWO INTERACTIVE SOFTWARE,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Lenders referred to herein,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Lenders,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SECURITIES,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JPMORGAN CHASE BANK, N.A.,</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930910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132" w:right="239" w:bottom="1440" w:gutter="0" w:footer="0" w:header="0"/>
        </w:sectPr>
      </w:pPr>
    </w:p>
    <w:bookmarkStart w:id="120" w:name="page121"/>
    <w:bookmarkEnd w:id="120"/>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660" w:type="dxa"/>
            <w:vAlign w:val="bottom"/>
          </w:tcPr>
          <w:p>
            <w:pPr>
              <w:spacing w:after="0"/>
              <w:rPr>
                <w:sz w:val="20"/>
                <w:szCs w:val="20"/>
                <w:color w:val="auto"/>
              </w:rPr>
            </w:pPr>
            <w:r>
              <w:rPr>
                <w:rFonts w:ascii="Arial" w:cs="Arial" w:eastAsia="Arial" w:hAnsi="Arial"/>
                <w:sz w:val="20"/>
                <w:szCs w:val="20"/>
                <w:color w:val="auto"/>
              </w:rPr>
              <w:t>ARTICLE I DEFINITIONS</w:t>
            </w:r>
          </w:p>
        </w:tc>
        <w:tc>
          <w:tcPr>
            <w:tcW w:w="7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w:t>
            </w:r>
          </w:p>
        </w:tc>
        <w:tc>
          <w:tcPr>
            <w:tcW w:w="7320" w:type="dxa"/>
            <w:vAlign w:val="bottom"/>
          </w:tcPr>
          <w:p>
            <w:pPr>
              <w:ind w:left="440"/>
              <w:spacing w:after="0"/>
              <w:rPr>
                <w:sz w:val="20"/>
                <w:szCs w:val="20"/>
                <w:color w:val="auto"/>
              </w:rPr>
            </w:pPr>
            <w:r>
              <w:rPr>
                <w:rFonts w:ascii="Arial" w:cs="Arial" w:eastAsia="Arial" w:hAnsi="Arial"/>
                <w:sz w:val="20"/>
                <w:szCs w:val="20"/>
                <w:color w:val="auto"/>
              </w:rPr>
              <w:t>Definitions</w:t>
            </w: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1.2</w:t>
            </w:r>
          </w:p>
        </w:tc>
        <w:tc>
          <w:tcPr>
            <w:tcW w:w="7320" w:type="dxa"/>
            <w:vAlign w:val="bottom"/>
          </w:tcPr>
          <w:p>
            <w:pPr>
              <w:ind w:left="440"/>
              <w:spacing w:after="0"/>
              <w:rPr>
                <w:sz w:val="20"/>
                <w:szCs w:val="20"/>
                <w:color w:val="auto"/>
              </w:rPr>
            </w:pPr>
            <w:r>
              <w:rPr>
                <w:rFonts w:ascii="Arial" w:cs="Arial" w:eastAsia="Arial" w:hAnsi="Arial"/>
                <w:sz w:val="20"/>
                <w:szCs w:val="20"/>
                <w:color w:val="auto"/>
              </w:rPr>
              <w:t>Other Definitions and Provisions</w:t>
            </w: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1.3</w:t>
            </w:r>
          </w:p>
        </w:tc>
        <w:tc>
          <w:tcPr>
            <w:tcW w:w="7320" w:type="dxa"/>
            <w:vAlign w:val="bottom"/>
          </w:tcPr>
          <w:p>
            <w:pPr>
              <w:ind w:left="440"/>
              <w:spacing w:after="0"/>
              <w:rPr>
                <w:sz w:val="20"/>
                <w:szCs w:val="20"/>
                <w:color w:val="auto"/>
              </w:rPr>
            </w:pPr>
            <w:r>
              <w:rPr>
                <w:rFonts w:ascii="Arial" w:cs="Arial" w:eastAsia="Arial" w:hAnsi="Arial"/>
                <w:sz w:val="20"/>
                <w:szCs w:val="20"/>
                <w:color w:val="auto"/>
              </w:rPr>
              <w:t>Accounting Terms</w:t>
            </w: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1.4</w:t>
            </w:r>
          </w:p>
        </w:tc>
        <w:tc>
          <w:tcPr>
            <w:tcW w:w="7320" w:type="dxa"/>
            <w:vAlign w:val="bottom"/>
          </w:tcPr>
          <w:p>
            <w:pPr>
              <w:ind w:left="440"/>
              <w:spacing w:after="0"/>
              <w:rPr>
                <w:sz w:val="20"/>
                <w:szCs w:val="20"/>
                <w:color w:val="auto"/>
              </w:rPr>
            </w:pPr>
            <w:r>
              <w:rPr>
                <w:rFonts w:ascii="Arial" w:cs="Arial" w:eastAsia="Arial" w:hAnsi="Arial"/>
                <w:sz w:val="20"/>
                <w:szCs w:val="20"/>
                <w:color w:val="auto"/>
              </w:rPr>
              <w:t>UCC Terms</w:t>
            </w: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1.5</w:t>
            </w:r>
          </w:p>
        </w:tc>
        <w:tc>
          <w:tcPr>
            <w:tcW w:w="7320" w:type="dxa"/>
            <w:vAlign w:val="bottom"/>
          </w:tcPr>
          <w:p>
            <w:pPr>
              <w:ind w:left="440"/>
              <w:spacing w:after="0"/>
              <w:rPr>
                <w:sz w:val="20"/>
                <w:szCs w:val="20"/>
                <w:color w:val="auto"/>
              </w:rPr>
            </w:pPr>
            <w:r>
              <w:rPr>
                <w:rFonts w:ascii="Arial" w:cs="Arial" w:eastAsia="Arial" w:hAnsi="Arial"/>
                <w:sz w:val="20"/>
                <w:szCs w:val="20"/>
                <w:color w:val="auto"/>
              </w:rPr>
              <w:t>Rounding</w:t>
            </w: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1.6</w:t>
            </w:r>
          </w:p>
        </w:tc>
        <w:tc>
          <w:tcPr>
            <w:tcW w:w="7320" w:type="dxa"/>
            <w:vAlign w:val="bottom"/>
          </w:tcPr>
          <w:p>
            <w:pPr>
              <w:ind w:left="440"/>
              <w:spacing w:after="0"/>
              <w:rPr>
                <w:sz w:val="20"/>
                <w:szCs w:val="20"/>
                <w:color w:val="auto"/>
              </w:rPr>
            </w:pPr>
            <w:r>
              <w:rPr>
                <w:rFonts w:ascii="Arial" w:cs="Arial" w:eastAsia="Arial" w:hAnsi="Arial"/>
                <w:sz w:val="20"/>
                <w:szCs w:val="20"/>
                <w:color w:val="auto"/>
              </w:rPr>
              <w:t>References to Agreement and Laws</w:t>
            </w: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1.7</w:t>
            </w:r>
          </w:p>
        </w:tc>
        <w:tc>
          <w:tcPr>
            <w:tcW w:w="7320" w:type="dxa"/>
            <w:vAlign w:val="bottom"/>
          </w:tcPr>
          <w:p>
            <w:pPr>
              <w:ind w:left="440"/>
              <w:spacing w:after="0"/>
              <w:rPr>
                <w:sz w:val="20"/>
                <w:szCs w:val="20"/>
                <w:color w:val="auto"/>
              </w:rPr>
            </w:pPr>
            <w:r>
              <w:rPr>
                <w:rFonts w:ascii="Arial" w:cs="Arial" w:eastAsia="Arial" w:hAnsi="Arial"/>
                <w:sz w:val="20"/>
                <w:szCs w:val="20"/>
                <w:color w:val="auto"/>
              </w:rPr>
              <w:t>Times of Day</w:t>
            </w: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1.8</w:t>
            </w:r>
          </w:p>
        </w:tc>
        <w:tc>
          <w:tcPr>
            <w:tcW w:w="7320" w:type="dxa"/>
            <w:vAlign w:val="bottom"/>
          </w:tcPr>
          <w:p>
            <w:pPr>
              <w:ind w:left="440"/>
              <w:spacing w:after="0"/>
              <w:rPr>
                <w:sz w:val="20"/>
                <w:szCs w:val="20"/>
                <w:color w:val="auto"/>
              </w:rPr>
            </w:pPr>
            <w:r>
              <w:rPr>
                <w:rFonts w:ascii="Arial" w:cs="Arial" w:eastAsia="Arial" w:hAnsi="Arial"/>
                <w:sz w:val="20"/>
                <w:szCs w:val="20"/>
                <w:color w:val="auto"/>
              </w:rPr>
              <w:t>Letter of Credit Amounts</w:t>
            </w: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1.9</w:t>
            </w:r>
          </w:p>
        </w:tc>
        <w:tc>
          <w:tcPr>
            <w:tcW w:w="7320" w:type="dxa"/>
            <w:vAlign w:val="bottom"/>
          </w:tcPr>
          <w:p>
            <w:pPr>
              <w:ind w:left="440"/>
              <w:spacing w:after="0"/>
              <w:rPr>
                <w:sz w:val="20"/>
                <w:szCs w:val="20"/>
                <w:color w:val="auto"/>
              </w:rPr>
            </w:pPr>
            <w:r>
              <w:rPr>
                <w:rFonts w:ascii="Arial" w:cs="Arial" w:eastAsia="Arial" w:hAnsi="Arial"/>
                <w:sz w:val="20"/>
                <w:szCs w:val="20"/>
                <w:color w:val="auto"/>
              </w:rPr>
              <w:t>Guarantees/Earn-Outs</w:t>
            </w: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1.10</w:t>
            </w:r>
          </w:p>
        </w:tc>
        <w:tc>
          <w:tcPr>
            <w:tcW w:w="7320" w:type="dxa"/>
            <w:vAlign w:val="bottom"/>
          </w:tcPr>
          <w:p>
            <w:pPr>
              <w:ind w:left="440"/>
              <w:spacing w:after="0"/>
              <w:rPr>
                <w:sz w:val="20"/>
                <w:szCs w:val="20"/>
                <w:color w:val="auto"/>
              </w:rPr>
            </w:pPr>
            <w:r>
              <w:rPr>
                <w:rFonts w:ascii="Arial" w:cs="Arial" w:eastAsia="Arial" w:hAnsi="Arial"/>
                <w:sz w:val="20"/>
                <w:szCs w:val="20"/>
                <w:color w:val="auto"/>
              </w:rPr>
              <w:t>Covenant Compliance Generally</w:t>
            </w: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1.11</w:t>
            </w:r>
          </w:p>
        </w:tc>
        <w:tc>
          <w:tcPr>
            <w:tcW w:w="7320" w:type="dxa"/>
            <w:vAlign w:val="bottom"/>
          </w:tcPr>
          <w:p>
            <w:pPr>
              <w:ind w:left="440"/>
              <w:spacing w:after="0"/>
              <w:rPr>
                <w:sz w:val="20"/>
                <w:szCs w:val="20"/>
                <w:color w:val="auto"/>
              </w:rPr>
            </w:pPr>
            <w:r>
              <w:rPr>
                <w:rFonts w:ascii="Arial" w:cs="Arial" w:eastAsia="Arial" w:hAnsi="Arial"/>
                <w:sz w:val="20"/>
                <w:szCs w:val="20"/>
                <w:color w:val="auto"/>
              </w:rPr>
              <w:t>Exchange Rates; Currency Equivalents</w:t>
            </w: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1.12</w:t>
            </w:r>
          </w:p>
        </w:tc>
        <w:tc>
          <w:tcPr>
            <w:tcW w:w="7320" w:type="dxa"/>
            <w:vAlign w:val="bottom"/>
          </w:tcPr>
          <w:p>
            <w:pPr>
              <w:ind w:left="440"/>
              <w:spacing w:after="0"/>
              <w:rPr>
                <w:sz w:val="20"/>
                <w:szCs w:val="20"/>
                <w:color w:val="auto"/>
              </w:rPr>
            </w:pPr>
            <w:r>
              <w:rPr>
                <w:rFonts w:ascii="Arial" w:cs="Arial" w:eastAsia="Arial" w:hAnsi="Arial"/>
                <w:sz w:val="20"/>
                <w:szCs w:val="20"/>
                <w:color w:val="auto"/>
              </w:rPr>
              <w:t>Change of Currency</w:t>
            </w:r>
          </w:p>
        </w:tc>
        <w:tc>
          <w:tcPr>
            <w:tcW w:w="13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1.13</w:t>
            </w:r>
          </w:p>
        </w:tc>
        <w:tc>
          <w:tcPr>
            <w:tcW w:w="7320" w:type="dxa"/>
            <w:vAlign w:val="bottom"/>
          </w:tcPr>
          <w:p>
            <w:pPr>
              <w:ind w:left="440"/>
              <w:spacing w:after="0"/>
              <w:rPr>
                <w:sz w:val="20"/>
                <w:szCs w:val="20"/>
                <w:color w:val="auto"/>
              </w:rPr>
            </w:pPr>
            <w:r>
              <w:rPr>
                <w:rFonts w:ascii="Arial" w:cs="Arial" w:eastAsia="Arial" w:hAnsi="Arial"/>
                <w:sz w:val="20"/>
                <w:szCs w:val="20"/>
                <w:color w:val="auto"/>
              </w:rPr>
              <w:t>Additional Alternative Currencies</w:t>
            </w:r>
          </w:p>
        </w:tc>
        <w:tc>
          <w:tcPr>
            <w:tcW w:w="13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1.14</w:t>
            </w:r>
          </w:p>
        </w:tc>
        <w:tc>
          <w:tcPr>
            <w:tcW w:w="7320" w:type="dxa"/>
            <w:vAlign w:val="bottom"/>
          </w:tcPr>
          <w:p>
            <w:pPr>
              <w:ind w:left="440"/>
              <w:spacing w:after="0"/>
              <w:rPr>
                <w:sz w:val="20"/>
                <w:szCs w:val="20"/>
                <w:color w:val="auto"/>
              </w:rPr>
            </w:pPr>
            <w:r>
              <w:rPr>
                <w:rFonts w:ascii="Arial" w:cs="Arial" w:eastAsia="Arial" w:hAnsi="Arial"/>
                <w:sz w:val="20"/>
                <w:szCs w:val="20"/>
                <w:color w:val="auto"/>
              </w:rPr>
              <w:t>Limited Condition Acquisitions</w:t>
            </w:r>
          </w:p>
        </w:tc>
        <w:tc>
          <w:tcPr>
            <w:tcW w:w="13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1.15</w:t>
            </w:r>
          </w:p>
        </w:tc>
        <w:tc>
          <w:tcPr>
            <w:tcW w:w="7320" w:type="dxa"/>
            <w:vAlign w:val="bottom"/>
          </w:tcPr>
          <w:p>
            <w:pPr>
              <w:ind w:left="440"/>
              <w:spacing w:after="0"/>
              <w:rPr>
                <w:sz w:val="20"/>
                <w:szCs w:val="20"/>
                <w:color w:val="auto"/>
              </w:rPr>
            </w:pPr>
            <w:r>
              <w:rPr>
                <w:rFonts w:ascii="Arial" w:cs="Arial" w:eastAsia="Arial" w:hAnsi="Arial"/>
                <w:sz w:val="20"/>
                <w:szCs w:val="20"/>
                <w:color w:val="auto"/>
              </w:rPr>
              <w:t>Rates</w:t>
            </w:r>
          </w:p>
        </w:tc>
        <w:tc>
          <w:tcPr>
            <w:tcW w:w="13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9980" w:type="dxa"/>
            <w:vAlign w:val="bottom"/>
            <w:gridSpan w:val="2"/>
          </w:tcPr>
          <w:p>
            <w:pPr>
              <w:spacing w:after="0"/>
              <w:rPr>
                <w:sz w:val="20"/>
                <w:szCs w:val="20"/>
                <w:color w:val="auto"/>
              </w:rPr>
            </w:pPr>
            <w:r>
              <w:rPr>
                <w:rFonts w:ascii="Arial" w:cs="Arial" w:eastAsia="Arial" w:hAnsi="Arial"/>
                <w:sz w:val="20"/>
                <w:szCs w:val="20"/>
                <w:color w:val="auto"/>
              </w:rPr>
              <w:t>ARTICLE II REVOLVING CREDIT FACILITY</w:t>
            </w:r>
          </w:p>
        </w:tc>
        <w:tc>
          <w:tcPr>
            <w:tcW w:w="13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2.1</w:t>
            </w:r>
          </w:p>
        </w:tc>
        <w:tc>
          <w:tcPr>
            <w:tcW w:w="7320" w:type="dxa"/>
            <w:vAlign w:val="bottom"/>
          </w:tcPr>
          <w:p>
            <w:pPr>
              <w:ind w:left="440"/>
              <w:spacing w:after="0"/>
              <w:rPr>
                <w:sz w:val="20"/>
                <w:szCs w:val="20"/>
                <w:color w:val="auto"/>
              </w:rPr>
            </w:pPr>
            <w:r>
              <w:rPr>
                <w:rFonts w:ascii="Arial" w:cs="Arial" w:eastAsia="Arial" w:hAnsi="Arial"/>
                <w:sz w:val="20"/>
                <w:szCs w:val="20"/>
                <w:color w:val="auto"/>
              </w:rPr>
              <w:t>Revolving Credit Loans</w:t>
            </w:r>
          </w:p>
        </w:tc>
        <w:tc>
          <w:tcPr>
            <w:tcW w:w="13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2.2</w:t>
            </w:r>
          </w:p>
        </w:tc>
        <w:tc>
          <w:tcPr>
            <w:tcW w:w="7320" w:type="dxa"/>
            <w:vAlign w:val="bottom"/>
          </w:tcPr>
          <w:p>
            <w:pPr>
              <w:ind w:left="440"/>
              <w:spacing w:after="0"/>
              <w:rPr>
                <w:sz w:val="20"/>
                <w:szCs w:val="20"/>
                <w:color w:val="auto"/>
              </w:rPr>
            </w:pPr>
            <w:r>
              <w:rPr>
                <w:rFonts w:ascii="Arial" w:cs="Arial" w:eastAsia="Arial" w:hAnsi="Arial"/>
                <w:sz w:val="20"/>
                <w:szCs w:val="20"/>
                <w:color w:val="auto"/>
              </w:rPr>
              <w:t>Swingline Loans</w:t>
            </w:r>
          </w:p>
        </w:tc>
        <w:tc>
          <w:tcPr>
            <w:tcW w:w="13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2.3</w:t>
            </w:r>
          </w:p>
        </w:tc>
        <w:tc>
          <w:tcPr>
            <w:tcW w:w="7320" w:type="dxa"/>
            <w:vAlign w:val="bottom"/>
          </w:tcPr>
          <w:p>
            <w:pPr>
              <w:ind w:left="440"/>
              <w:spacing w:after="0"/>
              <w:rPr>
                <w:sz w:val="20"/>
                <w:szCs w:val="20"/>
                <w:color w:val="auto"/>
              </w:rPr>
            </w:pPr>
            <w:r>
              <w:rPr>
                <w:rFonts w:ascii="Arial" w:cs="Arial" w:eastAsia="Arial" w:hAnsi="Arial"/>
                <w:sz w:val="20"/>
                <w:szCs w:val="20"/>
                <w:color w:val="auto"/>
              </w:rPr>
              <w:t>Procedure for Advances of Revolving Credit Loans and Swingline Loans</w:t>
            </w:r>
          </w:p>
        </w:tc>
        <w:tc>
          <w:tcPr>
            <w:tcW w:w="13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2.4</w:t>
            </w:r>
          </w:p>
        </w:tc>
        <w:tc>
          <w:tcPr>
            <w:tcW w:w="7320" w:type="dxa"/>
            <w:vAlign w:val="bottom"/>
          </w:tcPr>
          <w:p>
            <w:pPr>
              <w:ind w:left="440"/>
              <w:spacing w:after="0"/>
              <w:rPr>
                <w:sz w:val="20"/>
                <w:szCs w:val="20"/>
                <w:color w:val="auto"/>
              </w:rPr>
            </w:pPr>
            <w:r>
              <w:rPr>
                <w:rFonts w:ascii="Arial" w:cs="Arial" w:eastAsia="Arial" w:hAnsi="Arial"/>
                <w:sz w:val="20"/>
                <w:szCs w:val="20"/>
                <w:color w:val="auto"/>
              </w:rPr>
              <w:t>Repayment and Prepayment of Revolving Credit and Swingline Loans</w:t>
            </w:r>
          </w:p>
        </w:tc>
        <w:tc>
          <w:tcPr>
            <w:tcW w:w="13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2.5</w:t>
            </w:r>
          </w:p>
        </w:tc>
        <w:tc>
          <w:tcPr>
            <w:tcW w:w="7320" w:type="dxa"/>
            <w:vAlign w:val="bottom"/>
          </w:tcPr>
          <w:p>
            <w:pPr>
              <w:ind w:left="440"/>
              <w:spacing w:after="0"/>
              <w:rPr>
                <w:sz w:val="20"/>
                <w:szCs w:val="20"/>
                <w:color w:val="auto"/>
              </w:rPr>
            </w:pPr>
            <w:r>
              <w:rPr>
                <w:rFonts w:ascii="Arial" w:cs="Arial" w:eastAsia="Arial" w:hAnsi="Arial"/>
                <w:sz w:val="20"/>
                <w:szCs w:val="20"/>
                <w:color w:val="auto"/>
              </w:rPr>
              <w:t>Permanent Reduction of the Revolving Credit Commitment</w:t>
            </w:r>
          </w:p>
        </w:tc>
        <w:tc>
          <w:tcPr>
            <w:tcW w:w="13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2.6</w:t>
            </w:r>
          </w:p>
        </w:tc>
        <w:tc>
          <w:tcPr>
            <w:tcW w:w="7320" w:type="dxa"/>
            <w:vAlign w:val="bottom"/>
          </w:tcPr>
          <w:p>
            <w:pPr>
              <w:ind w:left="440"/>
              <w:spacing w:after="0"/>
              <w:rPr>
                <w:sz w:val="20"/>
                <w:szCs w:val="20"/>
                <w:color w:val="auto"/>
              </w:rPr>
            </w:pPr>
            <w:r>
              <w:rPr>
                <w:rFonts w:ascii="Arial" w:cs="Arial" w:eastAsia="Arial" w:hAnsi="Arial"/>
                <w:sz w:val="20"/>
                <w:szCs w:val="20"/>
                <w:color w:val="auto"/>
              </w:rPr>
              <w:t>Termination of Revolving Credit Facility</w:t>
            </w:r>
          </w:p>
        </w:tc>
        <w:tc>
          <w:tcPr>
            <w:tcW w:w="13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9980" w:type="dxa"/>
            <w:vAlign w:val="bottom"/>
            <w:gridSpan w:val="2"/>
          </w:tcPr>
          <w:p>
            <w:pPr>
              <w:spacing w:after="0"/>
              <w:rPr>
                <w:sz w:val="20"/>
                <w:szCs w:val="20"/>
                <w:color w:val="auto"/>
              </w:rPr>
            </w:pPr>
            <w:r>
              <w:rPr>
                <w:rFonts w:ascii="Arial" w:cs="Arial" w:eastAsia="Arial" w:hAnsi="Arial"/>
                <w:sz w:val="20"/>
                <w:szCs w:val="20"/>
                <w:color w:val="auto"/>
              </w:rPr>
              <w:t>ARTICLE III LETTER OF CREDIT FACILITY</w:t>
            </w:r>
          </w:p>
        </w:tc>
        <w:tc>
          <w:tcPr>
            <w:tcW w:w="13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3.1</w:t>
            </w:r>
          </w:p>
        </w:tc>
        <w:tc>
          <w:tcPr>
            <w:tcW w:w="7320" w:type="dxa"/>
            <w:vAlign w:val="bottom"/>
          </w:tcPr>
          <w:p>
            <w:pPr>
              <w:ind w:left="440"/>
              <w:spacing w:after="0"/>
              <w:rPr>
                <w:sz w:val="20"/>
                <w:szCs w:val="20"/>
                <w:color w:val="auto"/>
              </w:rPr>
            </w:pPr>
            <w:r>
              <w:rPr>
                <w:rFonts w:ascii="Arial" w:cs="Arial" w:eastAsia="Arial" w:hAnsi="Arial"/>
                <w:sz w:val="20"/>
                <w:szCs w:val="20"/>
                <w:color w:val="auto"/>
              </w:rPr>
              <w:t>L/C Facility</w:t>
            </w:r>
          </w:p>
        </w:tc>
        <w:tc>
          <w:tcPr>
            <w:tcW w:w="13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3.2</w:t>
            </w:r>
          </w:p>
        </w:tc>
        <w:tc>
          <w:tcPr>
            <w:tcW w:w="7320" w:type="dxa"/>
            <w:vAlign w:val="bottom"/>
          </w:tcPr>
          <w:p>
            <w:pPr>
              <w:ind w:left="440"/>
              <w:spacing w:after="0"/>
              <w:rPr>
                <w:sz w:val="20"/>
                <w:szCs w:val="20"/>
                <w:color w:val="auto"/>
              </w:rPr>
            </w:pPr>
            <w:r>
              <w:rPr>
                <w:rFonts w:ascii="Arial" w:cs="Arial" w:eastAsia="Arial" w:hAnsi="Arial"/>
                <w:sz w:val="20"/>
                <w:szCs w:val="20"/>
                <w:color w:val="auto"/>
              </w:rPr>
              <w:t>Procedure for Issuance of Letters of Credit</w:t>
            </w:r>
          </w:p>
        </w:tc>
        <w:tc>
          <w:tcPr>
            <w:tcW w:w="13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3.3</w:t>
            </w:r>
          </w:p>
        </w:tc>
        <w:tc>
          <w:tcPr>
            <w:tcW w:w="7320" w:type="dxa"/>
            <w:vAlign w:val="bottom"/>
          </w:tcPr>
          <w:p>
            <w:pPr>
              <w:ind w:left="440"/>
              <w:spacing w:after="0"/>
              <w:rPr>
                <w:sz w:val="20"/>
                <w:szCs w:val="20"/>
                <w:color w:val="auto"/>
              </w:rPr>
            </w:pPr>
            <w:r>
              <w:rPr>
                <w:rFonts w:ascii="Arial" w:cs="Arial" w:eastAsia="Arial" w:hAnsi="Arial"/>
                <w:sz w:val="20"/>
                <w:szCs w:val="20"/>
                <w:color w:val="auto"/>
              </w:rPr>
              <w:t>Commissions and Other Charges</w:t>
            </w:r>
          </w:p>
        </w:tc>
        <w:tc>
          <w:tcPr>
            <w:tcW w:w="13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3.4</w:t>
            </w:r>
          </w:p>
        </w:tc>
        <w:tc>
          <w:tcPr>
            <w:tcW w:w="7320" w:type="dxa"/>
            <w:vAlign w:val="bottom"/>
          </w:tcPr>
          <w:p>
            <w:pPr>
              <w:ind w:left="440"/>
              <w:spacing w:after="0"/>
              <w:rPr>
                <w:sz w:val="20"/>
                <w:szCs w:val="20"/>
                <w:color w:val="auto"/>
              </w:rPr>
            </w:pPr>
            <w:r>
              <w:rPr>
                <w:rFonts w:ascii="Arial" w:cs="Arial" w:eastAsia="Arial" w:hAnsi="Arial"/>
                <w:sz w:val="20"/>
                <w:szCs w:val="20"/>
                <w:color w:val="auto"/>
              </w:rPr>
              <w:t>L/C Participations</w:t>
            </w:r>
          </w:p>
        </w:tc>
        <w:tc>
          <w:tcPr>
            <w:tcW w:w="13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3.5</w:t>
            </w:r>
          </w:p>
        </w:tc>
        <w:tc>
          <w:tcPr>
            <w:tcW w:w="7320" w:type="dxa"/>
            <w:vAlign w:val="bottom"/>
          </w:tcPr>
          <w:p>
            <w:pPr>
              <w:ind w:left="440"/>
              <w:spacing w:after="0"/>
              <w:rPr>
                <w:sz w:val="20"/>
                <w:szCs w:val="20"/>
                <w:color w:val="auto"/>
              </w:rPr>
            </w:pPr>
            <w:r>
              <w:rPr>
                <w:rFonts w:ascii="Arial" w:cs="Arial" w:eastAsia="Arial" w:hAnsi="Arial"/>
                <w:sz w:val="20"/>
                <w:szCs w:val="20"/>
                <w:color w:val="auto"/>
              </w:rPr>
              <w:t>Reimbursement Obligation of the Borrower</w:t>
            </w:r>
          </w:p>
        </w:tc>
        <w:tc>
          <w:tcPr>
            <w:tcW w:w="13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3.6</w:t>
            </w:r>
          </w:p>
        </w:tc>
        <w:tc>
          <w:tcPr>
            <w:tcW w:w="7320" w:type="dxa"/>
            <w:vAlign w:val="bottom"/>
          </w:tcPr>
          <w:p>
            <w:pPr>
              <w:ind w:left="440"/>
              <w:spacing w:after="0"/>
              <w:rPr>
                <w:sz w:val="20"/>
                <w:szCs w:val="20"/>
                <w:color w:val="auto"/>
              </w:rPr>
            </w:pPr>
            <w:r>
              <w:rPr>
                <w:rFonts w:ascii="Arial" w:cs="Arial" w:eastAsia="Arial" w:hAnsi="Arial"/>
                <w:sz w:val="20"/>
                <w:szCs w:val="20"/>
                <w:color w:val="auto"/>
              </w:rPr>
              <w:t>Obligations Absolute</w:t>
            </w: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3.7</w:t>
            </w:r>
          </w:p>
        </w:tc>
        <w:tc>
          <w:tcPr>
            <w:tcW w:w="7320" w:type="dxa"/>
            <w:vAlign w:val="bottom"/>
          </w:tcPr>
          <w:p>
            <w:pPr>
              <w:ind w:left="440"/>
              <w:spacing w:after="0"/>
              <w:rPr>
                <w:sz w:val="20"/>
                <w:szCs w:val="20"/>
                <w:color w:val="auto"/>
              </w:rPr>
            </w:pPr>
            <w:r>
              <w:rPr>
                <w:rFonts w:ascii="Arial" w:cs="Arial" w:eastAsia="Arial" w:hAnsi="Arial"/>
                <w:sz w:val="20"/>
                <w:szCs w:val="20"/>
                <w:color w:val="auto"/>
              </w:rPr>
              <w:t>Effect of Letter of Credit Application</w:t>
            </w: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3.8</w:t>
            </w:r>
          </w:p>
        </w:tc>
        <w:tc>
          <w:tcPr>
            <w:tcW w:w="7320" w:type="dxa"/>
            <w:vAlign w:val="bottom"/>
          </w:tcPr>
          <w:p>
            <w:pPr>
              <w:ind w:left="440"/>
              <w:spacing w:after="0"/>
              <w:rPr>
                <w:sz w:val="20"/>
                <w:szCs w:val="20"/>
                <w:color w:val="auto"/>
              </w:rPr>
            </w:pPr>
            <w:r>
              <w:rPr>
                <w:rFonts w:ascii="Arial" w:cs="Arial" w:eastAsia="Arial" w:hAnsi="Arial"/>
                <w:sz w:val="20"/>
                <w:szCs w:val="20"/>
                <w:color w:val="auto"/>
              </w:rPr>
              <w:t>Resignation of Issuing Lenders</w:t>
            </w: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3.9</w:t>
            </w:r>
          </w:p>
        </w:tc>
        <w:tc>
          <w:tcPr>
            <w:tcW w:w="7320" w:type="dxa"/>
            <w:vAlign w:val="bottom"/>
          </w:tcPr>
          <w:p>
            <w:pPr>
              <w:ind w:left="440"/>
              <w:spacing w:after="0"/>
              <w:rPr>
                <w:sz w:val="20"/>
                <w:szCs w:val="20"/>
                <w:color w:val="auto"/>
              </w:rPr>
            </w:pPr>
            <w:r>
              <w:rPr>
                <w:rFonts w:ascii="Arial" w:cs="Arial" w:eastAsia="Arial" w:hAnsi="Arial"/>
                <w:sz w:val="20"/>
                <w:szCs w:val="20"/>
                <w:color w:val="auto"/>
              </w:rPr>
              <w:t>Reporting of Letter of Credit Information and L/C Commitment</w:t>
            </w:r>
          </w:p>
        </w:tc>
        <w:tc>
          <w:tcPr>
            <w:tcW w:w="13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3.10</w:t>
            </w:r>
          </w:p>
        </w:tc>
        <w:tc>
          <w:tcPr>
            <w:tcW w:w="7320" w:type="dxa"/>
            <w:vAlign w:val="bottom"/>
          </w:tcPr>
          <w:p>
            <w:pPr>
              <w:ind w:left="440"/>
              <w:spacing w:after="0"/>
              <w:rPr>
                <w:sz w:val="20"/>
                <w:szCs w:val="20"/>
                <w:color w:val="auto"/>
              </w:rPr>
            </w:pPr>
            <w:r>
              <w:rPr>
                <w:rFonts w:ascii="Arial" w:cs="Arial" w:eastAsia="Arial" w:hAnsi="Arial"/>
                <w:sz w:val="20"/>
                <w:szCs w:val="20"/>
                <w:color w:val="auto"/>
              </w:rPr>
              <w:t>Letters of Credit Issued for Subsidiaries</w:t>
            </w:r>
          </w:p>
        </w:tc>
        <w:tc>
          <w:tcPr>
            <w:tcW w:w="13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2660" w:type="dxa"/>
            <w:vAlign w:val="bottom"/>
          </w:tcPr>
          <w:p>
            <w:pPr>
              <w:spacing w:after="0"/>
              <w:rPr>
                <w:sz w:val="20"/>
                <w:szCs w:val="20"/>
                <w:color w:val="auto"/>
              </w:rPr>
            </w:pPr>
            <w:r>
              <w:rPr>
                <w:rFonts w:ascii="Arial" w:cs="Arial" w:eastAsia="Arial" w:hAnsi="Arial"/>
                <w:sz w:val="20"/>
                <w:szCs w:val="20"/>
                <w:color w:val="auto"/>
              </w:rPr>
              <w:t>ARTICLE IV [reserved]</w:t>
            </w:r>
          </w:p>
        </w:tc>
        <w:tc>
          <w:tcPr>
            <w:tcW w:w="7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9980" w:type="dxa"/>
            <w:vAlign w:val="bottom"/>
            <w:gridSpan w:val="2"/>
          </w:tcPr>
          <w:p>
            <w:pPr>
              <w:spacing w:after="0"/>
              <w:rPr>
                <w:sz w:val="20"/>
                <w:szCs w:val="20"/>
                <w:color w:val="auto"/>
              </w:rPr>
            </w:pPr>
            <w:r>
              <w:rPr>
                <w:rFonts w:ascii="Arial" w:cs="Arial" w:eastAsia="Arial" w:hAnsi="Arial"/>
                <w:sz w:val="20"/>
                <w:szCs w:val="20"/>
                <w:color w:val="auto"/>
              </w:rPr>
              <w:t>ARTICLE V GENERAL LOAN PROVISIONS</w:t>
            </w:r>
          </w:p>
        </w:tc>
        <w:tc>
          <w:tcPr>
            <w:tcW w:w="13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5.1</w:t>
            </w:r>
          </w:p>
        </w:tc>
        <w:tc>
          <w:tcPr>
            <w:tcW w:w="7320" w:type="dxa"/>
            <w:vAlign w:val="bottom"/>
          </w:tcPr>
          <w:p>
            <w:pPr>
              <w:ind w:left="440"/>
              <w:spacing w:after="0"/>
              <w:rPr>
                <w:sz w:val="20"/>
                <w:szCs w:val="20"/>
                <w:color w:val="auto"/>
              </w:rPr>
            </w:pPr>
            <w:r>
              <w:rPr>
                <w:rFonts w:ascii="Arial" w:cs="Arial" w:eastAsia="Arial" w:hAnsi="Arial"/>
                <w:sz w:val="20"/>
                <w:szCs w:val="20"/>
                <w:color w:val="auto"/>
              </w:rPr>
              <w:t>Interest</w:t>
            </w:r>
          </w:p>
        </w:tc>
        <w:tc>
          <w:tcPr>
            <w:tcW w:w="13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5.2</w:t>
            </w:r>
          </w:p>
        </w:tc>
        <w:tc>
          <w:tcPr>
            <w:tcW w:w="7320" w:type="dxa"/>
            <w:vAlign w:val="bottom"/>
          </w:tcPr>
          <w:p>
            <w:pPr>
              <w:ind w:left="440"/>
              <w:spacing w:after="0"/>
              <w:rPr>
                <w:sz w:val="20"/>
                <w:szCs w:val="20"/>
                <w:color w:val="auto"/>
              </w:rPr>
            </w:pPr>
            <w:r>
              <w:rPr>
                <w:rFonts w:ascii="Arial" w:cs="Arial" w:eastAsia="Arial" w:hAnsi="Arial"/>
                <w:sz w:val="20"/>
                <w:szCs w:val="20"/>
                <w:color w:val="auto"/>
              </w:rPr>
              <w:t>Notice and Manner of Conversion or Continuation of Loans</w:t>
            </w:r>
          </w:p>
        </w:tc>
        <w:tc>
          <w:tcPr>
            <w:tcW w:w="13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5.3</w:t>
            </w:r>
          </w:p>
        </w:tc>
        <w:tc>
          <w:tcPr>
            <w:tcW w:w="7320" w:type="dxa"/>
            <w:vAlign w:val="bottom"/>
          </w:tcPr>
          <w:p>
            <w:pPr>
              <w:ind w:left="440"/>
              <w:spacing w:after="0"/>
              <w:rPr>
                <w:sz w:val="20"/>
                <w:szCs w:val="20"/>
                <w:color w:val="auto"/>
              </w:rPr>
            </w:pPr>
            <w:r>
              <w:rPr>
                <w:rFonts w:ascii="Arial" w:cs="Arial" w:eastAsia="Arial" w:hAnsi="Arial"/>
                <w:sz w:val="20"/>
                <w:szCs w:val="20"/>
                <w:color w:val="auto"/>
              </w:rPr>
              <w:t>Fees</w:t>
            </w:r>
          </w:p>
        </w:tc>
        <w:tc>
          <w:tcPr>
            <w:tcW w:w="13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5.4</w:t>
            </w:r>
          </w:p>
        </w:tc>
        <w:tc>
          <w:tcPr>
            <w:tcW w:w="7320" w:type="dxa"/>
            <w:vAlign w:val="bottom"/>
          </w:tcPr>
          <w:p>
            <w:pPr>
              <w:ind w:left="440"/>
              <w:spacing w:after="0"/>
              <w:rPr>
                <w:sz w:val="20"/>
                <w:szCs w:val="20"/>
                <w:color w:val="auto"/>
              </w:rPr>
            </w:pPr>
            <w:r>
              <w:rPr>
                <w:rFonts w:ascii="Arial" w:cs="Arial" w:eastAsia="Arial" w:hAnsi="Arial"/>
                <w:sz w:val="20"/>
                <w:szCs w:val="20"/>
                <w:color w:val="auto"/>
              </w:rPr>
              <w:t>Manner of Payment</w:t>
            </w:r>
          </w:p>
        </w:tc>
        <w:tc>
          <w:tcPr>
            <w:tcW w:w="13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5.5</w:t>
            </w:r>
          </w:p>
        </w:tc>
        <w:tc>
          <w:tcPr>
            <w:tcW w:w="7320" w:type="dxa"/>
            <w:vAlign w:val="bottom"/>
          </w:tcPr>
          <w:p>
            <w:pPr>
              <w:ind w:left="440"/>
              <w:spacing w:after="0"/>
              <w:rPr>
                <w:sz w:val="20"/>
                <w:szCs w:val="20"/>
                <w:color w:val="auto"/>
              </w:rPr>
            </w:pPr>
            <w:r>
              <w:rPr>
                <w:rFonts w:ascii="Arial" w:cs="Arial" w:eastAsia="Arial" w:hAnsi="Arial"/>
                <w:sz w:val="20"/>
                <w:szCs w:val="20"/>
                <w:color w:val="auto"/>
              </w:rPr>
              <w:t>Evidence of Indebtedness</w:t>
            </w:r>
          </w:p>
        </w:tc>
        <w:tc>
          <w:tcPr>
            <w:tcW w:w="13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5.6</w:t>
            </w:r>
          </w:p>
        </w:tc>
        <w:tc>
          <w:tcPr>
            <w:tcW w:w="7320" w:type="dxa"/>
            <w:vAlign w:val="bottom"/>
          </w:tcPr>
          <w:p>
            <w:pPr>
              <w:ind w:left="440"/>
              <w:spacing w:after="0"/>
              <w:rPr>
                <w:sz w:val="20"/>
                <w:szCs w:val="20"/>
                <w:color w:val="auto"/>
              </w:rPr>
            </w:pPr>
            <w:r>
              <w:rPr>
                <w:rFonts w:ascii="Arial" w:cs="Arial" w:eastAsia="Arial" w:hAnsi="Arial"/>
                <w:sz w:val="20"/>
                <w:szCs w:val="20"/>
                <w:color w:val="auto"/>
              </w:rPr>
              <w:t>Sharing of Payments by Lenders</w:t>
            </w:r>
          </w:p>
        </w:tc>
        <w:tc>
          <w:tcPr>
            <w:tcW w:w="13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2660" w:type="dxa"/>
            <w:vAlign w:val="bottom"/>
          </w:tcPr>
          <w:p>
            <w:pPr>
              <w:ind w:left="580"/>
              <w:spacing w:after="0"/>
              <w:rPr>
                <w:sz w:val="20"/>
                <w:szCs w:val="20"/>
                <w:color w:val="auto"/>
              </w:rPr>
            </w:pPr>
            <w:r>
              <w:rPr>
                <w:rFonts w:ascii="Arial" w:cs="Arial" w:eastAsia="Arial" w:hAnsi="Arial"/>
                <w:sz w:val="20"/>
                <w:szCs w:val="20"/>
                <w:color w:val="auto"/>
              </w:rPr>
              <w:t>SECTION 5.7</w:t>
            </w:r>
          </w:p>
        </w:tc>
        <w:tc>
          <w:tcPr>
            <w:tcW w:w="7320" w:type="dxa"/>
            <w:vAlign w:val="bottom"/>
          </w:tcPr>
          <w:p>
            <w:pPr>
              <w:ind w:left="440"/>
              <w:spacing w:after="0"/>
              <w:rPr>
                <w:sz w:val="20"/>
                <w:szCs w:val="20"/>
                <w:color w:val="auto"/>
              </w:rPr>
            </w:pPr>
            <w:r>
              <w:rPr>
                <w:rFonts w:ascii="Arial" w:cs="Arial" w:eastAsia="Arial" w:hAnsi="Arial"/>
                <w:sz w:val="20"/>
                <w:szCs w:val="20"/>
                <w:color w:val="auto"/>
              </w:rPr>
              <w:t>Administrative Agent’s Clawback</w:t>
            </w:r>
          </w:p>
        </w:tc>
        <w:tc>
          <w:tcPr>
            <w:tcW w:w="1300" w:type="dxa"/>
            <w:vAlign w:val="bottom"/>
          </w:tcPr>
          <w:p>
            <w:pPr>
              <w:jc w:val="right"/>
              <w:spacing w:after="0"/>
              <w:rPr>
                <w:sz w:val="20"/>
                <w:szCs w:val="20"/>
                <w:color w:val="auto"/>
              </w:rPr>
            </w:pPr>
            <w:r>
              <w:rPr>
                <w:rFonts w:ascii="Arial" w:cs="Arial" w:eastAsia="Arial" w:hAnsi="Arial"/>
                <w:sz w:val="20"/>
                <w:szCs w:val="20"/>
                <w:color w:val="auto"/>
              </w:rPr>
              <w:t>57</w:t>
            </w: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420"/>
          </w:cols>
          <w:pgMar w:left="240" w:top="115" w:right="2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108975915_18</w:t>
      </w:r>
    </w:p>
    <w:p>
      <w:pPr>
        <w:sectPr>
          <w:pgSz w:w="11900" w:h="16838" w:orient="portrait"/>
          <w:cols w:equalWidth="0" w:num="1">
            <w:col w:w="11420"/>
          </w:cols>
          <w:pgMar w:left="240" w:top="115" w:right="239" w:bottom="1440" w:gutter="0" w:footer="0" w:header="0"/>
          <w:type w:val="continuous"/>
        </w:sectPr>
      </w:pPr>
    </w:p>
    <w:bookmarkStart w:id="121" w:name="page122"/>
    <w:bookmarkEnd w:id="121"/>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460" w:type="dxa"/>
            <w:vAlign w:val="bottom"/>
          </w:tcPr>
          <w:p>
            <w:pPr>
              <w:ind w:left="580"/>
              <w:spacing w:after="0"/>
              <w:rPr>
                <w:sz w:val="20"/>
                <w:szCs w:val="20"/>
                <w:color w:val="auto"/>
              </w:rPr>
            </w:pPr>
            <w:r>
              <w:rPr>
                <w:rFonts w:ascii="Arial" w:cs="Arial" w:eastAsia="Arial" w:hAnsi="Arial"/>
                <w:sz w:val="20"/>
                <w:szCs w:val="20"/>
                <w:color w:val="auto"/>
              </w:rPr>
              <w:t>SECTION 5.8</w:t>
            </w:r>
          </w:p>
        </w:tc>
        <w:tc>
          <w:tcPr>
            <w:tcW w:w="7640" w:type="dxa"/>
            <w:vAlign w:val="bottom"/>
          </w:tcPr>
          <w:p>
            <w:pPr>
              <w:ind w:left="640"/>
              <w:spacing w:after="0"/>
              <w:rPr>
                <w:sz w:val="20"/>
                <w:szCs w:val="20"/>
                <w:color w:val="auto"/>
              </w:rPr>
            </w:pPr>
            <w:r>
              <w:rPr>
                <w:rFonts w:ascii="Arial" w:cs="Arial" w:eastAsia="Arial" w:hAnsi="Arial"/>
                <w:sz w:val="20"/>
                <w:szCs w:val="20"/>
                <w:color w:val="auto"/>
              </w:rPr>
              <w:t>Changed Circumstances</w:t>
            </w:r>
          </w:p>
        </w:tc>
        <w:tc>
          <w:tcPr>
            <w:tcW w:w="11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5.9</w:t>
            </w:r>
          </w:p>
        </w:tc>
        <w:tc>
          <w:tcPr>
            <w:tcW w:w="7640" w:type="dxa"/>
            <w:vAlign w:val="bottom"/>
          </w:tcPr>
          <w:p>
            <w:pPr>
              <w:ind w:left="640"/>
              <w:spacing w:after="0"/>
              <w:rPr>
                <w:sz w:val="20"/>
                <w:szCs w:val="20"/>
                <w:color w:val="auto"/>
              </w:rPr>
            </w:pPr>
            <w:r>
              <w:rPr>
                <w:rFonts w:ascii="Arial" w:cs="Arial" w:eastAsia="Arial" w:hAnsi="Arial"/>
                <w:sz w:val="20"/>
                <w:szCs w:val="20"/>
                <w:color w:val="auto"/>
              </w:rPr>
              <w:t>Indemnity for Losses</w:t>
            </w:r>
          </w:p>
        </w:tc>
        <w:tc>
          <w:tcPr>
            <w:tcW w:w="11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5.10</w:t>
            </w:r>
          </w:p>
        </w:tc>
        <w:tc>
          <w:tcPr>
            <w:tcW w:w="7640" w:type="dxa"/>
            <w:vAlign w:val="bottom"/>
          </w:tcPr>
          <w:p>
            <w:pPr>
              <w:ind w:left="640"/>
              <w:spacing w:after="0"/>
              <w:rPr>
                <w:sz w:val="20"/>
                <w:szCs w:val="20"/>
                <w:color w:val="auto"/>
              </w:rPr>
            </w:pPr>
            <w:r>
              <w:rPr>
                <w:rFonts w:ascii="Arial" w:cs="Arial" w:eastAsia="Arial" w:hAnsi="Arial"/>
                <w:sz w:val="20"/>
                <w:szCs w:val="20"/>
                <w:color w:val="auto"/>
              </w:rPr>
              <w:t>Increased Costs</w:t>
            </w:r>
          </w:p>
        </w:tc>
        <w:tc>
          <w:tcPr>
            <w:tcW w:w="11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5.11</w:t>
            </w:r>
          </w:p>
        </w:tc>
        <w:tc>
          <w:tcPr>
            <w:tcW w:w="7640" w:type="dxa"/>
            <w:vAlign w:val="bottom"/>
          </w:tcPr>
          <w:p>
            <w:pPr>
              <w:ind w:left="640"/>
              <w:spacing w:after="0"/>
              <w:rPr>
                <w:sz w:val="20"/>
                <w:szCs w:val="20"/>
                <w:color w:val="auto"/>
              </w:rPr>
            </w:pPr>
            <w:r>
              <w:rPr>
                <w:rFonts w:ascii="Arial" w:cs="Arial" w:eastAsia="Arial" w:hAnsi="Arial"/>
                <w:sz w:val="20"/>
                <w:szCs w:val="20"/>
                <w:color w:val="auto"/>
              </w:rPr>
              <w:t>Taxes</w:t>
            </w:r>
          </w:p>
        </w:tc>
        <w:tc>
          <w:tcPr>
            <w:tcW w:w="11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5.12</w:t>
            </w:r>
          </w:p>
        </w:tc>
        <w:tc>
          <w:tcPr>
            <w:tcW w:w="7640" w:type="dxa"/>
            <w:vAlign w:val="bottom"/>
          </w:tcPr>
          <w:p>
            <w:pPr>
              <w:ind w:left="640"/>
              <w:spacing w:after="0"/>
              <w:rPr>
                <w:sz w:val="20"/>
                <w:szCs w:val="20"/>
                <w:color w:val="auto"/>
              </w:rPr>
            </w:pPr>
            <w:r>
              <w:rPr>
                <w:rFonts w:ascii="Arial" w:cs="Arial" w:eastAsia="Arial" w:hAnsi="Arial"/>
                <w:sz w:val="20"/>
                <w:szCs w:val="20"/>
                <w:color w:val="auto"/>
              </w:rPr>
              <w:t>Mitigation Obligations; Replacement of Lenders</w:t>
            </w:r>
          </w:p>
        </w:tc>
        <w:tc>
          <w:tcPr>
            <w:tcW w:w="11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5.13</w:t>
            </w:r>
          </w:p>
        </w:tc>
        <w:tc>
          <w:tcPr>
            <w:tcW w:w="7640" w:type="dxa"/>
            <w:vAlign w:val="bottom"/>
          </w:tcPr>
          <w:p>
            <w:pPr>
              <w:ind w:left="640"/>
              <w:spacing w:after="0"/>
              <w:rPr>
                <w:sz w:val="20"/>
                <w:szCs w:val="20"/>
                <w:color w:val="auto"/>
              </w:rPr>
            </w:pPr>
            <w:r>
              <w:rPr>
                <w:rFonts w:ascii="Arial" w:cs="Arial" w:eastAsia="Arial" w:hAnsi="Arial"/>
                <w:sz w:val="20"/>
                <w:szCs w:val="20"/>
                <w:color w:val="auto"/>
              </w:rPr>
              <w:t>Incremental Increases</w:t>
            </w:r>
          </w:p>
        </w:tc>
        <w:tc>
          <w:tcPr>
            <w:tcW w:w="1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5.14</w:t>
            </w:r>
          </w:p>
        </w:tc>
        <w:tc>
          <w:tcPr>
            <w:tcW w:w="7640" w:type="dxa"/>
            <w:vAlign w:val="bottom"/>
          </w:tcPr>
          <w:p>
            <w:pPr>
              <w:ind w:left="640"/>
              <w:spacing w:after="0"/>
              <w:rPr>
                <w:sz w:val="20"/>
                <w:szCs w:val="20"/>
                <w:color w:val="auto"/>
              </w:rPr>
            </w:pPr>
            <w:r>
              <w:rPr>
                <w:rFonts w:ascii="Arial" w:cs="Arial" w:eastAsia="Arial" w:hAnsi="Arial"/>
                <w:sz w:val="20"/>
                <w:szCs w:val="20"/>
                <w:color w:val="auto"/>
              </w:rPr>
              <w:t>Cash Collateral</w:t>
            </w:r>
          </w:p>
        </w:tc>
        <w:tc>
          <w:tcPr>
            <w:tcW w:w="11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5.15</w:t>
            </w:r>
          </w:p>
        </w:tc>
        <w:tc>
          <w:tcPr>
            <w:tcW w:w="7640" w:type="dxa"/>
            <w:vAlign w:val="bottom"/>
          </w:tcPr>
          <w:p>
            <w:pPr>
              <w:ind w:left="640"/>
              <w:spacing w:after="0"/>
              <w:rPr>
                <w:sz w:val="20"/>
                <w:szCs w:val="20"/>
                <w:color w:val="auto"/>
              </w:rPr>
            </w:pPr>
            <w:r>
              <w:rPr>
                <w:rFonts w:ascii="Arial" w:cs="Arial" w:eastAsia="Arial" w:hAnsi="Arial"/>
                <w:sz w:val="20"/>
                <w:szCs w:val="20"/>
                <w:color w:val="auto"/>
              </w:rPr>
              <w:t>Defaulting Lenders</w:t>
            </w:r>
          </w:p>
        </w:tc>
        <w:tc>
          <w:tcPr>
            <w:tcW w:w="11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ARTICLE VI</w:t>
            </w:r>
          </w:p>
        </w:tc>
        <w:tc>
          <w:tcPr>
            <w:tcW w:w="7640" w:type="dxa"/>
            <w:vAlign w:val="bottom"/>
          </w:tcPr>
          <w:p>
            <w:pPr>
              <w:ind w:left="640"/>
              <w:spacing w:after="0"/>
              <w:rPr>
                <w:sz w:val="20"/>
                <w:szCs w:val="20"/>
                <w:color w:val="auto"/>
              </w:rPr>
            </w:pPr>
            <w:r>
              <w:rPr>
                <w:rFonts w:ascii="Arial" w:cs="Arial" w:eastAsia="Arial" w:hAnsi="Arial"/>
                <w:sz w:val="20"/>
                <w:szCs w:val="20"/>
                <w:color w:val="auto"/>
              </w:rPr>
              <w:t>CONDITIONS OF CLOSING AND BORROWING</w:t>
            </w:r>
          </w:p>
        </w:tc>
        <w:tc>
          <w:tcPr>
            <w:tcW w:w="1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6.1</w:t>
            </w:r>
          </w:p>
        </w:tc>
        <w:tc>
          <w:tcPr>
            <w:tcW w:w="7640" w:type="dxa"/>
            <w:vAlign w:val="bottom"/>
          </w:tcPr>
          <w:p>
            <w:pPr>
              <w:ind w:left="640"/>
              <w:spacing w:after="0"/>
              <w:rPr>
                <w:sz w:val="20"/>
                <w:szCs w:val="20"/>
                <w:color w:val="auto"/>
              </w:rPr>
            </w:pPr>
            <w:r>
              <w:rPr>
                <w:rFonts w:ascii="Arial" w:cs="Arial" w:eastAsia="Arial" w:hAnsi="Arial"/>
                <w:sz w:val="20"/>
                <w:szCs w:val="20"/>
                <w:color w:val="auto"/>
              </w:rPr>
              <w:t>Conditions to Closing and Initial Extensions of Credit</w:t>
            </w:r>
          </w:p>
        </w:tc>
        <w:tc>
          <w:tcPr>
            <w:tcW w:w="1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6.2</w:t>
            </w:r>
          </w:p>
        </w:tc>
        <w:tc>
          <w:tcPr>
            <w:tcW w:w="7640" w:type="dxa"/>
            <w:vAlign w:val="bottom"/>
          </w:tcPr>
          <w:p>
            <w:pPr>
              <w:ind w:left="640"/>
              <w:spacing w:after="0"/>
              <w:rPr>
                <w:sz w:val="20"/>
                <w:szCs w:val="20"/>
                <w:color w:val="auto"/>
              </w:rPr>
            </w:pPr>
            <w:r>
              <w:rPr>
                <w:rFonts w:ascii="Arial" w:cs="Arial" w:eastAsia="Arial" w:hAnsi="Arial"/>
                <w:sz w:val="20"/>
                <w:szCs w:val="20"/>
                <w:color w:val="auto"/>
              </w:rPr>
              <w:t>Conditions to All Extensions of Credit</w:t>
            </w:r>
          </w:p>
        </w:tc>
        <w:tc>
          <w:tcPr>
            <w:tcW w:w="11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10100" w:type="dxa"/>
            <w:vAlign w:val="bottom"/>
            <w:gridSpan w:val="2"/>
          </w:tcPr>
          <w:p>
            <w:pPr>
              <w:spacing w:after="0"/>
              <w:rPr>
                <w:sz w:val="20"/>
                <w:szCs w:val="20"/>
                <w:color w:val="auto"/>
              </w:rPr>
            </w:pPr>
            <w:r>
              <w:rPr>
                <w:rFonts w:ascii="Arial" w:cs="Arial" w:eastAsia="Arial" w:hAnsi="Arial"/>
                <w:sz w:val="20"/>
                <w:szCs w:val="20"/>
                <w:color w:val="auto"/>
              </w:rPr>
              <w:t>ARTICLE VII REPRESENTATIONS AND WARRANTIES OF THE CREDIT PARTIES</w:t>
            </w:r>
          </w:p>
        </w:tc>
        <w:tc>
          <w:tcPr>
            <w:tcW w:w="118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w:t>
            </w:r>
          </w:p>
        </w:tc>
        <w:tc>
          <w:tcPr>
            <w:tcW w:w="7640" w:type="dxa"/>
            <w:vAlign w:val="bottom"/>
          </w:tcPr>
          <w:p>
            <w:pPr>
              <w:ind w:left="640"/>
              <w:spacing w:after="0"/>
              <w:rPr>
                <w:sz w:val="20"/>
                <w:szCs w:val="20"/>
                <w:color w:val="auto"/>
              </w:rPr>
            </w:pPr>
            <w:r>
              <w:rPr>
                <w:rFonts w:ascii="Arial" w:cs="Arial" w:eastAsia="Arial" w:hAnsi="Arial"/>
                <w:sz w:val="20"/>
                <w:szCs w:val="20"/>
                <w:color w:val="auto"/>
              </w:rPr>
              <w:t>Organization; Power; Qualification</w:t>
            </w:r>
          </w:p>
        </w:tc>
        <w:tc>
          <w:tcPr>
            <w:tcW w:w="118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7.2</w:t>
            </w:r>
          </w:p>
        </w:tc>
        <w:tc>
          <w:tcPr>
            <w:tcW w:w="7640" w:type="dxa"/>
            <w:vAlign w:val="bottom"/>
          </w:tcPr>
          <w:p>
            <w:pPr>
              <w:ind w:left="640"/>
              <w:spacing w:after="0"/>
              <w:rPr>
                <w:sz w:val="20"/>
                <w:szCs w:val="20"/>
                <w:color w:val="auto"/>
              </w:rPr>
            </w:pPr>
            <w:r>
              <w:rPr>
                <w:rFonts w:ascii="Arial" w:cs="Arial" w:eastAsia="Arial" w:hAnsi="Arial"/>
                <w:sz w:val="20"/>
                <w:szCs w:val="20"/>
                <w:color w:val="auto"/>
              </w:rPr>
              <w:t>Ownership</w:t>
            </w: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7.3</w:t>
            </w:r>
          </w:p>
        </w:tc>
        <w:tc>
          <w:tcPr>
            <w:tcW w:w="7640" w:type="dxa"/>
            <w:vAlign w:val="bottom"/>
          </w:tcPr>
          <w:p>
            <w:pPr>
              <w:ind w:left="640"/>
              <w:spacing w:after="0"/>
              <w:rPr>
                <w:sz w:val="20"/>
                <w:szCs w:val="20"/>
                <w:color w:val="auto"/>
              </w:rPr>
            </w:pPr>
            <w:r>
              <w:rPr>
                <w:rFonts w:ascii="Arial" w:cs="Arial" w:eastAsia="Arial" w:hAnsi="Arial"/>
                <w:sz w:val="20"/>
                <w:szCs w:val="20"/>
                <w:color w:val="auto"/>
              </w:rPr>
              <w:t>Authorization; Enforceability</w:t>
            </w: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7.4</w:t>
            </w:r>
          </w:p>
        </w:tc>
        <w:tc>
          <w:tcPr>
            <w:tcW w:w="7640" w:type="dxa"/>
            <w:vAlign w:val="bottom"/>
          </w:tcPr>
          <w:p>
            <w:pPr>
              <w:ind w:left="640"/>
              <w:spacing w:after="0"/>
              <w:rPr>
                <w:sz w:val="20"/>
                <w:szCs w:val="20"/>
                <w:color w:val="auto"/>
              </w:rPr>
            </w:pPr>
            <w:r>
              <w:rPr>
                <w:rFonts w:ascii="Arial" w:cs="Arial" w:eastAsia="Arial" w:hAnsi="Arial"/>
                <w:sz w:val="20"/>
                <w:szCs w:val="20"/>
                <w:color w:val="auto"/>
              </w:rPr>
              <w:t>Compliance of Agreement, Loan Documents and Borrowing with Laws, Etc</w:t>
            </w:r>
          </w:p>
        </w:tc>
        <w:tc>
          <w:tcPr>
            <w:tcW w:w="1180" w:type="dxa"/>
            <w:vAlign w:val="bottom"/>
          </w:tcPr>
          <w:p>
            <w:pPr>
              <w:spacing w:after="0"/>
              <w:rPr>
                <w:sz w:val="24"/>
                <w:szCs w:val="24"/>
                <w:color w:val="auto"/>
              </w:rPr>
            </w:pPr>
          </w:p>
        </w:tc>
      </w:tr>
      <w:tr>
        <w:trPr>
          <w:trHeight w:val="284"/>
        </w:trPr>
        <w:tc>
          <w:tcPr>
            <w:tcW w:w="24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7.5</w:t>
            </w:r>
          </w:p>
        </w:tc>
        <w:tc>
          <w:tcPr>
            <w:tcW w:w="7640" w:type="dxa"/>
            <w:vAlign w:val="bottom"/>
          </w:tcPr>
          <w:p>
            <w:pPr>
              <w:ind w:left="640"/>
              <w:spacing w:after="0"/>
              <w:rPr>
                <w:sz w:val="20"/>
                <w:szCs w:val="20"/>
                <w:color w:val="auto"/>
              </w:rPr>
            </w:pPr>
            <w:r>
              <w:rPr>
                <w:rFonts w:ascii="Arial" w:cs="Arial" w:eastAsia="Arial" w:hAnsi="Arial"/>
                <w:sz w:val="20"/>
                <w:szCs w:val="20"/>
                <w:color w:val="auto"/>
              </w:rPr>
              <w:t>Compliance with Law</w:t>
            </w: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7.6</w:t>
            </w:r>
          </w:p>
        </w:tc>
        <w:tc>
          <w:tcPr>
            <w:tcW w:w="7640" w:type="dxa"/>
            <w:vAlign w:val="bottom"/>
          </w:tcPr>
          <w:p>
            <w:pPr>
              <w:ind w:left="640"/>
              <w:spacing w:after="0"/>
              <w:rPr>
                <w:sz w:val="20"/>
                <w:szCs w:val="20"/>
                <w:color w:val="auto"/>
              </w:rPr>
            </w:pPr>
            <w:r>
              <w:rPr>
                <w:rFonts w:ascii="Arial" w:cs="Arial" w:eastAsia="Arial" w:hAnsi="Arial"/>
                <w:sz w:val="20"/>
                <w:szCs w:val="20"/>
                <w:color w:val="auto"/>
              </w:rPr>
              <w:t>Tax Returns and Payments</w:t>
            </w: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7.7</w:t>
            </w:r>
          </w:p>
        </w:tc>
        <w:tc>
          <w:tcPr>
            <w:tcW w:w="7640" w:type="dxa"/>
            <w:vAlign w:val="bottom"/>
          </w:tcPr>
          <w:p>
            <w:pPr>
              <w:ind w:left="640"/>
              <w:spacing w:after="0"/>
              <w:rPr>
                <w:sz w:val="20"/>
                <w:szCs w:val="20"/>
                <w:color w:val="auto"/>
              </w:rPr>
            </w:pPr>
            <w:r>
              <w:rPr>
                <w:rFonts w:ascii="Arial" w:cs="Arial" w:eastAsia="Arial" w:hAnsi="Arial"/>
                <w:sz w:val="20"/>
                <w:szCs w:val="20"/>
                <w:color w:val="auto"/>
              </w:rPr>
              <w:t>Intellectual Property Matters</w:t>
            </w:r>
          </w:p>
        </w:tc>
        <w:tc>
          <w:tcPr>
            <w:tcW w:w="1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7.8</w:t>
            </w:r>
          </w:p>
        </w:tc>
        <w:tc>
          <w:tcPr>
            <w:tcW w:w="7640" w:type="dxa"/>
            <w:vAlign w:val="bottom"/>
          </w:tcPr>
          <w:p>
            <w:pPr>
              <w:ind w:left="640"/>
              <w:spacing w:after="0"/>
              <w:rPr>
                <w:sz w:val="20"/>
                <w:szCs w:val="20"/>
                <w:color w:val="auto"/>
              </w:rPr>
            </w:pPr>
            <w:r>
              <w:rPr>
                <w:rFonts w:ascii="Arial" w:cs="Arial" w:eastAsia="Arial" w:hAnsi="Arial"/>
                <w:sz w:val="20"/>
                <w:szCs w:val="20"/>
                <w:color w:val="auto"/>
              </w:rPr>
              <w:t>Environmental Matters</w:t>
            </w:r>
          </w:p>
        </w:tc>
        <w:tc>
          <w:tcPr>
            <w:tcW w:w="11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7.9</w:t>
            </w:r>
          </w:p>
        </w:tc>
        <w:tc>
          <w:tcPr>
            <w:tcW w:w="7640" w:type="dxa"/>
            <w:vAlign w:val="bottom"/>
          </w:tcPr>
          <w:p>
            <w:pPr>
              <w:ind w:left="640"/>
              <w:spacing w:after="0"/>
              <w:rPr>
                <w:sz w:val="20"/>
                <w:szCs w:val="20"/>
                <w:color w:val="auto"/>
              </w:rPr>
            </w:pPr>
            <w:r>
              <w:rPr>
                <w:rFonts w:ascii="Arial" w:cs="Arial" w:eastAsia="Arial" w:hAnsi="Arial"/>
                <w:sz w:val="20"/>
                <w:szCs w:val="20"/>
                <w:color w:val="auto"/>
              </w:rPr>
              <w:t>Employee Benefit Matters</w:t>
            </w:r>
          </w:p>
        </w:tc>
        <w:tc>
          <w:tcPr>
            <w:tcW w:w="118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7.10</w:t>
            </w:r>
          </w:p>
        </w:tc>
        <w:tc>
          <w:tcPr>
            <w:tcW w:w="7640" w:type="dxa"/>
            <w:vAlign w:val="bottom"/>
          </w:tcPr>
          <w:p>
            <w:pPr>
              <w:ind w:left="640"/>
              <w:spacing w:after="0"/>
              <w:rPr>
                <w:sz w:val="20"/>
                <w:szCs w:val="20"/>
                <w:color w:val="auto"/>
              </w:rPr>
            </w:pPr>
            <w:r>
              <w:rPr>
                <w:rFonts w:ascii="Arial" w:cs="Arial" w:eastAsia="Arial" w:hAnsi="Arial"/>
                <w:sz w:val="20"/>
                <w:szCs w:val="20"/>
                <w:color w:val="auto"/>
              </w:rPr>
              <w:t>Margin Stock</w:t>
            </w:r>
          </w:p>
        </w:tc>
        <w:tc>
          <w:tcPr>
            <w:tcW w:w="11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7.11</w:t>
            </w:r>
          </w:p>
        </w:tc>
        <w:tc>
          <w:tcPr>
            <w:tcW w:w="7640" w:type="dxa"/>
            <w:vAlign w:val="bottom"/>
          </w:tcPr>
          <w:p>
            <w:pPr>
              <w:ind w:left="640"/>
              <w:spacing w:after="0"/>
              <w:rPr>
                <w:sz w:val="20"/>
                <w:szCs w:val="20"/>
                <w:color w:val="auto"/>
              </w:rPr>
            </w:pPr>
            <w:r>
              <w:rPr>
                <w:rFonts w:ascii="Arial" w:cs="Arial" w:eastAsia="Arial" w:hAnsi="Arial"/>
                <w:sz w:val="20"/>
                <w:szCs w:val="20"/>
                <w:color w:val="auto"/>
              </w:rPr>
              <w:t>Investment Company Act Status</w:t>
            </w:r>
          </w:p>
        </w:tc>
        <w:tc>
          <w:tcPr>
            <w:tcW w:w="11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7.12</w:t>
            </w:r>
          </w:p>
        </w:tc>
        <w:tc>
          <w:tcPr>
            <w:tcW w:w="7640" w:type="dxa"/>
            <w:vAlign w:val="bottom"/>
          </w:tcPr>
          <w:p>
            <w:pPr>
              <w:ind w:left="640"/>
              <w:spacing w:after="0"/>
              <w:rPr>
                <w:sz w:val="20"/>
                <w:szCs w:val="20"/>
                <w:color w:val="auto"/>
              </w:rPr>
            </w:pPr>
            <w:r>
              <w:rPr>
                <w:rFonts w:ascii="Arial" w:cs="Arial" w:eastAsia="Arial" w:hAnsi="Arial"/>
                <w:sz w:val="20"/>
                <w:szCs w:val="20"/>
                <w:color w:val="auto"/>
              </w:rPr>
              <w:t>Financial Statements</w:t>
            </w:r>
          </w:p>
        </w:tc>
        <w:tc>
          <w:tcPr>
            <w:tcW w:w="11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7.13</w:t>
            </w:r>
          </w:p>
        </w:tc>
        <w:tc>
          <w:tcPr>
            <w:tcW w:w="7640" w:type="dxa"/>
            <w:vAlign w:val="bottom"/>
          </w:tcPr>
          <w:p>
            <w:pPr>
              <w:ind w:left="640"/>
              <w:spacing w:after="0"/>
              <w:rPr>
                <w:sz w:val="20"/>
                <w:szCs w:val="20"/>
                <w:color w:val="auto"/>
              </w:rPr>
            </w:pPr>
            <w:r>
              <w:rPr>
                <w:rFonts w:ascii="Arial" w:cs="Arial" w:eastAsia="Arial" w:hAnsi="Arial"/>
                <w:sz w:val="20"/>
                <w:szCs w:val="20"/>
                <w:color w:val="auto"/>
              </w:rPr>
              <w:t>No Material Adverse Change</w:t>
            </w:r>
          </w:p>
        </w:tc>
        <w:tc>
          <w:tcPr>
            <w:tcW w:w="11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7.14</w:t>
            </w:r>
          </w:p>
        </w:tc>
        <w:tc>
          <w:tcPr>
            <w:tcW w:w="7640" w:type="dxa"/>
            <w:vAlign w:val="bottom"/>
          </w:tcPr>
          <w:p>
            <w:pPr>
              <w:ind w:left="640"/>
              <w:spacing w:after="0"/>
              <w:rPr>
                <w:sz w:val="20"/>
                <w:szCs w:val="20"/>
                <w:color w:val="auto"/>
              </w:rPr>
            </w:pPr>
            <w:r>
              <w:rPr>
                <w:rFonts w:ascii="Arial" w:cs="Arial" w:eastAsia="Arial" w:hAnsi="Arial"/>
                <w:sz w:val="20"/>
                <w:szCs w:val="20"/>
                <w:color w:val="auto"/>
              </w:rPr>
              <w:t>Solvency</w:t>
            </w:r>
          </w:p>
        </w:tc>
        <w:tc>
          <w:tcPr>
            <w:tcW w:w="11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7.15</w:t>
            </w:r>
          </w:p>
        </w:tc>
        <w:tc>
          <w:tcPr>
            <w:tcW w:w="7640" w:type="dxa"/>
            <w:vAlign w:val="bottom"/>
          </w:tcPr>
          <w:p>
            <w:pPr>
              <w:ind w:left="640"/>
              <w:spacing w:after="0"/>
              <w:rPr>
                <w:sz w:val="20"/>
                <w:szCs w:val="20"/>
                <w:color w:val="auto"/>
              </w:rPr>
            </w:pPr>
            <w:r>
              <w:rPr>
                <w:rFonts w:ascii="Arial" w:cs="Arial" w:eastAsia="Arial" w:hAnsi="Arial"/>
                <w:sz w:val="20"/>
                <w:szCs w:val="20"/>
                <w:color w:val="auto"/>
              </w:rPr>
              <w:t>Litigation</w:t>
            </w:r>
          </w:p>
        </w:tc>
        <w:tc>
          <w:tcPr>
            <w:tcW w:w="11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7.16</w:t>
            </w:r>
          </w:p>
        </w:tc>
        <w:tc>
          <w:tcPr>
            <w:tcW w:w="7640" w:type="dxa"/>
            <w:vAlign w:val="bottom"/>
          </w:tcPr>
          <w:p>
            <w:pPr>
              <w:ind w:left="640"/>
              <w:spacing w:after="0"/>
              <w:rPr>
                <w:sz w:val="20"/>
                <w:szCs w:val="20"/>
                <w:color w:val="auto"/>
              </w:rPr>
            </w:pPr>
            <w:r>
              <w:rPr>
                <w:rFonts w:ascii="Arial" w:cs="Arial" w:eastAsia="Arial" w:hAnsi="Arial"/>
                <w:sz w:val="20"/>
                <w:szCs w:val="20"/>
                <w:color w:val="auto"/>
              </w:rPr>
              <w:t>Anti-Corruption Laws; Anti-Money Laundering Laws and Sanctions</w:t>
            </w:r>
          </w:p>
        </w:tc>
        <w:tc>
          <w:tcPr>
            <w:tcW w:w="11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7.17</w:t>
            </w:r>
          </w:p>
        </w:tc>
        <w:tc>
          <w:tcPr>
            <w:tcW w:w="7640" w:type="dxa"/>
            <w:vAlign w:val="bottom"/>
          </w:tcPr>
          <w:p>
            <w:pPr>
              <w:ind w:left="640"/>
              <w:spacing w:after="0"/>
              <w:rPr>
                <w:sz w:val="20"/>
                <w:szCs w:val="20"/>
                <w:color w:val="auto"/>
              </w:rPr>
            </w:pPr>
            <w:r>
              <w:rPr>
                <w:rFonts w:ascii="Arial" w:cs="Arial" w:eastAsia="Arial" w:hAnsi="Arial"/>
                <w:sz w:val="20"/>
                <w:szCs w:val="20"/>
                <w:color w:val="auto"/>
              </w:rPr>
              <w:t>Disclosure</w:t>
            </w:r>
          </w:p>
        </w:tc>
        <w:tc>
          <w:tcPr>
            <w:tcW w:w="11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84"/>
        </w:trPr>
        <w:tc>
          <w:tcPr>
            <w:tcW w:w="10100" w:type="dxa"/>
            <w:vAlign w:val="bottom"/>
            <w:gridSpan w:val="2"/>
          </w:tcPr>
          <w:p>
            <w:pPr>
              <w:spacing w:after="0"/>
              <w:rPr>
                <w:sz w:val="20"/>
                <w:szCs w:val="20"/>
                <w:color w:val="auto"/>
              </w:rPr>
            </w:pPr>
            <w:r>
              <w:rPr>
                <w:rFonts w:ascii="Arial" w:cs="Arial" w:eastAsia="Arial" w:hAnsi="Arial"/>
                <w:sz w:val="20"/>
                <w:szCs w:val="20"/>
                <w:color w:val="auto"/>
              </w:rPr>
              <w:t>ARTICLE VIII AFFIRMATIVE COVENANTS</w:t>
            </w:r>
          </w:p>
        </w:tc>
        <w:tc>
          <w:tcPr>
            <w:tcW w:w="11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8.1</w:t>
            </w:r>
          </w:p>
        </w:tc>
        <w:tc>
          <w:tcPr>
            <w:tcW w:w="7640" w:type="dxa"/>
            <w:vAlign w:val="bottom"/>
          </w:tcPr>
          <w:p>
            <w:pPr>
              <w:ind w:left="640"/>
              <w:spacing w:after="0"/>
              <w:rPr>
                <w:sz w:val="20"/>
                <w:szCs w:val="20"/>
                <w:color w:val="auto"/>
              </w:rPr>
            </w:pPr>
            <w:r>
              <w:rPr>
                <w:rFonts w:ascii="Arial" w:cs="Arial" w:eastAsia="Arial" w:hAnsi="Arial"/>
                <w:sz w:val="20"/>
                <w:szCs w:val="20"/>
                <w:color w:val="auto"/>
              </w:rPr>
              <w:t>Financial Statements and Budgets</w:t>
            </w:r>
          </w:p>
        </w:tc>
        <w:tc>
          <w:tcPr>
            <w:tcW w:w="118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8.2</w:t>
            </w:r>
          </w:p>
        </w:tc>
        <w:tc>
          <w:tcPr>
            <w:tcW w:w="7640" w:type="dxa"/>
            <w:vAlign w:val="bottom"/>
          </w:tcPr>
          <w:p>
            <w:pPr>
              <w:ind w:left="640"/>
              <w:spacing w:after="0"/>
              <w:rPr>
                <w:sz w:val="20"/>
                <w:szCs w:val="20"/>
                <w:color w:val="auto"/>
              </w:rPr>
            </w:pPr>
            <w:r>
              <w:rPr>
                <w:rFonts w:ascii="Arial" w:cs="Arial" w:eastAsia="Arial" w:hAnsi="Arial"/>
                <w:sz w:val="20"/>
                <w:szCs w:val="20"/>
                <w:color w:val="auto"/>
              </w:rPr>
              <w:t>Certificates; Other Reports</w:t>
            </w:r>
          </w:p>
        </w:tc>
        <w:tc>
          <w:tcPr>
            <w:tcW w:w="11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8.3</w:t>
            </w:r>
          </w:p>
        </w:tc>
        <w:tc>
          <w:tcPr>
            <w:tcW w:w="7640" w:type="dxa"/>
            <w:vAlign w:val="bottom"/>
          </w:tcPr>
          <w:p>
            <w:pPr>
              <w:ind w:left="640"/>
              <w:spacing w:after="0"/>
              <w:rPr>
                <w:sz w:val="20"/>
                <w:szCs w:val="20"/>
                <w:color w:val="auto"/>
              </w:rPr>
            </w:pPr>
            <w:r>
              <w:rPr>
                <w:rFonts w:ascii="Arial" w:cs="Arial" w:eastAsia="Arial" w:hAnsi="Arial"/>
                <w:sz w:val="20"/>
                <w:szCs w:val="20"/>
                <w:color w:val="auto"/>
              </w:rPr>
              <w:t>Notice of Litigation and Other Matters</w:t>
            </w:r>
          </w:p>
        </w:tc>
        <w:tc>
          <w:tcPr>
            <w:tcW w:w="11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8.4</w:t>
            </w:r>
          </w:p>
        </w:tc>
        <w:tc>
          <w:tcPr>
            <w:tcW w:w="7640" w:type="dxa"/>
            <w:vAlign w:val="bottom"/>
          </w:tcPr>
          <w:p>
            <w:pPr>
              <w:ind w:left="640"/>
              <w:spacing w:after="0"/>
              <w:rPr>
                <w:sz w:val="20"/>
                <w:szCs w:val="20"/>
                <w:color w:val="auto"/>
              </w:rPr>
            </w:pPr>
            <w:r>
              <w:rPr>
                <w:rFonts w:ascii="Arial" w:cs="Arial" w:eastAsia="Arial" w:hAnsi="Arial"/>
                <w:sz w:val="20"/>
                <w:szCs w:val="20"/>
                <w:color w:val="auto"/>
              </w:rPr>
              <w:t>Preservation of Corporate Existence and Related Matters</w:t>
            </w:r>
          </w:p>
        </w:tc>
        <w:tc>
          <w:tcPr>
            <w:tcW w:w="11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8.5</w:t>
            </w:r>
          </w:p>
        </w:tc>
        <w:tc>
          <w:tcPr>
            <w:tcW w:w="7640" w:type="dxa"/>
            <w:vAlign w:val="bottom"/>
          </w:tcPr>
          <w:p>
            <w:pPr>
              <w:ind w:left="640"/>
              <w:spacing w:after="0"/>
              <w:rPr>
                <w:sz w:val="20"/>
                <w:szCs w:val="20"/>
                <w:color w:val="auto"/>
              </w:rPr>
            </w:pPr>
            <w:r>
              <w:rPr>
                <w:rFonts w:ascii="Arial" w:cs="Arial" w:eastAsia="Arial" w:hAnsi="Arial"/>
                <w:sz w:val="20"/>
                <w:szCs w:val="20"/>
                <w:color w:val="auto"/>
              </w:rPr>
              <w:t>Maintenance of Property and Licenses</w:t>
            </w:r>
          </w:p>
        </w:tc>
        <w:tc>
          <w:tcPr>
            <w:tcW w:w="11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8.6</w:t>
            </w:r>
          </w:p>
        </w:tc>
        <w:tc>
          <w:tcPr>
            <w:tcW w:w="7640" w:type="dxa"/>
            <w:vAlign w:val="bottom"/>
          </w:tcPr>
          <w:p>
            <w:pPr>
              <w:ind w:left="640"/>
              <w:spacing w:after="0"/>
              <w:rPr>
                <w:sz w:val="20"/>
                <w:szCs w:val="20"/>
                <w:color w:val="auto"/>
              </w:rPr>
            </w:pPr>
            <w:r>
              <w:rPr>
                <w:rFonts w:ascii="Arial" w:cs="Arial" w:eastAsia="Arial" w:hAnsi="Arial"/>
                <w:sz w:val="20"/>
                <w:szCs w:val="20"/>
                <w:color w:val="auto"/>
              </w:rPr>
              <w:t>Insurance</w:t>
            </w:r>
          </w:p>
        </w:tc>
        <w:tc>
          <w:tcPr>
            <w:tcW w:w="118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8.7</w:t>
            </w:r>
          </w:p>
        </w:tc>
        <w:tc>
          <w:tcPr>
            <w:tcW w:w="7640" w:type="dxa"/>
            <w:vAlign w:val="bottom"/>
          </w:tcPr>
          <w:p>
            <w:pPr>
              <w:ind w:left="640"/>
              <w:spacing w:after="0"/>
              <w:rPr>
                <w:sz w:val="20"/>
                <w:szCs w:val="20"/>
                <w:color w:val="auto"/>
              </w:rPr>
            </w:pPr>
            <w:r>
              <w:rPr>
                <w:rFonts w:ascii="Arial" w:cs="Arial" w:eastAsia="Arial" w:hAnsi="Arial"/>
                <w:sz w:val="20"/>
                <w:szCs w:val="20"/>
                <w:color w:val="auto"/>
              </w:rPr>
              <w:t>Payment of Taxes</w:t>
            </w:r>
          </w:p>
        </w:tc>
        <w:tc>
          <w:tcPr>
            <w:tcW w:w="1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8.8</w:t>
            </w:r>
          </w:p>
        </w:tc>
        <w:tc>
          <w:tcPr>
            <w:tcW w:w="7640" w:type="dxa"/>
            <w:vAlign w:val="bottom"/>
          </w:tcPr>
          <w:p>
            <w:pPr>
              <w:ind w:left="640"/>
              <w:spacing w:after="0"/>
              <w:rPr>
                <w:sz w:val="20"/>
                <w:szCs w:val="20"/>
                <w:color w:val="auto"/>
              </w:rPr>
            </w:pPr>
            <w:r>
              <w:rPr>
                <w:rFonts w:ascii="Arial" w:cs="Arial" w:eastAsia="Arial" w:hAnsi="Arial"/>
                <w:sz w:val="20"/>
                <w:szCs w:val="20"/>
                <w:color w:val="auto"/>
              </w:rPr>
              <w:t>Compliance with Laws</w:t>
            </w:r>
          </w:p>
        </w:tc>
        <w:tc>
          <w:tcPr>
            <w:tcW w:w="1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8.9</w:t>
            </w:r>
          </w:p>
        </w:tc>
        <w:tc>
          <w:tcPr>
            <w:tcW w:w="7640" w:type="dxa"/>
            <w:vAlign w:val="bottom"/>
          </w:tcPr>
          <w:p>
            <w:pPr>
              <w:ind w:left="640"/>
              <w:spacing w:after="0"/>
              <w:rPr>
                <w:sz w:val="20"/>
                <w:szCs w:val="20"/>
                <w:color w:val="auto"/>
              </w:rPr>
            </w:pPr>
            <w:r>
              <w:rPr>
                <w:rFonts w:ascii="Arial" w:cs="Arial" w:eastAsia="Arial" w:hAnsi="Arial"/>
                <w:sz w:val="20"/>
                <w:szCs w:val="20"/>
                <w:color w:val="auto"/>
              </w:rPr>
              <w:t>Environmental</w:t>
            </w:r>
          </w:p>
        </w:tc>
        <w:tc>
          <w:tcPr>
            <w:tcW w:w="1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8.10</w:t>
            </w:r>
          </w:p>
        </w:tc>
        <w:tc>
          <w:tcPr>
            <w:tcW w:w="7640" w:type="dxa"/>
            <w:vAlign w:val="bottom"/>
          </w:tcPr>
          <w:p>
            <w:pPr>
              <w:ind w:left="640"/>
              <w:spacing w:after="0"/>
              <w:rPr>
                <w:sz w:val="20"/>
                <w:szCs w:val="20"/>
                <w:color w:val="auto"/>
              </w:rPr>
            </w:pPr>
            <w:r>
              <w:rPr>
                <w:rFonts w:ascii="Arial" w:cs="Arial" w:eastAsia="Arial" w:hAnsi="Arial"/>
                <w:sz w:val="20"/>
                <w:szCs w:val="20"/>
                <w:color w:val="auto"/>
              </w:rPr>
              <w:t>Compliance with ERISA</w:t>
            </w:r>
          </w:p>
        </w:tc>
        <w:tc>
          <w:tcPr>
            <w:tcW w:w="1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8.11</w:t>
            </w:r>
          </w:p>
        </w:tc>
        <w:tc>
          <w:tcPr>
            <w:tcW w:w="7640" w:type="dxa"/>
            <w:vAlign w:val="bottom"/>
          </w:tcPr>
          <w:p>
            <w:pPr>
              <w:ind w:left="640"/>
              <w:spacing w:after="0"/>
              <w:rPr>
                <w:sz w:val="20"/>
                <w:szCs w:val="20"/>
                <w:color w:val="auto"/>
              </w:rPr>
            </w:pPr>
            <w:r>
              <w:rPr>
                <w:rFonts w:ascii="Arial" w:cs="Arial" w:eastAsia="Arial" w:hAnsi="Arial"/>
                <w:sz w:val="20"/>
                <w:szCs w:val="20"/>
                <w:color w:val="auto"/>
              </w:rPr>
              <w:t>Visits and Inspections</w:t>
            </w:r>
          </w:p>
        </w:tc>
        <w:tc>
          <w:tcPr>
            <w:tcW w:w="11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84"/>
        </w:trPr>
        <w:tc>
          <w:tcPr>
            <w:tcW w:w="2460" w:type="dxa"/>
            <w:vAlign w:val="bottom"/>
          </w:tcPr>
          <w:p>
            <w:pPr>
              <w:ind w:left="580"/>
              <w:spacing w:after="0"/>
              <w:rPr>
                <w:sz w:val="20"/>
                <w:szCs w:val="20"/>
                <w:color w:val="auto"/>
              </w:rPr>
            </w:pPr>
            <w:r>
              <w:rPr>
                <w:rFonts w:ascii="Arial" w:cs="Arial" w:eastAsia="Arial" w:hAnsi="Arial"/>
                <w:sz w:val="20"/>
                <w:szCs w:val="20"/>
                <w:color w:val="auto"/>
              </w:rPr>
              <w:t>SECTION 8.12</w:t>
            </w:r>
          </w:p>
        </w:tc>
        <w:tc>
          <w:tcPr>
            <w:tcW w:w="7640" w:type="dxa"/>
            <w:vAlign w:val="bottom"/>
          </w:tcPr>
          <w:p>
            <w:pPr>
              <w:ind w:left="640"/>
              <w:spacing w:after="0"/>
              <w:rPr>
                <w:sz w:val="20"/>
                <w:szCs w:val="20"/>
                <w:color w:val="auto"/>
              </w:rPr>
            </w:pPr>
            <w:r>
              <w:rPr>
                <w:rFonts w:ascii="Arial" w:cs="Arial" w:eastAsia="Arial" w:hAnsi="Arial"/>
                <w:sz w:val="20"/>
                <w:szCs w:val="20"/>
                <w:color w:val="auto"/>
              </w:rPr>
              <w:t>Additional Subsidiaries</w:t>
            </w:r>
          </w:p>
        </w:tc>
        <w:tc>
          <w:tcPr>
            <w:tcW w:w="1180" w:type="dxa"/>
            <w:vAlign w:val="bottom"/>
          </w:tcPr>
          <w:p>
            <w:pPr>
              <w:jc w:val="right"/>
              <w:spacing w:after="0"/>
              <w:rPr>
                <w:sz w:val="20"/>
                <w:szCs w:val="20"/>
                <w:color w:val="auto"/>
              </w:rPr>
            </w:pPr>
            <w:r>
              <w:rPr>
                <w:rFonts w:ascii="Arial" w:cs="Arial" w:eastAsia="Arial" w:hAnsi="Arial"/>
                <w:sz w:val="20"/>
                <w:szCs w:val="20"/>
                <w:color w:val="auto"/>
              </w:rPr>
              <w:t>85</w:t>
            </w: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116"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108975915_18</w:t>
      </w:r>
    </w:p>
    <w:p>
      <w:pPr>
        <w:sectPr>
          <w:pgSz w:w="11900" w:h="16838" w:orient="portrait"/>
          <w:cols w:equalWidth="0" w:num="1">
            <w:col w:w="11420"/>
          </w:cols>
          <w:pgMar w:left="240" w:top="116" w:right="239" w:bottom="1440" w:gutter="0" w:footer="0" w:header="0"/>
          <w:type w:val="continuous"/>
        </w:sectPr>
      </w:pPr>
    </w:p>
    <w:bookmarkStart w:id="122" w:name="page123"/>
    <w:bookmarkEnd w:id="122"/>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980" w:type="dxa"/>
            <w:vAlign w:val="bottom"/>
          </w:tcPr>
          <w:p>
            <w:pPr>
              <w:ind w:left="580"/>
              <w:spacing w:after="0"/>
              <w:rPr>
                <w:sz w:val="20"/>
                <w:szCs w:val="20"/>
                <w:color w:val="auto"/>
              </w:rPr>
            </w:pPr>
            <w:r>
              <w:rPr>
                <w:rFonts w:ascii="Arial" w:cs="Arial" w:eastAsia="Arial" w:hAnsi="Arial"/>
                <w:sz w:val="20"/>
                <w:szCs w:val="20"/>
                <w:color w:val="auto"/>
              </w:rPr>
              <w:t>SECTION 8.13</w:t>
            </w:r>
          </w:p>
        </w:tc>
        <w:tc>
          <w:tcPr>
            <w:tcW w:w="7020" w:type="dxa"/>
            <w:vAlign w:val="bottom"/>
          </w:tcPr>
          <w:p>
            <w:pPr>
              <w:ind w:left="120"/>
              <w:spacing w:after="0"/>
              <w:rPr>
                <w:sz w:val="20"/>
                <w:szCs w:val="20"/>
                <w:color w:val="auto"/>
              </w:rPr>
            </w:pPr>
            <w:r>
              <w:rPr>
                <w:rFonts w:ascii="Arial" w:cs="Arial" w:eastAsia="Arial" w:hAnsi="Arial"/>
                <w:sz w:val="20"/>
                <w:szCs w:val="20"/>
                <w:color w:val="auto"/>
              </w:rPr>
              <w:t>Use of Proceeds</w:t>
            </w:r>
          </w:p>
        </w:tc>
        <w:tc>
          <w:tcPr>
            <w:tcW w:w="12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8.14</w:t>
            </w:r>
          </w:p>
        </w:tc>
        <w:tc>
          <w:tcPr>
            <w:tcW w:w="7020" w:type="dxa"/>
            <w:vAlign w:val="bottom"/>
          </w:tcPr>
          <w:p>
            <w:pPr>
              <w:ind w:left="120"/>
              <w:spacing w:after="0"/>
              <w:rPr>
                <w:sz w:val="20"/>
                <w:szCs w:val="20"/>
                <w:color w:val="auto"/>
              </w:rPr>
            </w:pPr>
            <w:r>
              <w:rPr>
                <w:rFonts w:ascii="Arial" w:cs="Arial" w:eastAsia="Arial" w:hAnsi="Arial"/>
                <w:sz w:val="20"/>
                <w:szCs w:val="20"/>
                <w:color w:val="auto"/>
              </w:rPr>
              <w:t>Compliance with Anti-Corruption Laws; Beneficial Ownership</w:t>
            </w:r>
          </w:p>
        </w:tc>
        <w:tc>
          <w:tcPr>
            <w:tcW w:w="1280" w:type="dxa"/>
            <w:vAlign w:val="bottom"/>
          </w:tcPr>
          <w:p>
            <w:pPr>
              <w:spacing w:after="0"/>
              <w:rPr>
                <w:sz w:val="24"/>
                <w:szCs w:val="24"/>
                <w:color w:val="auto"/>
              </w:rPr>
            </w:pPr>
          </w:p>
        </w:tc>
      </w:tr>
      <w:tr>
        <w:trPr>
          <w:trHeight w:val="284"/>
        </w:trPr>
        <w:tc>
          <w:tcPr>
            <w:tcW w:w="298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Arial" w:cs="Arial" w:eastAsia="Arial" w:hAnsi="Arial"/>
                <w:sz w:val="20"/>
                <w:szCs w:val="20"/>
                <w:color w:val="auto"/>
              </w:rPr>
              <w:t>Regulation, Anti-Money Laundering Laws and Sanctions</w:t>
            </w:r>
          </w:p>
        </w:tc>
        <w:tc>
          <w:tcPr>
            <w:tcW w:w="12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84"/>
        </w:trPr>
        <w:tc>
          <w:tcPr>
            <w:tcW w:w="10000" w:type="dxa"/>
            <w:vAlign w:val="bottom"/>
            <w:gridSpan w:val="2"/>
          </w:tcPr>
          <w:p>
            <w:pPr>
              <w:spacing w:after="0"/>
              <w:rPr>
                <w:sz w:val="20"/>
                <w:szCs w:val="20"/>
                <w:color w:val="auto"/>
              </w:rPr>
            </w:pPr>
            <w:r>
              <w:rPr>
                <w:rFonts w:ascii="Arial" w:cs="Arial" w:eastAsia="Arial" w:hAnsi="Arial"/>
                <w:sz w:val="20"/>
                <w:szCs w:val="20"/>
                <w:color w:val="auto"/>
              </w:rPr>
              <w:t>ARTICLE IX NEGATIVE COVENANTS</w:t>
            </w:r>
          </w:p>
        </w:tc>
        <w:tc>
          <w:tcPr>
            <w:tcW w:w="12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9.1</w:t>
            </w:r>
          </w:p>
        </w:tc>
        <w:tc>
          <w:tcPr>
            <w:tcW w:w="7020" w:type="dxa"/>
            <w:vAlign w:val="bottom"/>
          </w:tcPr>
          <w:p>
            <w:pPr>
              <w:ind w:left="120"/>
              <w:spacing w:after="0"/>
              <w:rPr>
                <w:sz w:val="20"/>
                <w:szCs w:val="20"/>
                <w:color w:val="auto"/>
              </w:rPr>
            </w:pPr>
            <w:r>
              <w:rPr>
                <w:rFonts w:ascii="Arial" w:cs="Arial" w:eastAsia="Arial" w:hAnsi="Arial"/>
                <w:sz w:val="20"/>
                <w:szCs w:val="20"/>
                <w:color w:val="auto"/>
              </w:rPr>
              <w:t>Indebtedness</w:t>
            </w:r>
          </w:p>
        </w:tc>
        <w:tc>
          <w:tcPr>
            <w:tcW w:w="12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9.2</w:t>
            </w:r>
          </w:p>
        </w:tc>
        <w:tc>
          <w:tcPr>
            <w:tcW w:w="7020" w:type="dxa"/>
            <w:vAlign w:val="bottom"/>
          </w:tcPr>
          <w:p>
            <w:pPr>
              <w:ind w:left="120"/>
              <w:spacing w:after="0"/>
              <w:rPr>
                <w:sz w:val="20"/>
                <w:szCs w:val="20"/>
                <w:color w:val="auto"/>
              </w:rPr>
            </w:pPr>
            <w:r>
              <w:rPr>
                <w:rFonts w:ascii="Arial" w:cs="Arial" w:eastAsia="Arial" w:hAnsi="Arial"/>
                <w:sz w:val="20"/>
                <w:szCs w:val="20"/>
                <w:color w:val="auto"/>
              </w:rPr>
              <w:t>Liens</w:t>
            </w:r>
          </w:p>
        </w:tc>
        <w:tc>
          <w:tcPr>
            <w:tcW w:w="128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9.3</w:t>
            </w:r>
          </w:p>
        </w:tc>
        <w:tc>
          <w:tcPr>
            <w:tcW w:w="7020" w:type="dxa"/>
            <w:vAlign w:val="bottom"/>
          </w:tcPr>
          <w:p>
            <w:pPr>
              <w:ind w:left="120"/>
              <w:spacing w:after="0"/>
              <w:rPr>
                <w:sz w:val="20"/>
                <w:szCs w:val="20"/>
                <w:color w:val="auto"/>
              </w:rPr>
            </w:pPr>
            <w:r>
              <w:rPr>
                <w:rFonts w:ascii="Arial" w:cs="Arial" w:eastAsia="Arial" w:hAnsi="Arial"/>
                <w:sz w:val="20"/>
                <w:szCs w:val="20"/>
                <w:color w:val="auto"/>
              </w:rPr>
              <w:t>Investments</w:t>
            </w:r>
          </w:p>
        </w:tc>
        <w:tc>
          <w:tcPr>
            <w:tcW w:w="128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9.4</w:t>
            </w:r>
          </w:p>
        </w:tc>
        <w:tc>
          <w:tcPr>
            <w:tcW w:w="7020" w:type="dxa"/>
            <w:vAlign w:val="bottom"/>
          </w:tcPr>
          <w:p>
            <w:pPr>
              <w:ind w:left="120"/>
              <w:spacing w:after="0"/>
              <w:rPr>
                <w:sz w:val="20"/>
                <w:szCs w:val="20"/>
                <w:color w:val="auto"/>
              </w:rPr>
            </w:pPr>
            <w:r>
              <w:rPr>
                <w:rFonts w:ascii="Arial" w:cs="Arial" w:eastAsia="Arial" w:hAnsi="Arial"/>
                <w:sz w:val="20"/>
                <w:szCs w:val="20"/>
                <w:color w:val="auto"/>
              </w:rPr>
              <w:t>Fundamental Changes</w:t>
            </w:r>
          </w:p>
        </w:tc>
        <w:tc>
          <w:tcPr>
            <w:tcW w:w="128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9.5</w:t>
            </w:r>
          </w:p>
        </w:tc>
        <w:tc>
          <w:tcPr>
            <w:tcW w:w="7020" w:type="dxa"/>
            <w:vAlign w:val="bottom"/>
          </w:tcPr>
          <w:p>
            <w:pPr>
              <w:ind w:left="120"/>
              <w:spacing w:after="0"/>
              <w:rPr>
                <w:sz w:val="20"/>
                <w:szCs w:val="20"/>
                <w:color w:val="auto"/>
              </w:rPr>
            </w:pPr>
            <w:r>
              <w:rPr>
                <w:rFonts w:ascii="Arial" w:cs="Arial" w:eastAsia="Arial" w:hAnsi="Arial"/>
                <w:sz w:val="20"/>
                <w:szCs w:val="20"/>
                <w:color w:val="auto"/>
              </w:rPr>
              <w:t>Asset Dispositions</w:t>
            </w:r>
          </w:p>
        </w:tc>
        <w:tc>
          <w:tcPr>
            <w:tcW w:w="128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9.6</w:t>
            </w:r>
          </w:p>
        </w:tc>
        <w:tc>
          <w:tcPr>
            <w:tcW w:w="7020" w:type="dxa"/>
            <w:vAlign w:val="bottom"/>
          </w:tcPr>
          <w:p>
            <w:pPr>
              <w:ind w:left="120"/>
              <w:spacing w:after="0"/>
              <w:rPr>
                <w:sz w:val="20"/>
                <w:szCs w:val="20"/>
                <w:color w:val="auto"/>
              </w:rPr>
            </w:pPr>
            <w:r>
              <w:rPr>
                <w:rFonts w:ascii="Arial" w:cs="Arial" w:eastAsia="Arial" w:hAnsi="Arial"/>
                <w:sz w:val="20"/>
                <w:szCs w:val="20"/>
                <w:color w:val="auto"/>
              </w:rPr>
              <w:t>Restricted Payments</w:t>
            </w:r>
          </w:p>
        </w:tc>
        <w:tc>
          <w:tcPr>
            <w:tcW w:w="128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9.7</w:t>
            </w:r>
          </w:p>
        </w:tc>
        <w:tc>
          <w:tcPr>
            <w:tcW w:w="7020" w:type="dxa"/>
            <w:vAlign w:val="bottom"/>
          </w:tcPr>
          <w:p>
            <w:pPr>
              <w:ind w:left="120"/>
              <w:spacing w:after="0"/>
              <w:rPr>
                <w:sz w:val="20"/>
                <w:szCs w:val="20"/>
                <w:color w:val="auto"/>
              </w:rPr>
            </w:pPr>
            <w:r>
              <w:rPr>
                <w:rFonts w:ascii="Arial" w:cs="Arial" w:eastAsia="Arial" w:hAnsi="Arial"/>
                <w:sz w:val="20"/>
                <w:szCs w:val="20"/>
                <w:color w:val="auto"/>
              </w:rPr>
              <w:t>Transactions with Affiliates</w:t>
            </w:r>
          </w:p>
        </w:tc>
        <w:tc>
          <w:tcPr>
            <w:tcW w:w="128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9.8</w:t>
            </w:r>
          </w:p>
        </w:tc>
        <w:tc>
          <w:tcPr>
            <w:tcW w:w="7020" w:type="dxa"/>
            <w:vAlign w:val="bottom"/>
          </w:tcPr>
          <w:p>
            <w:pPr>
              <w:ind w:left="120"/>
              <w:spacing w:after="0"/>
              <w:rPr>
                <w:sz w:val="20"/>
                <w:szCs w:val="20"/>
                <w:color w:val="auto"/>
              </w:rPr>
            </w:pPr>
            <w:r>
              <w:rPr>
                <w:rFonts w:ascii="Arial" w:cs="Arial" w:eastAsia="Arial" w:hAnsi="Arial"/>
                <w:sz w:val="20"/>
                <w:szCs w:val="20"/>
                <w:color w:val="auto"/>
              </w:rPr>
              <w:t>Accounting Changes; Organizational Documents</w:t>
            </w:r>
          </w:p>
        </w:tc>
        <w:tc>
          <w:tcPr>
            <w:tcW w:w="128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9.9</w:t>
            </w:r>
          </w:p>
        </w:tc>
        <w:tc>
          <w:tcPr>
            <w:tcW w:w="7020" w:type="dxa"/>
            <w:vAlign w:val="bottom"/>
          </w:tcPr>
          <w:p>
            <w:pPr>
              <w:ind w:left="120"/>
              <w:spacing w:after="0"/>
              <w:rPr>
                <w:sz w:val="20"/>
                <w:szCs w:val="20"/>
                <w:color w:val="auto"/>
              </w:rPr>
            </w:pPr>
            <w:r>
              <w:rPr>
                <w:rFonts w:ascii="Arial" w:cs="Arial" w:eastAsia="Arial" w:hAnsi="Arial"/>
                <w:sz w:val="20"/>
                <w:szCs w:val="20"/>
                <w:color w:val="auto"/>
              </w:rPr>
              <w:t>No Further Negative Pledges; Restrictive Agreements</w:t>
            </w:r>
          </w:p>
        </w:tc>
        <w:tc>
          <w:tcPr>
            <w:tcW w:w="128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9.10</w:t>
            </w:r>
          </w:p>
        </w:tc>
        <w:tc>
          <w:tcPr>
            <w:tcW w:w="7020" w:type="dxa"/>
            <w:vAlign w:val="bottom"/>
          </w:tcPr>
          <w:p>
            <w:pPr>
              <w:ind w:left="120"/>
              <w:spacing w:after="0"/>
              <w:rPr>
                <w:sz w:val="20"/>
                <w:szCs w:val="20"/>
                <w:color w:val="auto"/>
              </w:rPr>
            </w:pPr>
            <w:r>
              <w:rPr>
                <w:rFonts w:ascii="Arial" w:cs="Arial" w:eastAsia="Arial" w:hAnsi="Arial"/>
                <w:sz w:val="20"/>
                <w:szCs w:val="20"/>
                <w:color w:val="auto"/>
              </w:rPr>
              <w:t>Nature of Business</w:t>
            </w:r>
          </w:p>
        </w:tc>
        <w:tc>
          <w:tcPr>
            <w:tcW w:w="12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9.11</w:t>
            </w:r>
          </w:p>
        </w:tc>
        <w:tc>
          <w:tcPr>
            <w:tcW w:w="7020" w:type="dxa"/>
            <w:vAlign w:val="bottom"/>
          </w:tcPr>
          <w:p>
            <w:pPr>
              <w:ind w:left="120"/>
              <w:spacing w:after="0"/>
              <w:rPr>
                <w:sz w:val="20"/>
                <w:szCs w:val="20"/>
                <w:color w:val="auto"/>
              </w:rPr>
            </w:pPr>
            <w:r>
              <w:rPr>
                <w:rFonts w:ascii="Arial" w:cs="Arial" w:eastAsia="Arial" w:hAnsi="Arial"/>
                <w:sz w:val="20"/>
                <w:szCs w:val="20"/>
                <w:color w:val="auto"/>
              </w:rPr>
              <w:t>Sale Leasebacks</w:t>
            </w:r>
          </w:p>
        </w:tc>
        <w:tc>
          <w:tcPr>
            <w:tcW w:w="12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9.12</w:t>
            </w:r>
          </w:p>
        </w:tc>
        <w:tc>
          <w:tcPr>
            <w:tcW w:w="7020" w:type="dxa"/>
            <w:vAlign w:val="bottom"/>
          </w:tcPr>
          <w:p>
            <w:pPr>
              <w:ind w:left="120"/>
              <w:spacing w:after="0"/>
              <w:rPr>
                <w:sz w:val="20"/>
                <w:szCs w:val="20"/>
                <w:color w:val="auto"/>
              </w:rPr>
            </w:pPr>
            <w:r>
              <w:rPr>
                <w:rFonts w:ascii="Arial" w:cs="Arial" w:eastAsia="Arial" w:hAnsi="Arial"/>
                <w:sz w:val="20"/>
                <w:szCs w:val="20"/>
                <w:color w:val="auto"/>
              </w:rPr>
              <w:t>Financial Covenants</w:t>
            </w:r>
          </w:p>
        </w:tc>
        <w:tc>
          <w:tcPr>
            <w:tcW w:w="12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9.13</w:t>
            </w:r>
          </w:p>
        </w:tc>
        <w:tc>
          <w:tcPr>
            <w:tcW w:w="7020" w:type="dxa"/>
            <w:vAlign w:val="bottom"/>
          </w:tcPr>
          <w:p>
            <w:pPr>
              <w:ind w:left="120"/>
              <w:spacing w:after="0"/>
              <w:rPr>
                <w:sz w:val="20"/>
                <w:szCs w:val="20"/>
                <w:color w:val="auto"/>
              </w:rPr>
            </w:pPr>
            <w:r>
              <w:rPr>
                <w:rFonts w:ascii="Arial" w:cs="Arial" w:eastAsia="Arial" w:hAnsi="Arial"/>
                <w:sz w:val="20"/>
                <w:szCs w:val="20"/>
                <w:color w:val="auto"/>
              </w:rPr>
              <w:t>Amendments</w:t>
            </w:r>
          </w:p>
        </w:tc>
        <w:tc>
          <w:tcPr>
            <w:tcW w:w="128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84"/>
        </w:trPr>
        <w:tc>
          <w:tcPr>
            <w:tcW w:w="10000" w:type="dxa"/>
            <w:vAlign w:val="bottom"/>
            <w:gridSpan w:val="2"/>
          </w:tcPr>
          <w:p>
            <w:pPr>
              <w:spacing w:after="0"/>
              <w:rPr>
                <w:sz w:val="20"/>
                <w:szCs w:val="20"/>
                <w:color w:val="auto"/>
              </w:rPr>
            </w:pPr>
            <w:r>
              <w:rPr>
                <w:rFonts w:ascii="Arial" w:cs="Arial" w:eastAsia="Arial" w:hAnsi="Arial"/>
                <w:sz w:val="20"/>
                <w:szCs w:val="20"/>
                <w:color w:val="auto"/>
              </w:rPr>
              <w:t>ARTICLE X DEFAULT AND REMEDIES</w:t>
            </w:r>
          </w:p>
        </w:tc>
        <w:tc>
          <w:tcPr>
            <w:tcW w:w="12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10.1</w:t>
            </w:r>
          </w:p>
        </w:tc>
        <w:tc>
          <w:tcPr>
            <w:tcW w:w="7020" w:type="dxa"/>
            <w:vAlign w:val="bottom"/>
          </w:tcPr>
          <w:p>
            <w:pPr>
              <w:ind w:left="120"/>
              <w:spacing w:after="0"/>
              <w:rPr>
                <w:sz w:val="20"/>
                <w:szCs w:val="20"/>
                <w:color w:val="auto"/>
              </w:rPr>
            </w:pPr>
            <w:r>
              <w:rPr>
                <w:rFonts w:ascii="Arial" w:cs="Arial" w:eastAsia="Arial" w:hAnsi="Arial"/>
                <w:sz w:val="20"/>
                <w:szCs w:val="20"/>
                <w:color w:val="auto"/>
              </w:rPr>
              <w:t>Events of Default</w:t>
            </w:r>
          </w:p>
        </w:tc>
        <w:tc>
          <w:tcPr>
            <w:tcW w:w="128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10.2</w:t>
            </w:r>
          </w:p>
        </w:tc>
        <w:tc>
          <w:tcPr>
            <w:tcW w:w="7020" w:type="dxa"/>
            <w:vAlign w:val="bottom"/>
          </w:tcPr>
          <w:p>
            <w:pPr>
              <w:ind w:left="120"/>
              <w:spacing w:after="0"/>
              <w:rPr>
                <w:sz w:val="20"/>
                <w:szCs w:val="20"/>
                <w:color w:val="auto"/>
              </w:rPr>
            </w:pPr>
            <w:r>
              <w:rPr>
                <w:rFonts w:ascii="Arial" w:cs="Arial" w:eastAsia="Arial" w:hAnsi="Arial"/>
                <w:sz w:val="20"/>
                <w:szCs w:val="20"/>
                <w:color w:val="auto"/>
              </w:rPr>
              <w:t>Remedies</w:t>
            </w:r>
          </w:p>
        </w:tc>
        <w:tc>
          <w:tcPr>
            <w:tcW w:w="128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10.3</w:t>
            </w:r>
          </w:p>
        </w:tc>
        <w:tc>
          <w:tcPr>
            <w:tcW w:w="7020" w:type="dxa"/>
            <w:vAlign w:val="bottom"/>
          </w:tcPr>
          <w:p>
            <w:pPr>
              <w:ind w:left="120"/>
              <w:spacing w:after="0"/>
              <w:rPr>
                <w:sz w:val="20"/>
                <w:szCs w:val="20"/>
                <w:color w:val="auto"/>
              </w:rPr>
            </w:pPr>
            <w:r>
              <w:rPr>
                <w:rFonts w:ascii="Arial" w:cs="Arial" w:eastAsia="Arial" w:hAnsi="Arial"/>
                <w:sz w:val="20"/>
                <w:szCs w:val="20"/>
                <w:color w:val="auto"/>
              </w:rPr>
              <w:t>Rights and Remedies Cumulative; Non-Waiver; etc</w:t>
            </w:r>
          </w:p>
        </w:tc>
        <w:tc>
          <w:tcPr>
            <w:tcW w:w="128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10.4</w:t>
            </w:r>
          </w:p>
        </w:tc>
        <w:tc>
          <w:tcPr>
            <w:tcW w:w="7020" w:type="dxa"/>
            <w:vAlign w:val="bottom"/>
          </w:tcPr>
          <w:p>
            <w:pPr>
              <w:ind w:left="120"/>
              <w:spacing w:after="0"/>
              <w:rPr>
                <w:sz w:val="20"/>
                <w:szCs w:val="20"/>
                <w:color w:val="auto"/>
              </w:rPr>
            </w:pPr>
            <w:r>
              <w:rPr>
                <w:rFonts w:ascii="Arial" w:cs="Arial" w:eastAsia="Arial" w:hAnsi="Arial"/>
                <w:sz w:val="20"/>
                <w:szCs w:val="20"/>
                <w:color w:val="auto"/>
              </w:rPr>
              <w:t>Crediting of Payments and Proceeds</w:t>
            </w:r>
          </w:p>
        </w:tc>
        <w:tc>
          <w:tcPr>
            <w:tcW w:w="128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10.5</w:t>
            </w:r>
          </w:p>
        </w:tc>
        <w:tc>
          <w:tcPr>
            <w:tcW w:w="7020" w:type="dxa"/>
            <w:vAlign w:val="bottom"/>
          </w:tcPr>
          <w:p>
            <w:pPr>
              <w:ind w:left="120"/>
              <w:spacing w:after="0"/>
              <w:rPr>
                <w:sz w:val="20"/>
                <w:szCs w:val="20"/>
                <w:color w:val="auto"/>
              </w:rPr>
            </w:pPr>
            <w:r>
              <w:rPr>
                <w:rFonts w:ascii="Arial" w:cs="Arial" w:eastAsia="Arial" w:hAnsi="Arial"/>
                <w:sz w:val="20"/>
                <w:szCs w:val="20"/>
                <w:color w:val="auto"/>
              </w:rPr>
              <w:t>Administrative Agent May File Proofs of Claim</w:t>
            </w:r>
          </w:p>
        </w:tc>
        <w:tc>
          <w:tcPr>
            <w:tcW w:w="12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84"/>
        </w:trPr>
        <w:tc>
          <w:tcPr>
            <w:tcW w:w="10000" w:type="dxa"/>
            <w:vAlign w:val="bottom"/>
            <w:gridSpan w:val="2"/>
          </w:tcPr>
          <w:p>
            <w:pPr>
              <w:spacing w:after="0"/>
              <w:rPr>
                <w:sz w:val="20"/>
                <w:szCs w:val="20"/>
                <w:color w:val="auto"/>
              </w:rPr>
            </w:pPr>
            <w:r>
              <w:rPr>
                <w:rFonts w:ascii="Arial" w:cs="Arial" w:eastAsia="Arial" w:hAnsi="Arial"/>
                <w:sz w:val="20"/>
                <w:szCs w:val="20"/>
                <w:color w:val="auto"/>
              </w:rPr>
              <w:t>ARTICLE XI THE ADMINISTRATIVE AGENT</w:t>
            </w:r>
          </w:p>
        </w:tc>
        <w:tc>
          <w:tcPr>
            <w:tcW w:w="12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11.1</w:t>
            </w:r>
          </w:p>
        </w:tc>
        <w:tc>
          <w:tcPr>
            <w:tcW w:w="7020" w:type="dxa"/>
            <w:vAlign w:val="bottom"/>
          </w:tcPr>
          <w:p>
            <w:pPr>
              <w:ind w:left="120"/>
              <w:spacing w:after="0"/>
              <w:rPr>
                <w:sz w:val="20"/>
                <w:szCs w:val="20"/>
                <w:color w:val="auto"/>
              </w:rPr>
            </w:pPr>
            <w:r>
              <w:rPr>
                <w:rFonts w:ascii="Arial" w:cs="Arial" w:eastAsia="Arial" w:hAnsi="Arial"/>
                <w:sz w:val="20"/>
                <w:szCs w:val="20"/>
                <w:color w:val="auto"/>
              </w:rPr>
              <w:t>Appointment and Authority</w:t>
            </w:r>
          </w:p>
        </w:tc>
        <w:tc>
          <w:tcPr>
            <w:tcW w:w="12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11.2</w:t>
            </w:r>
          </w:p>
        </w:tc>
        <w:tc>
          <w:tcPr>
            <w:tcW w:w="7020" w:type="dxa"/>
            <w:vAlign w:val="bottom"/>
          </w:tcPr>
          <w:p>
            <w:pPr>
              <w:ind w:left="120"/>
              <w:spacing w:after="0"/>
              <w:rPr>
                <w:sz w:val="20"/>
                <w:szCs w:val="20"/>
                <w:color w:val="auto"/>
              </w:rPr>
            </w:pPr>
            <w:r>
              <w:rPr>
                <w:rFonts w:ascii="Arial" w:cs="Arial" w:eastAsia="Arial" w:hAnsi="Arial"/>
                <w:sz w:val="20"/>
                <w:szCs w:val="20"/>
                <w:color w:val="auto"/>
              </w:rPr>
              <w:t>Rights as a Lender</w:t>
            </w:r>
          </w:p>
        </w:tc>
        <w:tc>
          <w:tcPr>
            <w:tcW w:w="12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11.3</w:t>
            </w:r>
          </w:p>
        </w:tc>
        <w:tc>
          <w:tcPr>
            <w:tcW w:w="7020" w:type="dxa"/>
            <w:vAlign w:val="bottom"/>
          </w:tcPr>
          <w:p>
            <w:pPr>
              <w:ind w:left="120"/>
              <w:spacing w:after="0"/>
              <w:rPr>
                <w:sz w:val="20"/>
                <w:szCs w:val="20"/>
                <w:color w:val="auto"/>
              </w:rPr>
            </w:pPr>
            <w:r>
              <w:rPr>
                <w:rFonts w:ascii="Arial" w:cs="Arial" w:eastAsia="Arial" w:hAnsi="Arial"/>
                <w:sz w:val="20"/>
                <w:szCs w:val="20"/>
                <w:color w:val="auto"/>
              </w:rPr>
              <w:t>Exculpatory Provisions</w:t>
            </w:r>
          </w:p>
        </w:tc>
        <w:tc>
          <w:tcPr>
            <w:tcW w:w="12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11.4</w:t>
            </w:r>
          </w:p>
        </w:tc>
        <w:tc>
          <w:tcPr>
            <w:tcW w:w="7020" w:type="dxa"/>
            <w:vAlign w:val="bottom"/>
          </w:tcPr>
          <w:p>
            <w:pPr>
              <w:ind w:left="120"/>
              <w:spacing w:after="0"/>
              <w:rPr>
                <w:sz w:val="20"/>
                <w:szCs w:val="20"/>
                <w:color w:val="auto"/>
              </w:rPr>
            </w:pPr>
            <w:r>
              <w:rPr>
                <w:rFonts w:ascii="Arial" w:cs="Arial" w:eastAsia="Arial" w:hAnsi="Arial"/>
                <w:sz w:val="20"/>
                <w:szCs w:val="20"/>
                <w:color w:val="auto"/>
              </w:rPr>
              <w:t>Reliance by the Administrative Agent</w:t>
            </w:r>
          </w:p>
        </w:tc>
        <w:tc>
          <w:tcPr>
            <w:tcW w:w="128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11.5</w:t>
            </w:r>
          </w:p>
        </w:tc>
        <w:tc>
          <w:tcPr>
            <w:tcW w:w="7020" w:type="dxa"/>
            <w:vAlign w:val="bottom"/>
          </w:tcPr>
          <w:p>
            <w:pPr>
              <w:ind w:left="120"/>
              <w:spacing w:after="0"/>
              <w:rPr>
                <w:sz w:val="20"/>
                <w:szCs w:val="20"/>
                <w:color w:val="auto"/>
              </w:rPr>
            </w:pPr>
            <w:r>
              <w:rPr>
                <w:rFonts w:ascii="Arial" w:cs="Arial" w:eastAsia="Arial" w:hAnsi="Arial"/>
                <w:sz w:val="20"/>
                <w:szCs w:val="20"/>
                <w:color w:val="auto"/>
              </w:rPr>
              <w:t>Delegation of Duties</w:t>
            </w:r>
          </w:p>
        </w:tc>
        <w:tc>
          <w:tcPr>
            <w:tcW w:w="128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11.6</w:t>
            </w:r>
          </w:p>
        </w:tc>
        <w:tc>
          <w:tcPr>
            <w:tcW w:w="7020" w:type="dxa"/>
            <w:vAlign w:val="bottom"/>
          </w:tcPr>
          <w:p>
            <w:pPr>
              <w:ind w:left="120"/>
              <w:spacing w:after="0"/>
              <w:rPr>
                <w:sz w:val="20"/>
                <w:szCs w:val="20"/>
                <w:color w:val="auto"/>
              </w:rPr>
            </w:pPr>
            <w:r>
              <w:rPr>
                <w:rFonts w:ascii="Arial" w:cs="Arial" w:eastAsia="Arial" w:hAnsi="Arial"/>
                <w:sz w:val="20"/>
                <w:szCs w:val="20"/>
                <w:color w:val="auto"/>
              </w:rPr>
              <w:t>Resignation of Administrative Agent</w:t>
            </w:r>
          </w:p>
        </w:tc>
        <w:tc>
          <w:tcPr>
            <w:tcW w:w="128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11.7</w:t>
            </w:r>
          </w:p>
        </w:tc>
        <w:tc>
          <w:tcPr>
            <w:tcW w:w="7020" w:type="dxa"/>
            <w:vAlign w:val="bottom"/>
          </w:tcPr>
          <w:p>
            <w:pPr>
              <w:ind w:left="120"/>
              <w:spacing w:after="0"/>
              <w:rPr>
                <w:sz w:val="20"/>
                <w:szCs w:val="20"/>
                <w:color w:val="auto"/>
              </w:rPr>
            </w:pPr>
            <w:r>
              <w:rPr>
                <w:rFonts w:ascii="Arial" w:cs="Arial" w:eastAsia="Arial" w:hAnsi="Arial"/>
                <w:sz w:val="20"/>
                <w:szCs w:val="20"/>
                <w:color w:val="auto"/>
              </w:rPr>
              <w:t>Non-Reliance on Administrative Agent and Other Lenders</w:t>
            </w:r>
          </w:p>
        </w:tc>
        <w:tc>
          <w:tcPr>
            <w:tcW w:w="12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11.8</w:t>
            </w:r>
          </w:p>
        </w:tc>
        <w:tc>
          <w:tcPr>
            <w:tcW w:w="7020" w:type="dxa"/>
            <w:vAlign w:val="bottom"/>
          </w:tcPr>
          <w:p>
            <w:pPr>
              <w:ind w:left="120"/>
              <w:spacing w:after="0"/>
              <w:rPr>
                <w:sz w:val="20"/>
                <w:szCs w:val="20"/>
                <w:color w:val="auto"/>
              </w:rPr>
            </w:pPr>
            <w:r>
              <w:rPr>
                <w:rFonts w:ascii="Arial" w:cs="Arial" w:eastAsia="Arial" w:hAnsi="Arial"/>
                <w:sz w:val="20"/>
                <w:szCs w:val="20"/>
                <w:color w:val="auto"/>
              </w:rPr>
              <w:t>No Other Duties, Etc</w:t>
            </w:r>
          </w:p>
        </w:tc>
        <w:tc>
          <w:tcPr>
            <w:tcW w:w="12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11.9</w:t>
            </w:r>
          </w:p>
        </w:tc>
        <w:tc>
          <w:tcPr>
            <w:tcW w:w="7020" w:type="dxa"/>
            <w:vAlign w:val="bottom"/>
          </w:tcPr>
          <w:p>
            <w:pPr>
              <w:ind w:left="120"/>
              <w:spacing w:after="0"/>
              <w:rPr>
                <w:sz w:val="20"/>
                <w:szCs w:val="20"/>
                <w:color w:val="auto"/>
              </w:rPr>
            </w:pPr>
            <w:r>
              <w:rPr>
                <w:rFonts w:ascii="Arial" w:cs="Arial" w:eastAsia="Arial" w:hAnsi="Arial"/>
                <w:sz w:val="20"/>
                <w:szCs w:val="20"/>
                <w:color w:val="auto"/>
              </w:rPr>
              <w:t>Specified Hedge Obligations and Specified Cash Management Obligations</w:t>
            </w:r>
          </w:p>
        </w:tc>
        <w:tc>
          <w:tcPr>
            <w:tcW w:w="1280" w:type="dxa"/>
            <w:vAlign w:val="bottom"/>
          </w:tcPr>
          <w:p>
            <w:pPr>
              <w:spacing w:after="0"/>
              <w:rPr>
                <w:sz w:val="24"/>
                <w:szCs w:val="24"/>
                <w:color w:val="auto"/>
              </w:rPr>
            </w:pPr>
          </w:p>
        </w:tc>
      </w:tr>
      <w:tr>
        <w:trPr>
          <w:trHeight w:val="284"/>
        </w:trPr>
        <w:tc>
          <w:tcPr>
            <w:tcW w:w="29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84"/>
        </w:trPr>
        <w:tc>
          <w:tcPr>
            <w:tcW w:w="2980" w:type="dxa"/>
            <w:vAlign w:val="bottom"/>
          </w:tcPr>
          <w:p>
            <w:pPr>
              <w:spacing w:after="0"/>
              <w:rPr>
                <w:sz w:val="20"/>
                <w:szCs w:val="20"/>
                <w:color w:val="auto"/>
              </w:rPr>
            </w:pPr>
            <w:r>
              <w:rPr>
                <w:rFonts w:ascii="Arial" w:cs="Arial" w:eastAsia="Arial" w:hAnsi="Arial"/>
                <w:sz w:val="20"/>
                <w:szCs w:val="20"/>
                <w:color w:val="auto"/>
              </w:rPr>
              <w:t>ARTICLE XII MISCELLANEOUS</w:t>
            </w:r>
          </w:p>
        </w:tc>
        <w:tc>
          <w:tcPr>
            <w:tcW w:w="70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12.1</w:t>
            </w:r>
          </w:p>
        </w:tc>
        <w:tc>
          <w:tcPr>
            <w:tcW w:w="7020" w:type="dxa"/>
            <w:vAlign w:val="bottom"/>
          </w:tcPr>
          <w:p>
            <w:pPr>
              <w:ind w:left="120"/>
              <w:spacing w:after="0"/>
              <w:rPr>
                <w:sz w:val="20"/>
                <w:szCs w:val="20"/>
                <w:color w:val="auto"/>
              </w:rPr>
            </w:pPr>
            <w:r>
              <w:rPr>
                <w:rFonts w:ascii="Arial" w:cs="Arial" w:eastAsia="Arial" w:hAnsi="Arial"/>
                <w:sz w:val="20"/>
                <w:szCs w:val="20"/>
                <w:color w:val="auto"/>
              </w:rPr>
              <w:t>Notices</w:t>
            </w:r>
          </w:p>
        </w:tc>
        <w:tc>
          <w:tcPr>
            <w:tcW w:w="12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12.2</w:t>
            </w:r>
          </w:p>
        </w:tc>
        <w:tc>
          <w:tcPr>
            <w:tcW w:w="7020" w:type="dxa"/>
            <w:vAlign w:val="bottom"/>
          </w:tcPr>
          <w:p>
            <w:pPr>
              <w:ind w:left="120"/>
              <w:spacing w:after="0"/>
              <w:rPr>
                <w:sz w:val="20"/>
                <w:szCs w:val="20"/>
                <w:color w:val="auto"/>
              </w:rPr>
            </w:pPr>
            <w:r>
              <w:rPr>
                <w:rFonts w:ascii="Arial" w:cs="Arial" w:eastAsia="Arial" w:hAnsi="Arial"/>
                <w:sz w:val="20"/>
                <w:szCs w:val="20"/>
                <w:color w:val="auto"/>
              </w:rPr>
              <w:t>Amendments, Waivers and Consents</w:t>
            </w:r>
          </w:p>
        </w:tc>
        <w:tc>
          <w:tcPr>
            <w:tcW w:w="12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12.3</w:t>
            </w:r>
          </w:p>
        </w:tc>
        <w:tc>
          <w:tcPr>
            <w:tcW w:w="7020" w:type="dxa"/>
            <w:vAlign w:val="bottom"/>
          </w:tcPr>
          <w:p>
            <w:pPr>
              <w:ind w:left="120"/>
              <w:spacing w:after="0"/>
              <w:rPr>
                <w:sz w:val="20"/>
                <w:szCs w:val="20"/>
                <w:color w:val="auto"/>
              </w:rPr>
            </w:pPr>
            <w:r>
              <w:rPr>
                <w:rFonts w:ascii="Arial" w:cs="Arial" w:eastAsia="Arial" w:hAnsi="Arial"/>
                <w:sz w:val="20"/>
                <w:szCs w:val="20"/>
                <w:color w:val="auto"/>
              </w:rPr>
              <w:t>Expenses; Indemnity</w:t>
            </w:r>
          </w:p>
        </w:tc>
        <w:tc>
          <w:tcPr>
            <w:tcW w:w="12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12.4</w:t>
            </w:r>
          </w:p>
        </w:tc>
        <w:tc>
          <w:tcPr>
            <w:tcW w:w="7020" w:type="dxa"/>
            <w:vAlign w:val="bottom"/>
          </w:tcPr>
          <w:p>
            <w:pPr>
              <w:ind w:left="120"/>
              <w:spacing w:after="0"/>
              <w:rPr>
                <w:sz w:val="20"/>
                <w:szCs w:val="20"/>
                <w:color w:val="auto"/>
              </w:rPr>
            </w:pPr>
            <w:r>
              <w:rPr>
                <w:rFonts w:ascii="Arial" w:cs="Arial" w:eastAsia="Arial" w:hAnsi="Arial"/>
                <w:sz w:val="20"/>
                <w:szCs w:val="20"/>
                <w:color w:val="auto"/>
              </w:rPr>
              <w:t>Right of Setoff</w:t>
            </w:r>
          </w:p>
        </w:tc>
        <w:tc>
          <w:tcPr>
            <w:tcW w:w="12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12.5</w:t>
            </w:r>
          </w:p>
        </w:tc>
        <w:tc>
          <w:tcPr>
            <w:tcW w:w="7020" w:type="dxa"/>
            <w:vAlign w:val="bottom"/>
          </w:tcPr>
          <w:p>
            <w:pPr>
              <w:ind w:left="120"/>
              <w:spacing w:after="0"/>
              <w:rPr>
                <w:sz w:val="20"/>
                <w:szCs w:val="20"/>
                <w:color w:val="auto"/>
              </w:rPr>
            </w:pPr>
            <w:r>
              <w:rPr>
                <w:rFonts w:ascii="Arial" w:cs="Arial" w:eastAsia="Arial" w:hAnsi="Arial"/>
                <w:sz w:val="20"/>
                <w:szCs w:val="20"/>
                <w:color w:val="auto"/>
              </w:rPr>
              <w:t>Governing Law; Jurisdiction, Etc</w:t>
            </w:r>
          </w:p>
        </w:tc>
        <w:tc>
          <w:tcPr>
            <w:tcW w:w="128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12.6</w:t>
            </w:r>
          </w:p>
        </w:tc>
        <w:tc>
          <w:tcPr>
            <w:tcW w:w="7020" w:type="dxa"/>
            <w:vAlign w:val="bottom"/>
          </w:tcPr>
          <w:p>
            <w:pPr>
              <w:ind w:left="120"/>
              <w:spacing w:after="0"/>
              <w:rPr>
                <w:sz w:val="20"/>
                <w:szCs w:val="20"/>
                <w:color w:val="auto"/>
              </w:rPr>
            </w:pPr>
            <w:r>
              <w:rPr>
                <w:rFonts w:ascii="Arial" w:cs="Arial" w:eastAsia="Arial" w:hAnsi="Arial"/>
                <w:sz w:val="20"/>
                <w:szCs w:val="20"/>
                <w:color w:val="auto"/>
              </w:rPr>
              <w:t>Waiver of Jury Trial</w:t>
            </w:r>
          </w:p>
        </w:tc>
        <w:tc>
          <w:tcPr>
            <w:tcW w:w="128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12.7</w:t>
            </w:r>
          </w:p>
        </w:tc>
        <w:tc>
          <w:tcPr>
            <w:tcW w:w="7020" w:type="dxa"/>
            <w:vAlign w:val="bottom"/>
          </w:tcPr>
          <w:p>
            <w:pPr>
              <w:ind w:left="120"/>
              <w:spacing w:after="0"/>
              <w:rPr>
                <w:sz w:val="20"/>
                <w:szCs w:val="20"/>
                <w:color w:val="auto"/>
              </w:rPr>
            </w:pPr>
            <w:r>
              <w:rPr>
                <w:rFonts w:ascii="Arial" w:cs="Arial" w:eastAsia="Arial" w:hAnsi="Arial"/>
                <w:sz w:val="20"/>
                <w:szCs w:val="20"/>
                <w:color w:val="auto"/>
              </w:rPr>
              <w:t>Reversal of Payments</w:t>
            </w:r>
          </w:p>
        </w:tc>
        <w:tc>
          <w:tcPr>
            <w:tcW w:w="12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84"/>
        </w:trPr>
        <w:tc>
          <w:tcPr>
            <w:tcW w:w="2980" w:type="dxa"/>
            <w:vAlign w:val="bottom"/>
          </w:tcPr>
          <w:p>
            <w:pPr>
              <w:ind w:left="580"/>
              <w:spacing w:after="0"/>
              <w:rPr>
                <w:sz w:val="20"/>
                <w:szCs w:val="20"/>
                <w:color w:val="auto"/>
              </w:rPr>
            </w:pPr>
            <w:r>
              <w:rPr>
                <w:rFonts w:ascii="Arial" w:cs="Arial" w:eastAsia="Arial" w:hAnsi="Arial"/>
                <w:sz w:val="20"/>
                <w:szCs w:val="20"/>
                <w:color w:val="auto"/>
              </w:rPr>
              <w:t>SECTION 12.8</w:t>
            </w:r>
          </w:p>
        </w:tc>
        <w:tc>
          <w:tcPr>
            <w:tcW w:w="7020" w:type="dxa"/>
            <w:vAlign w:val="bottom"/>
          </w:tcPr>
          <w:p>
            <w:pPr>
              <w:ind w:left="120"/>
              <w:spacing w:after="0"/>
              <w:rPr>
                <w:sz w:val="20"/>
                <w:szCs w:val="20"/>
                <w:color w:val="auto"/>
              </w:rPr>
            </w:pPr>
            <w:r>
              <w:rPr>
                <w:rFonts w:ascii="Arial" w:cs="Arial" w:eastAsia="Arial" w:hAnsi="Arial"/>
                <w:sz w:val="20"/>
                <w:szCs w:val="20"/>
                <w:color w:val="auto"/>
              </w:rPr>
              <w:t>Injunctive Relief</w:t>
            </w:r>
          </w:p>
        </w:tc>
        <w:tc>
          <w:tcPr>
            <w:tcW w:w="1280" w:type="dxa"/>
            <w:vAlign w:val="bottom"/>
          </w:tcPr>
          <w:p>
            <w:pPr>
              <w:jc w:val="right"/>
              <w:spacing w:after="0"/>
              <w:rPr>
                <w:sz w:val="20"/>
                <w:szCs w:val="20"/>
                <w:color w:val="auto"/>
              </w:rPr>
            </w:pPr>
            <w:r>
              <w:rPr>
                <w:rFonts w:ascii="Arial" w:cs="Arial" w:eastAsia="Arial" w:hAnsi="Arial"/>
                <w:sz w:val="20"/>
                <w:szCs w:val="20"/>
                <w:color w:val="auto"/>
              </w:rPr>
              <w:t>113</w:t>
            </w: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116"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108975915_18</w:t>
      </w:r>
    </w:p>
    <w:p>
      <w:pPr>
        <w:sectPr>
          <w:pgSz w:w="11900" w:h="16838" w:orient="portrait"/>
          <w:cols w:equalWidth="0" w:num="1">
            <w:col w:w="11420"/>
          </w:cols>
          <w:pgMar w:left="240" w:top="116" w:right="239" w:bottom="1440" w:gutter="0" w:footer="0" w:header="0"/>
          <w:type w:val="continuous"/>
        </w:sectPr>
      </w:pPr>
    </w:p>
    <w:bookmarkStart w:id="123" w:name="page124"/>
    <w:bookmarkEnd w:id="123"/>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tbl>
      <w:tblPr>
        <w:tblLayout w:type="fixed"/>
        <w:tblInd w:w="620" w:type="dxa"/>
        <w:tblCellMar>
          <w:top w:w="0" w:type="dxa"/>
          <w:left w:w="0" w:type="dxa"/>
          <w:bottom w:w="0" w:type="dxa"/>
          <w:right w:w="0" w:type="dxa"/>
        </w:tblCellMar>
      </w:tblPr>
      <w:tr>
        <w:trPr>
          <w:trHeight w:val="256"/>
        </w:trPr>
        <w:tc>
          <w:tcPr>
            <w:tcW w:w="19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1004"/>
        </w:trPr>
        <w:tc>
          <w:tcPr>
            <w:tcW w:w="1920" w:type="dxa"/>
            <w:vAlign w:val="bottom"/>
          </w:tcPr>
          <w:p>
            <w:pPr>
              <w:spacing w:after="0"/>
              <w:rPr>
                <w:sz w:val="20"/>
                <w:szCs w:val="20"/>
                <w:color w:val="auto"/>
              </w:rPr>
            </w:pPr>
            <w:r>
              <w:rPr>
                <w:rFonts w:ascii="Arial" w:cs="Arial" w:eastAsia="Arial" w:hAnsi="Arial"/>
                <w:sz w:val="20"/>
                <w:szCs w:val="20"/>
                <w:color w:val="auto"/>
              </w:rPr>
              <w:t>SECTION 12.9</w:t>
            </w:r>
          </w:p>
        </w:tc>
        <w:tc>
          <w:tcPr>
            <w:tcW w:w="7400" w:type="dxa"/>
            <w:vAlign w:val="bottom"/>
          </w:tcPr>
          <w:p>
            <w:pPr>
              <w:ind w:left="600"/>
              <w:spacing w:after="0"/>
              <w:rPr>
                <w:sz w:val="20"/>
                <w:szCs w:val="20"/>
                <w:color w:val="auto"/>
              </w:rPr>
            </w:pPr>
            <w:r>
              <w:rPr>
                <w:rFonts w:ascii="Arial" w:cs="Arial" w:eastAsia="Arial" w:hAnsi="Arial"/>
                <w:sz w:val="20"/>
                <w:szCs w:val="20"/>
                <w:color w:val="auto"/>
              </w:rPr>
              <w:t>Successors and Assigns; Participations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113</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12.10</w:t>
            </w:r>
          </w:p>
        </w:tc>
        <w:tc>
          <w:tcPr>
            <w:tcW w:w="7400" w:type="dxa"/>
            <w:vAlign w:val="bottom"/>
          </w:tcPr>
          <w:p>
            <w:pPr>
              <w:ind w:left="600"/>
              <w:spacing w:after="0"/>
              <w:rPr>
                <w:sz w:val="20"/>
                <w:szCs w:val="20"/>
                <w:color w:val="auto"/>
              </w:rPr>
            </w:pPr>
            <w:r>
              <w:rPr>
                <w:rFonts w:ascii="Arial" w:cs="Arial" w:eastAsia="Arial" w:hAnsi="Arial"/>
                <w:sz w:val="20"/>
                <w:szCs w:val="20"/>
                <w:color w:val="auto"/>
              </w:rPr>
              <w:t>Treatment of Certain Information; Confidentiality</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118</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12.11</w:t>
            </w:r>
          </w:p>
        </w:tc>
        <w:tc>
          <w:tcPr>
            <w:tcW w:w="7400" w:type="dxa"/>
            <w:vAlign w:val="bottom"/>
          </w:tcPr>
          <w:p>
            <w:pPr>
              <w:ind w:left="600"/>
              <w:spacing w:after="0"/>
              <w:rPr>
                <w:sz w:val="20"/>
                <w:szCs w:val="20"/>
                <w:color w:val="auto"/>
              </w:rPr>
            </w:pPr>
            <w:r>
              <w:rPr>
                <w:rFonts w:ascii="Arial" w:cs="Arial" w:eastAsia="Arial" w:hAnsi="Arial"/>
                <w:sz w:val="20"/>
                <w:szCs w:val="20"/>
                <w:color w:val="auto"/>
              </w:rPr>
              <w:t>Performance of Duties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119</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12.12</w:t>
            </w:r>
          </w:p>
        </w:tc>
        <w:tc>
          <w:tcPr>
            <w:tcW w:w="7400" w:type="dxa"/>
            <w:vAlign w:val="bottom"/>
          </w:tcPr>
          <w:p>
            <w:pPr>
              <w:ind w:left="600"/>
              <w:spacing w:after="0"/>
              <w:rPr>
                <w:sz w:val="20"/>
                <w:szCs w:val="20"/>
                <w:color w:val="auto"/>
              </w:rPr>
            </w:pPr>
            <w:r>
              <w:rPr>
                <w:rFonts w:ascii="Arial" w:cs="Arial" w:eastAsia="Arial" w:hAnsi="Arial"/>
                <w:sz w:val="20"/>
                <w:szCs w:val="20"/>
                <w:color w:val="auto"/>
              </w:rPr>
              <w:t>All Powers Coupled with Interest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119</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12.13</w:t>
            </w:r>
          </w:p>
        </w:tc>
        <w:tc>
          <w:tcPr>
            <w:tcW w:w="7400" w:type="dxa"/>
            <w:vAlign w:val="bottom"/>
          </w:tcPr>
          <w:p>
            <w:pPr>
              <w:ind w:left="600"/>
              <w:spacing w:after="0"/>
              <w:rPr>
                <w:sz w:val="20"/>
                <w:szCs w:val="20"/>
                <w:color w:val="auto"/>
              </w:rPr>
            </w:pPr>
            <w:r>
              <w:rPr>
                <w:rFonts w:ascii="Arial" w:cs="Arial" w:eastAsia="Arial" w:hAnsi="Arial"/>
                <w:sz w:val="20"/>
                <w:szCs w:val="20"/>
                <w:color w:val="auto"/>
              </w:rPr>
              <w:t>Survival</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120</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12.14</w:t>
            </w:r>
          </w:p>
        </w:tc>
        <w:tc>
          <w:tcPr>
            <w:tcW w:w="7400" w:type="dxa"/>
            <w:vAlign w:val="bottom"/>
          </w:tcPr>
          <w:p>
            <w:pPr>
              <w:ind w:left="600"/>
              <w:spacing w:after="0"/>
              <w:rPr>
                <w:sz w:val="20"/>
                <w:szCs w:val="20"/>
                <w:color w:val="auto"/>
              </w:rPr>
            </w:pPr>
            <w:r>
              <w:rPr>
                <w:rFonts w:ascii="Arial" w:cs="Arial" w:eastAsia="Arial" w:hAnsi="Arial"/>
                <w:sz w:val="20"/>
                <w:szCs w:val="20"/>
                <w:color w:val="auto"/>
              </w:rPr>
              <w:t>Titles and Captions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120</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12.15</w:t>
            </w:r>
          </w:p>
        </w:tc>
        <w:tc>
          <w:tcPr>
            <w:tcW w:w="7400" w:type="dxa"/>
            <w:vAlign w:val="bottom"/>
          </w:tcPr>
          <w:p>
            <w:pPr>
              <w:ind w:left="600"/>
              <w:spacing w:after="0"/>
              <w:rPr>
                <w:sz w:val="20"/>
                <w:szCs w:val="20"/>
                <w:color w:val="auto"/>
              </w:rPr>
            </w:pPr>
            <w:r>
              <w:rPr>
                <w:rFonts w:ascii="Arial" w:cs="Arial" w:eastAsia="Arial" w:hAnsi="Arial"/>
                <w:sz w:val="20"/>
                <w:szCs w:val="20"/>
                <w:color w:val="auto"/>
              </w:rPr>
              <w:t>Severability of Provisions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120</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12.16</w:t>
            </w:r>
          </w:p>
        </w:tc>
        <w:tc>
          <w:tcPr>
            <w:tcW w:w="7400" w:type="dxa"/>
            <w:vAlign w:val="bottom"/>
          </w:tcPr>
          <w:p>
            <w:pPr>
              <w:ind w:left="600"/>
              <w:spacing w:after="0"/>
              <w:rPr>
                <w:sz w:val="20"/>
                <w:szCs w:val="20"/>
                <w:color w:val="auto"/>
              </w:rPr>
            </w:pPr>
            <w:r>
              <w:rPr>
                <w:rFonts w:ascii="Arial" w:cs="Arial" w:eastAsia="Arial" w:hAnsi="Arial"/>
                <w:sz w:val="20"/>
                <w:szCs w:val="20"/>
                <w:color w:val="auto"/>
              </w:rPr>
              <w:t>Counterparts; Integration; Effectiveness; Electronic Execution</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120</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12.17</w:t>
            </w:r>
          </w:p>
        </w:tc>
        <w:tc>
          <w:tcPr>
            <w:tcW w:w="7400" w:type="dxa"/>
            <w:vAlign w:val="bottom"/>
          </w:tcPr>
          <w:p>
            <w:pPr>
              <w:ind w:left="600"/>
              <w:spacing w:after="0"/>
              <w:rPr>
                <w:sz w:val="20"/>
                <w:szCs w:val="20"/>
                <w:color w:val="auto"/>
              </w:rPr>
            </w:pPr>
            <w:r>
              <w:rPr>
                <w:rFonts w:ascii="Arial" w:cs="Arial" w:eastAsia="Arial" w:hAnsi="Arial"/>
                <w:sz w:val="20"/>
                <w:szCs w:val="20"/>
                <w:color w:val="auto"/>
              </w:rPr>
              <w:t>Term of Agreement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121</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12.18</w:t>
            </w:r>
          </w:p>
        </w:tc>
        <w:tc>
          <w:tcPr>
            <w:tcW w:w="7400" w:type="dxa"/>
            <w:vAlign w:val="bottom"/>
          </w:tcPr>
          <w:p>
            <w:pPr>
              <w:ind w:left="600"/>
              <w:spacing w:after="0"/>
              <w:rPr>
                <w:sz w:val="20"/>
                <w:szCs w:val="20"/>
                <w:color w:val="auto"/>
              </w:rPr>
            </w:pPr>
            <w:r>
              <w:rPr>
                <w:rFonts w:ascii="Arial" w:cs="Arial" w:eastAsia="Arial" w:hAnsi="Arial"/>
                <w:sz w:val="20"/>
                <w:szCs w:val="20"/>
                <w:color w:val="auto"/>
              </w:rPr>
              <w:t>USA PATRIOT Act; Anti-Money Laundering Laws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121</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12.19</w:t>
            </w:r>
          </w:p>
        </w:tc>
        <w:tc>
          <w:tcPr>
            <w:tcW w:w="7400" w:type="dxa"/>
            <w:vAlign w:val="bottom"/>
          </w:tcPr>
          <w:p>
            <w:pPr>
              <w:ind w:left="600"/>
              <w:spacing w:after="0"/>
              <w:rPr>
                <w:sz w:val="20"/>
                <w:szCs w:val="20"/>
                <w:color w:val="auto"/>
              </w:rPr>
            </w:pPr>
            <w:r>
              <w:rPr>
                <w:rFonts w:ascii="Arial" w:cs="Arial" w:eastAsia="Arial" w:hAnsi="Arial"/>
                <w:sz w:val="20"/>
                <w:szCs w:val="20"/>
                <w:color w:val="auto"/>
              </w:rPr>
              <w:t>Independent Effect of Covenants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121</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12.20</w:t>
            </w:r>
          </w:p>
        </w:tc>
        <w:tc>
          <w:tcPr>
            <w:tcW w:w="7400" w:type="dxa"/>
            <w:vAlign w:val="bottom"/>
          </w:tcPr>
          <w:p>
            <w:pPr>
              <w:ind w:left="600"/>
              <w:spacing w:after="0"/>
              <w:rPr>
                <w:sz w:val="20"/>
                <w:szCs w:val="20"/>
                <w:color w:val="auto"/>
              </w:rPr>
            </w:pPr>
            <w:r>
              <w:rPr>
                <w:rFonts w:ascii="Arial" w:cs="Arial" w:eastAsia="Arial" w:hAnsi="Arial"/>
                <w:sz w:val="20"/>
                <w:szCs w:val="20"/>
                <w:color w:val="auto"/>
              </w:rPr>
              <w:t>No Advisory or Fiduciary Responsibility</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121</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12.21</w:t>
            </w:r>
          </w:p>
        </w:tc>
        <w:tc>
          <w:tcPr>
            <w:tcW w:w="7400" w:type="dxa"/>
            <w:vAlign w:val="bottom"/>
          </w:tcPr>
          <w:p>
            <w:pPr>
              <w:ind w:left="600"/>
              <w:spacing w:after="0"/>
              <w:rPr>
                <w:sz w:val="20"/>
                <w:szCs w:val="20"/>
                <w:color w:val="auto"/>
              </w:rPr>
            </w:pPr>
            <w:r>
              <w:rPr>
                <w:rFonts w:ascii="Arial" w:cs="Arial" w:eastAsia="Arial" w:hAnsi="Arial"/>
                <w:sz w:val="20"/>
                <w:szCs w:val="20"/>
                <w:color w:val="auto"/>
              </w:rPr>
              <w:t>Inconsistencies with Other Documents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122</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12.22</w:t>
            </w:r>
          </w:p>
        </w:tc>
        <w:tc>
          <w:tcPr>
            <w:tcW w:w="7400" w:type="dxa"/>
            <w:vAlign w:val="bottom"/>
          </w:tcPr>
          <w:p>
            <w:pPr>
              <w:ind w:left="60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122</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12.23</w:t>
            </w:r>
          </w:p>
        </w:tc>
        <w:tc>
          <w:tcPr>
            <w:tcW w:w="7400" w:type="dxa"/>
            <w:vAlign w:val="bottom"/>
          </w:tcPr>
          <w:p>
            <w:pPr>
              <w:ind w:left="600"/>
              <w:spacing w:after="0"/>
              <w:rPr>
                <w:sz w:val="20"/>
                <w:szCs w:val="20"/>
                <w:color w:val="auto"/>
              </w:rPr>
            </w:pPr>
            <w:r>
              <w:rPr>
                <w:rFonts w:ascii="Arial" w:cs="Arial" w:eastAsia="Arial" w:hAnsi="Arial"/>
                <w:sz w:val="20"/>
                <w:szCs w:val="20"/>
                <w:color w:val="auto"/>
              </w:rPr>
              <w:t>Judgment Currency</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122</w:t>
            </w:r>
          </w:p>
        </w:tc>
      </w:tr>
      <w:tr>
        <w:trPr>
          <w:trHeight w:val="284"/>
        </w:trPr>
        <w:tc>
          <w:tcPr>
            <w:tcW w:w="1920" w:type="dxa"/>
            <w:vAlign w:val="bottom"/>
          </w:tcPr>
          <w:p>
            <w:pPr>
              <w:spacing w:after="0"/>
              <w:rPr>
                <w:sz w:val="20"/>
                <w:szCs w:val="20"/>
                <w:color w:val="auto"/>
              </w:rPr>
            </w:pPr>
            <w:r>
              <w:rPr>
                <w:rFonts w:ascii="Arial" w:cs="Arial" w:eastAsia="Arial" w:hAnsi="Arial"/>
                <w:sz w:val="20"/>
                <w:szCs w:val="20"/>
                <w:color w:val="auto"/>
              </w:rPr>
              <w:t>SECTION 12.24</w:t>
            </w:r>
          </w:p>
        </w:tc>
        <w:tc>
          <w:tcPr>
            <w:tcW w:w="7400" w:type="dxa"/>
            <w:vAlign w:val="bottom"/>
          </w:tcPr>
          <w:p>
            <w:pPr>
              <w:ind w:left="600"/>
              <w:spacing w:after="0"/>
              <w:rPr>
                <w:sz w:val="20"/>
                <w:szCs w:val="20"/>
                <w:color w:val="auto"/>
              </w:rPr>
            </w:pPr>
            <w:r>
              <w:rPr>
                <w:rFonts w:ascii="Arial" w:cs="Arial" w:eastAsia="Arial" w:hAnsi="Arial"/>
                <w:sz w:val="20"/>
                <w:szCs w:val="20"/>
                <w:color w:val="auto"/>
              </w:rPr>
              <w:t>Certain ERISA Matters</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123</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115" w:right="239" w:bottom="1440" w:gutter="0" w:footer="0" w:header="0"/>
        </w:sectPr>
      </w:pPr>
    </w:p>
    <w:bookmarkStart w:id="124" w:name="page125"/>
    <w:bookmarkEnd w:id="124"/>
    <w:tbl>
      <w:tblPr>
        <w:tblLayout w:type="fixed"/>
        <w:tblInd w:w="4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EXHIBITS</w:t>
            </w:r>
          </w:p>
        </w:tc>
        <w:tc>
          <w:tcPr>
            <w:tcW w:w="92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308"/>
        </w:trPr>
        <w:tc>
          <w:tcPr>
            <w:tcW w:w="1820" w:type="dxa"/>
            <w:vAlign w:val="bottom"/>
            <w:gridSpan w:val="3"/>
          </w:tcPr>
          <w:p>
            <w:pPr>
              <w:spacing w:after="0"/>
              <w:rPr>
                <w:sz w:val="20"/>
                <w:szCs w:val="20"/>
                <w:color w:val="auto"/>
              </w:rPr>
            </w:pPr>
            <w:r>
              <w:rPr>
                <w:rFonts w:ascii="Arial" w:cs="Arial" w:eastAsia="Arial" w:hAnsi="Arial"/>
                <w:sz w:val="20"/>
                <w:szCs w:val="20"/>
                <w:color w:val="auto"/>
              </w:rPr>
              <w:t>Exhibit A-1</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Revolving Credit Note</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A-2</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Swingline Note</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A-3</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Incremental Term Loan Note</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Notice of Borrowing</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Notice of Account Designation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Notice of Prepayment</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Notice of Conversion/Continuation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Compliance Certificate</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G</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Assignment and Assumption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H-1</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w w:val="96"/>
              </w:rPr>
              <w:t>-   Form of U.S. Tax Compliance Certificate (Non-Partnership Foreign Lenders)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H-2</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w w:val="92"/>
              </w:rPr>
              <w:t>-   Form of U.S. Tax Compliance Certificate (Non-Partnership Foreign Participants)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H-3</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w w:val="98"/>
              </w:rPr>
              <w:t>-   Form of U.S. Tax Compliance Certificate (Foreign Participant Partnerships)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Exhibit H-4</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Form of U.S. Tax Compliance Certificate (Foreign Lender Partnerships)</w:t>
            </w:r>
          </w:p>
        </w:tc>
      </w:tr>
      <w:tr>
        <w:trPr>
          <w:trHeight w:val="536"/>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SCHEDULES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308"/>
        </w:trPr>
        <w:tc>
          <w:tcPr>
            <w:tcW w:w="1820" w:type="dxa"/>
            <w:vAlign w:val="bottom"/>
            <w:gridSpan w:val="3"/>
          </w:tcPr>
          <w:p>
            <w:pPr>
              <w:spacing w:after="0"/>
              <w:rPr>
                <w:sz w:val="20"/>
                <w:szCs w:val="20"/>
                <w:color w:val="auto"/>
              </w:rPr>
            </w:pPr>
            <w:r>
              <w:rPr>
                <w:rFonts w:ascii="Arial" w:cs="Arial" w:eastAsia="Arial" w:hAnsi="Arial"/>
                <w:sz w:val="20"/>
                <w:szCs w:val="20"/>
                <w:color w:val="auto"/>
              </w:rPr>
              <w:t>Schedule 1.1(a)</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Existing Letter of Credit</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1.1(b)</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Revolving Commitments and Revolving Commitment Percentages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7.1</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Jurisdictions of Organization and Qualification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7.2</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Subsidiaries and Capitalization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7.9</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ERISA Plans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7.15</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Material Litigation</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9.1</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Existing Indebtedness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9.2</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Existing Liens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9.3</w:t>
            </w:r>
          </w:p>
        </w:tc>
        <w:tc>
          <w:tcPr>
            <w:tcW w:w="7340" w:type="dxa"/>
            <w:vAlign w:val="bottom"/>
            <w:gridSpan w:val="2"/>
          </w:tcPr>
          <w:p>
            <w:pPr>
              <w:ind w:left="580"/>
              <w:spacing w:after="0"/>
              <w:rPr>
                <w:sz w:val="20"/>
                <w:szCs w:val="20"/>
                <w:color w:val="auto"/>
              </w:rPr>
            </w:pPr>
            <w:r>
              <w:rPr>
                <w:rFonts w:ascii="Arial" w:cs="Arial" w:eastAsia="Arial" w:hAnsi="Arial"/>
                <w:sz w:val="20"/>
                <w:szCs w:val="20"/>
                <w:color w:val="auto"/>
              </w:rPr>
              <w:t>-   Existing Loans, Advances and Investments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9.7</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Transactions with Affiliates</w:t>
            </w:r>
          </w:p>
        </w:tc>
      </w:tr>
      <w:tr>
        <w:trPr>
          <w:trHeight w:val="284"/>
        </w:trPr>
        <w:tc>
          <w:tcPr>
            <w:tcW w:w="1820" w:type="dxa"/>
            <w:vAlign w:val="bottom"/>
            <w:gridSpan w:val="3"/>
          </w:tcPr>
          <w:p>
            <w:pPr>
              <w:spacing w:after="0"/>
              <w:rPr>
                <w:sz w:val="20"/>
                <w:szCs w:val="20"/>
                <w:color w:val="auto"/>
              </w:rPr>
            </w:pPr>
            <w:r>
              <w:rPr>
                <w:rFonts w:ascii="Arial" w:cs="Arial" w:eastAsia="Arial" w:hAnsi="Arial"/>
                <w:sz w:val="20"/>
                <w:szCs w:val="20"/>
                <w:color w:val="auto"/>
              </w:rPr>
              <w:t>Schedule 9.13</w:t>
            </w:r>
          </w:p>
        </w:tc>
        <w:tc>
          <w:tcPr>
            <w:tcW w:w="780" w:type="dxa"/>
            <w:vAlign w:val="bottom"/>
          </w:tcPr>
          <w:p>
            <w:pPr>
              <w:ind w:left="580"/>
              <w:spacing w:after="0"/>
              <w:rPr>
                <w:sz w:val="20"/>
                <w:szCs w:val="20"/>
                <w:color w:val="auto"/>
              </w:rPr>
            </w:pPr>
            <w:r>
              <w:rPr>
                <w:rFonts w:ascii="Arial" w:cs="Arial" w:eastAsia="Arial" w:hAnsi="Arial"/>
                <w:sz w:val="20"/>
                <w:szCs w:val="20"/>
                <w:color w:val="auto"/>
              </w:rPr>
              <w:t>-</w:t>
            </w:r>
          </w:p>
        </w:tc>
        <w:tc>
          <w:tcPr>
            <w:tcW w:w="6560" w:type="dxa"/>
            <w:vAlign w:val="bottom"/>
          </w:tcPr>
          <w:p>
            <w:pPr>
              <w:ind w:left="140"/>
              <w:spacing w:after="0"/>
              <w:rPr>
                <w:sz w:val="20"/>
                <w:szCs w:val="20"/>
                <w:color w:val="auto"/>
              </w:rPr>
            </w:pPr>
            <w:r>
              <w:rPr>
                <w:rFonts w:ascii="Arial" w:cs="Arial" w:eastAsia="Arial" w:hAnsi="Arial"/>
                <w:sz w:val="20"/>
                <w:szCs w:val="20"/>
                <w:color w:val="auto"/>
              </w:rPr>
              <w:t>Specified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0219"/>
          </w:cols>
          <w:pgMar w:left="240" w:top="733" w:right="1440" w:bottom="1440" w:gutter="0" w:footer="0" w:header="0"/>
        </w:sectPr>
      </w:pPr>
    </w:p>
    <w:bookmarkStart w:id="125" w:name="page126"/>
    <w:bookmarkEnd w:id="125"/>
    <w:p>
      <w:pPr>
        <w:jc w:val="both"/>
        <w:ind w:firstLine="648"/>
        <w:spacing w:after="0" w:line="246" w:lineRule="auto"/>
        <w:rPr>
          <w:sz w:val="20"/>
          <w:szCs w:val="20"/>
          <w:color w:val="auto"/>
        </w:rPr>
      </w:pPr>
      <w:r>
        <w:rPr>
          <w:rFonts w:ascii="Arial" w:cs="Arial" w:eastAsia="Arial" w:hAnsi="Arial"/>
          <w:sz w:val="20"/>
          <w:szCs w:val="20"/>
          <w:color w:val="auto"/>
        </w:rPr>
        <w:t>CREDIT AGREEMENT, dated as of February 8, 2019, by and among TAKE-TWO INTERACTIVE SOFTWARE, INC., a Delaware corporation,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STATEMENT OF PURPOSE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Borrower has requested, and subject to the terms and conditions set forth in this Agreement, the Administrative Agent and the Lenders have agreed to extend, a revolving credit facility to the Borrower.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such parties hereby agree as follows: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Agreement shall have the meanings assigned to them below:</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EBITDA</w:t>
      </w:r>
      <w:r>
        <w:rPr>
          <w:rFonts w:ascii="Arial" w:cs="Arial" w:eastAsia="Arial" w:hAnsi="Arial"/>
          <w:sz w:val="19"/>
          <w:szCs w:val="19"/>
          <w:color w:val="auto"/>
        </w:rPr>
        <w:t xml:space="preserve">” means, with respect to any Person or business acquired pursuant to a Permitted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to the contrary, in determining Acquired EBITDA for any Person or business that does not have historical financial accounting periods which coincide with that of the financial accounting periods of the Borrower and its Subsidiaries (a) references to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Measurement Period), Acquired EBITDA for the portion of such fiscal quarter so included in such Measurement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Measurement Period and the denominator of which shall be actual months in such fiscal quarter.</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acquisition, or any series of related acquisitions, consummated on or after the date of this Agreement, by which any Credit Party or any of its Subsidiaries (a) acquires any business or all or substantially all of the assets of any Person, or business unit, line of business or division thereof, whether through purchase of assets, exchange, issuance of stock or other equity or debt securities, merger, reorganization,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26" w:name="page127"/>
    <w:bookmarkEnd w:id="126"/>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means Wells Fargo, in its capacity as Administrative Agent hereunder, and any successor thereto appointed pursuant to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office of the Administrative Agent specified in or determined in accordance with the provisions of </w:t>
      </w:r>
      <w:r>
        <w:rPr>
          <w:rFonts w:ascii="Arial" w:cs="Arial" w:eastAsia="Arial" w:hAnsi="Arial"/>
          <w:sz w:val="20"/>
          <w:szCs w:val="20"/>
          <w:u w:val="single" w:color="auto"/>
          <w:color w:val="auto"/>
        </w:rPr>
        <w:t>Section 12.1(c)</w:t>
      </w:r>
      <w:r>
        <w:rPr>
          <w:rFonts w:ascii="Arial" w:cs="Arial" w:eastAsia="Arial" w:hAnsi="Arial"/>
          <w:sz w:val="20"/>
          <w:szCs w:val="20"/>
          <w:color w:val="auto"/>
        </w:rPr>
        <w:t>, with respect to such currency.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(a) each of Euro, Sterling, and Canadian Dollars and (b) each other currency (other than Dollars) that is approved in accordance with </w:t>
      </w:r>
      <w:r>
        <w:rPr>
          <w:rFonts w:ascii="Arial" w:cs="Arial" w:eastAsia="Arial" w:hAnsi="Arial"/>
          <w:sz w:val="20"/>
          <w:szCs w:val="20"/>
          <w:u w:val="single" w:color="auto"/>
          <w:color w:val="auto"/>
        </w:rPr>
        <w:t>Section 1.13</w:t>
      </w:r>
      <w:r>
        <w:rPr>
          <w:rFonts w:ascii="Arial" w:cs="Arial" w:eastAsia="Arial" w:hAnsi="Arial"/>
          <w:sz w:val="20"/>
          <w:szCs w:val="20"/>
          <w:color w:val="auto"/>
        </w:rPr>
        <w:t>, in each case to the extent such currencies are (i) readily available and freely transferable and convertible into Dollars, (ii) dealt with in the London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or Alternative L/C Currency as determined by the Administrative Agent or the Issuing Lender, as applicable, at such time on the basis of the Spot Rate (determined in respect of the most recent Revaluation Date) for the purchase of such Alternative Currency or Alternative L/C Currency with Dollars.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Sublimit</w:t>
      </w:r>
      <w:r>
        <w:rPr>
          <w:rFonts w:ascii="Arial" w:cs="Arial" w:eastAsia="Arial" w:hAnsi="Arial"/>
          <w:sz w:val="20"/>
          <w:szCs w:val="20"/>
          <w:color w:val="auto"/>
        </w:rPr>
        <w:t>” means the lesser of (a) the Revolving Credit Commitments and (b) $50,000,000.</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L/C Currency</w:t>
      </w:r>
      <w:r>
        <w:rPr>
          <w:rFonts w:ascii="Arial" w:cs="Arial" w:eastAsia="Arial" w:hAnsi="Arial"/>
          <w:sz w:val="18"/>
          <w:szCs w:val="18"/>
          <w:color w:val="auto"/>
        </w:rPr>
        <w:t xml:space="preserve">” means (a) each of Euro, Sterling, and Canadian Dollars and (b) each other currency (other than Dollars) that is approved by the applicable Issuing Lender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in each case to the extent such currencies are (i) readily available and freely transferable and convertible into Dollars, (ii) dealt with in the London interbank deposit market and (iii) for which no central bank or other governmental authorization in the country of issue of such currency is required to give authorization for the use of such currency by any Issuing Lender for issuing Letters of Credit unless such authorization has been obtained and remains in full force and effect.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concerning or relating to bribery or corruption, including any applicable provision of the United States Foreign Corrupt Practices Act of 1977 and the rules and regulations thereunder and the U.K. Bribery Act 2010 and the rules and regulations thereunder.</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Anti-Money Laundering Laws</w:t>
      </w:r>
      <w:r>
        <w:rPr>
          <w:rFonts w:ascii="Arial" w:cs="Arial" w:eastAsia="Arial" w:hAnsi="Arial"/>
          <w:sz w:val="20"/>
          <w:szCs w:val="20"/>
          <w:color w:val="auto"/>
        </w:rPr>
        <w:t>” means any and all laws, statutes, regulations or obligatory government orders, decrees, ordinances or rules related to terrorism financing or money laundering, including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20"/>
          <w:szCs w:val="20"/>
          <w:color w:val="auto"/>
        </w:rPr>
        <w:t>any applicable provision of the Patriot Act and The Currency and Foreign Transactions Reporting Act (also known as the Bank Secrecy Act, 31 U.S.C. §§ 5311-5330 and 12U.S.C. §§ 1818(s), 1820(b) and 1951-1959).</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the corresponding percentages per annum as set forth below based on the Consolidated Net Leverage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Ratio:</w:t>
      </w:r>
    </w:p>
    <w:p>
      <w:pPr>
        <w:spacing w:after="0" w:line="332" w:lineRule="exact"/>
        <w:rPr>
          <w:sz w:val="20"/>
          <w:szCs w:val="20"/>
          <w:color w:val="auto"/>
        </w:rPr>
      </w:pPr>
    </w:p>
    <w:tbl>
      <w:tblPr>
        <w:tblLayout w:type="fixed"/>
        <w:tblInd w:w="470" w:type="dxa"/>
        <w:tblCellMar>
          <w:top w:w="0" w:type="dxa"/>
          <w:left w:w="0" w:type="dxa"/>
          <w:bottom w:w="0" w:type="dxa"/>
          <w:right w:w="0" w:type="dxa"/>
        </w:tblCellMar>
      </w:tblPr>
      <w:tr>
        <w:trPr>
          <w:trHeight w:val="247"/>
        </w:trPr>
        <w:tc>
          <w:tcPr>
            <w:tcW w:w="10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4440" w:type="dxa"/>
            <w:vAlign w:val="bottom"/>
            <w:tcBorders>
              <w:top w:val="single" w:sz="8" w:color="auto"/>
              <w:right w:val="single" w:sz="8" w:color="auto"/>
            </w:tcBorders>
            <w:shd w:val="clear" w:color="auto" w:fill="D9D9D9"/>
          </w:tcPr>
          <w:p>
            <w:pPr>
              <w:ind w:left="800"/>
              <w:spacing w:after="0"/>
              <w:rPr>
                <w:sz w:val="20"/>
                <w:szCs w:val="20"/>
                <w:color w:val="auto"/>
              </w:rPr>
            </w:pPr>
            <w:r>
              <w:rPr>
                <w:rFonts w:ascii="Arial" w:cs="Arial" w:eastAsia="Arial" w:hAnsi="Arial"/>
                <w:sz w:val="20"/>
                <w:szCs w:val="20"/>
                <w:b w:val="1"/>
                <w:bCs w:val="1"/>
                <w:color w:val="auto"/>
              </w:rPr>
              <w:t>Consolidated Net Leverage Ratio</w:t>
            </w:r>
          </w:p>
        </w:tc>
        <w:tc>
          <w:tcPr>
            <w:tcW w:w="17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Commitment Fee</w:t>
            </w:r>
          </w:p>
        </w:tc>
        <w:tc>
          <w:tcPr>
            <w:tcW w:w="1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Eurocurrency Rate</w:t>
            </w:r>
          </w:p>
        </w:tc>
        <w:tc>
          <w:tcPr>
            <w:tcW w:w="1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Base Rate and</w:t>
            </w:r>
          </w:p>
        </w:tc>
      </w:tr>
      <w:tr>
        <w:trPr>
          <w:trHeight w:val="230"/>
        </w:trPr>
        <w:tc>
          <w:tcPr>
            <w:tcW w:w="10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Level</w:t>
            </w:r>
          </w:p>
        </w:tc>
        <w:tc>
          <w:tcPr>
            <w:tcW w:w="4440" w:type="dxa"/>
            <w:vAlign w:val="bottom"/>
            <w:tcBorders>
              <w:right w:val="single" w:sz="8" w:color="auto"/>
            </w:tcBorders>
            <w:shd w:val="clear" w:color="auto" w:fill="D9D9D9"/>
          </w:tcPr>
          <w:p>
            <w:pPr>
              <w:spacing w:after="0"/>
              <w:rPr>
                <w:sz w:val="19"/>
                <w:szCs w:val="19"/>
                <w:color w:val="auto"/>
              </w:rPr>
            </w:pPr>
          </w:p>
        </w:tc>
        <w:tc>
          <w:tcPr>
            <w:tcW w:w="1780" w:type="dxa"/>
            <w:vAlign w:val="bottom"/>
            <w:tcBorders>
              <w:right w:val="single" w:sz="8" w:color="auto"/>
            </w:tcBorders>
            <w:shd w:val="clear" w:color="auto" w:fill="D9D9D9"/>
          </w:tcPr>
          <w:p>
            <w:pPr>
              <w:spacing w:after="0"/>
              <w:rPr>
                <w:sz w:val="19"/>
                <w:szCs w:val="19"/>
                <w:color w:val="auto"/>
              </w:rPr>
            </w:pPr>
          </w:p>
        </w:tc>
        <w:tc>
          <w:tcPr>
            <w:tcW w:w="18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and CDOR Rate +</w:t>
            </w:r>
          </w:p>
        </w:tc>
        <w:tc>
          <w:tcPr>
            <w:tcW w:w="13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7"/>
              </w:rPr>
              <w:t>Canadian Base</w:t>
            </w:r>
          </w:p>
        </w:tc>
      </w:tr>
      <w:tr>
        <w:trPr>
          <w:trHeight w:val="284"/>
        </w:trPr>
        <w:tc>
          <w:tcPr>
            <w:tcW w:w="108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440" w:type="dxa"/>
            <w:vAlign w:val="bottom"/>
            <w:tcBorders>
              <w:bottom w:val="single" w:sz="8" w:color="D9D9D9"/>
              <w:right w:val="single" w:sz="8" w:color="auto"/>
            </w:tcBorders>
            <w:shd w:val="clear" w:color="auto" w:fill="D9D9D9"/>
          </w:tcPr>
          <w:p>
            <w:pPr>
              <w:spacing w:after="0"/>
              <w:rPr>
                <w:sz w:val="24"/>
                <w:szCs w:val="24"/>
                <w:color w:val="auto"/>
              </w:rPr>
            </w:pPr>
          </w:p>
        </w:tc>
        <w:tc>
          <w:tcPr>
            <w:tcW w:w="1780" w:type="dxa"/>
            <w:vAlign w:val="bottom"/>
            <w:tcBorders>
              <w:bottom w:val="single" w:sz="8" w:color="D9D9D9"/>
              <w:right w:val="single" w:sz="8" w:color="auto"/>
            </w:tcBorders>
            <w:shd w:val="clear" w:color="auto" w:fill="D9D9D9"/>
          </w:tcPr>
          <w:p>
            <w:pPr>
              <w:spacing w:after="0"/>
              <w:rPr>
                <w:sz w:val="24"/>
                <w:szCs w:val="24"/>
                <w:color w:val="auto"/>
              </w:rPr>
            </w:pPr>
          </w:p>
        </w:tc>
        <w:tc>
          <w:tcPr>
            <w:tcW w:w="1880" w:type="dxa"/>
            <w:vAlign w:val="bottom"/>
            <w:tcBorders>
              <w:bottom w:val="single" w:sz="8" w:color="D9D9D9"/>
              <w:right w:val="single" w:sz="8" w:color="auto"/>
            </w:tcBorders>
            <w:shd w:val="clear" w:color="auto" w:fill="D9D9D9"/>
          </w:tcPr>
          <w:p>
            <w:pPr>
              <w:spacing w:after="0"/>
              <w:rPr>
                <w:sz w:val="24"/>
                <w:szCs w:val="24"/>
                <w:color w:val="auto"/>
              </w:rPr>
            </w:pPr>
          </w:p>
        </w:tc>
        <w:tc>
          <w:tcPr>
            <w:tcW w:w="13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Rate +</w:t>
            </w:r>
          </w:p>
        </w:tc>
      </w:tr>
      <w:tr>
        <w:trPr>
          <w:trHeight w:val="254"/>
        </w:trPr>
        <w:tc>
          <w:tcPr>
            <w:tcW w:w="1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4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Less than or equal to 1.00 to 1.00</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0.10%</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1.125%</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0.125%</w:t>
            </w:r>
          </w:p>
        </w:tc>
      </w:tr>
      <w:tr>
        <w:trPr>
          <w:trHeight w:val="2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3"/>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Greater than 1.00 to 1.00, but less than or equal to 1.50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0.250%</w:t>
            </w: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1.00</w:t>
            </w:r>
          </w:p>
        </w:tc>
        <w:tc>
          <w:tcPr>
            <w:tcW w:w="17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3"/>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Greater than 1.50 to 1.00, but less than or equal to 2.00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1.375%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0.375%</w:t>
            </w: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1.00</w:t>
            </w:r>
          </w:p>
        </w:tc>
        <w:tc>
          <w:tcPr>
            <w:tcW w:w="17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3"/>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Greater than 2.00 to 1.00, but less than or equal to 2.50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0.500%</w:t>
            </w: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1.00</w:t>
            </w:r>
          </w:p>
        </w:tc>
        <w:tc>
          <w:tcPr>
            <w:tcW w:w="17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54"/>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Greater than 2.50 to 1.00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0.30%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0.750%</w:t>
            </w:r>
          </w:p>
        </w:tc>
      </w:tr>
      <w:tr>
        <w:trPr>
          <w:trHeight w:val="2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 Applicable Margin shall be determined and adjusted quarterly on the date five (5) Business Days after the day on which the Borrower provides a Compliance Certificate pursuant to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for the most recently ended fiscal quarter of the Borrower (each such date, a “</w:t>
      </w:r>
      <w:r>
        <w:rPr>
          <w:rFonts w:ascii="Arial" w:cs="Arial" w:eastAsia="Arial" w:hAnsi="Arial"/>
          <w:sz w:val="19"/>
          <w:szCs w:val="19"/>
          <w:u w:val="single" w:color="auto"/>
          <w:color w:val="auto"/>
        </w:rPr>
        <w:t>Calculation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Applicable Margin shall be based on the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Consolidated Net Leverage Ratio on the Closing Date set forth in the certificate delivered by the Borrower to the Administrative Agent pursuant to </w:t>
      </w:r>
      <w:r>
        <w:rPr>
          <w:rFonts w:ascii="Arial" w:cs="Arial" w:eastAsia="Arial" w:hAnsi="Arial"/>
          <w:sz w:val="19"/>
          <w:szCs w:val="19"/>
          <w:u w:val="single" w:color="auto"/>
          <w:color w:val="auto"/>
        </w:rPr>
        <w:t>Section 6.1(d)(iii)</w:t>
      </w:r>
      <w:r>
        <w:rPr>
          <w:rFonts w:ascii="Arial" w:cs="Arial" w:eastAsia="Arial" w:hAnsi="Arial"/>
          <w:sz w:val="19"/>
          <w:szCs w:val="19"/>
          <w:color w:val="auto"/>
        </w:rPr>
        <w:t xml:space="preserve"> until the first Calculation Date following the first fiscal quarter of the Borrower occurring after the Closing Date and, thereafter the Pricing Level shall be determined by reference to the Consolidated Net Leverage Ratio as of the last day of the most recently ended fiscal quarter of the Borrower preceding the applicable Calculation Date, and (b) if the Borrower fails to provide an Compliance Certificate when due as required by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for the most recently ended fiscal quarter of the Borrower preceding the applicable Calculation Date, the Applicable Margin from the date on which such Compliance Certificate was required to have been delivered shall be based on Pricing Level V until such time as such Compliance Certificate is delivered, at which time the Pricing Level shall be determined by reference to the Consolidated Net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Notwithstanding the foregoing, in the event that any financial statement or Compliance Certificate delivered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8.2(a)</w:t>
      </w:r>
      <w:r>
        <w:rPr>
          <w:rFonts w:ascii="Arial" w:cs="Arial" w:eastAsia="Arial" w:hAnsi="Arial"/>
          <w:sz w:val="20"/>
          <w:szCs w:val="20"/>
          <w:color w:val="auto"/>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20"/>
          <w:szCs w:val="20"/>
          <w:u w:val="single" w:color="auto"/>
          <w:color w:val="auto"/>
        </w:rPr>
        <w:t>Applicable Period</w:t>
      </w:r>
      <w:r>
        <w:rPr>
          <w:rFonts w:ascii="Arial" w:cs="Arial" w:eastAsia="Arial" w:hAnsi="Arial"/>
          <w:sz w:val="20"/>
          <w:szCs w:val="20"/>
          <w:color w:val="auto"/>
        </w:rPr>
        <w:t>”) than the Applicable Margin applied for such Applicable Period, then (A) the Borrower shall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28" w:name="page129"/>
    <w:bookmarkEnd w:id="128"/>
    <w:p>
      <w:pPr>
        <w:jc w:val="both"/>
        <w:spacing w:after="0" w:line="242" w:lineRule="auto"/>
        <w:rPr>
          <w:sz w:val="20"/>
          <w:szCs w:val="20"/>
          <w:color w:val="auto"/>
        </w:rPr>
      </w:pPr>
      <w:r>
        <w:rPr>
          <w:rFonts w:ascii="Arial" w:cs="Arial" w:eastAsia="Arial" w:hAnsi="Arial"/>
          <w:sz w:val="20"/>
          <w:szCs w:val="20"/>
          <w:color w:val="auto"/>
        </w:rPr>
        <w:t xml:space="preserve">immediately deliver to the Administrative Agent a corrected Compliance Certificate for such Applicable Period, (B) the Applicable Margin for such Applicable Period shall be determined as if the Consolidated Net Leverage Ratio in the corrected Compliance Certificate were applicable for such Applicable Period, and (C) the Borrower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Nothing in this paragraph shall limit the rights of the Administrative Agent and Lenders with respect to </w:t>
      </w:r>
      <w:r>
        <w:rPr>
          <w:rFonts w:ascii="Arial" w:cs="Arial" w:eastAsia="Arial" w:hAnsi="Arial"/>
          <w:sz w:val="20"/>
          <w:szCs w:val="20"/>
          <w:u w:val="single" w:color="auto"/>
          <w:color w:val="auto"/>
        </w:rPr>
        <w:t>Sections 5.1(b)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10.2</w:t>
      </w:r>
      <w:r>
        <w:rPr>
          <w:rFonts w:ascii="Arial" w:cs="Arial" w:eastAsia="Arial" w:hAnsi="Arial"/>
          <w:sz w:val="20"/>
          <w:szCs w:val="20"/>
          <w:color w:val="auto"/>
        </w:rPr>
        <w:t xml:space="preserve"> nor any of their other rights under this Agreement or any other Loan Document. The Borrower’s obligations under this paragraph shall survive the termination of the Commitments and the repayment of all other Obligations hereunder. The Applicable Margin with respect to any Incremental Term Loan shall be set forth in the applicable Incremental Amendment.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Time</w:t>
      </w:r>
      <w:r>
        <w:rPr>
          <w:rFonts w:ascii="Arial" w:cs="Arial" w:eastAsia="Arial" w:hAnsi="Arial"/>
          <w:sz w:val="20"/>
          <w:szCs w:val="20"/>
          <w:color w:val="auto"/>
        </w:rPr>
        <w:t>” means, with respect to any borrowings or draws and payments in any Alternative Currency or Alternative L/C Currency, the local time in the place of settlement for such Alternative Currency or Alternative L/C Currency as may be determined by the Administrative Agent or the Issuing Lender, as the case may be, to be necessary for timely settlement on the relevant date in accordance with normal banking procedures in the place of payment.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Wells Fargo Securities, LLC and JPMorgan Chase Bank, N.A., each in their capacity as a joint lead arranger.</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Disposition</w:t>
      </w:r>
      <w:r>
        <w:rPr>
          <w:rFonts w:ascii="Arial" w:cs="Arial" w:eastAsia="Arial" w:hAnsi="Arial"/>
          <w:sz w:val="20"/>
          <w:szCs w:val="20"/>
          <w:color w:val="auto"/>
        </w:rPr>
        <w:t>” means the sale, transfer, license, lease or other disposition of any Property (including any sale and leaseback transaction, division, merger or disposition of Equity Interests), whether in a single transaction or a series of related transactions, by any Credit Party or any Subsidiary thereof, and any issuance of Equity Interests by any Subsidiary of the Borrower to any Person that is not a Credit Party or any Subsidiary thereof.</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and accepted by the Administrative Agent, in substantially the form attached as </w:t>
      </w:r>
      <w:r>
        <w:rPr>
          <w:rFonts w:ascii="Arial" w:cs="Arial" w:eastAsia="Arial" w:hAnsi="Arial"/>
          <w:sz w:val="20"/>
          <w:szCs w:val="20"/>
          <w:b w:val="1"/>
          <w:bCs w:val="1"/>
          <w:i w:val="1"/>
          <w:iCs w:val="1"/>
          <w:color w:val="auto"/>
        </w:rPr>
        <w:t>Exhibit G</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means 11 U.S.C. §§ 101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at any time, the highest of (a) the Prime Rate, (b)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0.50% and (c) the Eurocurrency Rate for an Interest Period of one month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 each change in the Base Rate shall take effect simultaneously with the corresponding change or changes in the Prime Rate, the Federal Funds Rate or the Eurocurrency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be applicable during any period in which the Eurocurrency Rate is unavailable or unascertainable). Notwithstanding the foregoing, in no event shall the Base Rate be less than 0% per annum.</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xml:space="preserve">” means any Loan bearing interest at a rate based upon the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 All Base Rate Loans shall be denominated in Dollars.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Take-Two Interactive Software, Inc. a Delaware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legal holiday on which banks in Charlotte, North Carolina and New York, New York, are open for the conduct of their commercial banking business and</w:t>
      </w:r>
    </w:p>
    <w:p>
      <w:pPr>
        <w:spacing w:after="0" w:line="190" w:lineRule="exact"/>
        <w:rPr>
          <w:sz w:val="20"/>
          <w:szCs w:val="20"/>
          <w:color w:val="auto"/>
        </w:rPr>
      </w:pPr>
    </w:p>
    <w:p>
      <w:pPr>
        <w:jc w:val="both"/>
        <w:ind w:firstLine="656"/>
        <w:spacing w:after="0" w:line="299" w:lineRule="auto"/>
        <w:tabs>
          <w:tab w:leader="none" w:pos="1192"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169" w:lineRule="exact"/>
        <w:rPr>
          <w:rFonts w:ascii="Arial" w:cs="Arial" w:eastAsia="Arial" w:hAnsi="Arial"/>
          <w:sz w:val="19"/>
          <w:szCs w:val="19"/>
          <w:color w:val="auto"/>
        </w:rPr>
      </w:pPr>
    </w:p>
    <w:p>
      <w:pPr>
        <w:jc w:val="both"/>
        <w:ind w:firstLine="656"/>
        <w:spacing w:after="0" w:line="278" w:lineRule="auto"/>
        <w:tabs>
          <w:tab w:leader="none" w:pos="120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any TARGET Day;</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192"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Eurocurrency Rate Loan denominated in Canadian Dollars, any day that is a Business Day described in clause (a) and on which banks are open for business in London, England and Toronto, Canada; and</w:t>
      </w:r>
    </w:p>
    <w:p>
      <w:pPr>
        <w:spacing w:after="0" w:line="186" w:lineRule="exact"/>
        <w:rPr>
          <w:rFonts w:ascii="Arial" w:cs="Arial" w:eastAsia="Arial" w:hAnsi="Arial"/>
          <w:sz w:val="20"/>
          <w:szCs w:val="20"/>
          <w:color w:val="auto"/>
        </w:rPr>
      </w:pPr>
    </w:p>
    <w:p>
      <w:pPr>
        <w:jc w:val="both"/>
        <w:ind w:firstLine="656"/>
        <w:spacing w:after="0" w:line="322" w:lineRule="auto"/>
        <w:tabs>
          <w:tab w:leader="none" w:pos="12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in a currency other than Dollars, Euro or Canadian Dollars in respect of a Eurocurrency Rate Loan denominated in a currency other than Dollars, Euro or Canadian Dollars, or any other dealings in any currency other than Dollars, Euro or Canadian Dollars to be carried out pursuant to this Agreement in respect of any such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0" w:name="page131"/>
    <w:bookmarkEnd w:id="130"/>
    <w:p>
      <w:pPr>
        <w:jc w:val="both"/>
        <w:spacing w:after="0" w:line="289" w:lineRule="auto"/>
        <w:rPr>
          <w:sz w:val="20"/>
          <w:szCs w:val="20"/>
          <w:color w:val="auto"/>
        </w:rPr>
      </w:pPr>
      <w:r>
        <w:rPr>
          <w:rFonts w:ascii="Arial" w:cs="Arial" w:eastAsia="Arial" w:hAnsi="Arial"/>
          <w:sz w:val="20"/>
          <w:szCs w:val="20"/>
          <w:color w:val="auto"/>
        </w:rPr>
        <w:t>Eurocurrency Rate Loan (other than any interest rate settings), means any such day on which banks are open for foreign exchange business in the principal financial center of the country of such currency.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Calculation Date</w:t>
      </w:r>
      <w:r>
        <w:rPr>
          <w:rFonts w:ascii="Arial" w:cs="Arial" w:eastAsia="Arial" w:hAnsi="Arial"/>
          <w:sz w:val="20"/>
          <w:szCs w:val="20"/>
          <w:color w:val="auto"/>
        </w:rPr>
        <w:t>” has the meaning assigned thereto in the definition of Applicable Margin.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xml:space="preserve">” means at any time, the greater of (a) the Canadian Prime Rate and (b) except during any period of time during which a notice delivered to the Borrower under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remain in effect, the annual rate of interest equal to the sum of (i) the CDOR Rate for an Interest Period of one month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 per annum; each change in the Canadian Base Rate shall take effect simultaneously with the corresponding change or changes in the Canadian Prime Rate or the CDOR Rate,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Base Rate Loan</w:t>
      </w:r>
      <w:r>
        <w:rPr>
          <w:rFonts w:ascii="Arial" w:cs="Arial" w:eastAsia="Arial" w:hAnsi="Arial"/>
          <w:sz w:val="19"/>
          <w:szCs w:val="19"/>
          <w:color w:val="auto"/>
        </w:rPr>
        <w:t>” means any Revolving Credit Loan bearing interest at a rate based upon the Canadian Base Rate.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means the lawful currency of Canada.</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Prime Rate</w:t>
      </w:r>
      <w:r>
        <w:rPr>
          <w:rFonts w:ascii="Arial" w:cs="Arial" w:eastAsia="Arial" w:hAnsi="Arial"/>
          <w:sz w:val="20"/>
          <w:szCs w:val="20"/>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9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Reference Bank</w:t>
      </w:r>
      <w:r>
        <w:rPr>
          <w:rFonts w:ascii="Arial" w:cs="Arial" w:eastAsia="Arial" w:hAnsi="Arial"/>
          <w:sz w:val="18"/>
          <w:szCs w:val="18"/>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 respect to the Borrower and its Subsidiaries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satisfactory to the Administrative Agent, such Issuing Lender and the Swingline Lender, as applicable.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609" w:right="239" w:bottom="1440" w:gutter="0" w:footer="0" w:header="0"/>
        </w:sectPr>
      </w:pPr>
    </w:p>
    <w:bookmarkStart w:id="131" w:name="page132"/>
    <w:bookmarkEnd w:id="131"/>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collectively, (a) marketable direct obligations issued or unconditionally guaranteed by the United States or any agency thereof maturing within two (2) years from the date of acquisition thereof, (b) marketable direct obligations issued by any state of the United States or any political subdivision of any such state or any public instrumentality thereof maturing no more than two (2) years from the date of acquisition thereof and, at the time of acquisition, having one of the two highest ratings obtainable from either S&amp;P or its successor or Moody’s or its successor, (c) commercial paper maturing no more than two (2) years from the date of creation thereof and at the time of acquisition, having a rating of at least A-2 from S&amp;P or at least P-2 from Moody’s, (d) bonds issued in the United States maturing no more than two (2) years from the date of acquisition and, at the time of acquisition, having a rating of at least BBB from S&amp;P or at least Baa2 from Moody’s;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in such bonds shall not exceed 10% of a specific bond issuance, (e) certificates of deposit, time deposits, or bankers’ acceptances maturing no more than two (2) years from the date of acquisition thereof issued by any bank organized under the Applicable Laws of (i) the United States or any state thereof or (ii) a jurisdiction other than the United States but with a presence in the United States, in each case, having at the date of acquisition thereof combined capital and surplus of not less than $250,000,000, (f) deposit accounts maintained with (i) any bank that satisfies the criteria described in clause (e)(i) above, or (ii) any other bank organized under the laws of the United States or any state thereof so long as the amount maintained with any such other bank is less than or equal to $250,000 and is insured by the Federal Deposit Insurance Corporation, (g) repurchase agreements maturing no more than two (2) years from the date of acquisition thereof fully collateralized by any investments in the types of assets described in clause (a) above, (h) shares of any money market mutual fund that has (i) substantially all of its assets invested in the types of investments referred to in clauses (a) through (g) above, (ii) net assets of not less than $250,000,000 and (iii) a rating of at least A-2 from S&amp;P or at least P-2 from Moody’s (or, if at any time either S&amp;P or Moody’s are not rating such fund, an equivalent rating from another nationally recognized statistical rating agency) and (i) other investments permitted by the Borrower’s investment policy as previously disclosed to the Administrative Agent and in effect on the Closing Date (and as amended, restated, supplemented or otherwise modified from time to time with the consent (such consent not to be unreasonably withheld)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changes that do not affect the tenor or quality of the investments permitted thereby shall not require such consent). “Cash Equivalents” shall also include (x) Investments of the type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above in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analogous to the Investments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above or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to provide cash management services, including treasury, depository, overdraft, credit or debit card (including non-card electronic payables and purchasing cards), electronic funds transfer, automated clearing house payments and other cash management arrangements.</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of interest per annum determined by the Administrative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Reuters Monitor Money Rates Service (or such other page or commercially available source displaying Canadian interbank bid rates for Canadian Dollar bankers’ acceptances as may be designated by the Administrative Agent from time to time), as of 10:00 a.m. (Toronto, Ontario time) on the first day of the applicable Interest Period (or if such day is not a Business Day, then on the immediately preceding Business Day). If, for any reason, such rate does not appear on the “CDOR Page” on such day as contemplated, then the “CDOR Rate” on such day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20"/>
          <w:szCs w:val="20"/>
          <w:color w:val="auto"/>
        </w:rPr>
        <w:t xml:space="preserve">shall be calculated as the arithmetic average of the rates for a one month interest period applicable to Canadian dollar bankers’ acceptances quoted by the banks listed in Schedule I of the </w:t>
      </w:r>
      <w:r>
        <w:rPr>
          <w:rFonts w:ascii="Arial" w:cs="Arial" w:eastAsia="Arial" w:hAnsi="Arial"/>
          <w:sz w:val="20"/>
          <w:szCs w:val="20"/>
          <w:i w:val="1"/>
          <w:iCs w:val="1"/>
          <w:color w:val="auto"/>
        </w:rPr>
        <w:t>Bank Act</w:t>
      </w:r>
      <w:r>
        <w:rPr>
          <w:rFonts w:ascii="Arial" w:cs="Arial" w:eastAsia="Arial" w:hAnsi="Arial"/>
          <w:sz w:val="20"/>
          <w:szCs w:val="20"/>
          <w:color w:val="auto"/>
        </w:rPr>
        <w:t xml:space="preserve"> (Canada) which are also Revolving Credit Lenders (or, if there are no such Lenders, then the Canadian Reference Bank) as of 10:00 a.m. on such day (or if such day is not a Business Day, then on the immediately preceding Business Day). Each calculation by the Administrative Agent of the CDOR Rate shall be conclusive and binding for all purposes, absent manifest error. Notwithstanding the foregoing, if the CDOR Rate shall be less than zero, such rate shall be deemed to be zero for purposes of this Agreement.</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a Foreign Subsidiary that is a “controlled foreign corporation” under Section 957 of the Code, or (b) a Domestic Subsidiary substantially all the assets of which consist of Equity Interests in Foreign Subsidiaries that constitute CFCs.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 event or series of events by which:</w:t>
      </w:r>
    </w:p>
    <w:p>
      <w:pPr>
        <w:spacing w:after="0" w:line="216" w:lineRule="exact"/>
        <w:rPr>
          <w:sz w:val="20"/>
          <w:szCs w:val="20"/>
          <w:color w:val="auto"/>
        </w:rPr>
      </w:pPr>
    </w:p>
    <w:p>
      <w:pPr>
        <w:jc w:val="both"/>
        <w:ind w:firstLine="656"/>
        <w:spacing w:after="0" w:line="242" w:lineRule="auto"/>
        <w:tabs>
          <w:tab w:leader="none" w:pos="1048"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(i) any “person” or “group” (as such terms are used in </w:t>
      </w:r>
      <w:r>
        <w:rPr>
          <w:rFonts w:ascii="Arial" w:cs="Arial" w:eastAsia="Arial" w:hAnsi="Arial"/>
          <w:sz w:val="20"/>
          <w:szCs w:val="20"/>
          <w:u w:val="single" w:color="auto"/>
          <w:color w:val="auto"/>
        </w:rPr>
        <w:t>Sections 13(d)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14(d)</w:t>
      </w:r>
      <w:r>
        <w:rPr>
          <w:rFonts w:ascii="Arial" w:cs="Arial" w:eastAsia="Arial" w:hAnsi="Arial"/>
          <w:sz w:val="20"/>
          <w:szCs w:val="20"/>
          <w:color w:val="auto"/>
        </w:rPr>
        <w:t xml:space="preserve">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 (ii) a majority of the members of the board of directors (or other equivalent governing body) of the Borrower shall not constitute Continuing Directors; or</w:t>
      </w:r>
    </w:p>
    <w:p>
      <w:pPr>
        <w:spacing w:after="0" w:line="195" w:lineRule="exact"/>
        <w:rPr>
          <w:rFonts w:ascii="Arial" w:cs="Arial" w:eastAsia="Arial" w:hAnsi="Arial"/>
          <w:sz w:val="20"/>
          <w:szCs w:val="20"/>
          <w:color w:val="auto"/>
        </w:rPr>
      </w:pPr>
    </w:p>
    <w:p>
      <w:pPr>
        <w:jc w:val="both"/>
        <w:ind w:firstLine="656"/>
        <w:spacing w:after="0" w:line="246" w:lineRule="auto"/>
        <w:tabs>
          <w:tab w:leader="none" w:pos="1167"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there shall have occurred under any indenture or other instrument evidencing Indebtedness or Equity Interests in an amount exceeding the Threshold Amount any “change in control” or similar provision (as set forth in the indenture, agreement or other evidence of such Indebtedness) obligating the Borrower or any of its Subsidiaries to repurchase, redeem or repay all or any part of the Indebtedness or Equity Interests provided for therein.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when used in reference to any Loan, whether such Loan is a Revolving Credit Loan, Swingline Loan or Incremental Term Loan and, when used in reference to any Commitment, whether such Commitment is a Revolving Credit Commitment or an Incremental Term Loan Commitment.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of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and the rules and regulations promulgated thereunder.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means, as to any Lender, such Lender’s Revolving Credit Commitment Percentage or Incremental Term Loan Percentage, as applicable.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Commitments</w:t>
      </w:r>
      <w:r>
        <w:rPr>
          <w:rFonts w:ascii="Arial" w:cs="Arial" w:eastAsia="Arial" w:hAnsi="Arial"/>
          <w:sz w:val="20"/>
          <w:szCs w:val="20"/>
          <w:color w:val="auto"/>
        </w:rPr>
        <w:t>” means, collectively, as to all Lenders, the Revolving Credit Commitments and the Incremental Term Loan Commitments of such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16"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any Person that is a bona fide direct competitor of the Borrower or any of its Subsidiaries in the same industry or a substantially similar industry which offers a substantially similar product or service as the Borrower or any of its Subsidiaries.</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of the chief financial officer or the treasurer of the Borrower substantially in the form attached as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for any Measurement Period, the sum of the following determined on a Consolidated basis for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Borrower and its Subsidiaries:</w:t>
      </w:r>
    </w:p>
    <w:p>
      <w:pPr>
        <w:spacing w:after="0" w:line="200" w:lineRule="exact"/>
        <w:rPr>
          <w:sz w:val="20"/>
          <w:szCs w:val="20"/>
          <w:color w:val="auto"/>
        </w:rPr>
      </w:pPr>
    </w:p>
    <w:p>
      <w:pPr>
        <w:ind w:left="1300" w:hanging="401"/>
        <w:spacing w:after="0"/>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left="1320" w:hanging="421"/>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sum of the following, without duplication, to the extent deducted in determining Consolidated Net Income for such period:</w:t>
      </w:r>
    </w:p>
    <w:p>
      <w:pPr>
        <w:spacing w:after="0" w:line="238" w:lineRule="exact"/>
        <w:rPr>
          <w:rFonts w:ascii="Arial" w:cs="Arial" w:eastAsia="Arial" w:hAnsi="Arial"/>
          <w:sz w:val="18"/>
          <w:szCs w:val="18"/>
          <w:color w:val="auto"/>
        </w:rPr>
      </w:pPr>
    </w:p>
    <w:p>
      <w:pPr>
        <w:ind w:left="1680" w:hanging="375"/>
        <w:spacing w:after="0"/>
        <w:tabs>
          <w:tab w:leader="none" w:pos="16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Consolidated Interest Expense;</w:t>
      </w:r>
    </w:p>
    <w:p>
      <w:pPr>
        <w:spacing w:after="0" w:line="215" w:lineRule="exact"/>
        <w:rPr>
          <w:rFonts w:ascii="Arial" w:cs="Arial" w:eastAsia="Arial" w:hAnsi="Arial"/>
          <w:sz w:val="20"/>
          <w:szCs w:val="20"/>
          <w:color w:val="auto"/>
        </w:rPr>
      </w:pPr>
    </w:p>
    <w:p>
      <w:pPr>
        <w:ind w:left="660" w:right="20" w:firstLine="645"/>
        <w:spacing w:after="0" w:line="260" w:lineRule="auto"/>
        <w:tabs>
          <w:tab w:leader="none" w:pos="173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expense for Taxes measured by net income, profits or capital (or any similar measures), paid or accrued, including federal and state and local income Taxes, foreign income Taxes and franchise Taxes;</w:t>
      </w:r>
    </w:p>
    <w:p>
      <w:pPr>
        <w:spacing w:after="0" w:line="176" w:lineRule="exact"/>
        <w:rPr>
          <w:rFonts w:ascii="Arial" w:cs="Arial" w:eastAsia="Arial" w:hAnsi="Arial"/>
          <w:sz w:val="20"/>
          <w:szCs w:val="20"/>
          <w:color w:val="auto"/>
        </w:rPr>
      </w:pPr>
    </w:p>
    <w:p>
      <w:pPr>
        <w:jc w:val="both"/>
        <w:ind w:left="660" w:firstLine="645"/>
        <w:spacing w:after="0" w:line="263" w:lineRule="auto"/>
        <w:tabs>
          <w:tab w:leader="none" w:pos="1785"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depreciation, amortization and each other non-cash expense (including, without limitation, any non-cash expenses related to stock based compensation and any impairment charge or asset write-off or write-down related to intangible assets, long-lived assets and other assets), non-cash loss (including, extraordinary, unusual or non-recurring non-cash losses), excluding any non-cash expense that represents an accrual for a cash expense to be taken in a future period;</w:t>
      </w:r>
    </w:p>
    <w:p>
      <w:pPr>
        <w:spacing w:after="0" w:line="176" w:lineRule="exact"/>
        <w:rPr>
          <w:rFonts w:ascii="Arial" w:cs="Arial" w:eastAsia="Arial" w:hAnsi="Arial"/>
          <w:sz w:val="19"/>
          <w:szCs w:val="19"/>
          <w:color w:val="auto"/>
        </w:rPr>
      </w:pPr>
    </w:p>
    <w:p>
      <w:pPr>
        <w:ind w:left="1780" w:hanging="475"/>
        <w:spacing w:after="0"/>
        <w:tabs>
          <w:tab w:leader="none" w:pos="17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extraordinary losses (excluding extraordinary losses from discontinued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4" w:name="page135"/>
    <w:bookmarkEnd w:id="134"/>
    <w:p>
      <w:pPr>
        <w:jc w:val="both"/>
        <w:ind w:left="660" w:firstLine="645"/>
        <w:spacing w:after="0" w:line="250" w:lineRule="auto"/>
        <w:tabs>
          <w:tab w:leader="none" w:pos="1719"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transaction fees, charges and other amounts related to the Transactions and any amendment or other modification to the Loan Documents, in each case to the extent paid within six (6) months of the Closing Date or the effectiveness of such amendment or other modification;</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82"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expenses or charges directly incurred during such period in connection with any Permitted Acquisition, Investment, disposition, issuance of Equity Interests, or the incurrence, amendment or waiver of Indebtedness permitted hereunder (other than under the Loan Documents), in each case, whether or not consummated;</w:t>
      </w:r>
    </w:p>
    <w:p>
      <w:pPr>
        <w:spacing w:after="0" w:line="186" w:lineRule="exact"/>
        <w:rPr>
          <w:rFonts w:ascii="Arial" w:cs="Arial" w:eastAsia="Arial" w:hAnsi="Arial"/>
          <w:sz w:val="20"/>
          <w:szCs w:val="20"/>
          <w:color w:val="auto"/>
        </w:rPr>
      </w:pPr>
    </w:p>
    <w:p>
      <w:pPr>
        <w:jc w:val="both"/>
        <w:ind w:left="660" w:firstLine="645"/>
        <w:spacing w:after="0" w:line="263" w:lineRule="auto"/>
        <w:tabs>
          <w:tab w:leader="none" w:pos="1829"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costs or expenses (excluding non-cash charges)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Borrower or net cash proceeds of an issuance of Equity Interests of the Borrower (other than Disqualified Equity Interests);</w:t>
      </w:r>
    </w:p>
    <w:p>
      <w:pPr>
        <w:spacing w:after="0" w:line="176" w:lineRule="exact"/>
        <w:rPr>
          <w:rFonts w:ascii="Arial" w:cs="Arial" w:eastAsia="Arial" w:hAnsi="Arial"/>
          <w:sz w:val="19"/>
          <w:szCs w:val="19"/>
          <w:color w:val="auto"/>
        </w:rPr>
      </w:pPr>
    </w:p>
    <w:p>
      <w:pPr>
        <w:jc w:val="both"/>
        <w:ind w:left="660" w:firstLine="645"/>
        <w:spacing w:after="0" w:line="269" w:lineRule="auto"/>
        <w:tabs>
          <w:tab w:leader="none" w:pos="18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 other unusual and non-recurring cash expenses or charges (including one-time non-recurring severance charges and cash restructuring charges) and (B) the amount of any “run rate” synergies, operating expense reductions and other net cost savings and integration costs, in each case projected by the Borrower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Measurement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12 months following any such action as set forth in reasonable detail on a certificate of a Responsible Officer of the Borrower delivered to the Administrative Agent, (ii) no such amounts shall be added pursuant to this clause to the extent duplicative of any expenses or charges otherwise added to Consolidated EBITDA, whether through a pro forma adjustment or otherwise and (iii) the aggregate amount added pursuant to clause (b)(viii)(B) above for any period shall in no event exceed 10% of Consolidated EBITDA for such period (calculated prior to any such add-backs pursuant to clause (b)(viii)(B) above;</w:t>
      </w:r>
    </w:p>
    <w:p>
      <w:pPr>
        <w:spacing w:after="0" w:line="179" w:lineRule="exact"/>
        <w:rPr>
          <w:rFonts w:ascii="Arial" w:cs="Arial" w:eastAsia="Arial" w:hAnsi="Arial"/>
          <w:sz w:val="18"/>
          <w:szCs w:val="18"/>
          <w:color w:val="auto"/>
        </w:rPr>
      </w:pPr>
    </w:p>
    <w:p>
      <w:pPr>
        <w:jc w:val="both"/>
        <w:ind w:left="660" w:firstLine="645"/>
        <w:spacing w:after="0" w:line="275" w:lineRule="auto"/>
        <w:tabs>
          <w:tab w:leader="none" w:pos="18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covered by insurance and actually reimbursed, or, so long as the Borrower has made a determination that there exists reasonable evidence that such amount will in fact be reimbursed by the insurer and only to the extent that such amount is</w:t>
      </w: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denied by the applicable carrier in writing within 180 days of the date of such determination and (B) in fact reimbursed within</w:t>
      </w:r>
    </w:p>
    <w:p>
      <w:pPr>
        <w:spacing w:after="0" w:line="22"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365 days of the date of such determination (with a deduction in the applicable future period for any amount so added back to the extent not so reimbursed within such 365 days), expenses, charges or losses with respect to liability or casualty events or business interruption;</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net after-tax effect of loss for such period attributable to the early extinguishment of any Hedge Agreement;</w:t>
      </w:r>
    </w:p>
    <w:p>
      <w:pPr>
        <w:spacing w:after="0" w:line="227" w:lineRule="exact"/>
        <w:rPr>
          <w:rFonts w:ascii="Arial" w:cs="Arial" w:eastAsia="Arial" w:hAnsi="Arial"/>
          <w:sz w:val="19"/>
          <w:szCs w:val="19"/>
          <w:color w:val="auto"/>
        </w:rPr>
      </w:pPr>
    </w:p>
    <w:p>
      <w:pPr>
        <w:ind w:left="1780" w:hanging="475"/>
        <w:spacing w:after="0"/>
        <w:tabs>
          <w:tab w:leader="none" w:pos="17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increase in deferred revenue during such Measurement Period;</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any decrease in deferred cost of goods sold during such Measurement Period; </w:t>
      </w:r>
      <w:r>
        <w:rPr>
          <w:rFonts w:ascii="Arial" w:cs="Arial" w:eastAsia="Arial" w:hAnsi="Arial"/>
          <w:sz w:val="20"/>
          <w:szCs w:val="20"/>
          <w:u w:val="single" w:color="auto"/>
          <w:color w:val="auto"/>
        </w:rPr>
        <w:t>minus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5" w:name="page136"/>
    <w:bookmarkEnd w:id="135"/>
    <w:p>
      <w:pPr>
        <w:ind w:left="1300" w:hanging="401"/>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sum of the following, without duplication, to the extent included in determining Consolidated Net Income for such period:</w:t>
      </w:r>
    </w:p>
    <w:p>
      <w:pPr>
        <w:spacing w:after="0" w:line="238" w:lineRule="exact"/>
        <w:rPr>
          <w:rFonts w:ascii="Arial" w:cs="Arial" w:eastAsia="Arial" w:hAnsi="Arial"/>
          <w:sz w:val="18"/>
          <w:szCs w:val="18"/>
          <w:color w:val="auto"/>
        </w:rPr>
      </w:pPr>
    </w:p>
    <w:p>
      <w:pPr>
        <w:ind w:left="1680" w:hanging="375"/>
        <w:spacing w:after="0"/>
        <w:tabs>
          <w:tab w:leader="none" w:pos="16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interest income;</w:t>
      </w:r>
    </w:p>
    <w:p>
      <w:pPr>
        <w:spacing w:after="0" w:line="215" w:lineRule="exact"/>
        <w:rPr>
          <w:rFonts w:ascii="Arial" w:cs="Arial" w:eastAsia="Arial" w:hAnsi="Arial"/>
          <w:sz w:val="20"/>
          <w:szCs w:val="20"/>
          <w:color w:val="auto"/>
        </w:rPr>
      </w:pPr>
    </w:p>
    <w:p>
      <w:pPr>
        <w:ind w:left="660" w:firstLine="645"/>
        <w:spacing w:after="0" w:line="260" w:lineRule="auto"/>
        <w:tabs>
          <w:tab w:leader="none" w:pos="1743" w:val="left"/>
        </w:tabs>
        <w:numPr>
          <w:ilvl w:val="1"/>
          <w:numId w:val="56"/>
        </w:numPr>
        <w:rPr>
          <w:rFonts w:ascii="Arial" w:cs="Arial" w:eastAsia="Arial" w:hAnsi="Arial"/>
          <w:sz w:val="20"/>
          <w:szCs w:val="20"/>
          <w:color w:val="auto"/>
        </w:rPr>
      </w:pPr>
      <w:r>
        <w:rPr>
          <w:rFonts w:ascii="Arial" w:cs="Arial" w:eastAsia="Arial" w:hAnsi="Arial"/>
          <w:sz w:val="20"/>
          <w:szCs w:val="20"/>
          <w:color w:val="auto"/>
        </w:rPr>
        <w:t>Federal, state, local and foreign income tax credits of the Borrower and its Subsidiaries for such period (to the extent not netted from income Tax expense);</w:t>
      </w:r>
    </w:p>
    <w:p>
      <w:pPr>
        <w:spacing w:after="0" w:line="176" w:lineRule="exact"/>
        <w:rPr>
          <w:rFonts w:ascii="Arial" w:cs="Arial" w:eastAsia="Arial" w:hAnsi="Arial"/>
          <w:sz w:val="20"/>
          <w:szCs w:val="20"/>
          <w:color w:val="auto"/>
        </w:rPr>
      </w:pPr>
    </w:p>
    <w:p>
      <w:pPr>
        <w:ind w:left="1780" w:hanging="475"/>
        <w:spacing w:after="0"/>
        <w:tabs>
          <w:tab w:leader="none" w:pos="17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non-cash items increasing Consolidated Net Income for such period;</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extraordinary gains;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any net after-tax effect of income for such period attributable to the early extinguishment of any Hedge Agreement;</w:t>
      </w:r>
    </w:p>
    <w:p>
      <w:pPr>
        <w:spacing w:after="0" w:line="227" w:lineRule="exact"/>
        <w:rPr>
          <w:rFonts w:ascii="Arial" w:cs="Arial" w:eastAsia="Arial" w:hAnsi="Arial"/>
          <w:sz w:val="19"/>
          <w:szCs w:val="19"/>
          <w:color w:val="auto"/>
        </w:rPr>
      </w:pPr>
    </w:p>
    <w:p>
      <w:pPr>
        <w:ind w:left="1780" w:hanging="475"/>
        <w:spacing w:after="0"/>
        <w:tabs>
          <w:tab w:leader="none" w:pos="17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decrease in deferred revenue during such Measurement Period;</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increase in deferred cost of goods sold during such Measurement Period; and</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925"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Consolidated EBITDA shall be calculated on a Pro Forma Basis.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xml:space="preserve">” means, as of any date of determination, for the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letters of credit, bankers’ acceptances, bank guaranties, surety bonds and similar instruments (in the case of surety bonds and similar instruments, to the extent included as a liability on the Consolidated balance sheet of the Borrower and its Subsidiaries in accordance with GAAP), (d) all obligations in respect of the deferred purchase price of property or services (including, without limitation, in the form of earn-outs, milestones and other contingent payment obligations to the extent included as a fixed liability on the Consolidated balance sheet of the Borrower and its Subsidiaries in accordance with GAAP and past due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royalties (and other contingent payment obligations in the nature of a royalty payment (including those calculated based on a percentage of sales)) shall only be included in “Consolidated Funded Indebtedness” to the extent such liability exceeds the corresponding intangible item included on the Consolidated balance sheet of the Borrower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corresponding intangible item shall be discernible and reasonably identifiable,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Consolidated Funded Indebtedness shall not include (i) trade accounts payable and (ii) earn-outs, milestones and royalties payable to developers, publishers, licensors, and other third party service providers, in each case of clauses (i) and (ii) of this proviso, in the ordinary course of business, (e) all Attributable Indebtedness in respect of Capital Lease Obligations and obligations under Synthetic Leases, (f) without duplication, all Guarantees with respect to outstanding Indebtedness of the types specified in clauses (a) through (e) above of Persons other than the Borrower or any Subsidiary, and (g) all Indebtedness of the types referred to in clauses (a) through (f)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6" w:name="page137"/>
    <w:bookmarkEnd w:id="136"/>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Measurement Period, interest expense (including interest expense attributable to Capital Lease Obligations and all net payment obligations pursuant to Hedge Agreements) for such Measurement Period, determined on a Consolidated basis, without duplication, for the Borrower and its Subsidiaries in accordance with GAAP.</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at any date of determination, the net income (or loss) of the Borrower and its Subsidiaries on a Consolidated basis for the most recently completed Measurement Period,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Consolidated Net Income of the Borrower and its Subsidiaries for any Measurement Period, there shall be excluded (without duplication) (i) the net income (or loss) of any Person (other than a Subsidiary which shall be subject to clauses (iii) and (iv) below), in which the Borrower or any of its Subsidiaries has a joint interest with a third party, except to the extent such net income is actually paid in cash to the Borrower or any of its Subsidiaries by dividend or other distribution, (ii) the net income (or loss) of any Person accrued prior to the date it becomes a Subsidiary of the Borrower or any of its Subsidiaries or is merged into or consolidated with the Borrower or any of its Subsidiaries or that Person’s assets are acquired by the Borrower or any of its Subsidiaries except to the extent included pursuant to the foregoing clause (i) or in case of a Specified Transaction where Consolidated EBITDA is to be calculated on a Pro Forma Basis, (iii) the net income (if positive), of any Subsidiary to the extent that the declaration or payment of dividends or similar distributions by such Subsidiary to the Borrower or any of its Subsidiaries of such net income is not at the time permitted by operation of the terms of its charter or any agreement, instrument, judgment, decree, order, statute, rule or governmental regulation applicable to such Subsidiary, (iv) the net income (or loss) of any Subsidiary that is not a Wholly-Owned Subsidiary to the extent such net income (or loss) is attributable to the non-controlling interest in such Subsidiary and (v) any gain or loss from Asset Dispositions outside the ordinary course of business.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as of any date of determination, the ratio of (a) (i) Consolidated Funded Indebtedness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Unrestricted Cash and Cash Equivalents as of such date not to exceed $400,000,000 to (b) Consolidated EBITDA for the most recently completed Measurement Period.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xml:space="preserve">” means, as of any date of determination with respect to the Borrower and its Subsidiaries on a Consolidated basis, without duplication, in accordance with GAAP, the total amount of assets (less applicable reserves and other properly deductible items) reflected on the most recent balance sheet of the Borrower and its Subsidiaries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as applicable, as of such date.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means the directors (or equivalent governing body) of the Borrower on the Closing Date and each other director (or equivalent) of the Borrower, if, in each case, such other Person’s nomination for election to the board of directors (or equivalent governing body) of the Borrower is approved by at least 51% of the then Continuing Directors.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each deposit account and securities account that is subject to an account control agreement in form and substance reasonably satisfactory to the Administrative Agent and each of the applicable Issuing Lenders that is entitled to Cash Collateral hereunder at the time such control agreement is executed.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7" w:name="page138"/>
    <w:bookmarkEnd w:id="13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Facility</w:t>
      </w:r>
      <w:r>
        <w:rPr>
          <w:rFonts w:ascii="Arial" w:cs="Arial" w:eastAsia="Arial" w:hAnsi="Arial"/>
          <w:sz w:val="20"/>
          <w:szCs w:val="20"/>
          <w:color w:val="auto"/>
        </w:rPr>
        <w:t>” means, collectively, the Revolving Credit Facility, the Swingline Facility, the L/C Facility and, if applicable, each Incremental Term Loan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Borrower and the Guarantors.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which with the passage of time, the giving of notice or any other condition, would constitute an Event of Default.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any Lender that (a) has failed to (i) fund all or any portion of the Revolving Credit Loans, participations in L/C Obligations, participations in Swingline Loans or, if applicable, any Incremental Term Loans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upon delivery of written notice of such determination to the Borrower, each Issuing Lender, the Swingline Lender and each Lender.</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Disposed EBITDA</w:t>
      </w:r>
      <w:r>
        <w:rPr>
          <w:rFonts w:ascii="Arial" w:cs="Arial" w:eastAsia="Arial" w:hAnsi="Arial"/>
          <w:sz w:val="20"/>
          <w:szCs w:val="20"/>
          <w:color w:val="auto"/>
        </w:rPr>
        <w:t>” shall mean, with respect to any Person or business Disposed of for any period, the amount for such period of Consolidated EBITDA of any such Person or business so Disposed (determined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8" w:name="page139"/>
    <w:bookmarkEnd w:id="138"/>
    <w:p>
      <w:pPr>
        <w:jc w:val="both"/>
        <w:spacing w:after="0" w:line="260" w:lineRule="auto"/>
        <w:rPr>
          <w:sz w:val="20"/>
          <w:szCs w:val="20"/>
          <w:color w:val="auto"/>
        </w:rPr>
      </w:pPr>
      <w:r>
        <w:rPr>
          <w:rFonts w:ascii="Arial" w:cs="Arial" w:eastAsia="Arial" w:hAnsi="Arial"/>
          <w:sz w:val="20"/>
          <w:szCs w:val="20"/>
          <w:color w:val="auto"/>
        </w:rPr>
        <w:t>using such definitions as if references to the Borrower and its Subsidiaries therein were to such Person or business), as calculated by the Borrower in good faith.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w:t>
      </w:r>
      <w:r>
        <w:rPr>
          <w:rFonts w:ascii="Arial" w:cs="Arial" w:eastAsia="Arial" w:hAnsi="Arial"/>
          <w:sz w:val="20"/>
          <w:szCs w:val="20"/>
          <w:color w:val="auto"/>
        </w:rPr>
        <w:t>” means to be subject to any Asset Disposition.</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xml:space="preserve">”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Loans, Obligations (including, without limitation contingent reimbursement obligations) in respect of Letters of Credit and all other Obligations (other than contingent indemnification obligations as to which no claim has been made)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latest scheduled maturity date of the Loans and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Equity Interests are issued pursuant to a plan for the benefit of the Borrower or its Subsidiaries or by any such plan to such officers or employees, such Equity Interests shall not constitute Disqualified Equity Interests solely because they may be required to be repurchased by the Borrower or its Subsidiaries in order to satisfy applicable statutory or regulatory obligations.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means, on any date, (a) any Person designated by the Borrower as a “Disqualified Institution” by written notice delivered to the Administrative Agent on or prior to the Closing Date, (b) Persons that are clearly identifiable solely on the basis or their names as Affiliates of such Persons described in clause (a) above, (c) any other Person that is a Competitor of the Borrower or any of its Subsidiaries identified in writing by the Borrower to the Administrative Agent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“Disqualified Institutions” shall exclude any Person that the Borrower has designated as no longer being a “Disqualified Institution” by written notice delivered to the Administrative Agent from time to time and (d) any Affiliate of such Person described in clause (c) above that are clearly identifiable as Affiliates solely on the basis of their names;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 publicly available information) relating to the Borrower and its Subsidiaries shall be deemed not to be a Competitor of the Borrower or any of its Subsidiaries.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or Alternative L/C Currency, the equivalent amount thereof in Dollars as determined by the Administrative Agent or an Issuing Lender, as applicable, at such time on the basis of the Spot Rate (determined in respect of the most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recent Revaluation Date) for the purchase of Dollars with such Alternative Currency or Alternative L/C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unless otherwise qualified, dollars in lawful currency of the United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organized under the laws of any political subdivision of the United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12.9(g)(iv)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 xml:space="preserve">). For the avoidance of doubt, any Disqualified Institution is subject to </w:t>
      </w:r>
      <w:r>
        <w:rPr>
          <w:rFonts w:ascii="Arial" w:cs="Arial" w:eastAsia="Arial" w:hAnsi="Arial"/>
          <w:sz w:val="20"/>
          <w:szCs w:val="20"/>
          <w:u w:val="single" w:color="auto"/>
          <w:color w:val="auto"/>
        </w:rPr>
        <w:t>Section 12.9(g)</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EMU for the introduction of, changeover to or operation of a single or unified European currency.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Engagement Letter</w:t>
      </w:r>
      <w:r>
        <w:rPr>
          <w:rFonts w:ascii="Arial" w:cs="Arial" w:eastAsia="Arial" w:hAnsi="Arial"/>
          <w:sz w:val="20"/>
          <w:szCs w:val="20"/>
          <w:color w:val="auto"/>
        </w:rPr>
        <w:t>” means the separate letter agreement dated as of November 7, 2018 among the Borrower, Wells Fargo Securities, LLC and Wells Fargo.</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Claims</w:t>
      </w:r>
      <w:r>
        <w:rPr>
          <w:rFonts w:ascii="Arial" w:cs="Arial" w:eastAsia="Arial" w:hAnsi="Arial"/>
          <w:sz w:val="20"/>
          <w:szCs w:val="20"/>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0" w:name="page141"/>
    <w:bookmarkEnd w:id="140"/>
    <w:p>
      <w:pPr>
        <w:jc w:val="both"/>
        <w:ind w:right="20"/>
        <w:spacing w:after="0" w:line="260" w:lineRule="auto"/>
        <w:rPr>
          <w:sz w:val="20"/>
          <w:szCs w:val="20"/>
          <w:color w:val="auto"/>
        </w:rPr>
      </w:pPr>
      <w:r>
        <w:rPr>
          <w:rFonts w:ascii="Arial" w:cs="Arial" w:eastAsia="Arial" w:hAnsi="Arial"/>
          <w:sz w:val="20"/>
          <w:szCs w:val="20"/>
          <w:color w:val="auto"/>
        </w:rPr>
        <w:t>contribution, indemnification, cost recovery, compensation or injunctive relief resulting from Hazardous Materials or arising from alleged injury or threat of injury to public health or the environment.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foreign, state, provincial and local laws, statutes, ordinances, codes, rules, standards and regulations, permits, licenses, approvals, interpretations and orders of courts or Governmental Authorities, relating to the protection of public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6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thereto), as in effect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 the lawful currency of the Participating Member States introduced in accordance with the EMU Legislation.</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xml:space="preserve">” means, subject to the implementation of the Replacement Rate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with respect to any Extension of Credit:</w:t>
      </w:r>
    </w:p>
    <w:p>
      <w:pPr>
        <w:spacing w:after="0" w:line="177" w:lineRule="exact"/>
        <w:rPr>
          <w:sz w:val="20"/>
          <w:szCs w:val="20"/>
          <w:color w:val="auto"/>
        </w:rPr>
      </w:pPr>
    </w:p>
    <w:p>
      <w:pPr>
        <w:jc w:val="both"/>
        <w:ind w:firstLine="656"/>
        <w:spacing w:after="0" w:line="257" w:lineRule="auto"/>
        <w:tabs>
          <w:tab w:leader="none" w:pos="106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denominated in a LIBOR Currency, the rate of interest per annum determined on the basis of the rate for deposits in such LIBOR Currency for a period equal to the applicable Interest Period as published by the ICE Benchmark Administration Limited, a United Kingdom company, or a comparable or successor quoting service approved by the Administrative Agent (or, if applicable, the Replacement Rate in accordance with </w:t>
      </w:r>
      <w:r>
        <w:rPr>
          <w:rFonts w:ascii="Arial" w:cs="Arial" w:eastAsia="Arial" w:hAnsi="Arial"/>
          <w:sz w:val="19"/>
          <w:szCs w:val="19"/>
          <w:u w:val="single" w:color="auto"/>
          <w:color w:val="auto"/>
        </w:rPr>
        <w:t>Section 5.8(c)</w:t>
      </w:r>
      <w:r>
        <w:rPr>
          <w:rFonts w:ascii="Arial" w:cs="Arial" w:eastAsia="Arial" w:hAnsi="Arial"/>
          <w:sz w:val="19"/>
          <w:szCs w:val="19"/>
          <w:color w:val="auto"/>
        </w:rPr>
        <w:t>), at approximately 11:00 a.m. (London time) two (2) London Banking Days prior to the first day of the applicable Interest Period (or if, for any reason, such rate is not so published, the rate determined by the Administrative Agent to be the arithmetic average of the rate per annum at which deposits in such LIBOR Currency would be offered by first class banks in the London interbank market to the Administrative Agent at approximately 11:00 a.m. (London time) two (2) London Banking Days prior to the first day of the applicable Interest Period for a period equal to such Interest Period);</w:t>
      </w:r>
    </w:p>
    <w:p>
      <w:pPr>
        <w:spacing w:after="0" w:line="181" w:lineRule="exact"/>
        <w:rPr>
          <w:rFonts w:ascii="Arial" w:cs="Arial" w:eastAsia="Arial" w:hAnsi="Arial"/>
          <w:sz w:val="19"/>
          <w:szCs w:val="19"/>
          <w:color w:val="auto"/>
        </w:rPr>
      </w:pPr>
    </w:p>
    <w:p>
      <w:pPr>
        <w:ind w:left="1060" w:hanging="404"/>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denominated in Canadian Dollars, the rate per annum equal to the CDOR Rate; and</w:t>
      </w:r>
    </w:p>
    <w:p>
      <w:pPr>
        <w:spacing w:after="0" w:line="215" w:lineRule="exact"/>
        <w:rPr>
          <w:rFonts w:ascii="Arial" w:cs="Arial" w:eastAsia="Arial" w:hAnsi="Arial"/>
          <w:sz w:val="20"/>
          <w:szCs w:val="20"/>
          <w:color w:val="auto"/>
        </w:rPr>
      </w:pPr>
    </w:p>
    <w:p>
      <w:pPr>
        <w:ind w:firstLine="656"/>
        <w:spacing w:after="0" w:line="316" w:lineRule="auto"/>
        <w:tabs>
          <w:tab w:leader="none" w:pos="10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denominated in any other Non-LIBOR Currency, the rate per annum as designated with respect to such Alternative Currency at the time such Alternative Currency is approved by the Administrative Agent and the Lenders pursuant to </w:t>
      </w:r>
      <w:r>
        <w:rPr>
          <w:rFonts w:ascii="Arial" w:cs="Arial" w:eastAsia="Arial" w:hAnsi="Arial"/>
          <w:sz w:val="18"/>
          <w:szCs w:val="18"/>
          <w:u w:val="single" w:color="auto"/>
          <w:color w:val="auto"/>
        </w:rPr>
        <w:t>Section 1.13(a)</w:t>
      </w:r>
      <w:r>
        <w:rPr>
          <w:rFonts w:ascii="Arial" w:cs="Arial" w:eastAsia="Arial" w:hAnsi="Arial"/>
          <w:sz w:val="18"/>
          <w:szCs w:val="18"/>
          <w:color w:val="auto"/>
        </w:rPr>
        <w:t>;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1" w:name="page142"/>
    <w:bookmarkEnd w:id="141"/>
    <w:p>
      <w:pPr>
        <w:jc w:val="both"/>
        <w:ind w:firstLine="656"/>
        <w:spacing w:after="0" w:line="273" w:lineRule="auto"/>
        <w:tabs>
          <w:tab w:leader="none" w:pos="10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for any rate calculation with respect to a Base Rate Loan on any date,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(or, if applicable, the Replacement Rate in accordance with </w:t>
      </w:r>
      <w:r>
        <w:rPr>
          <w:rFonts w:ascii="Arial" w:cs="Arial" w:eastAsia="Arial" w:hAnsi="Arial"/>
          <w:sz w:val="18"/>
          <w:szCs w:val="18"/>
          <w:u w:val="single" w:color="auto"/>
          <w:color w:val="auto"/>
        </w:rPr>
        <w:t>Section 5.8(c)</w:t>
      </w:r>
      <w:r>
        <w:rPr>
          <w:rFonts w:ascii="Arial" w:cs="Arial" w:eastAsia="Arial" w:hAnsi="Arial"/>
          <w:sz w:val="18"/>
          <w:szCs w:val="18"/>
          <w:color w:val="auto"/>
        </w:rPr>
        <w:t>), at approximately 11:00 a.m. (London time) on such date of determination, or, if such date is not a Business Day, then the immediately preceding Business Day (or if, for any reason, such rate is not so published, the rate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calculation by the Administrative Agent of the Eurocurrency Rate shall be conclusive and binding for all purposes, absent manifest error. Notwithstanding the foregoing, if the Eurocurrency Rate shall be less than zero, such rate shall be deemed to be zero for purposes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any Loan bearing interest at a rate based upon the Eurocurrency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Eurocurrency Rate Loans may be denominated in Dollars or in an Alternative Currency.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means the Securities Exchange Act of 1934 (15 U.S.C. § 77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 any Immaterial Subsidiary, (b) any CFC and (c) any direct or indirect Domestic Subsidiary of a Foreign Subsidiary that is a CFC.</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2" w:name="page143"/>
    <w:bookmarkEnd w:id="142"/>
    <w:p>
      <w:pPr>
        <w:jc w:val="both"/>
        <w:spacing w:after="0" w:line="243" w:lineRule="auto"/>
        <w:rPr>
          <w:sz w:val="20"/>
          <w:szCs w:val="20"/>
          <w:color w:val="auto"/>
        </w:rPr>
      </w:pPr>
      <w:r>
        <w:rPr>
          <w:rFonts w:ascii="Arial" w:cs="Arial" w:eastAsia="Arial" w:hAnsi="Arial"/>
          <w:sz w:val="20"/>
          <w:szCs w:val="20"/>
          <w:color w:val="auto"/>
        </w:rPr>
        <w:t xml:space="preserve">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20"/>
          <w:szCs w:val="20"/>
          <w:u w:val="single" w:color="auto"/>
          <w:color w:val="auto"/>
        </w:rPr>
        <w:t>Section 5.12(b)</w:t>
      </w:r>
      <w:r>
        <w:rPr>
          <w:rFonts w:ascii="Arial" w:cs="Arial" w:eastAsia="Arial" w:hAnsi="Arial"/>
          <w:sz w:val="20"/>
          <w:szCs w:val="20"/>
          <w:color w:val="auto"/>
        </w:rPr>
        <w:t xml:space="preserve">) or (ii) such Lender changes its Lending Office, except in each case to the extent that, pursuant to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5.11(g)</w:t>
      </w:r>
      <w:r>
        <w:rPr>
          <w:rFonts w:ascii="Arial" w:cs="Arial" w:eastAsia="Arial" w:hAnsi="Arial"/>
          <w:sz w:val="20"/>
          <w:szCs w:val="20"/>
          <w:color w:val="auto"/>
        </w:rPr>
        <w:t xml:space="preserve"> and (d) any United States federal withholding Taxes imposed under FATCA.</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Second Amended and Restated Credit Agreement dated as of November 16, 2007, as amended and restated as of October 17, 2011 by and among the Borrower, Take-Two GB Limited, certain of the Borrower’s Subsidiaries party thereto, the lenders party thereto and Wells Fargo Capital Finance, Inc. (f/k/a Wells Fargo Foothill, Inc.), as administrative agent.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xml:space="preserve">” means the letter of credit existing on the Closing Date and identified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w:t>
      </w:r>
    </w:p>
    <w:p>
      <w:pPr>
        <w:spacing w:after="0" w:line="1" w:lineRule="exact"/>
        <w:rPr>
          <w:sz w:val="20"/>
          <w:szCs w:val="20"/>
          <w:color w:val="auto"/>
        </w:rPr>
      </w:pPr>
    </w:p>
    <w:p>
      <w:pPr>
        <w:ind w:firstLine="8"/>
        <w:spacing w:after="0" w:line="244" w:lineRule="auto"/>
        <w:tabs>
          <w:tab w:leader="none" w:pos="35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aggregate principal amount of the Incremental Term Loans made by such Lender then outstanding, if any, or (b) the making of any Loan or participation in any Letter of Credit by such Lender, as the context requires.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implementation of such Sections of the Code and any fiscal or regulatory legislation, rules or practices adopted pursuant to such intergovernmental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FDIC</w:t>
      </w:r>
      <w:r>
        <w:rPr>
          <w:rFonts w:ascii="Arial" w:cs="Arial" w:eastAsia="Arial" w:hAnsi="Arial"/>
          <w:sz w:val="20"/>
          <w:szCs w:val="20"/>
          <w:color w:val="auto"/>
        </w:rPr>
        <w:t>” means the Federal Deposit Insurance Corporation.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Borrower and its Subsidiaries ending on March 31.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3" w:name="page144"/>
    <w:bookmarkEnd w:id="143"/>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and all registrations and filings with or issued by, any Governmental Authorities.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monetary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or (e) for the purpose of assuring in any other manner the obligee in respect of such Indebtedness or other monetary obligation of the payment or performance thereof or to protect such obligee against loss in respect thereof (whether in whole or in part).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Parties</w:t>
      </w:r>
      <w:r>
        <w:rPr>
          <w:rFonts w:ascii="Arial" w:cs="Arial" w:eastAsia="Arial" w:hAnsi="Arial"/>
          <w:sz w:val="20"/>
          <w:szCs w:val="20"/>
          <w:color w:val="auto"/>
        </w:rPr>
        <w:t xml:space="preserve">” means, collectively, the Administrative Agent, the Lenders, the Issuing Lenders, the holders of any Specified Hedge Obligations, the holders of any Specified Cash Management Obligations, each co-agent or sub-agent appointed by the Administrative Agent from time to time pursuant to </w:t>
      </w:r>
      <w:r>
        <w:rPr>
          <w:rFonts w:ascii="Arial" w:cs="Arial" w:eastAsia="Arial" w:hAnsi="Arial"/>
          <w:sz w:val="20"/>
          <w:szCs w:val="20"/>
          <w:u w:val="single" w:color="auto"/>
          <w:color w:val="auto"/>
        </w:rPr>
        <w:t>Section 11.5</w:t>
      </w:r>
      <w:r>
        <w:rPr>
          <w:rFonts w:ascii="Arial" w:cs="Arial" w:eastAsia="Arial" w:hAnsi="Arial"/>
          <w:sz w:val="20"/>
          <w:szCs w:val="20"/>
          <w:color w:val="auto"/>
        </w:rPr>
        <w:t>, any other holder from time to time of any of any Obligations and, in each case, their respective successors and permitted assigns.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4" w:name="page145"/>
    <w:bookmarkEnd w:id="14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collectively, the Domestic Subsidiaries of the Borrower listed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that are identified as a “Guarantor” and each other Domestic Subsidiary of the Borrower that shall be required to execute and deliver a guaranty or guaranty supplement pursuant to </w:t>
      </w:r>
      <w:r>
        <w:rPr>
          <w:rFonts w:ascii="Arial" w:cs="Arial" w:eastAsia="Arial" w:hAnsi="Arial"/>
          <w:sz w:val="20"/>
          <w:szCs w:val="20"/>
          <w:u w:val="single" w:color="auto"/>
          <w:color w:val="auto"/>
        </w:rPr>
        <w:t>Section 8.12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collectively, (a) the Guaranty Agreement of even date herewith made by the Guarantors and the Borrower in favor of the Administrative Agent for the benefit of the Lender and (b) each other guaranty and guaranty supplement delivered pursuant to </w:t>
      </w:r>
      <w:r>
        <w:rPr>
          <w:rFonts w:ascii="Arial" w:cs="Arial" w:eastAsia="Arial" w:hAnsi="Arial"/>
          <w:sz w:val="20"/>
          <w:szCs w:val="20"/>
          <w:u w:val="single" w:color="auto"/>
          <w:color w:val="auto"/>
        </w:rPr>
        <w:t>Section 8.12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public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or (f) which contain, without limitation, asbestos, polychlorinated biphenyls, urea formaldehyde foam insulation, petroleum hydrocarbons, petroleum derived substances or waste, crude oil, nuclear fuel, natural gas or synthetic gas.</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Termination Value</w:t>
      </w:r>
      <w:r>
        <w:rPr>
          <w:rFonts w:ascii="Arial" w:cs="Arial" w:eastAsia="Arial" w:hAnsi="Arial"/>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Subsidiaries</w:t>
      </w:r>
      <w:r>
        <w:rPr>
          <w:rFonts w:ascii="Arial" w:cs="Arial" w:eastAsia="Arial" w:hAnsi="Arial"/>
          <w:sz w:val="20"/>
          <w:szCs w:val="20"/>
          <w:color w:val="auto"/>
        </w:rPr>
        <w:t>” means one or more direct or indirect Subsidiaries of Credit Parties, for which (a) (I) the total assets of any such Immaterial Subsidiary constitute no more than 1.0% of Consolidated Total Assets and (II) the total assets of all Immaterial Subsidiaries constitute, in the aggregate, no more than 5.0% of Consolidated Total Assets, and (b) (I) the percentage of gross revenues attributable to any such Immaterial Subsidiary does not exceed 1.0% of the Consolidated gross revenues of the Borrower and its Subsidiaries and (II) the percentage of gross revenues attributable to all Immaterial Subsidiaries, in the aggregate, does not exceed 5.0% of the Consolidated gross revenues of the Borrower and its Subsidiaries, in each case of clauses (a) and (b), as reflected in the most recent financial statements delivered pursuant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5" w:name="page146"/>
    <w:bookmarkEnd w:id="145"/>
    <w:p>
      <w:pPr>
        <w:jc w:val="both"/>
        <w:spacing w:after="0" w:line="244" w:lineRule="auto"/>
        <w:rPr>
          <w:sz w:val="20"/>
          <w:szCs w:val="20"/>
          <w:color w:val="auto"/>
        </w:rPr>
      </w:pP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prior to such date. All Immaterial Subsidiaries (other than Immaterial Subsidiaries that constitute Excluded Subsidiaries by virtue of clause (b) or (c) of the definition of “Excluded Subsidiary”) as of the Closing Date are listed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and identified as “Immaterial Subsidiaries”. Notwithstanding the foregoing, in no event shall any Domestic Subsidiary be designated as an Immaterial Subsidiary if it (x) is an obligor or guarantor of any Indebtedness in an aggregate principal amount in excess of the Threshold Amount or (y) owns the Equity Interest of any Subsidiary that is not an Excluded Subsidiary.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means a Lender with an Incremental Term Loan Commitment or an outstanding Incremental Term Loan, in its capacity as such.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means, as to any Incremental Term Lender, the obligation of such Incremental Term Lender to make a portion of the Incremental Term Loans to the account of the Borrower on the applicable borrowing date per any Incremental Amendment.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Facility</w:t>
      </w:r>
      <w:r>
        <w:rPr>
          <w:rFonts w:ascii="Arial" w:cs="Arial" w:eastAsia="Arial" w:hAnsi="Arial"/>
          <w:sz w:val="20"/>
          <w:szCs w:val="20"/>
          <w:color w:val="auto"/>
        </w:rPr>
        <w:t xml:space="preserve">” means any new term loan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and all such term loan facilities collectively as the context require.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Note</w:t>
      </w:r>
      <w:r>
        <w:rPr>
          <w:rFonts w:ascii="Arial" w:cs="Arial" w:eastAsia="Arial" w:hAnsi="Arial"/>
          <w:sz w:val="20"/>
          <w:szCs w:val="20"/>
          <w:color w:val="auto"/>
        </w:rPr>
        <w:t xml:space="preserve">” means a promissory note made by the Borrower in favor of an Incremental Term Lender evidencing the Incremental Term Loans made by such Incremental Term Lender, substantially in the form attached as </w:t>
      </w:r>
      <w:r>
        <w:rPr>
          <w:rFonts w:ascii="Arial" w:cs="Arial" w:eastAsia="Arial" w:hAnsi="Arial"/>
          <w:sz w:val="20"/>
          <w:szCs w:val="20"/>
          <w:b w:val="1"/>
          <w:bCs w:val="1"/>
          <w:i w:val="1"/>
          <w:iCs w:val="1"/>
          <w:color w:val="auto"/>
        </w:rPr>
        <w:t>Exhibit A-3</w:t>
      </w:r>
      <w:r>
        <w:rPr>
          <w:rFonts w:ascii="Arial" w:cs="Arial" w:eastAsia="Arial" w:hAnsi="Arial"/>
          <w:sz w:val="20"/>
          <w:szCs w:val="20"/>
          <w:color w:val="auto"/>
        </w:rPr>
        <w:t>, and any substitutes therefor, and any replacements, restatements, renewals or extension thereof, in whole or in part.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Percentage</w:t>
      </w:r>
      <w:r>
        <w:rPr>
          <w:rFonts w:ascii="Arial" w:cs="Arial" w:eastAsia="Arial" w:hAnsi="Arial"/>
          <w:sz w:val="20"/>
          <w:szCs w:val="20"/>
          <w:color w:val="auto"/>
        </w:rPr>
        <w:t>” means, with respect to any Incremental Term Lender at any time, the percentage of the total outstanding principal balance of the Incremental Term Loans represented by the outstanding principal balance of such Incremental Term Lender’s Incremental Term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at any date and without duplication, the sum of the following:</w:t>
      </w:r>
    </w:p>
    <w:p>
      <w:pPr>
        <w:spacing w:after="0" w:line="216" w:lineRule="exact"/>
        <w:rPr>
          <w:sz w:val="20"/>
          <w:szCs w:val="20"/>
          <w:color w:val="auto"/>
        </w:rPr>
      </w:pPr>
    </w:p>
    <w:p>
      <w:pPr>
        <w:ind w:firstLine="656"/>
        <w:spacing w:after="0" w:line="260" w:lineRule="auto"/>
        <w:tabs>
          <w:tab w:leader="none" w:pos="104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liabilities, obligations and indebtedness of such Person for borrowed money including obligations of such Person evidenced by bonds, debentures, notes or other similar instruments of such Person;</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113"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purchase price of property or services of such Person (including all payment obligations under non-competition, earn-out or similar agreements), except (i) trade payables arising in the ordinary course of business, (ii) earn-outs, milestones and royalties payable to developers, publishers, licensors, and other third party service providers in the ordinary course of business, and (iii) any payment obligation under non-competition, earn-out or similar agreements before such obligation becomes a liability on the balance sheet of such Person in accordance with GAAP and is past due at such time;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6" w:name="page147"/>
    <w:bookmarkEnd w:id="146"/>
    <w:p>
      <w:pPr>
        <w:ind w:right="20" w:firstLine="656"/>
        <w:spacing w:after="0" w:line="260" w:lineRule="auto"/>
        <w:tabs>
          <w:tab w:leader="none" w:pos="117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Attributable Indebtedness of such Person with respect to such Person’s Capital Lease Obligations and Synthetic Leases (regardless of whether accounted for as indebtedness under GAAP);</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26"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7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 (but if not assumed, limited to the lesser of such Indebtedness or the value of the assets subject to such Lien);</w:t>
      </w:r>
    </w:p>
    <w:p>
      <w:pPr>
        <w:spacing w:after="0" w:line="191" w:lineRule="exact"/>
        <w:rPr>
          <w:rFonts w:ascii="Arial" w:cs="Arial" w:eastAsia="Arial" w:hAnsi="Arial"/>
          <w:sz w:val="20"/>
          <w:szCs w:val="20"/>
          <w:color w:val="auto"/>
        </w:rPr>
      </w:pPr>
    </w:p>
    <w:p>
      <w:pPr>
        <w:ind w:right="20" w:firstLine="656"/>
        <w:spacing w:after="0" w:line="260" w:lineRule="auto"/>
        <w:tabs>
          <w:tab w:leader="none" w:pos="1026"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obligations, direct or contingent, of such Person relative to the face amount of letters of credit, whether or not drawn, including any Reimbursement Obligation, and banker’s acceptances issued for the account of any such Person;</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obligations of such Person in respect of Disqualified Equity Interests;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net obligations of such Person under any Hedge Agreements; and</w:t>
      </w:r>
    </w:p>
    <w:p>
      <w:pPr>
        <w:spacing w:after="0" w:line="215" w:lineRule="exact"/>
        <w:rPr>
          <w:rFonts w:ascii="Arial" w:cs="Arial" w:eastAsia="Arial" w:hAnsi="Arial"/>
          <w:sz w:val="20"/>
          <w:szCs w:val="20"/>
          <w:color w:val="auto"/>
        </w:rPr>
      </w:pPr>
    </w:p>
    <w:p>
      <w:pPr>
        <w:ind w:left="1020" w:hanging="364"/>
        <w:spacing w:after="0"/>
        <w:tabs>
          <w:tab w:leader="none" w:pos="10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all Guarantees of any such Person with respect to any of the foregoing.</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In respect of Indebtedness of another Person secured by a Lien on the assets of the specified Person, the amount of such Indebtedness as of any date of determination will be the lesser of (x) the fair value of such assets as of such date (as determined in good faith by the Borrower) and (y) the amount of such Indebtedness as of such date.</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amount of obligations in respect of any Disqualified Equity Interests shall be valued, in the case of a redeemable preferred interest, at the greater of its voluntary or involuntary liquidation preference plus accrued and unpaid dividends that are past due. The amount of any net obligation under any Hedge Agreement on any date shall be deemed to be the Hedge Termination Value thereof as of such date.</w:t>
      </w:r>
    </w:p>
    <w:p>
      <w:pPr>
        <w:spacing w:after="0" w:line="15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12.3(b)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Issuing Lender</w:t>
      </w:r>
      <w:r>
        <w:rPr>
          <w:rFonts w:ascii="Arial" w:cs="Arial" w:eastAsia="Arial" w:hAnsi="Arial"/>
          <w:sz w:val="20"/>
          <w:szCs w:val="20"/>
          <w:color w:val="auto"/>
        </w:rPr>
        <w:t>” means (a) Wells Fargo and (b) JPMorgan Chase Bank, N.A.</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as of any date of determination, the ratio of (a) Consolidated EBITDA for the most recently completed Measurement Period to (b) Consolidated Interest Expense paid or payable in cash for the most recently completed Measurement Period.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7" w:name="page148"/>
    <w:bookmarkEnd w:id="147"/>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one (1), two (2), three (3), or six (6) months thereafter, in each case as selected by the Borrower in its Notice of Borrowing or Notice of Conversion/Continuation and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2" w:lineRule="exact"/>
        <w:rPr>
          <w:sz w:val="20"/>
          <w:szCs w:val="20"/>
          <w:color w:val="auto"/>
        </w:rPr>
      </w:pPr>
    </w:p>
    <w:p>
      <w:pPr>
        <w:jc w:val="both"/>
        <w:ind w:firstLine="656"/>
        <w:spacing w:after="0" w:line="250" w:lineRule="auto"/>
        <w:tabs>
          <w:tab w:leader="none" w:pos="1102"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Interest Period shall commence on the date of advance of or conversion to any Eurocurrency Rate Loan and, in the case of immediately successive Interest Periods, each successive Interest Period shall commence on the date on which the immediately preceding Interest Period expires;</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13"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if any Interest Period would otherwise expire on a day that is not a Business Day, such Interest Period shall expire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Interest Period with respect to a Eurocurrency Rate Loan would otherwise expire on a day that is not a Business Day but is a day of the month after which no further Business Day occurs in such month, such Interest Period shall expire on the immediately preceding Business Day;</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88"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Interest Period with respect to a Eurocurrency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6" w:lineRule="exact"/>
        <w:rPr>
          <w:rFonts w:ascii="Arial" w:cs="Arial" w:eastAsia="Arial" w:hAnsi="Arial"/>
          <w:sz w:val="20"/>
          <w:szCs w:val="20"/>
          <w:color w:val="auto"/>
        </w:rPr>
      </w:pPr>
    </w:p>
    <w:p>
      <w:pPr>
        <w:ind w:firstLine="656"/>
        <w:spacing w:after="0" w:line="260" w:lineRule="auto"/>
        <w:tabs>
          <w:tab w:leader="none" w:pos="1221"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Interest Period shall extend beyond the Revolving Credit Maturity Date or the maturity date with respect to the any Incremental Term Loan, as applicable; and</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there shall be no more than six (6) Interest Periods in effect at any time.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any Acquisition.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xml:space="preserve">” means the Investment Company Act of 1940 (15 U.S.C. § 80(a)(1),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ISP98</w:t>
      </w:r>
      <w:r>
        <w:rPr>
          <w:rFonts w:ascii="Arial" w:cs="Arial" w:eastAsia="Arial" w:hAnsi="Arial"/>
          <w:sz w:val="20"/>
          <w:szCs w:val="20"/>
          <w:color w:val="auto"/>
        </w:rPr>
        <w:t>” means the International Standby Practices (1998 Revision, effective January 1, 1999), International Chamber of Commerce Publication No. 590.</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means (a) solely with respect to the Existing Letter of Credit, the issuer thereof as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(b) the Initial Issuing Lenders and (c) any other Lender to the extent it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 capacity as issuer of any Letter of Credit. No Issuing Lender set forth in clause (a) above shall have any obligation or commitment to reissue, renew, extend or amend the Existing Letter of Credit issued thereby.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8" w:name="page149"/>
    <w:bookmarkEnd w:id="148"/>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Issuing Lender, the obligation of such Issuing Lender to issue Letters of Credit for the account of the Borrower or one or more of its Subsidiaries from time to time in an aggregate amount equal to (a) for each of the Initial Issuing Lenders, the amount set forth opposite the name of each such Initial Issuing Lender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Facility</w:t>
      </w:r>
      <w:r>
        <w:rPr>
          <w:rFonts w:ascii="Arial" w:cs="Arial" w:eastAsia="Arial" w:hAnsi="Arial"/>
          <w:sz w:val="20"/>
          <w:szCs w:val="20"/>
          <w:color w:val="auto"/>
        </w:rPr>
        <w:t xml:space="preserve">” means the letter of credit facility established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means, with respect to any Letter of Credit, the collective reference to all the Revolving Credit Lenders other than the applicable Issuing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the lesser of (a) $25,000,000 and (b) the Revolving Credit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other than any Person that ceases to be a party hereto as a Lender pursuant to an Assignment and Assumption. Unless the context otherwise requires, the term “Lenders” includes the Swingline Lender.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with respect to any Lender, the office of such Lender maintaining such Lender’s Extensions of Credit, which office may, to the extent the applicable Lender notifies the Administrative Agent in writing, include an office or any Affiliate of such Lender or any domestic or foreign branch of such Lender or Affiliate.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requesting such Issuing Lender to issue a Letter of Credit and a reimbursement agreement, in each case in the form specified by the applicable Issuing Lender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means the collective reference to letters of credit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the Existing Letter of Credit.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Letters of Credit may be issued in Dollars or an Alternative L/C Currency.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Currency</w:t>
      </w:r>
      <w:r>
        <w:rPr>
          <w:rFonts w:ascii="Arial" w:cs="Arial" w:eastAsia="Arial" w:hAnsi="Arial"/>
          <w:sz w:val="20"/>
          <w:szCs w:val="20"/>
          <w:color w:val="auto"/>
        </w:rPr>
        <w:t>” means each of Dollars, Euro, Sterling, Japanese yen and Swiss franc, in each case as long as there is a published rate with respect thereto in the London interbank market.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49" w:name="page150"/>
    <w:bookmarkEnd w:id="149"/>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Permitted Acquisition that is not conditioned on the availability of, or on obtaining, third-party financing.</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collectively, this Agreement, each Note, the Guaranty Agreement, the Letter of Credit Applications, the Engagement Letter, each Incremental Amendment and each other document, instrument, certificate and agreement executed and delivered by the Credit Parties or any of their respective Subsidiaries in favor of or provided to the Administrative Agent or any Guaranteed Party in connection with this Agreement or otherwise referred to herein or contemplated hereby (excluding any Specified Hedge Agreement and any Specified Cash Management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collective reference to the Revolving Credit Loans, the Swingline Loans and, if applicable, any Incremental Term Loans, and “Loan” means any of such Loans.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or Alternative Currency, as applicable, deposits are conducted by and between banks in the London interbank Eurodollar market.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change in, or a material adverse effect on, (a) the operations, business, assets, properties or financial condition of the Borrower and its Subsidiaries, taken as a whole, (b) the ability of the Credit Parties, taken as a whole, to perform the obligations under any Loan Document, (c) the rights and remedies of the Administrative Agent or any Lender under any Loan Document or (d) the legality, validity, binding effect or enforceability against the Credit Parties, taken as a whole, of any Loan Document.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xml:space="preserve">” means, at any date of determination, the most recently completed four fiscal quarters of the Borrower for which financial statements have been provided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as applicable.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105% of the Fronting Exposure of the Issuing Lenders with respect to Letters of Credit issued and outstanding at such time, (b) with respect to Cash Collateral consisting of cash or deposit account balances provided in accordance with the provisions of </w:t>
      </w:r>
      <w:r>
        <w:rPr>
          <w:rFonts w:ascii="Arial" w:cs="Arial" w:eastAsia="Arial" w:hAnsi="Arial"/>
          <w:sz w:val="18"/>
          <w:szCs w:val="18"/>
          <w:u w:val="single" w:color="auto"/>
          <w:color w:val="auto"/>
        </w:rPr>
        <w:t>Section 10.2(b)</w:t>
      </w:r>
      <w:r>
        <w:rPr>
          <w:rFonts w:ascii="Arial" w:cs="Arial" w:eastAsia="Arial" w:hAnsi="Arial"/>
          <w:sz w:val="18"/>
          <w:szCs w:val="18"/>
          <w:color w:val="auto"/>
        </w:rPr>
        <w:t>, an amount equal to 105%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means any Lender that does not approve any consent, waiver, amendment, modification or termination that</w:t>
      </w:r>
    </w:p>
    <w:p>
      <w:pPr>
        <w:spacing w:after="0" w:line="39" w:lineRule="exact"/>
        <w:rPr>
          <w:sz w:val="20"/>
          <w:szCs w:val="20"/>
          <w:color w:val="auto"/>
        </w:rPr>
      </w:pPr>
    </w:p>
    <w:p>
      <w:pPr>
        <w:ind w:firstLine="8"/>
        <w:spacing w:after="0" w:line="244" w:lineRule="auto"/>
        <w:tabs>
          <w:tab w:leader="none" w:pos="27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requires the approval of all Lenders or all affected Lenders in accordance with the terms of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(b) has been approved by the Required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Non-Guarantor Subsidiary</w:t>
      </w:r>
      <w:r>
        <w:rPr>
          <w:rFonts w:ascii="Arial" w:cs="Arial" w:eastAsia="Arial" w:hAnsi="Arial"/>
          <w:sz w:val="20"/>
          <w:szCs w:val="20"/>
          <w:color w:val="auto"/>
        </w:rPr>
        <w:t>” means any Subsidiary of the Borrower that is not a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Non-LIBOR Currency</w:t>
      </w:r>
      <w:r>
        <w:rPr>
          <w:rFonts w:ascii="Arial" w:cs="Arial" w:eastAsia="Arial" w:hAnsi="Arial"/>
          <w:sz w:val="20"/>
          <w:szCs w:val="20"/>
          <w:color w:val="auto"/>
        </w:rPr>
        <w:t>” means any Alternative Currency other than a LIBOR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Non-Wholly-Owned Subsidiary</w:t>
      </w:r>
      <w:r>
        <w:rPr>
          <w:rFonts w:ascii="Arial" w:cs="Arial" w:eastAsia="Arial" w:hAnsi="Arial"/>
          <w:sz w:val="20"/>
          <w:szCs w:val="20"/>
          <w:color w:val="auto"/>
        </w:rPr>
        <w:t>” means any Subsidiary of the Borrower that is not Wholly-Owned.</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collective reference to the Revolving Credit Notes, the Swingline Note and, if applicable, any Incremental Term Loan Note.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Account Designation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in each case, whether now in existence or hereafter arising: (a) the principal of and interest on (including interest accruing after the filing of any bankruptcy or similar petition) the Loans, (b) the L/C Obligations, (c) any Specified Hedge Obligations, (d) any Specified Cash Management Obligations and (e) all other fees and commissions (including attorneys’ fees), charges, indebtedness, loans, liabilities, financial accommodations, obligations, covenants and duties owing by the Credit Parties to the Lenders, the Issuing Lender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1" w:name="page152"/>
    <w:bookmarkEnd w:id="151"/>
    <w:p>
      <w:pPr>
        <w:jc w:val="both"/>
        <w:ind w:right="20"/>
        <w:spacing w:after="0" w:line="260" w:lineRule="auto"/>
        <w:rPr>
          <w:sz w:val="20"/>
          <w:szCs w:val="20"/>
          <w:color w:val="auto"/>
        </w:rPr>
      </w:pPr>
      <w:r>
        <w:rPr>
          <w:rFonts w:ascii="Arial" w:cs="Arial" w:eastAsia="Arial" w:hAnsi="Arial"/>
          <w:sz w:val="20"/>
          <w:szCs w:val="20"/>
          <w:color w:val="auto"/>
        </w:rPr>
        <w:t>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Issuing Lender, or the Swingline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each member state of the European Union that has the Euro as its lawful currency so described in any EMU Legislation.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any Acquisition consummated pursuant to </w:t>
      </w:r>
      <w:r>
        <w:rPr>
          <w:rFonts w:ascii="Arial" w:cs="Arial" w:eastAsia="Arial" w:hAnsi="Arial"/>
          <w:sz w:val="20"/>
          <w:szCs w:val="20"/>
          <w:u w:val="single" w:color="auto"/>
          <w:color w:val="auto"/>
        </w:rPr>
        <w:t>Section 9.3(o)</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pursuant to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any Indebtedness (the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used to modify, refinance, refund, renew, extend or replace outstanding Indebtedness (such outstanding Indebtedness,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Refinancing Indebtedness is not greater than the principal amount (or accreted value, if applicable) of the Refinanced Indebtedness at the time of such modification, refinancing, refunding, renewal, extension or replacement, except by an amount equal to unpaid accrued interest and premium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reasonable amounts paid, and fees and expenses reasonably incurred, in connection with such modification, refinancing, refunding, renewal, extension or replacement, and by an amount equal to any existing commitments thereunder that have not been utilized at the time of such modification, refinancing,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2" w:name="page153"/>
    <w:bookmarkEnd w:id="152"/>
    <w:p>
      <w:pPr>
        <w:jc w:val="both"/>
        <w:spacing w:after="0" w:line="302" w:lineRule="auto"/>
        <w:rPr>
          <w:sz w:val="20"/>
          <w:szCs w:val="20"/>
          <w:color w:val="auto"/>
        </w:rPr>
      </w:pPr>
      <w:r>
        <w:rPr>
          <w:rFonts w:ascii="Arial" w:cs="Arial" w:eastAsia="Arial" w:hAnsi="Arial"/>
          <w:sz w:val="16"/>
          <w:szCs w:val="16"/>
          <w:color w:val="auto"/>
        </w:rPr>
        <w:t>refunding, renewal, extension or replacement, (b) the final maturity and weighted average life to maturity of such Refinancing Indebtedness shall not be prior to or shorter than that applicable to the Refinanced Indebtedness, (c) the primary obligor and guarantors of such Refinancing Indebtedness shall be (i) the Borrower or any Subsidiary who is the obligor or guarantor of the Refinanced Indebtedness, (ii) any Credit Party if the obligor or guarantor of the Refinanced Indebtedness is a Credit Party or (iii) any Non-Guarantor Subsidiary if the obligor or guarantor of the Refinanced Indebtedness is a Non-Guarantor Subsidiary, (d) such Refinancing Indebtedness shall not be secured by (i) Liens on assets other than assets securing the Refinanced Indebtedness at the time of such modification, refinancing, refunding, renewal, extension or replacement or</w:t>
      </w:r>
    </w:p>
    <w:p>
      <w:pPr>
        <w:spacing w:after="0" w:line="4" w:lineRule="exact"/>
        <w:rPr>
          <w:sz w:val="20"/>
          <w:szCs w:val="20"/>
          <w:color w:val="auto"/>
        </w:rPr>
      </w:pPr>
    </w:p>
    <w:p>
      <w:pPr>
        <w:jc w:val="both"/>
        <w:ind w:firstLine="8"/>
        <w:spacing w:after="0" w:line="270" w:lineRule="auto"/>
        <w:tabs>
          <w:tab w:leader="none" w:pos="3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having a higher priority than the Liens, if any, securing the Refinanced Indebtedness, except, in each case, unless such Liens are Permitted Liens, (e) to the extent such Refinanced Indebtedness is subordinated in right of payment to the Obligations, such modification, refinancing, refunding, renewal, extension or replacement is subordinated in right of payment to the Obligations on subordination terms at least as favorable to the Lenders as those contained in the documentation governing such Refinanced Indebtedness or otherwise reasonably acceptable to the Administrative Agent, (f) the terms (excluding subordination, pricing, premiums and optional prepayment or redemption terms) of such Refinancing Indebtedness, taken as a whole, are not (as determined in good faith by the Borrower) materially more restrictive on the Borrower and its Subsidiaries than the terms of the Refinanced Indebtedness, taken as a whole, and (g) no Event of Default shall have occurred and be continuing at the time of such modification, refinancing, refunding, renewal, extension or replacement.</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means Debt Domain, Intralinks, SyndTrak or a substantially similar electronic transmission system.</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means:</w:t>
      </w:r>
    </w:p>
    <w:p>
      <w:pPr>
        <w:spacing w:after="0" w:line="216" w:lineRule="exact"/>
        <w:rPr>
          <w:sz w:val="20"/>
          <w:szCs w:val="20"/>
          <w:color w:val="auto"/>
        </w:rPr>
      </w:pPr>
    </w:p>
    <w:p>
      <w:pPr>
        <w:jc w:val="both"/>
        <w:ind w:firstLine="656"/>
        <w:spacing w:after="0" w:line="256" w:lineRule="auto"/>
        <w:tabs>
          <w:tab w:leader="none" w:pos="1117"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purposes of calculating Consolidated EBITDA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(i) there shall be included in determining Consolidated EBITDA for such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by the Borrower or such Subsidiary, based on the actual Acquired EBITDA of such acquired entity or business for such period (including the portion thereof occurring prior to such acquisition or conversion) and (y) there shall be excluded in determining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3" w:name="page154"/>
    <w:bookmarkEnd w:id="153"/>
    <w:p>
      <w:pPr>
        <w:jc w:val="both"/>
        <w:spacing w:after="0" w:line="260" w:lineRule="auto"/>
        <w:rPr>
          <w:sz w:val="20"/>
          <w:szCs w:val="20"/>
          <w:color w:val="auto"/>
        </w:rPr>
      </w:pPr>
      <w:r>
        <w:rPr>
          <w:rFonts w:ascii="Arial" w:cs="Arial" w:eastAsia="Arial" w:hAnsi="Arial"/>
          <w:sz w:val="19"/>
          <w:szCs w:val="19"/>
          <w:color w:val="auto"/>
        </w:rPr>
        <w:t xml:space="preserve">Consolidated EBITDA for such period, without duplication, the Disposed EBITDA of any Person or business, or attributable to any property or asset, Disposed of by the Borrower or any Subsidiary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amounts shall be without duplication of any adjustments that are already included in the calculation of Consolidated EBITDA, and</w:t>
      </w:r>
    </w:p>
    <w:p>
      <w:pPr>
        <w:spacing w:after="0" w:line="181" w:lineRule="exact"/>
        <w:rPr>
          <w:sz w:val="20"/>
          <w:szCs w:val="20"/>
          <w:color w:val="auto"/>
        </w:rPr>
      </w:pPr>
    </w:p>
    <w:p>
      <w:pPr>
        <w:jc w:val="both"/>
        <w:ind w:firstLine="656"/>
        <w:spacing w:after="0" w:line="256" w:lineRule="auto"/>
        <w:tabs>
          <w:tab w:leader="none" w:pos="1232"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Subsidiary incurs (including by assumption or guarantees) or repays (including by redemption, repayment, retirement, discharge, defeasance or extinguishment) any Indebtedness included in the calculations of any financial ratio or test (in each case, other than Indebtedness incurred or repaid under any revolving credit facility in the ordinary course of business for working capital purposes), (i) during the applicable measurement period or (ii) subsequent to the end of the applicable measurement period and prior to or simultaneously with the event for which the calculation of any such ratio is made, then such financial ratio or test shall be calculated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incurrence or repayment of Indebtedness, to the extent required, as if the same had occurred on the last day of the applicable measurement period and any such Indebtedness that is incurred (including by assumption or guarantee) that has a floating or formula rate of interest shall have an implied rate of interest for the applicable period determined by utilizing the rate which is or would be in effect with respect to such Indebtedness as of the relevant date of determination.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6.1(d)(ii)</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any right or interest in or to property of any kind whatsoever, whether real, personal or mixed and whether tangible or intangible, including, without limitation, Equity Interests.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any Equity Interests that are not Disqualified Equity Interests.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Lender,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12.9(c)</w:t>
      </w:r>
      <w:r>
        <w:rPr>
          <w:rFonts w:ascii="Arial" w:cs="Arial" w:eastAsia="Arial" w:hAnsi="Arial"/>
          <w:sz w:val="20"/>
          <w:szCs w:val="20"/>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xml:space="preserve">” means the obligation of the Borrower to reimburse any Issuing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for amounts drawn under Letters of Credit issued by such Issuing Lender.</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11.6(b).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5.8(c)</w:t>
      </w:r>
      <w:r>
        <w:rPr>
          <w:rFonts w:ascii="Arial" w:cs="Arial" w:eastAsia="Arial" w:hAnsi="Arial"/>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54" w:name="page155"/>
    <w:bookmarkEnd w:id="15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Total Credit Exposure representing more than fifty percent (50%) of the Total Credit Exposure of all Lenders. The Total Credit Exposure of any Defaulting Lender shall be disregarded in determining Required Lenders at any time.</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means, at any time, Revolving Credit Lenders having unused Revolving Credit Commitments and Revolving Credit Exposure representing more than 50% of the aggregate unused Revolving Credit Commitments and Revolving Credit Exposure of all Revolving Credit Lenders. The unused Revolving Credit Commitment of, and Revolving Credit Exposure held or deemed held by, any Defaulting Lender shall be disregarded in determining Required Revolving Credit Lenders at any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as to any Person, the chief executive officer, president, chief financial officer, controller, treasurer, assistant treasurer, corporate secretary or general counsel of such Person or any other officer of such Person designated in writing by the Borrower and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 Person shall be conclusively presumed to have been authorized by all necessary corporate, limited liability company, partnership and/or other action on the part of such Person and such Responsible Officer shall be conclusively presumed to have acted on behalf of such Person.</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w:t>
      </w:r>
    </w:p>
    <w:p>
      <w:pPr>
        <w:spacing w:after="0" w:line="229" w:lineRule="exact"/>
        <w:rPr>
          <w:sz w:val="20"/>
          <w:szCs w:val="20"/>
          <w:color w:val="auto"/>
        </w:rPr>
      </w:pPr>
    </w:p>
    <w:p>
      <w:pPr>
        <w:jc w:val="both"/>
        <w:ind w:firstLine="656"/>
        <w:spacing w:after="0" w:line="274" w:lineRule="auto"/>
        <w:tabs>
          <w:tab w:leader="none" w:pos="1192" w:val="left"/>
        </w:tabs>
        <w:numPr>
          <w:ilvl w:val="0"/>
          <w:numId w:val="67"/>
        </w:numPr>
        <w:rPr>
          <w:rFonts w:ascii="Arial" w:cs="Arial" w:eastAsia="Arial" w:hAnsi="Arial"/>
          <w:sz w:val="20"/>
          <w:szCs w:val="20"/>
          <w:color w:val="auto"/>
        </w:rPr>
      </w:pPr>
      <w:r>
        <w:rPr>
          <w:rFonts w:ascii="Arial" w:cs="Arial" w:eastAsia="Arial" w:hAnsi="Arial"/>
          <w:sz w:val="20"/>
          <w:szCs w:val="20"/>
          <w:color w:val="auto"/>
        </w:rPr>
        <w:t>with respect to any Loan, each date of a borrowing or continuation of a Eurocurrency Rate Loan denominated in an Alternative Currency and, at any time when either (i) an Event of Default has occurred and is continuing or (ii) the Revolving Credit Outstandings exceed 75% of the Revolving Credit Commitment, such additional dates as the Administrative Agent shall determine or the Required Lenders shall require; and</w:t>
      </w:r>
    </w:p>
    <w:p>
      <w:pPr>
        <w:spacing w:after="0" w:line="192" w:lineRule="exact"/>
        <w:rPr>
          <w:rFonts w:ascii="Arial" w:cs="Arial" w:eastAsia="Arial" w:hAnsi="Arial"/>
          <w:sz w:val="20"/>
          <w:szCs w:val="20"/>
          <w:color w:val="auto"/>
        </w:rPr>
      </w:pPr>
    </w:p>
    <w:p>
      <w:pPr>
        <w:jc w:val="both"/>
        <w:ind w:firstLine="656"/>
        <w:spacing w:after="0" w:line="310" w:lineRule="auto"/>
        <w:tabs>
          <w:tab w:leader="none" w:pos="120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any Letter of Credit, (i) each date of issuance of a Letter of Credit denominated in an Alternative L/C Currency (or an amendment of any such Letter of Credit having the effect of increasing the amount thereof), (ii) each date of any payment by an Issuing Lender under any Letter of Credit denominated in an Alternative L/C Currency and (iii) at any time when (A) an Event of Default has occurred and is continuing or (B) the Revolving Credit Outstandings exceed 75% of the Revolving Credit Commitment, such additional dates as the Administrative Agent or an Issuing Lender shall determine or the Required Lenders shall require.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means (a) as to any Revolving Credit Lender, the obligation of such Revolving Credit Lender to make Revolving Credit Loans to, and to purchase participations in L/C Obligations and Swingline Loans for the account of, the Borrower hereunder in an aggregate principal Dollar amount at any time outstanding not to exceed the amount set forth opposite such Revolving Credit Lender’s name on the Register, as such Dollar amount may be modified at any time or from time to time pursuant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5" w:name="page156"/>
    <w:bookmarkEnd w:id="155"/>
    <w:p>
      <w:pPr>
        <w:jc w:val="both"/>
        <w:spacing w:after="0" w:line="244" w:lineRule="auto"/>
        <w:rPr>
          <w:sz w:val="20"/>
          <w:szCs w:val="20"/>
          <w:color w:val="auto"/>
        </w:rPr>
      </w:pPr>
      <w:r>
        <w:rPr>
          <w:rFonts w:ascii="Arial" w:cs="Arial" w:eastAsia="Arial" w:hAnsi="Arial"/>
          <w:sz w:val="20"/>
          <w:szCs w:val="20"/>
          <w:color w:val="auto"/>
        </w:rPr>
        <w:t xml:space="preserve">the terms hereof (including, without limitation,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and (b) as to all Revolving Credit Lenders, the aggregate commitment of all Revolving Credit Lenders to make Revolving Credit Loans, as such Dollar amount may be modified at any time or from time to time pursuant to the terms hereof (including, without limitation,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The aggregate Revolving Credit Commitment of all the Revolving Credit Lenders on the Closing Date shall be $200,000,000. The Revolving Credit Commitment of each Revolving Credit Lender is set forth opposite the name of such Lender on </w:t>
      </w:r>
      <w:r>
        <w:rPr>
          <w:rFonts w:ascii="Arial" w:cs="Arial" w:eastAsia="Arial" w:hAnsi="Arial"/>
          <w:sz w:val="20"/>
          <w:szCs w:val="20"/>
          <w:u w:val="single" w:color="auto"/>
          <w:color w:val="auto"/>
        </w:rPr>
        <w:t>Schedule 1.1(b)</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Percentage of each Revolving Credit Lender is set forth opposite the name of such Lender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xml:space="preserve">” means the revolving credit facility established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any increase in such revolving credit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Lenders</w:t>
      </w:r>
      <w:r>
        <w:rPr>
          <w:rFonts w:ascii="Arial" w:cs="Arial" w:eastAsia="Arial" w:hAnsi="Arial"/>
          <w:sz w:val="20"/>
          <w:szCs w:val="20"/>
          <w:color w:val="auto"/>
        </w:rPr>
        <w:t>” means, collectively, all of the Lenders with a Revolving Credit Commitment.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means any revolving loan made to the Borrower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and all such revolving loans collectively as the context requires.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Maturity Date</w:t>
      </w:r>
      <w:r>
        <w:rPr>
          <w:rFonts w:ascii="Arial" w:cs="Arial" w:eastAsia="Arial" w:hAnsi="Arial"/>
          <w:sz w:val="20"/>
          <w:szCs w:val="20"/>
          <w:color w:val="auto"/>
        </w:rPr>
        <w:t xml:space="preserve">” means the earliest to occur of (a) February 8, 2024, (b) the date of termination of the entire Revolving Credit Commitment by the Borrower pursuant to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(c) the date of termination of the Revolving Credit Commitment pursuant to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made by the Borrower in favor of a Revolving Credit Lender evidencing the Revolving Credit Loans made by such Revolving Credit Lender, substantially in the form attached as </w:t>
      </w:r>
      <w:r>
        <w:rPr>
          <w:rFonts w:ascii="Arial" w:cs="Arial" w:eastAsia="Arial" w:hAnsi="Arial"/>
          <w:sz w:val="20"/>
          <w:szCs w:val="20"/>
          <w:b w:val="1"/>
          <w:bCs w:val="1"/>
          <w:i w:val="1"/>
          <w:iCs w:val="1"/>
          <w:color w:val="auto"/>
        </w:rPr>
        <w:t>Exhibit A-1</w:t>
      </w:r>
      <w:r>
        <w:rPr>
          <w:rFonts w:ascii="Arial" w:cs="Arial" w:eastAsia="Arial" w:hAnsi="Arial"/>
          <w:sz w:val="20"/>
          <w:szCs w:val="20"/>
          <w:color w:val="auto"/>
        </w:rPr>
        <w:t>, and any substitutes therefor, and any replacements, restatements, renewals or extension thereof, in whole or in part.</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Outstandings</w:t>
      </w:r>
      <w:r>
        <w:rPr>
          <w:rFonts w:ascii="Arial" w:cs="Arial" w:eastAsia="Arial" w:hAnsi="Arial"/>
          <w:sz w:val="19"/>
          <w:szCs w:val="19"/>
          <w:color w:val="auto"/>
        </w:rPr>
        <w:t xml:space="preserve">” means the </w:t>
      </w:r>
      <w:r>
        <w:rPr>
          <w:rFonts w:ascii="Arial" w:cs="Arial" w:eastAsia="Arial" w:hAnsi="Arial"/>
          <w:sz w:val="19"/>
          <w:szCs w:val="19"/>
          <w:u w:val="single" w:color="auto"/>
          <w:color w:val="auto"/>
        </w:rPr>
        <w:t>sum</w:t>
      </w:r>
      <w:r>
        <w:rPr>
          <w:rFonts w:ascii="Arial" w:cs="Arial" w:eastAsia="Arial" w:hAnsi="Arial"/>
          <w:sz w:val="19"/>
          <w:szCs w:val="19"/>
          <w:color w:val="auto"/>
        </w:rPr>
        <w:t xml:space="preserve"> of (a) with respect to Revolving Credit Loans and Swingline Loans on any date, the Dollar Equivalent amount of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with respect to any L/C Obligations on any date, the Dollar Equivalent amount of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 a division of S&amp;P Global Inc. and any successor thereto.</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Same Day Funds</w:t>
      </w:r>
      <w:r>
        <w:rPr>
          <w:rFonts w:ascii="Arial" w:cs="Arial" w:eastAsia="Arial" w:hAnsi="Arial"/>
          <w:sz w:val="19"/>
          <w:szCs w:val="19"/>
          <w:color w:val="auto"/>
        </w:rPr>
        <w:t>” means (a) with respect to disbursements and payments in Dollars, immediately available funds, and (b) with respect to disbursements and payments in an Alternative Currency or an Alternative L/C Currency, same day or other funds as may be determined by the Administrative Agent or an Issuing Lender, as applicable, to be customary in the place of disbursement or payment for the settlement of international banking transactions in the relevant Alternative Currency or Alternative L/C Currency.</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or whose government, in either case, is the subject or target of any Sanctions (including, as of the Closing Date, Cuba, Iran, North Korea, Syria and Crimea).</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Her Majesty’s Treasury, or other relevant sanctions authority applicable to any party to this Agreement, (b) any Person operating, organized or resident in a Sanctioned Country, (c) any Person owned 50% or more, individually or in the aggregate, directly or indirectly, or Controlled by any such Person or Persons described in clauses (a) and (b), including a Person that is deemed by OFAC to be a Sanctions target based on the ownership of such legal entity by Sanctioned Person(s) or (d) any Person otherwise a target of Sanctions.</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Her Majesty’s Treasury, or other relevant sanctions authority in any jurisdiction.</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 or any Governmental Authority succeeding to any of its principal functions.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xml:space="preserve">” means the Securities Act of 1933 (15 U.S.C. § 77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and its Subsidiaries, on a Consolidated basis, is greater than the total amount of liabilities, including contingent liabilities, of such Person and its Subsidiaries, on a Consolidated basis, (b) the present fair salable value of the Property of such Person and its Subsidiaries, on a Consolidated basis, is not less than the amount that will be required to pay the probable liability of such Person and its Subsidiaries, on a Consolidated basis, on their debts as they become absolute and matured, (c) such Person and its Subsidiaries, on a Consolidated basis, do not intend to, and do not believe that they will, incur debts or liabilities beyond their ability to pay such debts and liabilities as they mature in the ordinary course of business, and (d) the capital of such Person and its Subsidiaries, on a Consolidated basis, is not unreasonably small in relation to the business of such Person and its Subsidiaries, on a Consolidated basis, as of such date.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7" w:name="page158"/>
    <w:bookmarkEnd w:id="157"/>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or Alternative L/C Currency, other than the currency of a country that is a member of the Organization for Economic Cooperation and Development at such time located in North America or Europe.</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Agreements</w:t>
      </w:r>
      <w:r>
        <w:rPr>
          <w:rFonts w:ascii="Arial" w:cs="Arial" w:eastAsia="Arial" w:hAnsi="Arial"/>
          <w:sz w:val="19"/>
          <w:szCs w:val="19"/>
          <w:color w:val="auto"/>
        </w:rPr>
        <w:t xml:space="preserve">” means the collective reference to agreements set forth in Item (5) and Item (9) of </w:t>
      </w:r>
      <w:r>
        <w:rPr>
          <w:rFonts w:ascii="Arial" w:cs="Arial" w:eastAsia="Arial" w:hAnsi="Arial"/>
          <w:sz w:val="19"/>
          <w:szCs w:val="19"/>
          <w:u w:val="single" w:color="auto"/>
          <w:color w:val="auto"/>
        </w:rPr>
        <w:t>Schedule 9.13</w:t>
      </w:r>
      <w:r>
        <w:rPr>
          <w:rFonts w:ascii="Arial" w:cs="Arial" w:eastAsia="Arial" w:hAnsi="Arial"/>
          <w:sz w:val="19"/>
          <w:szCs w:val="19"/>
          <w:color w:val="auto"/>
        </w:rPr>
        <w:t xml:space="preserve">, as such agreements may be amended, restated, supplemented or otherwise modified, subject to the limitations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Cash Management Agreement</w:t>
      </w:r>
      <w:r>
        <w:rPr>
          <w:rFonts w:ascii="Arial" w:cs="Arial" w:eastAsia="Arial" w:hAnsi="Arial"/>
          <w:sz w:val="20"/>
          <w:szCs w:val="20"/>
          <w:color w:val="auto"/>
        </w:rPr>
        <w:t>” means (a) any Cash Management Agreement between or among the Borrower or any of its Subsidiaries and a counterparty that is the Administrative Agent or any of its Affiliates, (b) any Cash Management Agreement in effect on the Closing Date between or among the Borrower or any of its Subsidiaries and a counterparty that is a Lender or an Affiliate of a Lender as of the Closing Date or (c) any Cash Management Agreement entered into after the Closing Date between or among the Borrower or any of its Subsidiaries and a counterparty that is a Lender, an Agent or an Affiliate of a Lender or an Agent at the time such Cash Management Agreement is entered into.</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Cash Management Obligations</w:t>
      </w:r>
      <w:r>
        <w:rPr>
          <w:rFonts w:ascii="Arial" w:cs="Arial" w:eastAsia="Arial" w:hAnsi="Arial"/>
          <w:sz w:val="20"/>
          <w:szCs w:val="20"/>
          <w:color w:val="auto"/>
        </w:rPr>
        <w:t>” means all existing or future payment and other obligations owing by the Borrower or any of its Subsidiaries under any Specified Cash Management Agreement.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Documents</w:t>
      </w:r>
      <w:r>
        <w:rPr>
          <w:rFonts w:ascii="Arial" w:cs="Arial" w:eastAsia="Arial" w:hAnsi="Arial"/>
          <w:sz w:val="19"/>
          <w:szCs w:val="19"/>
          <w:color w:val="auto"/>
        </w:rPr>
        <w:t xml:space="preserve">” means those agreements set forth on </w:t>
      </w:r>
      <w:r>
        <w:rPr>
          <w:rFonts w:ascii="Arial" w:cs="Arial" w:eastAsia="Arial" w:hAnsi="Arial"/>
          <w:sz w:val="19"/>
          <w:szCs w:val="19"/>
          <w:u w:val="single" w:color="auto"/>
          <w:color w:val="auto"/>
        </w:rPr>
        <w:t>Schedule 9.13</w:t>
      </w:r>
      <w:r>
        <w:rPr>
          <w:rFonts w:ascii="Arial" w:cs="Arial" w:eastAsia="Arial" w:hAnsi="Arial"/>
          <w:sz w:val="19"/>
          <w:szCs w:val="19"/>
          <w:color w:val="auto"/>
        </w:rPr>
        <w:t xml:space="preserve">, as such agreements may be amended, restated, supplemented or otherwise modified, subject to the limitations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xml:space="preserve">” means any Asset Disposition (other than an Asset Disposition permitted under </w:t>
      </w:r>
      <w:r>
        <w:rPr>
          <w:rFonts w:ascii="Arial" w:cs="Arial" w:eastAsia="Arial" w:hAnsi="Arial"/>
          <w:sz w:val="20"/>
          <w:szCs w:val="20"/>
          <w:u w:val="single" w:color="auto"/>
          <w:color w:val="auto"/>
        </w:rPr>
        <w:t>Sections 9.5(a)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(m)</w:t>
      </w:r>
      <w:r>
        <w:rPr>
          <w:rFonts w:ascii="Arial" w:cs="Arial" w:eastAsia="Arial" w:hAnsi="Arial"/>
          <w:sz w:val="20"/>
          <w:szCs w:val="20"/>
          <w:color w:val="auto"/>
        </w:rPr>
        <w:t>) having gross sales proceeds in excess of $20,000,000.</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Hedge Agreement</w:t>
      </w:r>
      <w:r>
        <w:rPr>
          <w:rFonts w:ascii="Arial" w:cs="Arial" w:eastAsia="Arial" w:hAnsi="Arial"/>
          <w:sz w:val="19"/>
          <w:szCs w:val="19"/>
          <w:color w:val="auto"/>
        </w:rPr>
        <w:t>” means (a) any Hedge Agreement between or among the Borrower or any of its Subsidiaries and a counterparty that is the Administrative Agent or any of its Affiliates, (b) any Hedge Agreement in effect on the Closing Date between or among the Borrower or any of its Subsidiaries and a counterparty that is a Lender or an Affiliate of a Lender as of the Closing Date or (c) any Hedge Agreement entered into after the Closing Date between or among the Borrower or any of its Subsidiaries and a counterparty that is a Lender, an Agent or an Affiliate of a Lender or an Agent at the time such Hedge Agreement is entered into.</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Hedge Obligations</w:t>
      </w:r>
      <w:r>
        <w:rPr>
          <w:rFonts w:ascii="Arial" w:cs="Arial" w:eastAsia="Arial" w:hAnsi="Arial"/>
          <w:sz w:val="20"/>
          <w:szCs w:val="20"/>
          <w:color w:val="auto"/>
        </w:rPr>
        <w:t xml:space="preserve">” means all existing or future payment and other obligations owing by the Borrower or any of its Subsidiaries under any Specified Hedge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“Specified Hedge Obligations” of a Credit Party shall exclude any Excluded Swap Obligations with respect to such Credit Party.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Transactions</w:t>
      </w:r>
      <w:r>
        <w:rPr>
          <w:rFonts w:ascii="Arial" w:cs="Arial" w:eastAsia="Arial" w:hAnsi="Arial"/>
          <w:sz w:val="20"/>
          <w:szCs w:val="20"/>
          <w:color w:val="auto"/>
        </w:rPr>
        <w:t>” means (a) any Specified Disposition and (b) any Permitted Acquisition.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Administrative Agent or an Issuing Lender,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or an Issuing Lender, as the case may be, may obtain such spot rate from another financial institution designated by the Administrative Agent or such Issuing Lender if the Person acting in such capacity does not have as of the date of determination a spot buying rate for any such currency;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 Issuing Lender may use such spot rate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58" w:name="page159"/>
    <w:bookmarkEnd w:id="158"/>
    <w:p>
      <w:pPr>
        <w:jc w:val="both"/>
        <w:spacing w:after="0" w:line="260" w:lineRule="auto"/>
        <w:rPr>
          <w:sz w:val="20"/>
          <w:szCs w:val="20"/>
          <w:color w:val="auto"/>
        </w:rPr>
      </w:pPr>
      <w:r>
        <w:rPr>
          <w:rFonts w:ascii="Arial" w:cs="Arial" w:eastAsia="Arial" w:hAnsi="Arial"/>
          <w:sz w:val="20"/>
          <w:szCs w:val="20"/>
          <w:color w:val="auto"/>
        </w:rPr>
        <w:t>quoted on the date as of which the foreign exchange computation is made in the case of any Letter of Credit denominated in an Alternative L/C Currency.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the collective reference to any Indebtedness incurred by the Borrower or any of its Subsidiaries that is subordinated in right and time of payment to the Obligations on terms and conditions satisfactory to the Administrative Agent.</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means the lesser of (a) $20,000,000 and (b) the Revolving Credit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Facility</w:t>
      </w:r>
      <w:r>
        <w:rPr>
          <w:rFonts w:ascii="Arial" w:cs="Arial" w:eastAsia="Arial" w:hAnsi="Arial"/>
          <w:sz w:val="20"/>
          <w:szCs w:val="20"/>
          <w:color w:val="auto"/>
        </w:rPr>
        <w:t xml:space="preserve">” means the swingline facility established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Wells Fargo in its capacity as swingline lender hereunder or any successor thereto.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means any swingline loan made by the Swingline Lender to the Borrower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and all such swingline loans collectively as the context requires.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Note</w:t>
      </w:r>
      <w:r>
        <w:rPr>
          <w:rFonts w:ascii="Arial" w:cs="Arial" w:eastAsia="Arial" w:hAnsi="Arial"/>
          <w:sz w:val="20"/>
          <w:szCs w:val="20"/>
          <w:color w:val="auto"/>
        </w:rPr>
        <w:t xml:space="preserve">” means a promissory note made by the Borrower in favor of the Swingline Lender evidencing the Swingline Loans made by the Swingline Lender, substantially in the form attached as </w:t>
      </w:r>
      <w:r>
        <w:rPr>
          <w:rFonts w:ascii="Arial" w:cs="Arial" w:eastAsia="Arial" w:hAnsi="Arial"/>
          <w:sz w:val="20"/>
          <w:szCs w:val="20"/>
          <w:b w:val="1"/>
          <w:bCs w:val="1"/>
          <w:i w:val="1"/>
          <w:iCs w:val="1"/>
          <w:color w:val="auto"/>
        </w:rPr>
        <w:t>Exhibit A-2</w:t>
      </w:r>
      <w:r>
        <w:rPr>
          <w:rFonts w:ascii="Arial" w:cs="Arial" w:eastAsia="Arial" w:hAnsi="Arial"/>
          <w:sz w:val="20"/>
          <w:szCs w:val="20"/>
          <w:color w:val="auto"/>
        </w:rPr>
        <w:t>, and any substitutes therefor, and any replacements, restatements, renewals or extension thereof, in whole or in part.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Participation Amount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2.2(b)(iii)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59" w:name="page160"/>
    <w:bookmarkEnd w:id="159"/>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the occurrence of any of the following which, individually or in the aggregate, has resulted or could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w:t>
      </w:r>
    </w:p>
    <w:p>
      <w:pPr>
        <w:spacing w:after="0" w:line="4" w:lineRule="exact"/>
        <w:rPr>
          <w:sz w:val="20"/>
          <w:szCs w:val="20"/>
          <w:color w:val="auto"/>
        </w:rPr>
      </w:pPr>
    </w:p>
    <w:p>
      <w:pPr>
        <w:jc w:val="both"/>
        <w:ind w:firstLine="8"/>
        <w:spacing w:after="0" w:line="266" w:lineRule="auto"/>
        <w:tabs>
          <w:tab w:leader="none" w:pos="2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w:t>
      </w:r>
    </w:p>
    <w:p>
      <w:pPr>
        <w:jc w:val="both"/>
        <w:ind w:firstLine="8"/>
        <w:spacing w:after="0" w:line="254" w:lineRule="auto"/>
        <w:tabs>
          <w:tab w:leader="none" w:pos="252"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$50,000,000.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Revolving Credit Exposure and outstanding Incremental Term Loans of such Lender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12.9(g)(i)</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(a) the repayment in full of all Indebtedness outstanding under the Existing Credit Agreement and (b) the entering into this Agreement and the initial Extensions of Credit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and Cash Equivalents</w:t>
      </w:r>
      <w:r>
        <w:rPr>
          <w:rFonts w:ascii="Arial" w:cs="Arial" w:eastAsia="Arial" w:hAnsi="Arial"/>
          <w:sz w:val="19"/>
          <w:szCs w:val="19"/>
          <w:color w:val="auto"/>
        </w:rPr>
        <w:t xml:space="preserve">” means, as of any date of determination, the sum of (a) 100% of all cash and Cash Equivalents of the Borrower and its Domestic Subsidiaries and (b) 50% of all cash and Cash Equivalents of the Foreign Subsidiaries of the Borrower, in each case that are unrestricted and not subject to any Liens (other than Liens permitted under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(l)</w:t>
      </w:r>
      <w:r>
        <w:rPr>
          <w:rFonts w:ascii="Arial" w:cs="Arial" w:eastAsia="Arial" w:hAnsi="Arial"/>
          <w:sz w:val="19"/>
          <w:szCs w:val="19"/>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60" w:name="page161"/>
    <w:bookmarkEnd w:id="16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5.11(g)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 and Provisions</w:t>
      </w:r>
      <w:r>
        <w:rPr>
          <w:rFonts w:ascii="Arial" w:cs="Arial" w:eastAsia="Arial" w:hAnsi="Arial"/>
          <w:sz w:val="18"/>
          <w:szCs w:val="18"/>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w:t>
      </w:r>
    </w:p>
    <w:p>
      <w:pPr>
        <w:spacing w:after="0" w:line="1" w:lineRule="exact"/>
        <w:rPr>
          <w:sz w:val="20"/>
          <w:szCs w:val="20"/>
          <w:color w:val="auto"/>
        </w:rPr>
      </w:pPr>
    </w:p>
    <w:p>
      <w:pPr>
        <w:jc w:val="both"/>
        <w:ind w:firstLine="8"/>
        <w:spacing w:after="0" w:line="254" w:lineRule="auto"/>
        <w:tabs>
          <w:tab w:leader="none" w:pos="269"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4" w:lineRule="auto"/>
        <w:tabs>
          <w:tab w:leader="none" w:pos="11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1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1" w:name="page162"/>
    <w:bookmarkEnd w:id="161"/>
    <w:p>
      <w:pPr>
        <w:jc w:val="both"/>
        <w:spacing w:after="0" w:line="269" w:lineRule="auto"/>
        <w:rPr>
          <w:sz w:val="20"/>
          <w:szCs w:val="20"/>
          <w:color w:val="auto"/>
        </w:rPr>
      </w:pPr>
      <w:r>
        <w:rPr>
          <w:rFonts w:ascii="Arial" w:cs="Arial" w:eastAsia="Arial" w:hAnsi="Arial"/>
          <w:sz w:val="18"/>
          <w:szCs w:val="18"/>
          <w:color w:val="auto"/>
        </w:rPr>
        <w:t xml:space="preserve">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all liabilities related to operating leases, as defined by FASB ASC 842 as of the Closing Date, shall be excluded from the definitions of “Indebtedness” and “Consolidated Funded Indebtedness” and</w:t>
      </w:r>
    </w:p>
    <w:p>
      <w:pPr>
        <w:spacing w:after="0" w:line="2" w:lineRule="exact"/>
        <w:rPr>
          <w:sz w:val="20"/>
          <w:szCs w:val="20"/>
          <w:color w:val="auto"/>
        </w:rPr>
      </w:pPr>
    </w:p>
    <w:p>
      <w:pPr>
        <w:ind w:firstLine="8"/>
        <w:spacing w:after="0" w:line="244" w:lineRule="auto"/>
        <w:tabs>
          <w:tab w:leader="none" w:pos="325" w:val="left"/>
        </w:tabs>
        <w:numPr>
          <w:ilvl w:val="0"/>
          <w:numId w:val="72"/>
        </w:numPr>
        <w:rPr>
          <w:rFonts w:ascii="Arial" w:cs="Arial" w:eastAsia="Arial" w:hAnsi="Arial"/>
          <w:sz w:val="20"/>
          <w:szCs w:val="20"/>
          <w:color w:val="auto"/>
        </w:rPr>
      </w:pPr>
      <w:r>
        <w:rPr>
          <w:rFonts w:ascii="Arial" w:cs="Arial" w:eastAsia="Arial" w:hAnsi="Arial"/>
          <w:sz w:val="20"/>
          <w:szCs w:val="20"/>
          <w:color w:val="auto"/>
        </w:rPr>
        <w:t>payments related to operating leases, as defined by FASB ASC 842 as of the Closing Date, shall not be included in Consolidated Interest Expense in part or in whole.</w:t>
      </w:r>
    </w:p>
    <w:p>
      <w:pPr>
        <w:spacing w:after="0" w:line="191" w:lineRule="exact"/>
        <w:rPr>
          <w:rFonts w:ascii="Arial" w:cs="Arial" w:eastAsia="Arial" w:hAnsi="Arial"/>
          <w:sz w:val="20"/>
          <w:szCs w:val="20"/>
          <w:color w:val="auto"/>
        </w:rPr>
      </w:pPr>
    </w:p>
    <w:p>
      <w:pPr>
        <w:ind w:firstLine="656"/>
        <w:spacing w:after="0" w:line="260" w:lineRule="auto"/>
        <w:tabs>
          <w:tab w:leader="none" w:pos="1102" w:val="left"/>
        </w:tabs>
        <w:numPr>
          <w:ilvl w:val="1"/>
          <w:numId w:val="72"/>
        </w:numPr>
        <w:rPr>
          <w:rFonts w:ascii="Arial" w:cs="Arial" w:eastAsia="Arial" w:hAnsi="Arial"/>
          <w:sz w:val="20"/>
          <w:szCs w:val="20"/>
          <w:color w:val="auto"/>
        </w:rPr>
      </w:pPr>
      <w:r>
        <w:rPr>
          <w:rFonts w:ascii="Arial" w:cs="Arial" w:eastAsia="Arial" w:hAnsi="Arial"/>
          <w:sz w:val="20"/>
          <w:szCs w:val="20"/>
          <w:color w:val="auto"/>
        </w:rPr>
        <w:t xml:space="preserve">Any provision of this Agreement that requires compliance on a Pro Forma Basis with the Consolidated Net Leverage Ratio set forth in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shall be deemed to include any Leverage Ratio Increase then in effect pursuant to </w:t>
      </w:r>
      <w:r>
        <w:rPr>
          <w:rFonts w:ascii="Arial" w:cs="Arial" w:eastAsia="Arial" w:hAnsi="Arial"/>
          <w:sz w:val="20"/>
          <w:szCs w:val="20"/>
          <w:u w:val="single" w:color="auto"/>
          <w:color w:val="auto"/>
        </w:rPr>
        <w:t>Section 9.12(a)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UCC Terms</w:t>
      </w:r>
      <w:r>
        <w:rPr>
          <w:rFonts w:ascii="Arial" w:cs="Arial" w:eastAsia="Arial" w:hAnsi="Arial"/>
          <w:sz w:val="20"/>
          <w:szCs w:val="20"/>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References to Agreement and Laws</w:t>
      </w:r>
      <w:r>
        <w:rPr>
          <w:rFonts w:ascii="Arial" w:cs="Arial" w:eastAsia="Arial" w:hAnsi="Arial"/>
          <w:sz w:val="19"/>
          <w:szCs w:val="19"/>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Letter of Credit Amounts</w:t>
      </w:r>
      <w:r>
        <w:rPr>
          <w:rFonts w:ascii="Arial" w:cs="Arial" w:eastAsia="Arial" w:hAnsi="Arial"/>
          <w:sz w:val="20"/>
          <w:szCs w:val="20"/>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Guarantees/Earn-Outs</w:t>
      </w:r>
      <w:r>
        <w:rPr>
          <w:rFonts w:ascii="Arial" w:cs="Arial" w:eastAsia="Arial" w:hAnsi="Arial"/>
          <w:sz w:val="20"/>
          <w:szCs w:val="20"/>
          <w:color w:val="auto"/>
        </w:rPr>
        <w:t>. Unless otherwise specified, (a) the amount of any Guarantee shall be the lesser of the amount of the obligations guaranteed and still outstanding and the maximum amount for which the guaranteeing Person may be liable pursuant to the terms of the instrument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62" w:name="page163"/>
    <w:bookmarkEnd w:id="162"/>
    <w:p>
      <w:pPr>
        <w:jc w:val="both"/>
        <w:spacing w:after="0" w:line="260" w:lineRule="auto"/>
        <w:rPr>
          <w:sz w:val="20"/>
          <w:szCs w:val="20"/>
          <w:color w:val="auto"/>
        </w:rPr>
      </w:pPr>
      <w:r>
        <w:rPr>
          <w:rFonts w:ascii="Arial" w:cs="Arial" w:eastAsia="Arial" w:hAnsi="Arial"/>
          <w:sz w:val="20"/>
          <w:szCs w:val="20"/>
          <w:color w:val="auto"/>
        </w:rPr>
        <w:t>embodying such Guarantee and (b) the amount of any earn-out or similar obligation shall be the amount of such obligation as reflected on the balance sheet of such Person in accordance with GAAP.</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Covenant Compliance Generally</w:t>
      </w:r>
      <w:r>
        <w:rPr>
          <w:rFonts w:ascii="Arial" w:cs="Arial" w:eastAsia="Arial" w:hAnsi="Arial"/>
          <w:sz w:val="19"/>
          <w:szCs w:val="19"/>
          <w:color w:val="auto"/>
        </w:rPr>
        <w:t xml:space="preserve">. For purposes of determining compliance under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w:t>
      </w:r>
      <w:r>
        <w:rPr>
          <w:rFonts w:ascii="Arial" w:cs="Arial" w:eastAsia="Arial" w:hAnsi="Arial"/>
          <w:sz w:val="19"/>
          <w:szCs w:val="19"/>
          <w:u w:val="single" w:color="auto"/>
          <w:color w:val="auto"/>
        </w:rPr>
        <w:t>9.5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9.6</w:t>
      </w:r>
      <w:r>
        <w:rPr>
          <w:rFonts w:ascii="Arial" w:cs="Arial" w:eastAsia="Arial" w:hAnsi="Arial"/>
          <w:sz w:val="19"/>
          <w:szCs w:val="19"/>
          <w:color w:val="auto"/>
        </w:rPr>
        <w:t xml:space="preserve">, any amount in a currency other than Dollars will be converted to Dollars in a manner consistent with that used in calculating Consolidated Net Income in the most recent annual financial statements of the Borrower and its Subsidiaries delivered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Notwithstanding the foregoing, for purposes of determining compliance with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foregoing provisions of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shall otherwise apply to such Sections, including with respect to determining whether any Indebtedness or Investment may be incurred at any time under such Sections.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4" w:lineRule="auto"/>
        <w:tabs>
          <w:tab w:leader="none" w:pos="10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Administrative Agent or the applicable Issuing Lender shall determine the Spot Rates as of each Revaluation Date to be used for calculating Dollar Equivalent amounts of Extensions of Credit and Revolving Credit Outstandings and Revolving Credit Exposure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hereunder or except as otherwise provided herein (including, without limitation, </w:t>
      </w:r>
      <w:r>
        <w:rPr>
          <w:rFonts w:ascii="Arial" w:cs="Arial" w:eastAsia="Arial" w:hAnsi="Arial"/>
          <w:sz w:val="18"/>
          <w:szCs w:val="18"/>
          <w:u w:val="single" w:color="auto"/>
          <w:color w:val="auto"/>
        </w:rPr>
        <w:t>Section 1.10</w:t>
      </w:r>
      <w:r>
        <w:rPr>
          <w:rFonts w:ascii="Arial" w:cs="Arial" w:eastAsia="Arial" w:hAnsi="Arial"/>
          <w:sz w:val="18"/>
          <w:szCs w:val="18"/>
          <w:color w:val="auto"/>
        </w:rPr>
        <w:t>), the applicable amount of any currency (other than Dollars) for purposes of the Loan Documents shall be such Dollar Equivalent amount as so determined by the Administrative Agent or the applicable Issuing Lender.</w:t>
      </w:r>
    </w:p>
    <w:p>
      <w:pPr>
        <w:spacing w:after="0" w:line="169" w:lineRule="exact"/>
        <w:rPr>
          <w:rFonts w:ascii="Arial" w:cs="Arial" w:eastAsia="Arial" w:hAnsi="Arial"/>
          <w:sz w:val="18"/>
          <w:szCs w:val="18"/>
          <w:color w:val="auto"/>
        </w:rPr>
      </w:pPr>
    </w:p>
    <w:p>
      <w:pPr>
        <w:jc w:val="both"/>
        <w:ind w:firstLine="656"/>
        <w:spacing w:after="0" w:line="243" w:lineRule="auto"/>
        <w:tabs>
          <w:tab w:leader="none" w:pos="11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Wherever in this Agreement in connection with a borrowing, conversion, continuation or prepayment of a Eurocurrency Rate Loan or the issuance, amendment or extension of a Letter of Credit, an amount, such as a required minimum, a required maximum or multiple amount, is expressed in Dollars, but such Eurocurrency Rate Loan or Letter of Credit is denominated in an Alternative Currency or an Alternative L/C Currency, such amount shall be the relevant Alternative Currency Equivalent of such Dollar amount (rounded to the nearest unit of such Alternative Currency, with 0.5 of a unit being rounded upward), as determined by the Administrative Agent or the applicable Issuing Lender, as applicable.</w:t>
      </w:r>
    </w:p>
    <w:p>
      <w:pPr>
        <w:spacing w:after="0" w:line="19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048"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The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97" w:lineRule="exact"/>
        <w:rPr>
          <w:rFonts w:ascii="Arial" w:cs="Arial" w:eastAsia="Arial" w:hAnsi="Arial"/>
          <w:sz w:val="20"/>
          <w:szCs w:val="20"/>
          <w:color w:val="auto"/>
        </w:rPr>
      </w:pPr>
    </w:p>
    <w:p>
      <w:pPr>
        <w:ind w:firstLine="656"/>
        <w:spacing w:after="0" w:line="260" w:lineRule="auto"/>
        <w:tabs>
          <w:tab w:leader="none" w:pos="1113" w:val="left"/>
        </w:tabs>
        <w:numPr>
          <w:ilvl w:val="0"/>
          <w:numId w:val="74"/>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Euro by any member state of the European Union and any relevant market conventions or practices relating to the Euro.</w:t>
      </w:r>
    </w:p>
    <w:p>
      <w:pPr>
        <w:spacing w:after="0" w:line="216" w:lineRule="exact"/>
        <w:rPr>
          <w:sz w:val="20"/>
          <w:szCs w:val="20"/>
          <w:color w:val="auto"/>
        </w:rPr>
      </w:pPr>
    </w:p>
    <w:p>
      <w:pPr>
        <w:jc w:val="both"/>
        <w:ind w:firstLine="656"/>
        <w:spacing w:after="0" w:line="250" w:lineRule="auto"/>
        <w:tabs>
          <w:tab w:leader="none" w:pos="1102"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6" w:lineRule="auto"/>
        <w:tabs>
          <w:tab w:leader="none" w:pos="104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request that (i) Eurocurrency Rate Loans be made in a currency other than those specifically listed in the definition of “Alternative Currency” and/or (ii) Letters of Credit be issued in a currency other than those specifically listed in the definition of “Alternative L/C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 a lawful currency (other than Dollars) that is readily available and freely transferable and convertible into Dollars (B) dealt with in the London interbank deposit market and (C) for which no central bank or other governmental authorization in the country of issue of such currency is required to give authorization for the use of such currency by any Revolving Credit Lender for making Loans unless such authorization has been obtained and remains in full force and effect. In the case of any such request with respect to the making of Eurocurrency Rate Loans, such request shall be subject to the approval of the Administrative Agent and the Revolving Credit Lenders; and in the case of any such request with respect to the issuance of Letters of Credit, such request shall be subject to the approval of the Administrative Agent, the Revolving Credit Lenders and the applicable Issuing Lender or Issuing Lenders.</w:t>
      </w:r>
    </w:p>
    <w:p>
      <w:pPr>
        <w:spacing w:after="0" w:line="181" w:lineRule="exact"/>
        <w:rPr>
          <w:rFonts w:ascii="Arial" w:cs="Arial" w:eastAsia="Arial" w:hAnsi="Arial"/>
          <w:sz w:val="19"/>
          <w:szCs w:val="19"/>
          <w:color w:val="auto"/>
        </w:rPr>
      </w:pPr>
    </w:p>
    <w:p>
      <w:pPr>
        <w:jc w:val="both"/>
        <w:ind w:firstLine="656"/>
        <w:spacing w:after="0" w:line="271"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(i) with respect to a request for an additional Alternative Currency, 20 Business Days prior to the date of the desired Extension of Credit (or such other time or date as may be agreed by the Administrative Agent in its sole discretion) or (ii) with respect to a request for an additional Alternative L/C Currency, 5 Business Days prior to the date of the desired Letter of Credit (or such other time or date as may be agreed by the applicable Issuing Lender, in its sole discretion). In the case of any such request pertaining to Eurocurrency Rate Loans, the Administrative Agent shall promptly notify each Revolving Credit Lender thereof; and in the case of any such request pertaining to Letters of Credit, the Administrative Agent shall promptly notify the Issuing Lender thereof. Each Revolving Credit Lender (in the case of any such request pertaining to Eurocurrency Rate Loans) shall notify the Administrative Agent, not later than 11:00 a.m., ten Business Days after receipt of such request whether it consents, in its sole discretion, to the making of Eurocurrency Rate Loans in such requested currency. The applicable Issuing Lender (in the case of a request pertaining to Letters of Credit) shall notify the Administrative Agent, not later than 11:00 a.m., three Business Days after receipt of such request whether it consents, in its sole discretion, to the issuance of Letters of Credit in such requested currency.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Any failure by a Revolving Credit Lender or the applicable Issuing Lender, as the case may be, to respond to such request within the time period specified in the preceding sentence shall be deemed to be a refusal by such Lender or the applicable Issuing Lender, as the case may be, to permit Eurocurrency Rate Loans to be made or Letters of Credit to be issued in such requested currency. If the Administrative Agent and all the Revolving Credit Lenders consent to making Eurocurrency Rate Loans in such requested currency, the Administrative Agent shall so notify the Borrower and such currency shall thereupon be deemed for all purposes to be an Alternative Currency hereunder for purposes of any borrowings of Eurocurrency Rate Loans; and if the Administrative Agent, all the Revolving Credit Lenders and the applicable Issuing Lender consent to the issuance of Letters of Credit in such requested currency, the Administrative Agent shall so notify the Borrower and such currency shall thereupon be deemed for all purposes to be an Alternative L/C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4" w:name="page165"/>
    <w:bookmarkEnd w:id="164"/>
    <w:p>
      <w:pPr>
        <w:jc w:val="both"/>
        <w:spacing w:after="0" w:line="316" w:lineRule="auto"/>
        <w:rPr>
          <w:sz w:val="20"/>
          <w:szCs w:val="20"/>
          <w:color w:val="auto"/>
        </w:rPr>
      </w:pPr>
      <w:r>
        <w:rPr>
          <w:rFonts w:ascii="Arial" w:cs="Arial" w:eastAsia="Arial" w:hAnsi="Arial"/>
          <w:sz w:val="18"/>
          <w:szCs w:val="18"/>
          <w:color w:val="auto"/>
        </w:rPr>
        <w:t xml:space="preserve">Currency hereunder for purposes of any Letter of Credit issuances by such Issuing Lender. If the Administrative Agent shall fail to obtain consent to any request for an additional currency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the Administrative Agent shall promptly so notify the Borrower.</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Limited Condition Acquisitions</w:t>
      </w:r>
      <w:r>
        <w:rPr>
          <w:rFonts w:ascii="Arial" w:cs="Arial" w:eastAsia="Arial" w:hAnsi="Arial"/>
          <w:sz w:val="18"/>
          <w:szCs w:val="18"/>
          <w:color w:val="auto"/>
        </w:rPr>
        <w:t>. Notwithstanding anything in this Agreement to the contrary, if the Borrower notifies the Administrative Agent in writing prior to or concurrently with the execution of the definitive purchase agreement, merger agreement or other acquisition agreement governing a Limited Condition Acquisition (the time of such execution, the “</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that in connection with such Limited Condition Acquisition the Borrower wishes to test the conditions to such Limited Condition Acquisition and the availability of any Indebtedness being incurred substantially concurrently with such Limited Condition Acquisition that is to be used solely to finance all or part of such Limited Condition Acquisition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then the following provisions shall apply:</w:t>
      </w:r>
    </w:p>
    <w:p>
      <w:pPr>
        <w:spacing w:after="0" w:line="165" w:lineRule="exact"/>
        <w:rPr>
          <w:sz w:val="20"/>
          <w:szCs w:val="20"/>
          <w:color w:val="auto"/>
        </w:rPr>
      </w:pPr>
    </w:p>
    <w:p>
      <w:pPr>
        <w:jc w:val="both"/>
        <w:ind w:firstLine="656"/>
        <w:spacing w:after="0" w:line="275" w:lineRule="auto"/>
        <w:tabs>
          <w:tab w:leader="none" w:pos="107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condition to such Limited Condition Acquisition or such Indebtedness that requires that no Default or Event of Default shall have occurred and be continuing at the time of such Limited Condition Acquisition or the incurrence of such Indebtedness, shall be satisfied if</w:t>
      </w:r>
    </w:p>
    <w:p>
      <w:pPr>
        <w:jc w:val="both"/>
        <w:ind w:firstLine="8"/>
        <w:spacing w:after="0" w:line="282" w:lineRule="auto"/>
        <w:tabs>
          <w:tab w:leader="none" w:pos="2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at the time of the LCA Test Date and (ii) no Event of Default under any of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would occur and be continuing both immediately before and immediately after giving effect to such Limited Condition Acquisition and any Indebtedness incurred in connection therewith (including any such additional Indebtedness);</w:t>
      </w:r>
    </w:p>
    <w:p>
      <w:pPr>
        <w:spacing w:after="0" w:line="159" w:lineRule="exact"/>
        <w:rPr>
          <w:rFonts w:ascii="Arial" w:cs="Arial" w:eastAsia="Arial" w:hAnsi="Arial"/>
          <w:sz w:val="18"/>
          <w:szCs w:val="18"/>
          <w:color w:val="auto"/>
        </w:rPr>
      </w:pPr>
    </w:p>
    <w:p>
      <w:pPr>
        <w:jc w:val="both"/>
        <w:ind w:firstLine="656"/>
        <w:spacing w:after="0" w:line="270" w:lineRule="auto"/>
        <w:tabs>
          <w:tab w:leader="none" w:pos="10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any condition to such Limited Condition Acquisition or such Incremental Term Loans that the representations and warranties in this Agreement and the other Loan Documents shall be true and correct at the time of consummation of such Limited Condition Acquisition or the incurrence of such Incremental Term Loans shall be deemed satisfied if (i) as of the date of consummation of such Limited Condition Acquisition, (A) the representations and warranties under the relevant definitive agreement governing such Limited Condition Acquisition as are material to the Incremental Lenders providing such Incremental Term Loans shall be true and correct, but only to the extent that the Borrower or its applicable Subsidiary has the right to terminate its obligations under such agreement prior to consummation of such Limited Condition Acquisition as a result of a breach of such representations and warranties or the failure of those representations and warranties to be true and correct and (B) all representations and warranties under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7.4(b)</w:t>
      </w:r>
      <w:r>
        <w:rPr>
          <w:rFonts w:ascii="Arial" w:cs="Arial" w:eastAsia="Arial" w:hAnsi="Arial"/>
          <w:sz w:val="18"/>
          <w:szCs w:val="18"/>
          <w:color w:val="auto"/>
        </w:rPr>
        <w:t xml:space="preserve">, </w:t>
      </w:r>
      <w:r>
        <w:rPr>
          <w:rFonts w:ascii="Arial" w:cs="Arial" w:eastAsia="Arial" w:hAnsi="Arial"/>
          <w:sz w:val="18"/>
          <w:szCs w:val="18"/>
          <w:u w:val="single" w:color="auto"/>
          <w:color w:val="auto"/>
        </w:rPr>
        <w:t>7.4(c)</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shall be true and correct in all material respects (except for any representation and warranty that is qualified by materiality or reference to Material Adverse Effect, which such representation and warranty shall be true and correct in all respects) and (ii)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w:t>
      </w:r>
    </w:p>
    <w:p>
      <w:pPr>
        <w:spacing w:after="0" w:line="173" w:lineRule="exact"/>
        <w:rPr>
          <w:rFonts w:ascii="Arial" w:cs="Arial" w:eastAsia="Arial" w:hAnsi="Arial"/>
          <w:sz w:val="18"/>
          <w:szCs w:val="18"/>
          <w:color w:val="auto"/>
        </w:rPr>
      </w:pPr>
    </w:p>
    <w:p>
      <w:pPr>
        <w:jc w:val="both"/>
        <w:ind w:firstLine="656"/>
        <w:spacing w:after="0" w:line="250" w:lineRule="auto"/>
        <w:tabs>
          <w:tab w:leader="none" w:pos="1048"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w:t>
      </w:r>
    </w:p>
    <w:p>
      <w:pPr>
        <w:spacing w:after="0" w:line="186" w:lineRule="exact"/>
        <w:rPr>
          <w:rFonts w:ascii="Arial" w:cs="Arial" w:eastAsia="Arial" w:hAnsi="Arial"/>
          <w:sz w:val="20"/>
          <w:szCs w:val="20"/>
          <w:color w:val="auto"/>
        </w:rPr>
      </w:pPr>
    </w:p>
    <w:p>
      <w:pPr>
        <w:jc w:val="both"/>
        <w:ind w:firstLine="656"/>
        <w:spacing w:after="0" w:line="263" w:lineRule="auto"/>
        <w:tabs>
          <w:tab w:leader="none" w:pos="1086"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65" w:name="page166"/>
    <w:bookmarkEnd w:id="165"/>
    <w:p>
      <w:pPr>
        <w:jc w:val="both"/>
        <w:spacing w:after="0" w:line="255" w:lineRule="auto"/>
        <w:rPr>
          <w:sz w:val="20"/>
          <w:szCs w:val="20"/>
          <w:color w:val="auto"/>
        </w:rPr>
      </w:pPr>
      <w:r>
        <w:rPr>
          <w:rFonts w:ascii="Arial" w:cs="Arial" w:eastAsia="Arial" w:hAnsi="Arial"/>
          <w:sz w:val="19"/>
          <w:szCs w:val="19"/>
          <w:color w:val="auto"/>
        </w:rPr>
        <w:t xml:space="preserve">connection therewith (including any incurrence or assumption of Indebtedness and use of proceeds thereof) have been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(other than solely with respect to the incurrence tests under which such Limited Condition Acquisition is being made, which are being tested as of the LCA Test Date) Consolidated EBITDA, Indebtedness and Consolidated Net Income attributable to any target of such Limited Condition Acquisition can only be used in determination of the relevant ratio and baskets if and when such Limited Condition Acquisition is consummated and (y) (1) if any of such ratios or baskets are exceeded as a result of fluctuations in such ratio (including due to fluctuations in Consolidated EBITDA of the Borrower) at or prior to the consummation of such Limited Condition Acquisition, such ratios and baskets will not be deemed to have been exceeded as a result of such fluctuations solely for purposes of determining whether such Limited Condition Acquisition is permitted hereunder and (2) such ratios and baskets shall not be tested at the time of consummation of such Limited Condition Acquisition. Notwithstanding the foregoing, any calculation of a ratio in connection with determining the Applicable Margin and determining whether or not the Borrower is in compliance with the financial covenants set forth in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in each case be calculated assuming such Limited Condition Acquisition and other transactions in connection therewith (including the incurrence or assumption of Indebtedness) have not been consummated.</w:t>
      </w:r>
    </w:p>
    <w:p>
      <w:pPr>
        <w:spacing w:after="0" w:line="18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tested separately. Notwithstanding anything to the contrary herein, in no event shall there be more than two Limited Condition Acquisitions at any time outstanding.</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Rates</w:t>
      </w:r>
      <w:r>
        <w:rPr>
          <w:rFonts w:ascii="Arial" w:cs="Arial" w:eastAsia="Arial" w:hAnsi="Arial"/>
          <w:sz w:val="19"/>
          <w:szCs w:val="19"/>
          <w:color w:val="auto"/>
        </w:rPr>
        <w:t>. The Administrative Agent does not warrant or accept responsibility for, and shall not have any liability with respect to, the administration, submission or any other matter related to the rates in the definition of “Eurocurrency Rate”.</w:t>
      </w:r>
    </w:p>
    <w:p>
      <w:pPr>
        <w:spacing w:after="0" w:line="38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REVOLVING CREDIT FACILITY</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Revolving Credit Loans to the Borrower in Dollars or one or more Alternative Currencies from time to time from the Closing Date to, but not including, the Revolving Credit Maturity Date as requested by the Borrower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Revolving Credit Outstandings shall not exceed the Revolving Credit Commitment, (b) the Revolving Credit Exposure of any Revolving Credit Lender shall not at any time exceed such Revolving Credit Lender’s Revolving Credit Commitment and (c) the aggregate principal amount of all outstanding Revolving Credit Loans denominated in Alternative Currencies and Letters of Credit denominated in Alternative L/C Currencies shall not exceed the Alternative Currency Sublimit.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6" w:name="page167"/>
    <w:bookmarkEnd w:id="166"/>
    <w:p>
      <w:pPr>
        <w:ind w:left="660"/>
        <w:spacing w:after="0"/>
        <w:tabs>
          <w:tab w:leader="none" w:pos="194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14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Subject to the terms and conditions of this Agreement and the other Loan Documents, and in reliance upon the representations and warranties set forth in this Agreement and the other Loan Documents, the Swingline Lender may, in its sole discretion, make Swingline Loans in Dollars to the Borrower from time to time from the Closing Date to, but not including, the Revolving Credit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196" w:lineRule="exact"/>
        <w:rPr>
          <w:rFonts w:ascii="Arial" w:cs="Arial" w:eastAsia="Arial" w:hAnsi="Arial"/>
          <w:sz w:val="20"/>
          <w:szCs w:val="20"/>
          <w:color w:val="auto"/>
        </w:rPr>
      </w:pPr>
    </w:p>
    <w:p>
      <w:pPr>
        <w:ind w:left="1320" w:hanging="421"/>
        <w:spacing w:after="0"/>
        <w:tabs>
          <w:tab w:leader="none" w:pos="1320"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Refunding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5" w:lineRule="auto"/>
        <w:tabs>
          <w:tab w:leader="none" w:pos="1675" w:val="left"/>
        </w:tabs>
        <w:numPr>
          <w:ilvl w:val="2"/>
          <w:numId w:val="79"/>
        </w:numPr>
        <w:rPr>
          <w:rFonts w:ascii="Arial" w:cs="Arial" w:eastAsia="Arial" w:hAnsi="Arial"/>
          <w:sz w:val="19"/>
          <w:szCs w:val="19"/>
          <w:color w:val="auto"/>
        </w:rPr>
      </w:pPr>
      <w:r>
        <w:rPr>
          <w:rFonts w:ascii="Arial" w:cs="Arial" w:eastAsia="Arial" w:hAnsi="Arial"/>
          <w:sz w:val="19"/>
          <w:szCs w:val="19"/>
          <w:color w:val="auto"/>
        </w:rPr>
        <w:t>The Swingline Lender, at any time and from time to time in its sole and absolute discretion may, on behalf of the Borrower (which hereby irrevocably directs the Swingline Lender to act on its behalf), by written notice given no later than 12:00 p.m.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82" w:lineRule="exact"/>
        <w:rPr>
          <w:rFonts w:ascii="Arial" w:cs="Arial" w:eastAsia="Arial" w:hAnsi="Arial"/>
          <w:sz w:val="19"/>
          <w:szCs w:val="19"/>
          <w:color w:val="auto"/>
        </w:rPr>
      </w:pPr>
    </w:p>
    <w:p>
      <w:pPr>
        <w:jc w:val="both"/>
        <w:ind w:left="660" w:firstLine="645"/>
        <w:spacing w:after="0" w:line="272" w:lineRule="auto"/>
        <w:tabs>
          <w:tab w:leader="none" w:pos="1757"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Borrower shall pay to the Swingline Lender on demand, and in any event on the Revolving Credit Maturity Date, in immediately available funds the amount of such Swingline Loans to the extent amounts received from the Revolving Credit Lenders are not sufficient to repay in full the outstanding Swingline Loans requested or required to be refunded. In addition, the Borrower irrevocably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spacing w:after="0" w:line="171" w:lineRule="exact"/>
        <w:rPr>
          <w:rFonts w:ascii="Arial" w:cs="Arial" w:eastAsia="Arial" w:hAnsi="Arial"/>
          <w:sz w:val="18"/>
          <w:szCs w:val="18"/>
          <w:color w:val="auto"/>
        </w:rPr>
      </w:pPr>
    </w:p>
    <w:p>
      <w:pPr>
        <w:jc w:val="both"/>
        <w:ind w:left="660" w:firstLine="645"/>
        <w:spacing w:after="0" w:line="244" w:lineRule="auto"/>
        <w:tabs>
          <w:tab w:leader="none" w:pos="1826" w:val="left"/>
        </w:tabs>
        <w:numPr>
          <w:ilvl w:val="2"/>
          <w:numId w:val="79"/>
        </w:numPr>
        <w:rPr>
          <w:rFonts w:ascii="Arial" w:cs="Arial" w:eastAsia="Arial" w:hAnsi="Arial"/>
          <w:sz w:val="20"/>
          <w:szCs w:val="20"/>
          <w:color w:val="auto"/>
        </w:rPr>
      </w:pPr>
      <w:r>
        <w:rPr>
          <w:rFonts w:ascii="Arial" w:cs="Arial" w:eastAsia="Arial" w:hAnsi="Arial"/>
          <w:sz w:val="20"/>
          <w:szCs w:val="20"/>
          <w:color w:val="auto"/>
        </w:rPr>
        <w:t xml:space="preserve">If for any reason any Swingline Loan cannot be refinanced with a Revolving Credit Loan pursuant to </w:t>
      </w:r>
      <w:r>
        <w:rPr>
          <w:rFonts w:ascii="Arial" w:cs="Arial" w:eastAsia="Arial" w:hAnsi="Arial"/>
          <w:sz w:val="20"/>
          <w:szCs w:val="20"/>
          <w:u w:val="single" w:color="auto"/>
          <w:color w:val="auto"/>
        </w:rPr>
        <w:t>Section 2.2(b)(i)</w:t>
      </w:r>
      <w:r>
        <w:rPr>
          <w:rFonts w:ascii="Arial" w:cs="Arial" w:eastAsia="Arial" w:hAnsi="Arial"/>
          <w:sz w:val="20"/>
          <w:szCs w:val="20"/>
          <w:color w:val="auto"/>
        </w:rPr>
        <w:t xml:space="preserve">, each Revolving Credit Lender shall, on the date such Revolving Credit Loan was to have been made pursuant to the notice referred to in </w:t>
      </w:r>
      <w:r>
        <w:rPr>
          <w:rFonts w:ascii="Arial" w:cs="Arial" w:eastAsia="Arial" w:hAnsi="Arial"/>
          <w:sz w:val="20"/>
          <w:szCs w:val="20"/>
          <w:u w:val="single" w:color="auto"/>
          <w:color w:val="auto"/>
        </w:rPr>
        <w:t>Section 2.2(b)(i)</w:t>
      </w:r>
      <w:r>
        <w:rPr>
          <w:rFonts w:ascii="Arial" w:cs="Arial" w:eastAsia="Arial" w:hAnsi="Arial"/>
          <w:sz w:val="20"/>
          <w:szCs w:val="20"/>
          <w:color w:val="auto"/>
        </w:rPr>
        <w:t>, purchase for cash an undivided participating interest in the then outstanding Swingline Loans by paying to the Swingline Lender an amount (the “</w:t>
      </w:r>
      <w:r>
        <w:rPr>
          <w:rFonts w:ascii="Arial" w:cs="Arial" w:eastAsia="Arial" w:hAnsi="Arial"/>
          <w:sz w:val="20"/>
          <w:szCs w:val="20"/>
          <w:u w:val="single" w:color="auto"/>
          <w:color w:val="auto"/>
        </w:rPr>
        <w:t>Swingline Participation Amount</w:t>
      </w:r>
      <w:r>
        <w:rPr>
          <w:rFonts w:ascii="Arial" w:cs="Arial" w:eastAsia="Arial" w:hAnsi="Arial"/>
          <w:sz w:val="20"/>
          <w:szCs w:val="20"/>
          <w:color w:val="auto"/>
        </w:rPr>
        <w:t>”) equal to such Revolving Lender’s Revolving Credit Commitment Percentage of the aggregate principal amount of Swingline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67" w:name="page168"/>
    <w:bookmarkEnd w:id="167"/>
    <w:p>
      <w:pPr>
        <w:jc w:val="both"/>
        <w:ind w:left="660"/>
        <w:spacing w:after="0" w:line="272" w:lineRule="auto"/>
        <w:rPr>
          <w:sz w:val="20"/>
          <w:szCs w:val="20"/>
          <w:color w:val="auto"/>
        </w:rPr>
      </w:pPr>
      <w:r>
        <w:rPr>
          <w:rFonts w:ascii="Arial" w:cs="Arial" w:eastAsia="Arial" w:hAnsi="Arial"/>
          <w:sz w:val="18"/>
          <w:szCs w:val="18"/>
          <w:color w:val="auto"/>
        </w:rPr>
        <w:t xml:space="preserve">Loans then outstanding. Each Revolving Credit Lender will immediately transfer to the Swingline Lender, in immediately available funds, the amount of its Swingline Participation Amount. 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payment received by the Swingline Lender is required to be returned, such Revolving Credit Lender will return to the Swingline Lender any portion thereof previously distributed to it by the Swingline Lender.</w:t>
      </w:r>
    </w:p>
    <w:p>
      <w:pPr>
        <w:spacing w:after="0" w:line="171" w:lineRule="exact"/>
        <w:rPr>
          <w:sz w:val="20"/>
          <w:szCs w:val="20"/>
          <w:color w:val="auto"/>
        </w:rPr>
      </w:pPr>
    </w:p>
    <w:p>
      <w:pPr>
        <w:jc w:val="both"/>
        <w:ind w:left="660" w:firstLine="645"/>
        <w:spacing w:after="0" w:line="257" w:lineRule="auto"/>
        <w:tabs>
          <w:tab w:leader="none" w:pos="1815"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Each Revolving Credit Lender’s obligation to make the Revolving Credit Loans referred to in </w:t>
      </w:r>
      <w:r>
        <w:rPr>
          <w:rFonts w:ascii="Arial" w:cs="Arial" w:eastAsia="Arial" w:hAnsi="Arial"/>
          <w:sz w:val="19"/>
          <w:szCs w:val="19"/>
          <w:u w:val="single" w:color="auto"/>
          <w:color w:val="auto"/>
        </w:rPr>
        <w:t>Section 2.2(b)(i)</w:t>
      </w:r>
      <w:r>
        <w:rPr>
          <w:rFonts w:ascii="Arial" w:cs="Arial" w:eastAsia="Arial" w:hAnsi="Arial"/>
          <w:sz w:val="19"/>
          <w:szCs w:val="19"/>
          <w:color w:val="auto"/>
        </w:rPr>
        <w:t xml:space="preserve"> and to purchase participating interests pursuant to </w:t>
      </w:r>
      <w:r>
        <w:rPr>
          <w:rFonts w:ascii="Arial" w:cs="Arial" w:eastAsia="Arial" w:hAnsi="Arial"/>
          <w:sz w:val="19"/>
          <w:szCs w:val="19"/>
          <w:u w:val="single" w:color="auto"/>
          <w:color w:val="auto"/>
        </w:rPr>
        <w:t>Section 2.2(b)(iii)</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Arial" w:cs="Arial" w:eastAsia="Arial" w:hAnsi="Arial"/>
          <w:sz w:val="19"/>
          <w:szCs w:val="19"/>
          <w:u w:val="single" w:color="auto"/>
          <w:color w:val="auto"/>
        </w:rPr>
        <w:t>Article VI</w:t>
      </w:r>
      <w:r>
        <w:rPr>
          <w:rFonts w:ascii="Arial" w:cs="Arial" w:eastAsia="Arial" w:hAnsi="Arial"/>
          <w:sz w:val="19"/>
          <w:szCs w:val="19"/>
          <w:color w:val="auto"/>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spacing w:after="0" w:line="181" w:lineRule="exact"/>
        <w:rPr>
          <w:rFonts w:ascii="Arial" w:cs="Arial" w:eastAsia="Arial" w:hAnsi="Arial"/>
          <w:sz w:val="19"/>
          <w:szCs w:val="19"/>
          <w:color w:val="auto"/>
        </w:rPr>
      </w:pPr>
    </w:p>
    <w:p>
      <w:pPr>
        <w:jc w:val="both"/>
        <w:ind w:left="660" w:firstLine="645"/>
        <w:spacing w:after="0" w:line="271"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Swingline Lender, any amount required to be paid by such Revolving Credit Lender pursuant to the foregoing provisions 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2.2(b)(i)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2.2(b)(iii)</w:t>
      </w:r>
      <w:r>
        <w:rPr>
          <w:rFonts w:ascii="Arial" w:cs="Arial" w:eastAsia="Arial" w:hAnsi="Arial"/>
          <w:sz w:val="18"/>
          <w:szCs w:val="18"/>
          <w:color w:val="auto"/>
        </w:rPr>
        <w:t>, as applicable,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applicable Federal Funds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(iii) shall be conclusive absent manifest error.</w:t>
      </w:r>
    </w:p>
    <w:p>
      <w:pPr>
        <w:spacing w:after="0" w:line="175" w:lineRule="exact"/>
        <w:rPr>
          <w:sz w:val="20"/>
          <w:szCs w:val="20"/>
          <w:color w:val="auto"/>
        </w:rPr>
      </w:pPr>
    </w:p>
    <w:p>
      <w:pPr>
        <w:ind w:firstLine="656"/>
        <w:spacing w:after="0" w:line="260" w:lineRule="auto"/>
        <w:tabs>
          <w:tab w:leader="none" w:pos="1061"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Procedure for Advances of Revolving Credit Loans and Swingline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102"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Requests for Borrowing</w:t>
      </w:r>
      <w:r>
        <w:rPr>
          <w:rFonts w:ascii="Arial" w:cs="Arial" w:eastAsia="Arial" w:hAnsi="Arial"/>
          <w:sz w:val="20"/>
          <w:szCs w:val="20"/>
          <w:color w:val="auto"/>
        </w:rPr>
        <w:t xml:space="preserve">. The Borrower shall give the Administrative Agent irrevocable prior written notice substantially in the form of </w:t>
      </w:r>
      <w:r>
        <w:rPr>
          <w:rFonts w:ascii="Arial" w:cs="Arial" w:eastAsia="Arial" w:hAnsi="Arial"/>
          <w:sz w:val="20"/>
          <w:szCs w:val="20"/>
          <w:b w:val="1"/>
          <w:bCs w:val="1"/>
          <w:i w:val="1"/>
          <w:iCs w:val="1"/>
          <w:color w:val="auto"/>
        </w:rPr>
        <w:t>Exhibit B</w:t>
      </w:r>
      <w:r>
        <w:rPr>
          <w:rFonts w:ascii="Arial" w:cs="Arial" w:eastAsia="Arial" w:hAnsi="Arial"/>
          <w:sz w:val="20"/>
          <w:szCs w:val="20"/>
          <w:color w:val="auto"/>
        </w:rPr>
        <w:t xml:space="preserve"> (a “</w:t>
      </w:r>
      <w:r>
        <w:rPr>
          <w:rFonts w:ascii="Arial" w:cs="Arial" w:eastAsia="Arial" w:hAnsi="Arial"/>
          <w:sz w:val="20"/>
          <w:szCs w:val="20"/>
          <w:u w:val="single" w:color="auto"/>
          <w:color w:val="auto"/>
        </w:rPr>
        <w:t>Notice of Borrowing</w:t>
      </w:r>
      <w:r>
        <w:rPr>
          <w:rFonts w:ascii="Arial" w:cs="Arial" w:eastAsia="Arial" w:hAnsi="Arial"/>
          <w:sz w:val="20"/>
          <w:szCs w:val="20"/>
          <w:color w:val="auto"/>
        </w:rPr>
        <w:t>”) not later than 11:00 a.m. (i) on the same Business Day as each Base Rate Loan denominated in Dollars and each Swingline Loan,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8" w:name="page169"/>
    <w:bookmarkEnd w:id="168"/>
    <w:p>
      <w:pPr>
        <w:jc w:val="both"/>
        <w:ind w:firstLine="8"/>
        <w:spacing w:after="0" w:line="268" w:lineRule="auto"/>
        <w:tabs>
          <w:tab w:leader="none" w:pos="2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least one (1) Business Day before each Canadian Base Rate Loan and (iii) at least four (4) Business Days (or five (5) Business Days in the case of a Special Notice Currency) before each Eurocurrency Rate Loan made in an Alternative Currency, of its intention to borrow, specifying (A) the date of such borrowing, which shall be a Business Day, (B) the amount of such borrowing, which shall be, (x) with respect to Base Rate Loans and Canadian Base Rate Loans (other than Swingline Loans) in an aggregate principal amount of $500,000 or a whole multiple of $100,000 in excess thereof, (y) with respect to Eurocurrency Rate Loans in an aggregate principal amount of $1,000,000 or a whole multiple of $500,000 in excess thereof and (z) with respect to Swingline Loans in an aggregate principal amount of $100,000 or a whole multiple of $100,000 in excess thereof, (C) whether such Loan denominated in Dollars is to be a Revolving Credit Loan or Swingline Loan,</w:t>
      </w:r>
    </w:p>
    <w:p>
      <w:pPr>
        <w:spacing w:after="0" w:line="5"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9"/>
          <w:szCs w:val="19"/>
          <w:color w:val="auto"/>
        </w:rPr>
        <w:t>(D) in the case of a Revolving Credit Loan whether such Revolving Credit Loan is to be a Eurocurrency Rate Loan, Base Rate Loan or Canadian Base Rate Loan, (E) in the case of a Eurocurrency Rate Loan, the duration of the Interest Period applicable thereto and (F) in the case of a Eurocurrency Rate Loan, the applicable currency in which such Revolving Credit Loan is to be denominated. If the Borrower fails to specify a type of Revolving Credit Loan in a Notice of Borrowing, then the applicable Revolving Credit Loans shall be made as Base Rate Loans. If the Borrower requests a borrowing of Eurocurrency Rate Loans in any such Notice of Borrowing, but fails to specify an Interest Period, it will be deemed to have specified an Interest Period of one month. If the Borrower fails to specify a currency in a Notice of Borrowing requesting a Eurocurrency Rate Loan, then the Eurocurrency Rate Loan so requested shall be made in Dollars. A Notice of Borrowing received after 11:00 a.m. shall be deemed received on the next Business Day. The Administrative Agent shall promptly notify the Revolving Credit Lenders of each Notice of Borrowing.</w:t>
      </w:r>
    </w:p>
    <w:p>
      <w:pPr>
        <w:spacing w:after="0" w:line="185" w:lineRule="exact"/>
        <w:rPr>
          <w:rFonts w:ascii="Arial" w:cs="Arial" w:eastAsia="Arial" w:hAnsi="Arial"/>
          <w:sz w:val="18"/>
          <w:szCs w:val="18"/>
          <w:color w:val="auto"/>
        </w:rPr>
      </w:pPr>
    </w:p>
    <w:p>
      <w:pPr>
        <w:jc w:val="both"/>
        <w:ind w:firstLine="656"/>
        <w:spacing w:after="0" w:line="270" w:lineRule="auto"/>
        <w:tabs>
          <w:tab w:leader="none" w:pos="105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Disbursement of Revolving Credit and Swingline Loans</w:t>
      </w:r>
      <w:r>
        <w:rPr>
          <w:rFonts w:ascii="Arial" w:cs="Arial" w:eastAsia="Arial" w:hAnsi="Arial"/>
          <w:sz w:val="18"/>
          <w:szCs w:val="18"/>
          <w:color w:val="auto"/>
        </w:rPr>
        <w:t xml:space="preserve">. Not later than 1:00 p.m., in the case of any Loan denominated in Dollars, and not later than the Applicable Time specified by the Administrative Agent in the case of any Loan denominated in an Alternative Currency, in each case on the proposed borrowing date, (i) each Revolving Credit Lender will make available to the Administrative Agent, for the account of the Borrower, in Same Day Funds at the Administrative Agent’s Office for the applicable currency, such Revolving Credit Lender’s Revolving Credit Commitment Percentage of the Revolving Credit Loans to be made on such borrowing date and (ii) the Swingline Lender will make available to the Administrative Agent, for the account of the Borrower, in Same Day Funds at the Administrative Agent’s Office, the Swingline Loans to be made on such borrowing date. The Borrower hereby irrevocably authorizes the Administrative Agent to disburse the proceeds of each borrowing requested pursuant to this Section in Same Day Funds by crediting or wiring such proceeds to the deposit account of the Borrower identified in the most recent notice substantially in the form attached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delivered by the Borrower to the Administrative Agent or as may be otherwise agreed upon by the Borrower and the Administrative Agent from time to time. Subject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Repayment and Prepayment of Revolving Credit and Swingline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12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Repayment on Termination Date</w:t>
      </w:r>
      <w:r>
        <w:rPr>
          <w:rFonts w:ascii="Arial" w:cs="Arial" w:eastAsia="Arial" w:hAnsi="Arial"/>
          <w:sz w:val="19"/>
          <w:szCs w:val="19"/>
          <w:color w:val="auto"/>
        </w:rPr>
        <w:t xml:space="preserve">. The Borrower hereby agrees to repay the outstanding principal amount of (i) all Revolving Credit Loans in full on the Revolving Credit Maturity Date, and (ii) all Swingline Loans in accordance with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(but, in any event, no later than the Revolving Credit Maturity Date), together, in each case, with all accrued but unpaid interest thereon.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69" w:name="page170"/>
    <w:bookmarkEnd w:id="169"/>
    <w:p>
      <w:pPr>
        <w:ind w:left="1060" w:hanging="404"/>
        <w:spacing w:after="0"/>
        <w:tabs>
          <w:tab w:leader="none" w:pos="106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689"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If at any time the Revolving Credit Outstandings exceed the Revolving Credit Commitment, the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principal amount of outstanding Swingline Loans,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principal amount of outstanding Revolving Credit Loans and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Arial" w:cs="Arial" w:eastAsia="Arial" w:hAnsi="Arial"/>
          <w:sz w:val="20"/>
          <w:szCs w:val="20"/>
          <w:u w:val="single" w:color="auto"/>
          <w:color w:val="auto"/>
        </w:rPr>
        <w:t>Section 10.2(b)</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660" w:firstLine="645"/>
        <w:spacing w:after="0" w:line="243" w:lineRule="auto"/>
        <w:tabs>
          <w:tab w:leader="none" w:pos="1852" w:val="left"/>
        </w:tabs>
        <w:numPr>
          <w:ilvl w:val="1"/>
          <w:numId w:val="85"/>
        </w:numPr>
        <w:rPr>
          <w:rFonts w:ascii="Arial" w:cs="Arial" w:eastAsia="Arial" w:hAnsi="Arial"/>
          <w:sz w:val="20"/>
          <w:szCs w:val="20"/>
          <w:color w:val="auto"/>
        </w:rPr>
      </w:pPr>
      <w:r>
        <w:rPr>
          <w:rFonts w:ascii="Arial" w:cs="Arial" w:eastAsia="Arial" w:hAnsi="Arial"/>
          <w:sz w:val="20"/>
          <w:szCs w:val="20"/>
          <w:color w:val="auto"/>
        </w:rPr>
        <w:t>If at any time the Administrative Agent notifies the Borrower that aggregate principal amount of Revolving Credit Outstandings denominated in Alternative Currencies exceeds an amount equal to the Minimum Collateral Amount of the Alternative Currency Sublimit then in effect, the Borrower agrees to repay within two (2) Business Days after receipt of such notice, by payment to the Administrative Agent for the account of the Lenders, Revolving Credit Loans denominated in Alternative Currencies in an aggregate amount thereof sufficient to reduce such outstanding amount as of such date of payment to an amount not to exceed 100% of the Alternative Currency Sublimit then in effect.</w:t>
      </w:r>
    </w:p>
    <w:p>
      <w:pPr>
        <w:spacing w:after="0" w:line="196" w:lineRule="exact"/>
        <w:rPr>
          <w:rFonts w:ascii="Arial" w:cs="Arial" w:eastAsia="Arial" w:hAnsi="Arial"/>
          <w:sz w:val="20"/>
          <w:szCs w:val="20"/>
          <w:color w:val="auto"/>
        </w:rPr>
      </w:pPr>
    </w:p>
    <w:p>
      <w:pPr>
        <w:jc w:val="both"/>
        <w:ind w:firstLine="656"/>
        <w:spacing w:after="0" w:line="254" w:lineRule="auto"/>
        <w:tabs>
          <w:tab w:leader="none" w:pos="114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The Borrower may at any time and from time to time prepay Revolving Credit Loans and Swingline Loans, in whole or in part, without premium or penalty, with irrevocable prior written notice from the Borrower to the Administrative Agent substantially in the form attached as </w:t>
      </w:r>
      <w:r>
        <w:rPr>
          <w:rFonts w:ascii="Arial" w:cs="Arial" w:eastAsia="Arial" w:hAnsi="Arial"/>
          <w:sz w:val="19"/>
          <w:szCs w:val="19"/>
          <w:b w:val="1"/>
          <w:bCs w:val="1"/>
          <w:color w:val="auto"/>
        </w:rPr>
        <w:t>Exhibit D</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 of Prepayment</w:t>
      </w:r>
      <w:r>
        <w:rPr>
          <w:rFonts w:ascii="Arial" w:cs="Arial" w:eastAsia="Arial" w:hAnsi="Arial"/>
          <w:sz w:val="19"/>
          <w:szCs w:val="19"/>
          <w:color w:val="auto"/>
        </w:rPr>
        <w:t xml:space="preserve">”) given not later than 12:00 p.m. (i) on the same Business Day as each Base Rate Loan and each Swingline Loan, (ii) at least three (3) Business Days before each Eurocurrency Rate Loan denominated in Dollars and (iii) at least four (4) Business Days (or five (5) Business Days, in the case of prepayment of Revolving Credit Loans denominated in Special Notice Currencies) before each Eurocurrency Rate Loan denominated in an Alternative Currency, specifying the date and amount of prepayment and whether the prepayment is of Eurocurrency Rate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$500,000 in excess thereof with respect to Base Rate Loans (other than Swingline Loans), $1,000,000 or a whole multiple of $500,000 in excess thereof with respect to Eurocurrency Rate Loans denominated in Dollars, $1,000,000 or a whole multiple of $500,000 in excess thereof with respect to Eurocurrency Rate Loans denominated in Alternative Currencies and $500,000 or a whole multiple of $100,000 in excess thereof with respect to Swingline Loans. A Notice of Prepayment received after 12:00 p.m. shall be deemed received on the next Business Day. Each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 Notwithstanding the foregoing, any Notice of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such contingency shall not relieve the Borrower from its obligations in respect thereof under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0" w:name="page171"/>
    <w:bookmarkEnd w:id="170"/>
    <w:p>
      <w:pPr>
        <w:jc w:val="both"/>
        <w:ind w:firstLine="656"/>
        <w:spacing w:after="0" w:line="250" w:lineRule="auto"/>
        <w:tabs>
          <w:tab w:leader="none" w:pos="109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Limitation on Prepayment of Eurocurrency Rate Loans</w:t>
      </w:r>
      <w:r>
        <w:rPr>
          <w:rFonts w:ascii="Arial" w:cs="Arial" w:eastAsia="Arial" w:hAnsi="Arial"/>
          <w:sz w:val="20"/>
          <w:szCs w:val="20"/>
          <w:color w:val="auto"/>
        </w:rPr>
        <w:t xml:space="preserve">. The Borrower may not prepay any Eurocurrency Rate Loan on any day other than on the last day of the Interest Period applicable thereto unless such prepayment is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86" w:lineRule="exact"/>
        <w:rPr>
          <w:rFonts w:ascii="Arial" w:cs="Arial" w:eastAsia="Arial" w:hAnsi="Arial"/>
          <w:sz w:val="20"/>
          <w:szCs w:val="20"/>
          <w:color w:val="auto"/>
        </w:rPr>
      </w:pPr>
    </w:p>
    <w:p>
      <w:pPr>
        <w:ind w:firstLine="656"/>
        <w:spacing w:after="0" w:line="260" w:lineRule="auto"/>
        <w:tabs>
          <w:tab w:leader="none" w:pos="118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Hedge Agreements</w:t>
      </w:r>
      <w:r>
        <w:rPr>
          <w:rFonts w:ascii="Arial" w:cs="Arial" w:eastAsia="Arial" w:hAnsi="Arial"/>
          <w:sz w:val="20"/>
          <w:szCs w:val="20"/>
          <w:color w:val="auto"/>
        </w:rPr>
        <w:t>. No repayment or prepayment of the Loans pursuant to this Section shall affect any of the Borrower’s obligations under any Hedge Agreement entered into with respect to the Loans.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Permanent Reduction of the Revolving Credit Commitment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08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Voluntary Reduction</w:t>
      </w:r>
      <w:r>
        <w:rPr>
          <w:rFonts w:ascii="Arial" w:cs="Arial" w:eastAsia="Arial" w:hAnsi="Arial"/>
          <w:sz w:val="19"/>
          <w:szCs w:val="19"/>
          <w:color w:val="auto"/>
        </w:rPr>
        <w:t>. The Borrower shall have the right at any time and from time to time, upon at least five (5) Business Days prior irrevocable written notice from the Borrower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in the event such contingency is not met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such contingency shall not relieve the Borrower from its obligations in respect thereof under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656"/>
        <w:spacing w:after="0" w:line="255" w:lineRule="auto"/>
        <w:tabs>
          <w:tab w:leader="none" w:pos="114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Corresponding Payment</w:t>
      </w:r>
      <w:r>
        <w:rPr>
          <w:rFonts w:ascii="Arial" w:cs="Arial" w:eastAsia="Arial" w:hAnsi="Arial"/>
          <w:sz w:val="19"/>
          <w:szCs w:val="19"/>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Any reduction of the Revolving Credit Commitment to zero shall be accompanied by payment of all outstanding Revolving Credit Loans and Swingline Loans (and furnishing of Cash Collateral reasonably satisfactory to the Administrative Agent for all L/C Obligations or other arrangements satisfactory to the respective Issuing Lenders ) and shall result in the termination of the Revolving Credit Commitment, the Swingline Commitment, the Alternative Currency Sublimit and the Revolving Credit Facility. If the reduction of the Revolving Credit Commitment requires the repayment of any Eurocurrency Rate Loan,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Termination of Revolving Credit Facility</w:t>
      </w:r>
      <w:r>
        <w:rPr>
          <w:rFonts w:ascii="Arial" w:cs="Arial" w:eastAsia="Arial" w:hAnsi="Arial"/>
          <w:sz w:val="20"/>
          <w:szCs w:val="20"/>
          <w:color w:val="auto"/>
        </w:rPr>
        <w:t>. The Revolving Credit Facility and the Revolving Credit Commitments shall terminate on the Revolving Credit Maturity Date.</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 OF CREDIT FACILITY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1" w:name="page172"/>
    <w:bookmarkEnd w:id="171"/>
    <w:p>
      <w:pPr>
        <w:ind w:left="660"/>
        <w:spacing w:after="0"/>
        <w:tabs>
          <w:tab w:leader="none" w:pos="194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9"/>
          <w:szCs w:val="19"/>
          <w:u w:val="single" w:color="auto"/>
          <w:color w:val="auto"/>
        </w:rPr>
        <w:t>L/C Facility</w:t>
      </w:r>
      <w:r>
        <w:rPr>
          <w:rFonts w:ascii="Arial" w:cs="Arial" w:eastAsia="Arial" w:hAnsi="Arial"/>
          <w:sz w:val="19"/>
          <w:szCs w:val="19"/>
          <w:color w:val="auto"/>
        </w:rPr>
        <w:t>.</w:t>
      </w:r>
    </w:p>
    <w:p>
      <w:pPr>
        <w:spacing w:after="0" w:line="216" w:lineRule="exact"/>
        <w:rPr>
          <w:sz w:val="20"/>
          <w:szCs w:val="20"/>
          <w:color w:val="auto"/>
        </w:rPr>
      </w:pPr>
    </w:p>
    <w:p>
      <w:pPr>
        <w:jc w:val="both"/>
        <w:ind w:firstLine="656"/>
        <w:spacing w:after="0" w:line="248" w:lineRule="auto"/>
        <w:tabs>
          <w:tab w:leader="none" w:pos="1129"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Availability</w:t>
      </w:r>
      <w:r>
        <w:rPr>
          <w:rFonts w:ascii="Arial" w:cs="Arial" w:eastAsia="Arial" w:hAnsi="Arial"/>
          <w:sz w:val="19"/>
          <w:szCs w:val="19"/>
          <w:color w:val="auto"/>
        </w:rPr>
        <w:t xml:space="preserve">. Subject to the terms and conditions hereof, each Issuing Lender, in reliance on the agreements of the Revolving Credit Lenders set forth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agrees to issue standby Letters of Credit in Dollars or one or more Alternative L/C Currencies in an aggregate amount not to exceed its L/C Commitment for the account of the Borrower or, subject to </w:t>
      </w:r>
      <w:r>
        <w:rPr>
          <w:rFonts w:ascii="Arial" w:cs="Arial" w:eastAsia="Arial" w:hAnsi="Arial"/>
          <w:sz w:val="19"/>
          <w:szCs w:val="19"/>
          <w:u w:val="single" w:color="auto"/>
          <w:color w:val="auto"/>
        </w:rPr>
        <w:t>Section 3.10</w:t>
      </w:r>
      <w:r>
        <w:rPr>
          <w:rFonts w:ascii="Arial" w:cs="Arial" w:eastAsia="Arial" w:hAnsi="Arial"/>
          <w:sz w:val="19"/>
          <w:szCs w:val="19"/>
          <w:color w:val="auto"/>
        </w:rPr>
        <w:t>, any Subsidiary thereof, Letters of Credit may be issued on any Business Day from the Closing Date to, but not including the thirtieth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Business Day prior to the Revolving Credit Maturity Date in such form as may be approved from time to time by the applicable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no Issuing Lender shall issue any Letter of Credit if, after giving effect to such issuance, (a) the L/C Obligations would exceed the L/C Sublimit, (b) the Revolving Credit Outstandings would exceed the Revolving Credit Commitment or (c) the aggregate principal amount of all outstanding Revolving Credit Loans denominated in Alternative Currencies and Letters of Credit denominated in Alternative L/C Currencies would exceed the Alternative Currency Sublimit.</w:t>
      </w:r>
    </w:p>
    <w:p>
      <w:pPr>
        <w:spacing w:after="0" w:line="191" w:lineRule="exact"/>
        <w:rPr>
          <w:rFonts w:ascii="Arial" w:cs="Arial" w:eastAsia="Arial" w:hAnsi="Arial"/>
          <w:sz w:val="19"/>
          <w:szCs w:val="19"/>
          <w:color w:val="auto"/>
        </w:rPr>
      </w:pPr>
    </w:p>
    <w:p>
      <w:pPr>
        <w:jc w:val="both"/>
        <w:ind w:firstLine="656"/>
        <w:spacing w:after="0" w:line="268" w:lineRule="auto"/>
        <w:tabs>
          <w:tab w:leader="none" w:pos="105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xml:space="preserve">. Each Letter of Credit shall (i) be denominated in Dollars or in one or more Alternative Currencies, in a minimum amount of $100,000, (or such lesser amount as agreed to by the applicable Issuing Lender and the Administrative Agent), (ii) expire on a date no more than twelve (12) months after the date of issuance or last renewal of such Letter of Credit (subject to automatic renewal for additional one (1) year periods (but not to a date later than the date set forth below) pursuant to the terms of the Letter of Credit Application or other documentation acceptable to the applicable Issuing Lender), which date shall be no later than the fifth (5th) Business Day prior to the Revolving Credit Maturity Date, and (iii) be subject ISP98, in the case of a standby Letter of Credit, in each case as set forth in the Letter of Credit Application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or known to such Issuing Lender as of the Closing Date and that such Issuing Lender in good faith deems material to it, (B)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not satisfied, (C) the issuance of such Letter of Credit would violate one or more policies of such Issuing Lender applicable to letters of credit generally or (D)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the Existing Letter of Credit shall constitute, for all purposes of this Agreement and the other Loan Documents, a Letter of Credit issued and outstanding hereunder.</w:t>
      </w:r>
    </w:p>
    <w:p>
      <w:pPr>
        <w:spacing w:after="0" w:line="185" w:lineRule="exact"/>
        <w:rPr>
          <w:rFonts w:ascii="Arial" w:cs="Arial" w:eastAsia="Arial" w:hAnsi="Arial"/>
          <w:sz w:val="18"/>
          <w:szCs w:val="18"/>
          <w:color w:val="auto"/>
        </w:rPr>
      </w:pPr>
    </w:p>
    <w:p>
      <w:pPr>
        <w:ind w:firstLine="656"/>
        <w:spacing w:after="0" w:line="260" w:lineRule="auto"/>
        <w:tabs>
          <w:tab w:leader="none" w:pos="1048"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Procedure for Issuance of Letters of Credit</w:t>
      </w:r>
      <w:r>
        <w:rPr>
          <w:rFonts w:ascii="Arial" w:cs="Arial" w:eastAsia="Arial" w:hAnsi="Arial"/>
          <w:sz w:val="19"/>
          <w:szCs w:val="19"/>
          <w:color w:val="auto"/>
        </w:rPr>
        <w:t>. The Borrower may from time to time request that any Issuing Lender issue, amend or renew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2" w:name="page173"/>
    <w:bookmarkEnd w:id="172"/>
    <w:p>
      <w:pPr>
        <w:jc w:val="both"/>
        <w:spacing w:after="0" w:line="255" w:lineRule="auto"/>
        <w:rPr>
          <w:sz w:val="20"/>
          <w:szCs w:val="20"/>
          <w:color w:val="auto"/>
        </w:rPr>
      </w:pPr>
      <w:r>
        <w:rPr>
          <w:rFonts w:ascii="Arial" w:cs="Arial" w:eastAsia="Arial" w:hAnsi="Arial"/>
          <w:sz w:val="19"/>
          <w:szCs w:val="19"/>
          <w:color w:val="auto"/>
        </w:rPr>
        <w:t xml:space="preserve">may request (which information shall include the applicable currency in which such Letter of Credit shall be denominated).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w:t>
      </w:r>
      <w:r>
        <w:rPr>
          <w:rFonts w:ascii="Arial" w:cs="Arial" w:eastAsia="Arial" w:hAnsi="Arial"/>
          <w:sz w:val="19"/>
          <w:szCs w:val="19"/>
          <w:color w:val="auto"/>
        </w:rPr>
        <w:t>, promptly issue, amend or renew the Letter of Credit requested thereby (but in no event shall such Issuing Lender be required to issue, amend or renew any Letter of Credit earlier than three (3) Business Days (or earlier than four (4) Business Days, or five (5) Business Days, in the case of any Letter of Credit denominated in a Special Notice Currency, in the case of any Letter of Credit denominated in an Alternative Currency)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Revolving Credit Lender of the issuance and upon request by any Revolving Credit Lender, furnish to such Revolving Credit Lender a copy of such Letter of Credit and the amount of such Revolving Credit Lender’s participation therein.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Commissions and Other Charges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142"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Letter of Credit Commissions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5.15(a)(iii)(B)</w:t>
      </w:r>
      <w:r>
        <w:rPr>
          <w:rFonts w:ascii="Arial" w:cs="Arial" w:eastAsia="Arial" w:hAnsi="Arial"/>
          <w:sz w:val="20"/>
          <w:szCs w:val="20"/>
          <w:color w:val="auto"/>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standby Letters of Credit times the Applicable Margin with respect to Revolving Credit Loans that are Eurocurrency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in accordance with their respective Revolving Credit Commitment Percentages.</w:t>
      </w:r>
    </w:p>
    <w:p>
      <w:pPr>
        <w:spacing w:after="0" w:line="197" w:lineRule="exact"/>
        <w:rPr>
          <w:rFonts w:ascii="Arial" w:cs="Arial" w:eastAsia="Arial" w:hAnsi="Arial"/>
          <w:sz w:val="20"/>
          <w:szCs w:val="20"/>
          <w:color w:val="auto"/>
        </w:rPr>
      </w:pPr>
    </w:p>
    <w:p>
      <w:pPr>
        <w:jc w:val="both"/>
        <w:ind w:firstLine="656"/>
        <w:spacing w:after="0" w:line="243" w:lineRule="auto"/>
        <w:tabs>
          <w:tab w:leader="none" w:pos="111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Issuance Fee</w:t>
      </w:r>
      <w:r>
        <w:rPr>
          <w:rFonts w:ascii="Arial" w:cs="Arial" w:eastAsia="Arial" w:hAnsi="Arial"/>
          <w:sz w:val="20"/>
          <w:szCs w:val="20"/>
          <w:color w:val="auto"/>
        </w:rPr>
        <w:t>. In addition to the foregoing commission, the Borrower shall pay directly to the applicable Issuing Lender, for its own account, an issuance fee with respect to each Letter of Credit issued by such Issuing Lender in such amount as agreed upon between such Issuing Lender and the Borrower.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the Existing Letter of Credit.</w:t>
      </w:r>
    </w:p>
    <w:p>
      <w:pPr>
        <w:spacing w:after="0" w:line="196" w:lineRule="exact"/>
        <w:rPr>
          <w:rFonts w:ascii="Arial" w:cs="Arial" w:eastAsia="Arial" w:hAnsi="Arial"/>
          <w:sz w:val="20"/>
          <w:szCs w:val="20"/>
          <w:color w:val="auto"/>
        </w:rPr>
      </w:pPr>
    </w:p>
    <w:p>
      <w:pPr>
        <w:jc w:val="both"/>
        <w:ind w:firstLine="656"/>
        <w:spacing w:after="0" w:line="269" w:lineRule="auto"/>
        <w:tabs>
          <w:tab w:leader="none" w:pos="104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Other Fees, Costs, Charges and Expenses</w:t>
      </w:r>
      <w:r>
        <w:rPr>
          <w:rFonts w:ascii="Arial" w:cs="Arial" w:eastAsia="Arial" w:hAnsi="Arial"/>
          <w:sz w:val="19"/>
          <w:szCs w:val="19"/>
          <w:color w:val="auto"/>
        </w:rPr>
        <w:t>. In addition to the foregoing fees and commissions, the Borrower shall pay or reimburse each Issuing Lender in Dollars for such normal and customary fees, costs, charges and expenses as are incurred or charged by such Issuing Lender in issuing, effecting payment under, amending or otherwise administering any Letter of Credit issued by it.</w:t>
      </w:r>
    </w:p>
    <w:p>
      <w:pPr>
        <w:spacing w:after="0" w:line="170" w:lineRule="exact"/>
        <w:rPr>
          <w:rFonts w:ascii="Arial" w:cs="Arial" w:eastAsia="Arial" w:hAnsi="Arial"/>
          <w:sz w:val="19"/>
          <w:szCs w:val="19"/>
          <w:color w:val="auto"/>
        </w:rPr>
      </w:pPr>
    </w:p>
    <w:p>
      <w:pPr>
        <w:ind w:firstLine="656"/>
        <w:spacing w:after="0" w:line="316" w:lineRule="auto"/>
        <w:tabs>
          <w:tab w:leader="none" w:pos="10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commissions, fees, charges, costs and expenses payable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payable in Dollars (based on the Dollar amount of such fees), notwithstanding the applicable currency in which the applicable Letter of Credit is denominated.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73" w:name="page174"/>
    <w:bookmarkEnd w:id="173"/>
    <w:p>
      <w:pPr>
        <w:ind w:left="660"/>
        <w:spacing w:after="0"/>
        <w:tabs>
          <w:tab w:leader="none" w:pos="194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L/C Participations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1" w:lineRule="auto"/>
        <w:tabs>
          <w:tab w:leader="none" w:pos="10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in the applicable currency in which such Letter of Credit is denominated, upon demand at such Issuing Lender’s address for notices specified herein an amount equal to such L/C Participant’s Revolving Credit Commitment Percentage of the amount of such draft, or any part thereof, which is not so reimbursed.</w:t>
      </w:r>
    </w:p>
    <w:p>
      <w:pPr>
        <w:spacing w:after="0" w:line="174" w:lineRule="exact"/>
        <w:rPr>
          <w:rFonts w:ascii="Arial" w:cs="Arial" w:eastAsia="Arial" w:hAnsi="Arial"/>
          <w:sz w:val="18"/>
          <w:szCs w:val="18"/>
          <w:color w:val="auto"/>
        </w:rPr>
      </w:pPr>
    </w:p>
    <w:p>
      <w:pPr>
        <w:jc w:val="both"/>
        <w:ind w:firstLine="656"/>
        <w:spacing w:after="0" w:line="269" w:lineRule="auto"/>
        <w:tabs>
          <w:tab w:leader="none" w:pos="10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Upon becoming aware of any amount required to be paid by any L/C Participant to any Issuing Lender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in the applicable currency in which such Letter of Credit is denominated,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in the applicable currency in which such Letter of Credit is denominated, on demand, in addition to such amount, the product of (i)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daily average Overnight Rate as determined by the Administrative Agent during the period from and including the date such payment is due to the date on which such payment is immediately available to such Issuing Lender,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79" w:lineRule="exact"/>
        <w:rPr>
          <w:rFonts w:ascii="Arial" w:cs="Arial" w:eastAsia="Arial" w:hAnsi="Arial"/>
          <w:sz w:val="18"/>
          <w:szCs w:val="18"/>
          <w:color w:val="auto"/>
        </w:rPr>
      </w:pPr>
    </w:p>
    <w:p>
      <w:pPr>
        <w:jc w:val="both"/>
        <w:ind w:firstLine="656"/>
        <w:spacing w:after="0" w:line="276" w:lineRule="auto"/>
        <w:tabs>
          <w:tab w:leader="none" w:pos="10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 payment received by such Issuing Lender shall be required to be returned by such Issuing Lender, such L/C Participant shall return to the Administrative Agent, which, shall in turn pay such Issuing Lender the portion thereof previously distributed by such Issuing Lender to it.</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072"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Each L/C Participant’s obligation to make the Revolving Credit Loans referred to in </w:t>
      </w:r>
      <w:r>
        <w:rPr>
          <w:rFonts w:ascii="Arial" w:cs="Arial" w:eastAsia="Arial" w:hAnsi="Arial"/>
          <w:sz w:val="20"/>
          <w:szCs w:val="20"/>
          <w:u w:val="single" w:color="auto"/>
          <w:color w:val="auto"/>
        </w:rPr>
        <w:t>Section 3.4(b)</w:t>
      </w:r>
      <w:r>
        <w:rPr>
          <w:rFonts w:ascii="Arial" w:cs="Arial" w:eastAsia="Arial" w:hAnsi="Arial"/>
          <w:sz w:val="20"/>
          <w:szCs w:val="20"/>
          <w:color w:val="auto"/>
        </w:rPr>
        <w:t xml:space="preserve"> and to purchase participating interests pursuant to </w:t>
      </w:r>
      <w:r>
        <w:rPr>
          <w:rFonts w:ascii="Arial" w:cs="Arial" w:eastAsia="Arial" w:hAnsi="Arial"/>
          <w:sz w:val="20"/>
          <w:szCs w:val="20"/>
          <w:u w:val="single" w:color="auto"/>
          <w:color w:val="auto"/>
        </w:rPr>
        <w:t>Section 3.4(a)</w:t>
      </w:r>
      <w:r>
        <w:rPr>
          <w:rFonts w:ascii="Arial" w:cs="Arial" w:eastAsia="Arial" w:hAnsi="Arial"/>
          <w:sz w:val="20"/>
          <w:szCs w:val="20"/>
          <w:color w:val="auto"/>
        </w:rPr>
        <w:t xml:space="preserve"> shall be absolute and unconditional and shall not be affected by any circumstance, including (i) any setoff, counterclaim, recoupment, defense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74" w:name="page175"/>
    <w:bookmarkEnd w:id="174"/>
    <w:p>
      <w:pPr>
        <w:jc w:val="both"/>
        <w:spacing w:after="0" w:line="260" w:lineRule="auto"/>
        <w:rPr>
          <w:sz w:val="20"/>
          <w:szCs w:val="20"/>
          <w:color w:val="auto"/>
        </w:rPr>
      </w:pPr>
      <w:r>
        <w:rPr>
          <w:rFonts w:ascii="Arial" w:cs="Arial" w:eastAsia="Arial" w:hAnsi="Arial"/>
          <w:sz w:val="19"/>
          <w:szCs w:val="19"/>
          <w:color w:val="auto"/>
        </w:rPr>
        <w:t xml:space="preserve">or other right that such Revolving Credit Lender or the Borrower may have against the Issuing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9"/>
          <w:szCs w:val="19"/>
          <w:u w:val="single" w:color="auto"/>
          <w:color w:val="auto"/>
        </w:rPr>
        <w:t>Article VI</w:t>
      </w:r>
      <w:r>
        <w:rPr>
          <w:rFonts w:ascii="Arial" w:cs="Arial" w:eastAsia="Arial" w:hAnsi="Arial"/>
          <w:sz w:val="19"/>
          <w:szCs w:val="19"/>
          <w:color w:val="auto"/>
        </w:rPr>
        <w:t>, (iii) any adverse change in the condition (financial or otherwise) of the Borrower, (iv) any breach of this Agreement or any other Loan Document by the Borrower, any other Credit Party or any other Revolving Credit Lender or (v) any other circumstance, happening or event whatsoever, whether or not similar to any of the foregoing.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Reimbursement Obligation of the Borrower</w:t>
      </w:r>
      <w:r>
        <w:rPr>
          <w:rFonts w:ascii="Arial" w:cs="Arial" w:eastAsia="Arial" w:hAnsi="Arial"/>
          <w:sz w:val="18"/>
          <w:szCs w:val="18"/>
          <w:color w:val="auto"/>
        </w:rPr>
        <w:t>.</w:t>
      </w:r>
    </w:p>
    <w:p>
      <w:pPr>
        <w:spacing w:after="0" w:line="216" w:lineRule="exact"/>
        <w:rPr>
          <w:sz w:val="20"/>
          <w:szCs w:val="20"/>
          <w:color w:val="auto"/>
        </w:rPr>
      </w:pPr>
    </w:p>
    <w:p>
      <w:pPr>
        <w:ind w:left="1060" w:hanging="404"/>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Reimbursement Obligation of the Borrower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4" w:lineRule="auto"/>
        <w:tabs>
          <w:tab w:leader="none" w:pos="1743"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In the event of any drawing under any Letter of Credit, the Borrower agrees to reimburse (either with the proceeds of a Revolving Credit Loan as provided for in this Section or with funds from other sources), in Same Day Funds, the applicable Issuing Lender on each date on which such Issuing Lender notifies the Borrower of the date and amount of a draft paid by it under any Letter of Credit for the amount of (A) such draft so paid and (B) any amounts referred to in </w:t>
      </w:r>
      <w:r>
        <w:rPr>
          <w:rFonts w:ascii="Arial" w:cs="Arial" w:eastAsia="Arial" w:hAnsi="Arial"/>
          <w:sz w:val="20"/>
          <w:szCs w:val="20"/>
          <w:u w:val="single" w:color="auto"/>
          <w:color w:val="auto"/>
        </w:rPr>
        <w:t>Section 3.3(c)</w:t>
      </w:r>
      <w:r>
        <w:rPr>
          <w:rFonts w:ascii="Arial" w:cs="Arial" w:eastAsia="Arial" w:hAnsi="Arial"/>
          <w:sz w:val="20"/>
          <w:szCs w:val="20"/>
          <w:color w:val="auto"/>
        </w:rPr>
        <w:t xml:space="preserve"> incurred by such Issuing Lender in connection with such payment.</w:t>
      </w:r>
    </w:p>
    <w:p>
      <w:pPr>
        <w:spacing w:after="0" w:line="194" w:lineRule="exact"/>
        <w:rPr>
          <w:rFonts w:ascii="Arial" w:cs="Arial" w:eastAsia="Arial" w:hAnsi="Arial"/>
          <w:sz w:val="20"/>
          <w:szCs w:val="20"/>
          <w:color w:val="auto"/>
        </w:rPr>
      </w:pPr>
    </w:p>
    <w:p>
      <w:pPr>
        <w:jc w:val="both"/>
        <w:ind w:left="660" w:firstLine="645"/>
        <w:spacing w:after="0" w:line="271" w:lineRule="auto"/>
        <w:tabs>
          <w:tab w:leader="none" w:pos="1841"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case of a Letter of Credit denominated in an Alternative Currency, the Borrower shall reimburse such Issuing Lender in such Alternative Currency, unless (A) such Issuing Lender (at its option) shall have specified in such notice that it will require reimbursement in Dollars or (B) in the absence of any such requirement for reimbursement in Dollars, the Borrower shall have notified such Issuing Lender promptly following receipt of the notice of drawing that the Borrower will reimburse such Issuing Lender in Dollars. In the case of any such reimbursement in Dollars of a drawing under a Letter of Credit denominated in an Alternative Currency, such Issuing Lender shall notify the Borrower of the Dollar Equivalent of the amount of the drawing promptly following the determination thereof. Not later than 11:00 a.m. on the date of any payment by such Issuing Lender under a Letter of Credit to be reimbursed in Dollars, or the Applicable Time on the date of any payment by such Issuing Lender under a Letter of Credit to be reimbursed in an Alternative Currency, the Borrower shall reimburse such Issuing Lender through the Administrative Agent in an amount equal to the amount of such drawing and in the applicable currency.</w:t>
      </w:r>
    </w:p>
    <w:p>
      <w:pPr>
        <w:spacing w:after="0" w:line="174" w:lineRule="exact"/>
        <w:rPr>
          <w:rFonts w:ascii="Arial" w:cs="Arial" w:eastAsia="Arial" w:hAnsi="Arial"/>
          <w:sz w:val="18"/>
          <w:szCs w:val="18"/>
          <w:color w:val="auto"/>
        </w:rPr>
      </w:pPr>
    </w:p>
    <w:p>
      <w:pPr>
        <w:jc w:val="both"/>
        <w:ind w:firstLine="656"/>
        <w:spacing w:after="0" w:line="270" w:lineRule="auto"/>
        <w:tabs>
          <w:tab w:leader="none" w:pos="109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Reimbursement by the Lenders</w:t>
      </w:r>
      <w:r>
        <w:rPr>
          <w:rFonts w:ascii="Arial" w:cs="Arial" w:eastAsia="Arial" w:hAnsi="Arial"/>
          <w:sz w:val="18"/>
          <w:szCs w:val="18"/>
          <w:color w:val="auto"/>
        </w:rPr>
        <w:t xml:space="preserve">. Unless the Borrower shall immediately notify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funded in Dollars as a Base Rate Loan on the applicable repayment date in the Dollar Equivalent of (i) such draft so paid and (ii) any amounts referred to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3.3(c)</w:t>
      </w:r>
      <w:r>
        <w:rPr>
          <w:rFonts w:ascii="Arial" w:cs="Arial" w:eastAsia="Arial" w:hAnsi="Arial"/>
          <w:sz w:val="18"/>
          <w:szCs w:val="18"/>
          <w:color w:val="auto"/>
        </w:rPr>
        <w:t xml:space="preserve"> incurred by such Issuing Lender in connection with such payment (including, without limitation, any and all costs, fees and other expenses incurred by the Issuing Lender in effecting the payment of any Letter of Credit denominated in an Alternative L/C Currency), and the Revolving Credit Lenders shall make a Revolving Credit Loan funded in Dollars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If the Borrower has elected to pay the amount of such drawing with funds from other sources and shall fail to reimburse such Issuing Lender as provided above, or if the amount of such drawing is not fully refunded through a Base Rate Loan as provided above, the unreimbursed amount of such drawing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75" w:name="page176"/>
    <w:bookmarkEnd w:id="175"/>
    <w:p>
      <w:pPr>
        <w:spacing w:after="0" w:line="260" w:lineRule="auto"/>
        <w:rPr>
          <w:sz w:val="20"/>
          <w:szCs w:val="20"/>
          <w:color w:val="auto"/>
        </w:rPr>
      </w:pPr>
      <w:r>
        <w:rPr>
          <w:rFonts w:ascii="Arial" w:cs="Arial" w:eastAsia="Arial" w:hAnsi="Arial"/>
          <w:sz w:val="20"/>
          <w:szCs w:val="20"/>
          <w:color w:val="auto"/>
        </w:rPr>
        <w:t>shall bear interest at the rate which would be payable on any outstanding Base Rate Loans which were then overdue from the date such amounts become payable (whether at stated maturity, by acceleration or otherwise) until payment in full.</w:t>
      </w:r>
    </w:p>
    <w:p>
      <w:pPr>
        <w:spacing w:after="0" w:line="177" w:lineRule="exact"/>
        <w:rPr>
          <w:sz w:val="20"/>
          <w:szCs w:val="20"/>
          <w:color w:val="auto"/>
        </w:rPr>
      </w:pPr>
    </w:p>
    <w:p>
      <w:pPr>
        <w:jc w:val="both"/>
        <w:ind w:firstLine="656"/>
        <w:spacing w:after="0" w:line="243" w:lineRule="auto"/>
        <w:tabs>
          <w:tab w:leader="none" w:pos="112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Exchange Indemnification and Increased Costs</w:t>
      </w:r>
      <w:r>
        <w:rPr>
          <w:rFonts w:ascii="Arial" w:cs="Arial" w:eastAsia="Arial" w:hAnsi="Arial"/>
          <w:sz w:val="20"/>
          <w:szCs w:val="20"/>
          <w:color w:val="auto"/>
        </w:rPr>
        <w:t>. The Borrower shall, upon demand from any Issuing Lender or L/C Participant, pay to such Issuing Lender or L/C Participant, the amount of (i) any loss or cost or increased cost incurred by such Issuing Lender or L/C Participant, (ii) any reduction in any amount payable to or in the effective return on the capital to such Issuing Lender or L/C Participant, (iii) any currency exchange loss, in each case that such Issuing Lender or L/C Participant sustains as a result of the Borrower’s repayment in Dollars of any Letter of Credit denominated in an Alternative L/C Currency. A certificate of such Issuing Lender setting forth in reasonable detail the basis for determining such additional amount or amounts necessary to compensate such Issuing Lender shall be conclusively presumed to be correct save for manifest error.</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(including, without limitation, the Reimbursement Obligation) shall be absolute and unconditional under any and all circumstances and irrespective of any setoff, counterclaim or defense to payment which the Borrower may have or have had against the applicable Issuing Lender or any beneficiary of a Letter of Credit or any other Person. The Borrower also agrees that the applicable Issuing Lender and the L/C Participants shall not be responsible for, and the Borrower’s Reimbursement Obligation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any adverse change in the relevant exchange rates or in the availability of any applicable currency to the Borrower or any applicable Subsidiary or in the relevant currency markets generally. No Issuing Lender shall be liable for any error, omission, interruption or delay in transmission, dispatch or delivery of any message or advice, however transmitted, in connection with any Letter of Credit issued by it, except for errors or omissions caused by such Issuing Lender’s bad faith, gross negligence or willful misconduct,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bad faith, gross negligence or willful misconduct shall be binding on the Borrower and shall not result in any liability of such Issuing Lender or any L/C Participant to the Borrower.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Effect of Letter of Credit Application</w:t>
      </w:r>
      <w:r>
        <w:rPr>
          <w:rFonts w:ascii="Arial" w:cs="Arial" w:eastAsia="Arial" w:hAnsi="Arial"/>
          <w:sz w:val="20"/>
          <w:szCs w:val="20"/>
          <w:color w:val="auto"/>
        </w:rPr>
        <w:t xml:space="preserve">. To the extent that any provision of any Letter of Credit Application related to any Letter of Credit is inconsistent with the provisions of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apply.</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u w:val="single" w:color="auto"/>
          <w:color w:val="auto"/>
        </w:rPr>
        <w:t>Resignation of Issuing Lenders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91" w:lineRule="auto"/>
        <w:tabs>
          <w:tab w:leader="none" w:pos="13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Issuing Lender may resign at any time by giving 30 days’ prior notice to the Administrative Agent, the Lenders and the Borrower. After the resignation of an Issuing Lender hereunder, the retiring Issuing Lender shall remain a party hereto and shall continue to have all the rights and obligations of an Issuing Lender under this Agreement and the other Loan Documents with respect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6" w:name="page177"/>
    <w:bookmarkEnd w:id="176"/>
    <w:p>
      <w:pPr>
        <w:ind w:left="260" w:right="20"/>
        <w:spacing w:after="0" w:line="260" w:lineRule="auto"/>
        <w:rPr>
          <w:sz w:val="20"/>
          <w:szCs w:val="20"/>
          <w:color w:val="auto"/>
        </w:rPr>
      </w:pPr>
      <w:r>
        <w:rPr>
          <w:rFonts w:ascii="Arial" w:cs="Arial" w:eastAsia="Arial" w:hAnsi="Arial"/>
          <w:sz w:val="20"/>
          <w:szCs w:val="20"/>
          <w:color w:val="auto"/>
        </w:rPr>
        <w:t>Letters of Credit issued by it prior to such resignation, but shall not be required to issue additional Letters of Credit or to extend, renew or increase the outstanding Letter of Credit.</w:t>
      </w:r>
    </w:p>
    <w:p>
      <w:pPr>
        <w:spacing w:after="0" w:line="177" w:lineRule="exact"/>
        <w:rPr>
          <w:sz w:val="20"/>
          <w:szCs w:val="20"/>
          <w:color w:val="auto"/>
        </w:rPr>
      </w:pPr>
    </w:p>
    <w:p>
      <w:pPr>
        <w:jc w:val="both"/>
        <w:ind w:left="260" w:firstLine="639"/>
        <w:spacing w:after="0" w:line="273" w:lineRule="auto"/>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Reporting of Letter of Credit Information and L/C Commitment</w:t>
      </w:r>
      <w:r>
        <w:rPr>
          <w:rFonts w:ascii="Arial" w:cs="Arial" w:eastAsia="Arial" w:hAnsi="Arial"/>
          <w:sz w:val="18"/>
          <w:szCs w:val="18"/>
          <w:color w:val="auto"/>
        </w:rPr>
        <w:t xml:space="preserve">. At any time that there is an Issuing Lender that is not also the financial institution acting as Administrative Agent, then (a) no later than the fifth Business Day following the last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limit the obligations of the Borrower or any Revolving Credit Lender hereunder with respect to its reimbursement and participation obligations hereunder.</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 Subsidiary, the Borrower shall be obligated to reimburse, or to cause the applicable Subsidiary to reimburse, the applicable Issuing Lender hereunder for any and all drawings under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LOAN PROVISIONS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7" w:name="page178"/>
    <w:bookmarkEnd w:id="177"/>
    <w:p>
      <w:pPr>
        <w:ind w:left="660"/>
        <w:spacing w:after="0"/>
        <w:tabs>
          <w:tab w:leader="none" w:pos="19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75" w:lineRule="auto"/>
        <w:tabs>
          <w:tab w:leader="none" w:pos="1375"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Interest Rate Options</w:t>
      </w:r>
      <w:r>
        <w:rPr>
          <w:rFonts w:ascii="Arial" w:cs="Arial" w:eastAsia="Arial" w:hAnsi="Arial"/>
          <w:sz w:val="18"/>
          <w:szCs w:val="18"/>
          <w:color w:val="auto"/>
        </w:rPr>
        <w:t xml:space="preserve">. Subject to the provisions of this Section, at the election of the Borrower, (i) Revolving Credit Loans denominated in Dollars and, if applicable, Incremental Term Loans, shall bear interest at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w:t>
      </w:r>
    </w:p>
    <w:p>
      <w:pPr>
        <w:jc w:val="both"/>
        <w:ind w:left="260" w:hanging="9"/>
        <w:spacing w:after="0" w:line="254" w:lineRule="auto"/>
        <w:tabs>
          <w:tab w:leader="none" w:pos="6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(ii) Revolving Credit Loans denominated in an Alternative Currency shall bear interest at the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Eurocurrency Rate shall not be available until three (3) Business Days after the Closing Date in the case of Eurocurrency Rate Loans denominated in Dollars, four (4) Business Days (or five (5) Business Days in the case of Special Notice Currencies) after the Closing Date in the case of Eurocurrency Rate Loans denominated in an Alternative Currency, in each case, unless the Borrower has delivered to the Administrative Agent a letter in form and substance reasonably satisfactory to the Administrative Agent indemnifying the Lenders in the manner set forth in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of this Agreement), (ii) Canadian Base Rate Loans shall bear interest at the Canadian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and (iii) any Swingline Loan shall bear interest at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The Borrower shall select the rate of interest and Interest Period, if any, applicable to any Revolving Credit Loan at the time a Notice of Borrowing is given or at the time a Notice of Conversion/Continuation is given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260" w:firstLine="639"/>
        <w:spacing w:after="0" w:line="244" w:lineRule="auto"/>
        <w:tabs>
          <w:tab w:leader="none" w:pos="1386"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immediately upon the occurrence and during the continuance of an Event of Default under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all overdue amounts shall bear interest at a rate per annum of two percent (2%) in excess of the rate (including the Applicable Margin) then applicable to such amount and shall be payable on demand of the Administrative Agent. Interest shall continue to accrue on the Obligations after the filing by or against the Borrower of any petition seeking any relief in bankruptcy or under any Debtor Relief Law.</w:t>
      </w:r>
    </w:p>
    <w:p>
      <w:pPr>
        <w:spacing w:after="0" w:line="194" w:lineRule="exact"/>
        <w:rPr>
          <w:rFonts w:ascii="Arial" w:cs="Arial" w:eastAsia="Arial" w:hAnsi="Arial"/>
          <w:sz w:val="20"/>
          <w:szCs w:val="20"/>
          <w:color w:val="auto"/>
        </w:rPr>
      </w:pPr>
    </w:p>
    <w:p>
      <w:pPr>
        <w:jc w:val="both"/>
        <w:ind w:left="260" w:firstLine="639"/>
        <w:spacing w:after="0" w:line="271" w:lineRule="auto"/>
        <w:tabs>
          <w:tab w:leader="none" w:pos="1308"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Interest Payment and Computation</w:t>
      </w:r>
      <w:r>
        <w:rPr>
          <w:rFonts w:ascii="Arial" w:cs="Arial" w:eastAsia="Arial" w:hAnsi="Arial"/>
          <w:sz w:val="18"/>
          <w:szCs w:val="18"/>
          <w:color w:val="auto"/>
        </w:rPr>
        <w:t>. Interest on each Base Rate Loan and Canadian Base Rate Loan shall be due and payable in arrears on the last Business Day of each calendar quarter commencing March 31, 2019; and interest on each Eurocurrency Rate Loan shall be due and payable on the last day of each Interest Period applicable thereto, and if such Interest Period extends over three (3) months, at the end of each three (3) month interval during such Interest Period. All computations of interest for (i) Base Rate Loans when the Base Rate is determined by the Prime Rate, (ii) Canadian Base Rate Loans when Canadian Base Rate is determined by the Canadian Prime Rate or (iii) for all Eurocurrency Rate Loans denominated in Sterling or Canadian Dollars or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or, in the case of interest in respect of Loans denominated in other Alternative Currencies as to which market practice differs from the foregoing, in accordance with such market practice. With respect to all Non-LIBOR Currencies, the calculation of the applicable interest rate shall be determined in accordance with market practice.</w:t>
      </w:r>
    </w:p>
    <w:p>
      <w:pPr>
        <w:spacing w:after="0" w:line="170" w:lineRule="exact"/>
        <w:rPr>
          <w:rFonts w:ascii="Arial" w:cs="Arial" w:eastAsia="Arial" w:hAnsi="Arial"/>
          <w:sz w:val="18"/>
          <w:szCs w:val="18"/>
          <w:color w:val="auto"/>
        </w:rPr>
      </w:pPr>
    </w:p>
    <w:p>
      <w:pPr>
        <w:jc w:val="both"/>
        <w:ind w:left="260" w:firstLine="639"/>
        <w:spacing w:after="0" w:line="269" w:lineRule="auto"/>
        <w:tabs>
          <w:tab w:leader="none" w:pos="148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Maximum Rate</w:t>
      </w:r>
      <w:r>
        <w:rPr>
          <w:rFonts w:ascii="Arial" w:cs="Arial" w:eastAsia="Arial" w:hAnsi="Arial"/>
          <w:sz w:val="18"/>
          <w:szCs w:val="18"/>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w:t>
      </w:r>
    </w:p>
    <w:p>
      <w:pPr>
        <w:spacing w:after="0" w:line="3" w:lineRule="exact"/>
        <w:rPr>
          <w:rFonts w:ascii="Arial" w:cs="Arial" w:eastAsia="Arial" w:hAnsi="Arial"/>
          <w:sz w:val="18"/>
          <w:szCs w:val="18"/>
          <w:color w:val="auto"/>
        </w:rPr>
      </w:pPr>
    </w:p>
    <w:p>
      <w:pPr>
        <w:ind w:left="260"/>
        <w:spacing w:after="0" w:line="244" w:lineRule="auto"/>
        <w:rPr>
          <w:rFonts w:ascii="Arial" w:cs="Arial" w:eastAsia="Arial" w:hAnsi="Arial"/>
          <w:sz w:val="18"/>
          <w:szCs w:val="18"/>
          <w:color w:val="auto"/>
        </w:rPr>
      </w:pPr>
      <w:r>
        <w:rPr>
          <w:rFonts w:ascii="Arial" w:cs="Arial" w:eastAsia="Arial" w:hAnsi="Arial"/>
          <w:sz w:val="20"/>
          <w:szCs w:val="20"/>
          <w:color w:val="auto"/>
        </w:rPr>
        <w:t>(i) promptly refund to the Borrower any interest received by the Lenders in excess of the maximum lawful rate or (ii) apply such excess to the principal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78" w:name="page179"/>
    <w:bookmarkEnd w:id="178"/>
    <w:p>
      <w:pPr>
        <w:jc w:val="both"/>
        <w:ind w:left="260"/>
        <w:spacing w:after="0" w:line="250" w:lineRule="auto"/>
        <w:rPr>
          <w:sz w:val="20"/>
          <w:szCs w:val="20"/>
          <w:color w:val="auto"/>
        </w:rPr>
      </w:pPr>
      <w:r>
        <w:rPr>
          <w:rFonts w:ascii="Arial" w:cs="Arial" w:eastAsia="Arial" w:hAnsi="Arial"/>
          <w:sz w:val="20"/>
          <w:szCs w:val="20"/>
          <w:color w:val="auto"/>
        </w:rPr>
        <w:t>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 and Manner of Conversion or Continuation of Loans</w:t>
      </w:r>
      <w:r>
        <w:rPr>
          <w:rFonts w:ascii="Arial" w:cs="Arial" w:eastAsia="Arial" w:hAnsi="Arial"/>
          <w:sz w:val="18"/>
          <w:szCs w:val="18"/>
          <w:color w:val="auto"/>
        </w:rPr>
        <w:t xml:space="preserve">. Provided that no Default or Event of Default has occurred and is then continuing, the Borrower shall have the option to (a) convert at any time all or any portion of any outstanding Base Rate Loans or Canadian Base Rate Loans (other than Swingline Loans) in a principal amount equal to $1,000,000 or any whole multiple of $1,000,000 in excess thereof into one or more Eurocurrency Rate Loans denominated in Dollars and (b) upon the expiration of any Interest Period, (i) convert all or any part of its outstanding Eurocurrency Rate Loans denominated in Dollars in a principal amount equal to $1,000,000 or a whole multiple of $1,000,000 in excess thereof into Base Rate Loans or Canadian Base Rate Loans (other than Swingline Loans) or (ii) continue its outstanding Eurocurrency Rate Loans denominated in any applicable currency as Eurocurrency Rate Loans denominated in the same applicable currency. Whenever the Borrower desires to convert or continue Revolving Credit Loans as provided above, the Borrower shall give the Administrative Agent irrevocable prior written notice in the form attached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not later than</w:t>
      </w:r>
    </w:p>
    <w:p>
      <w:pPr>
        <w:spacing w:after="0" w:line="2"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11:00 a.m. three (3) Business Days in the case of Eurocurrency Rate Loans denominated in Dollars or (B) four (4) Business Days (or five</w:t>
      </w:r>
    </w:p>
    <w:p>
      <w:pPr>
        <w:spacing w:after="0" w:line="22" w:lineRule="exact"/>
        <w:rPr>
          <w:rFonts w:ascii="Arial" w:cs="Arial" w:eastAsia="Arial" w:hAnsi="Arial"/>
          <w:sz w:val="18"/>
          <w:szCs w:val="18"/>
          <w:color w:val="auto"/>
        </w:rPr>
      </w:pPr>
    </w:p>
    <w:p>
      <w:pPr>
        <w:jc w:val="both"/>
        <w:spacing w:after="0" w:line="266" w:lineRule="auto"/>
        <w:rPr>
          <w:rFonts w:ascii="Arial" w:cs="Arial" w:eastAsia="Arial" w:hAnsi="Arial"/>
          <w:sz w:val="18"/>
          <w:szCs w:val="18"/>
          <w:color w:val="auto"/>
        </w:rPr>
      </w:pPr>
      <w:r>
        <w:rPr>
          <w:rFonts w:ascii="Arial" w:cs="Arial" w:eastAsia="Arial" w:hAnsi="Arial"/>
          <w:sz w:val="18"/>
          <w:szCs w:val="18"/>
          <w:color w:val="auto"/>
        </w:rPr>
        <w:t>(5) Business Days in the case of a Special Notice Currency) in the case of a Eurocurrency Rate Loan denominated in Alternative Currencies before the day on which a proposed conversion or continuation of such Loan is to be effective specifying (1) the Revolving Credit Loans to be converted or continued, and, in the case of any Eurocurrency Rate Loan to be converted or continued, the last day of the Interest Period therefor, (2) the effective date of such conversion or continuation (which shall be a Business Day), (3) the principal amount of such Revolving Credit Loans to be converted or continued, (4) the Interest Period to be applicable to such converted or continued Eurocurrency Rate Loan and</w:t>
      </w:r>
    </w:p>
    <w:p>
      <w:pPr>
        <w:jc w:val="both"/>
        <w:spacing w:after="0" w:line="253" w:lineRule="auto"/>
        <w:rPr>
          <w:rFonts w:ascii="Arial" w:cs="Arial" w:eastAsia="Arial" w:hAnsi="Arial"/>
          <w:sz w:val="18"/>
          <w:szCs w:val="18"/>
          <w:color w:val="auto"/>
        </w:rPr>
      </w:pPr>
      <w:r>
        <w:rPr>
          <w:rFonts w:ascii="Arial" w:cs="Arial" w:eastAsia="Arial" w:hAnsi="Arial"/>
          <w:sz w:val="19"/>
          <w:szCs w:val="19"/>
          <w:color w:val="auto"/>
        </w:rPr>
        <w:t>(5) the currency in which such Revolving Credit Loan is denominated. If the Borrower fails to give a timely Notice of Conversion/Continuation prior to the end of the Interest Period for any Eurocurrency Rate Loan denominated in Dollars, then the applicable Eurocurrency Rate Loan shall be converted to a Base Rate Loan. Any such automatic conversion to a Base Rate Loan shall be effective as of the last day of the Interest Period then in effect with respect to the applicable Eurocurrency Rate Loan. If the Borrower fails to give a timely Notice of Conversion/Continuation prior to the end of the Interest Period for any Eurocurrency Rate Loan denominated in an Alternative Currency, such Revolving Credit Loans shall be continued as a Eurocurrency Rate Loan in its original currency with an Interest Period of one month. If the Borrower requests a conversion to, or continuation of, Eurocurrency Rate Loans, but fails to specify an Interest Period, it will be deemed to have specified an Interest Period of one month. Notwithstanding anything to the contrary herein, no Revolving Credit Loan may be converted or continued as a Revolving Credit Loan denominated in a different currency, but instead must be prepaid in the original currency of such Revolving Credit Loan and reborrowed in the other currency. Notwithstanding anything to the contrary herein, a Swingline Loan may not be converted to a Eurocurrency Rate Loan. The Administrative Agent shall promptly notify the affected Lenders of such Notice of Conversion/Continuation</w:t>
      </w:r>
      <w:r>
        <w:rPr>
          <w:rFonts w:ascii="Arial" w:cs="Arial" w:eastAsia="Arial" w:hAnsi="Arial"/>
          <w:sz w:val="19"/>
          <w:szCs w:val="19"/>
          <w:i w:val="1"/>
          <w:iCs w:val="1"/>
          <w:color w:val="auto"/>
        </w:rPr>
        <w:t>.</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60" w:lineRule="auto"/>
        <w:tabs>
          <w:tab w:leader="none" w:pos="147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Commencing on the Closing Date, subject to </w:t>
      </w:r>
      <w:r>
        <w:rPr>
          <w:rFonts w:ascii="Arial" w:cs="Arial" w:eastAsia="Arial" w:hAnsi="Arial"/>
          <w:sz w:val="19"/>
          <w:szCs w:val="19"/>
          <w:u w:val="single" w:color="auto"/>
          <w:color w:val="auto"/>
        </w:rPr>
        <w:t>Section 5.15(a)(iii)(A)</w:t>
      </w:r>
      <w:r>
        <w:rPr>
          <w:rFonts w:ascii="Arial" w:cs="Arial" w:eastAsia="Arial" w:hAnsi="Arial"/>
          <w:sz w:val="19"/>
          <w:szCs w:val="19"/>
          <w:color w:val="auto"/>
        </w:rPr>
        <w:t>, the Borrower shall pay to the Administrative Agent, for the account of the Revolving Credit Lenders, a non-refundable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in Dollars at a rate per annum equal to the Applicable Margin on the average daily unused portion of the Revolving Credit Commitment of the Revolving Credit Lenders (other than the Defaulting Lenders, if any);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outstanding Swingline Loans shall not be considered usage of the Revolving Credit Commitment for the purpose of calculating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79" w:name="page180"/>
    <w:bookmarkEnd w:id="179"/>
    <w:p>
      <w:pPr>
        <w:jc w:val="both"/>
        <w:ind w:left="260"/>
        <w:spacing w:after="0" w:line="276" w:lineRule="auto"/>
        <w:rPr>
          <w:sz w:val="20"/>
          <w:szCs w:val="20"/>
          <w:color w:val="auto"/>
        </w:rPr>
      </w:pPr>
      <w:r>
        <w:rPr>
          <w:rFonts w:ascii="Arial" w:cs="Arial" w:eastAsia="Arial" w:hAnsi="Arial"/>
          <w:sz w:val="18"/>
          <w:szCs w:val="18"/>
          <w:color w:val="auto"/>
        </w:rPr>
        <w:t xml:space="preserve">the Commitment Fee. The Commitment Fee shall be payable in arrears on the last Business Day of each calendar quarter during the term of this Agreement commencing March 31, 2019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such Revolving Credit Lenders’ respective Revolving Credit Commitment Percentages.</w:t>
      </w:r>
    </w:p>
    <w:p>
      <w:pPr>
        <w:spacing w:after="0" w:line="165" w:lineRule="exact"/>
        <w:rPr>
          <w:sz w:val="20"/>
          <w:szCs w:val="20"/>
          <w:color w:val="auto"/>
        </w:rPr>
      </w:pPr>
    </w:p>
    <w:p>
      <w:pPr>
        <w:jc w:val="both"/>
        <w:ind w:left="260" w:firstLine="639"/>
        <w:spacing w:after="0" w:line="250" w:lineRule="auto"/>
        <w:tabs>
          <w:tab w:leader="none" w:pos="145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Borrower shall pay, without duplication, to the Arrangers and the Administrative Agent for their own respective accounts and to the Arrangers for the account of the Lenders fees in the amounts and at the times specified in the Engagement Letter.</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Manner of Payment.</w:t>
      </w:r>
    </w:p>
    <w:p>
      <w:pPr>
        <w:spacing w:after="0" w:line="216" w:lineRule="exact"/>
        <w:rPr>
          <w:sz w:val="20"/>
          <w:szCs w:val="20"/>
          <w:color w:val="auto"/>
        </w:rPr>
      </w:pPr>
    </w:p>
    <w:p>
      <w:pPr>
        <w:ind w:left="1300" w:hanging="401"/>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Sharing of Payments.</w:t>
      </w:r>
    </w:p>
    <w:p>
      <w:pPr>
        <w:spacing w:after="0" w:line="215" w:lineRule="exact"/>
        <w:rPr>
          <w:rFonts w:ascii="Arial" w:cs="Arial" w:eastAsia="Arial" w:hAnsi="Arial"/>
          <w:sz w:val="20"/>
          <w:szCs w:val="20"/>
          <w:color w:val="auto"/>
        </w:rPr>
      </w:pPr>
    </w:p>
    <w:p>
      <w:pPr>
        <w:jc w:val="both"/>
        <w:ind w:left="660" w:firstLine="645"/>
        <w:spacing w:after="0" w:line="257" w:lineRule="auto"/>
        <w:tabs>
          <w:tab w:leader="none" w:pos="170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Each payment by the Borrower on account of the principal of or interest on the Loans denominated in Dollars or any fee, commission or other amounts (including the Reimbursement Obligation) denominated in Dollars payable to the Lenders under this Agreement shall be made not later than 2:00 p.m. on the date specified for payment under this Agreement to the Administrative Agent at the Administrative Agent’s Office for the account of the Lenders entitled to such payment in Dollars, in Same Day Funds and shall be made without any set-off, counterclaim or deduction whatsoever. Any payment received after such time but before 3:00 p.m. on such day shall be deemed a payment on such date for the purposes of </w:t>
      </w:r>
      <w:r>
        <w:rPr>
          <w:rFonts w:ascii="Arial" w:cs="Arial" w:eastAsia="Arial" w:hAnsi="Arial"/>
          <w:sz w:val="19"/>
          <w:szCs w:val="19"/>
          <w:u w:val="single" w:color="auto"/>
          <w:color w:val="auto"/>
        </w:rPr>
        <w:t>Section 10.1</w:t>
      </w:r>
      <w:r>
        <w:rPr>
          <w:rFonts w:ascii="Arial" w:cs="Arial" w:eastAsia="Arial" w:hAnsi="Arial"/>
          <w:sz w:val="19"/>
          <w:szCs w:val="19"/>
          <w:color w:val="auto"/>
        </w:rPr>
        <w:t>, but for all other purposes shall be deemed to have been made on the next succeeding Business Day. Any payment received after 3:00 p.m. shall be deemed to have been made on the next succeeding Business Day for all purposes.</w:t>
      </w:r>
    </w:p>
    <w:p>
      <w:pPr>
        <w:spacing w:after="0" w:line="181" w:lineRule="exact"/>
        <w:rPr>
          <w:rFonts w:ascii="Arial" w:cs="Arial" w:eastAsia="Arial" w:hAnsi="Arial"/>
          <w:sz w:val="19"/>
          <w:szCs w:val="19"/>
          <w:color w:val="auto"/>
        </w:rPr>
      </w:pPr>
    </w:p>
    <w:p>
      <w:pPr>
        <w:jc w:val="both"/>
        <w:ind w:left="660" w:firstLine="645"/>
        <w:spacing w:after="0" w:line="271" w:lineRule="auto"/>
        <w:tabs>
          <w:tab w:leader="none" w:pos="175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Each payment by the Borrower on account of the principal of or interest on the Revolving Credit Loans denominated in an Alternative Currency or any fee, commission or other amounts (including the Reimbursement Obligation) denominated in an Alternative Currency or an Alternative L/C Currency shall be made not later than the Applicable Time specified by the Administrative Agent on the date specified for payment under this Agreement to the Administrative Agent at the applicable Administrative Agent’s Office for the account of the Lenders entitled to such payment in such Alternative Currency or Alternative L/C Currency, in Same Day Funds and shall be made without any set-off, counterclaim or deduction whatsoever. Any payment received after such time but before an hour after the Applicable Time specified by the Administrative Agent on such day shall be deemed a payment on such date for the purposes of </w:t>
      </w:r>
      <w:r>
        <w:rPr>
          <w:rFonts w:ascii="Arial" w:cs="Arial" w:eastAsia="Arial" w:hAnsi="Arial"/>
          <w:sz w:val="18"/>
          <w:szCs w:val="18"/>
          <w:u w:val="single" w:color="auto"/>
          <w:color w:val="auto"/>
        </w:rPr>
        <w:t>Section 10.1</w:t>
      </w:r>
      <w:r>
        <w:rPr>
          <w:rFonts w:ascii="Arial" w:cs="Arial" w:eastAsia="Arial" w:hAnsi="Arial"/>
          <w:sz w:val="18"/>
          <w:szCs w:val="18"/>
          <w:color w:val="auto"/>
        </w:rPr>
        <w:t>, but for all other purposes shall be deemed to have been made on the next succeeding Business Day. Any payment received after an hour after the Applicable Time specified by the Administrative Agent shall be deemed to have been made on the next succeeding Business Day for all purposes.</w:t>
      </w:r>
    </w:p>
    <w:p>
      <w:pPr>
        <w:spacing w:after="0" w:line="174" w:lineRule="exact"/>
        <w:rPr>
          <w:rFonts w:ascii="Arial" w:cs="Arial" w:eastAsia="Arial" w:hAnsi="Arial"/>
          <w:sz w:val="18"/>
          <w:szCs w:val="18"/>
          <w:color w:val="auto"/>
        </w:rPr>
      </w:pPr>
    </w:p>
    <w:p>
      <w:pPr>
        <w:jc w:val="both"/>
        <w:ind w:left="660" w:firstLine="645"/>
        <w:spacing w:after="0" w:line="263" w:lineRule="auto"/>
        <w:tabs>
          <w:tab w:leader="none" w:pos="1799" w:val="left"/>
        </w:tabs>
        <w:numPr>
          <w:ilvl w:val="1"/>
          <w:numId w:val="100"/>
        </w:numPr>
        <w:rPr>
          <w:rFonts w:ascii="Arial" w:cs="Arial" w:eastAsia="Arial" w:hAnsi="Arial"/>
          <w:sz w:val="19"/>
          <w:szCs w:val="19"/>
          <w:color w:val="auto"/>
        </w:rPr>
      </w:pPr>
      <w:r>
        <w:rPr>
          <w:rFonts w:ascii="Arial" w:cs="Arial" w:eastAsia="Arial" w:hAnsi="Arial"/>
          <w:sz w:val="19"/>
          <w:szCs w:val="19"/>
          <w:color w:val="auto"/>
        </w:rPr>
        <w:t>Without limiting the generality of the foregoing, the Administrative Agent may require that any payments due under this Agreement be made in the United States. If, for any reason, the Borrower is prohibited by any Applicable Law from making any required payment hereunder in an Alternative Currency or an Alternative L/C Currency, the Borrower shall make such payment in Dollars in the Dollar Equivalent of the Alternative Currency or the Alternative L/C Currency payment amount.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0" w:name="page181"/>
    <w:bookmarkEnd w:id="180"/>
    <w:p>
      <w:pPr>
        <w:jc w:val="both"/>
        <w:ind w:left="660" w:firstLine="645"/>
        <w:spacing w:after="0" w:line="255" w:lineRule="auto"/>
        <w:tabs>
          <w:tab w:leader="none" w:pos="180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Upon receipt by the Administrative Agent of each such payment, the Administrative Agent shall distribute to each such Lender in the applicable Class at its address for notices set forth herein its applicable Commitment Percentage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9"/>
          <w:szCs w:val="19"/>
          <w:u w:val="single" w:color="auto"/>
          <w:color w:val="auto"/>
        </w:rPr>
        <w:t>Sections 5.9</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12.3</w:t>
      </w:r>
      <w:r>
        <w:rPr>
          <w:rFonts w:ascii="Arial" w:cs="Arial" w:eastAsia="Arial" w:hAnsi="Arial"/>
          <w:sz w:val="19"/>
          <w:szCs w:val="19"/>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85" w:lineRule="exact"/>
        <w:rPr>
          <w:rFonts w:ascii="Arial" w:cs="Arial" w:eastAsia="Arial" w:hAnsi="Arial"/>
          <w:sz w:val="19"/>
          <w:szCs w:val="19"/>
          <w:color w:val="auto"/>
        </w:rPr>
      </w:pPr>
    </w:p>
    <w:p>
      <w:pPr>
        <w:ind w:firstLine="656"/>
        <w:spacing w:after="0" w:line="260" w:lineRule="auto"/>
        <w:tabs>
          <w:tab w:leader="none" w:pos="1086"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the foregoing clause (a), if there exists a Defaulting Lender each payment by the Borrower to such Defaulting Lender hereunder shall be applied in accordance with </w:t>
      </w:r>
      <w:r>
        <w:rPr>
          <w:rFonts w:ascii="Arial" w:cs="Arial" w:eastAsia="Arial" w:hAnsi="Arial"/>
          <w:sz w:val="20"/>
          <w:szCs w:val="20"/>
          <w:u w:val="single" w:color="auto"/>
          <w:color w:val="auto"/>
        </w:rPr>
        <w:t>Section 5.15(a)(ii)</w:t>
      </w:r>
      <w:r>
        <w:rPr>
          <w:rFonts w:ascii="Arial" w:cs="Arial" w:eastAsia="Arial" w:hAnsi="Arial"/>
          <w:sz w:val="20"/>
          <w:szCs w:val="20"/>
          <w:color w:val="auto"/>
        </w:rPr>
        <w: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70" w:lineRule="auto"/>
        <w:tabs>
          <w:tab w:leader="none" w:pos="136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Extensions of Credit</w:t>
      </w:r>
      <w:r>
        <w:rPr>
          <w:rFonts w:ascii="Arial" w:cs="Arial" w:eastAsia="Arial" w:hAnsi="Arial"/>
          <w:sz w:val="18"/>
          <w:szCs w:val="18"/>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Revolving Credit Note and/or Swingline Note and/or Incremental Term Loan Note, as applicable, which shall evidence such Lender’s Revolving Credit Loans and/or Swingline Loans and/or Incremental Term Loan, as applicable, to the Borrower in addition to such accounts or records. Each Lender may attach schedules to its Notes and endorse thereon the date, amount, currency and maturity of its Loans and payments with respect thereto.</w:t>
      </w:r>
    </w:p>
    <w:p>
      <w:pPr>
        <w:spacing w:after="0" w:line="173" w:lineRule="exact"/>
        <w:rPr>
          <w:rFonts w:ascii="Arial" w:cs="Arial" w:eastAsia="Arial" w:hAnsi="Arial"/>
          <w:sz w:val="18"/>
          <w:szCs w:val="18"/>
          <w:color w:val="auto"/>
        </w:rPr>
      </w:pPr>
    </w:p>
    <w:p>
      <w:pPr>
        <w:jc w:val="both"/>
        <w:ind w:left="260" w:firstLine="639"/>
        <w:spacing w:after="0" w:line="260" w:lineRule="auto"/>
        <w:tabs>
          <w:tab w:leader="none" w:pos="140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81" w:name="page182"/>
    <w:bookmarkEnd w:id="181"/>
    <w:p>
      <w:pPr>
        <w:jc w:val="both"/>
        <w:ind w:firstLine="648"/>
        <w:spacing w:after="0" w:line="242"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Sharing of Payments by Lenders</w:t>
      </w:r>
      <w:r>
        <w:rPr>
          <w:rFonts w:ascii="Arial" w:cs="Arial" w:eastAsia="Arial" w:hAnsi="Arial"/>
          <w:sz w:val="20"/>
          <w:szCs w:val="20"/>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20"/>
          <w:szCs w:val="20"/>
          <w:u w:val="single" w:color="auto"/>
          <w:color w:val="auto"/>
        </w:rPr>
        <w:t>Sections 5.9</w:t>
      </w:r>
      <w:r>
        <w:rPr>
          <w:rFonts w:ascii="Arial" w:cs="Arial" w:eastAsia="Arial" w:hAnsi="Arial"/>
          <w:sz w:val="20"/>
          <w:szCs w:val="20"/>
          <w:color w:val="auto"/>
        </w:rPr>
        <w:t xml:space="preserve">, </w:t>
      </w:r>
      <w:r>
        <w:rPr>
          <w:rFonts w:ascii="Arial" w:cs="Arial" w:eastAsia="Arial" w:hAnsi="Arial"/>
          <w:sz w:val="20"/>
          <w:szCs w:val="20"/>
          <w:u w:val="single" w:color="auto"/>
          <w:color w:val="auto"/>
        </w:rPr>
        <w:t>5.10</w:t>
      </w:r>
      <w:r>
        <w:rPr>
          <w:rFonts w:ascii="Arial" w:cs="Arial" w:eastAsia="Arial" w:hAnsi="Arial"/>
          <w:sz w:val="20"/>
          <w:szCs w:val="20"/>
          <w:color w:val="auto"/>
        </w:rPr>
        <w:t xml:space="preserve">, </w:t>
      </w:r>
      <w:r>
        <w:rPr>
          <w:rFonts w:ascii="Arial" w:cs="Arial" w:eastAsia="Arial" w:hAnsi="Arial"/>
          <w:sz w:val="20"/>
          <w:szCs w:val="20"/>
          <w:u w:val="single" w:color="auto"/>
          <w:color w:val="auto"/>
        </w:rPr>
        <w:t>5.11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12.3</w:t>
      </w:r>
      <w:r>
        <w:rPr>
          <w:rFonts w:ascii="Arial" w:cs="Arial" w:eastAsia="Arial" w:hAnsi="Arial"/>
          <w:sz w:val="20"/>
          <w:szCs w:val="20"/>
          <w:color w:val="auto"/>
        </w:rPr>
        <w:t xml:space="preserve">) greater than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8" w:lineRule="exact"/>
        <w:rPr>
          <w:sz w:val="20"/>
          <w:szCs w:val="20"/>
          <w:color w:val="auto"/>
        </w:rPr>
      </w:pPr>
    </w:p>
    <w:p>
      <w:pPr>
        <w:ind w:left="660" w:firstLine="645"/>
        <w:spacing w:after="0" w:line="287" w:lineRule="auto"/>
        <w:tabs>
          <w:tab w:leader="none" w:pos="178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2" w:lineRule="exact"/>
        <w:rPr>
          <w:rFonts w:ascii="Arial" w:cs="Arial" w:eastAsia="Arial" w:hAnsi="Arial"/>
          <w:sz w:val="19"/>
          <w:szCs w:val="19"/>
          <w:color w:val="auto"/>
        </w:rPr>
      </w:pPr>
    </w:p>
    <w:p>
      <w:pPr>
        <w:jc w:val="both"/>
        <w:ind w:left="660" w:firstLine="645"/>
        <w:spacing w:after="0" w:line="243" w:lineRule="auto"/>
        <w:tabs>
          <w:tab w:leader="none" w:pos="173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the provisions of this paragraph shall not be construed to apply to (A) any payment made by the Borrower pursuant to and in accordance with the express terms of this Agreement (including the application of funds arising from the existence of a Defaulting Lender or a Disqualified Institution), (B) the application of Cash Collateral provided for in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spacing w:after="0" w:line="19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Administrative Agent’s Clawback</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70" w:lineRule="auto"/>
        <w:tabs>
          <w:tab w:leader="none" w:pos="130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(i) in the case of Base Rate Loans, not later than 12:00 noon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2" w:name="page183"/>
    <w:bookmarkEnd w:id="182"/>
    <w:p>
      <w:pPr>
        <w:ind w:left="260"/>
        <w:spacing w:after="0" w:line="260" w:lineRule="auto"/>
        <w:rPr>
          <w:sz w:val="20"/>
          <w:szCs w:val="20"/>
          <w:color w:val="auto"/>
        </w:rPr>
      </w:pPr>
      <w:r>
        <w:rPr>
          <w:rFonts w:ascii="Arial" w:cs="Arial" w:eastAsia="Arial" w:hAnsi="Arial"/>
          <w:sz w:val="20"/>
          <w:szCs w:val="20"/>
          <w:color w:val="auto"/>
        </w:rPr>
        <w:t>payment by the Borrower shall be without prejudice to any claim the Borrower may have against a Lender that shall have failed to make such payment to the Administrative Agent.</w:t>
      </w:r>
    </w:p>
    <w:p>
      <w:pPr>
        <w:spacing w:after="0" w:line="177" w:lineRule="exact"/>
        <w:rPr>
          <w:sz w:val="20"/>
          <w:szCs w:val="20"/>
          <w:color w:val="auto"/>
        </w:rPr>
      </w:pPr>
    </w:p>
    <w:p>
      <w:pPr>
        <w:jc w:val="both"/>
        <w:ind w:left="260" w:firstLine="639"/>
        <w:spacing w:after="0" w:line="256" w:lineRule="auto"/>
        <w:tabs>
          <w:tab w:leader="none" w:pos="142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Payments by the Borrower; Presumptions by Administrative Agent</w:t>
      </w:r>
      <w:r>
        <w:rPr>
          <w:rFonts w:ascii="Arial" w:cs="Arial" w:eastAsia="Arial" w:hAnsi="Arial"/>
          <w:sz w:val="19"/>
          <w:szCs w:val="19"/>
          <w:color w:val="auto"/>
        </w:rPr>
        <w:t>. Unless the Administrative Agent shall have received notice from the Borrower prior to the date on which any payment is due to the Administrative Agent for the account of the Lenders, the Issuing Lender or the Swingline Lender hereunder that the Borrower will not make such payment, the Administrative Agent may assume that the Borrower has made such payment on such date in accordance herewith and may, in reliance upon such assumption, distribute to the Lenders, the Issuing Lender or the Swingline Lender, as the case may be, the amount due. In such event, if the Borrower has not in fact made such payment, then each of the Lenders, the Issuing Lender or the Swingline Lender, as the case maybe, severally agrees to repay to the Administrative Agent forthwith on demand the amount so distributed to such Lender, Issuing Lender or the Swingline Lender, in Same Day Funds with interest thereon, for each day from and including the date such amount is distributed to it to but excluding the date of payment to the Administrative Agent, at the Overnight Rate.</w:t>
      </w:r>
    </w:p>
    <w:p>
      <w:pPr>
        <w:spacing w:after="0" w:line="184" w:lineRule="exact"/>
        <w:rPr>
          <w:rFonts w:ascii="Arial" w:cs="Arial" w:eastAsia="Arial" w:hAnsi="Arial"/>
          <w:sz w:val="19"/>
          <w:szCs w:val="19"/>
          <w:color w:val="auto"/>
        </w:rPr>
      </w:pPr>
    </w:p>
    <w:p>
      <w:pPr>
        <w:jc w:val="both"/>
        <w:ind w:left="260" w:firstLine="639"/>
        <w:spacing w:after="0" w:line="243" w:lineRule="auto"/>
        <w:tabs>
          <w:tab w:leader="none" w:pos="1389"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Nature of Obligations of Lenders Regarding Extensions of Credit</w:t>
      </w:r>
      <w:r>
        <w:rPr>
          <w:rFonts w:ascii="Arial" w:cs="Arial" w:eastAsia="Arial" w:hAnsi="Arial"/>
          <w:sz w:val="20"/>
          <w:szCs w:val="20"/>
          <w:color w:val="auto"/>
        </w:rPr>
        <w:t xml:space="preserve">. The obligations of the Lenders under this Agreement to make the Loans, to issue or participate in Letters of Credit and to make payments under this Section, </w:t>
      </w:r>
      <w:r>
        <w:rPr>
          <w:rFonts w:ascii="Arial" w:cs="Arial" w:eastAsia="Arial" w:hAnsi="Arial"/>
          <w:sz w:val="20"/>
          <w:szCs w:val="20"/>
          <w:u w:val="single" w:color="auto"/>
          <w:color w:val="auto"/>
        </w:rPr>
        <w:t>Section 5.11(e)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12.3(c)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12.7</w:t>
      </w:r>
      <w:r>
        <w:rPr>
          <w:rFonts w:ascii="Arial" w:cs="Arial" w:eastAsia="Arial" w:hAnsi="Arial"/>
          <w:sz w:val="20"/>
          <w:szCs w:val="20"/>
          <w:color w:val="auto"/>
        </w:rPr>
        <w:t>, as applicable, are several and are not joint or joint and several. The failure of any Lender to make available its Revolving Credit Commitment Percentage of any Loan requested by the Borrower shall not relieve it or any other Lender of its obligation, if any, hereunder to make its Revolving Credit Commitment Percentage of such Loan available on the borrowing date, but no Lender shall be responsible for the failure of any other Lender to make its Revolving Credit Commitment Percentage of such Loan available on the borrowing date.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69" w:lineRule="auto"/>
        <w:tabs>
          <w:tab w:leader="none" w:pos="134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Circumstances Affecting Eurocurrency Rate Availability</w:t>
      </w:r>
      <w:r>
        <w:rPr>
          <w:rFonts w:ascii="Arial" w:cs="Arial" w:eastAsia="Arial" w:hAnsi="Arial"/>
          <w:sz w:val="18"/>
          <w:szCs w:val="18"/>
          <w:color w:val="auto"/>
        </w:rPr>
        <w:t xml:space="preserve">. Unless and until a Replacement Rate is implemented in accordance with clause (c) below, in connection with any request for a Eurocurrency Rate Loan or a conversion to or continuation thereof or otherwise, if for any reason (i) the Administrative Agent shall determine (which determination shall be conclusive and binding absent manifest error) that deposits (whether in Dollars or an Alternative Currency) are not being offered to banks in the applicable offshore interbank market for such currency for the applicable amount and Interest Period of such Loan, (ii) the Administrative Agent shall determine (which determination shall be conclusive and binding absent manifest error) that reasonable and adequate means do not exist for the ascertaining the Eurocurrency Rate for such Interest Period with respect to a proposed Eurocurrency Rate Loan (whether denominated in Dollars or an Alternative Currency) or (iii) the Required Lenders shall determine (which determination shall be conclusive and binding absent manifest error) that the Eurocurrency Rate does not adequately and fairly reflect the cost to such Lenders of making or maintaining such Loans during such Interest Period, then the Administrative Agent shall promptly give notice thereof to the Borrower. Thereafter, until the Administrative Agent notifies the Borrower that such circumstances no longer exist, the obligation of the Lenders to make Eurocurrency Rate Loans in the affected currency or currencies and the right of the Borrower to convert any Loan to or continue any Loan as a Eurocurrency Rate Loan in the affected currency or currencies shall be suspended, and in the case of Eurocurrency Rate Loans, the Borrower shall either (A) repay in full (or cause to be repaid in full) the then outstanding principal amount of each such Eurocurrency Rate Loan together with accrued interest thereon (subject to </w:t>
      </w:r>
      <w:r>
        <w:rPr>
          <w:rFonts w:ascii="Arial" w:cs="Arial" w:eastAsia="Arial" w:hAnsi="Arial"/>
          <w:sz w:val="18"/>
          <w:szCs w:val="18"/>
          <w:u w:val="single" w:color="auto"/>
          <w:color w:val="auto"/>
        </w:rPr>
        <w:t>Section 5.1(d)</w:t>
      </w:r>
      <w:r>
        <w:rPr>
          <w:rFonts w:ascii="Arial" w:cs="Arial" w:eastAsia="Arial" w:hAnsi="Arial"/>
          <w:sz w:val="18"/>
          <w:szCs w:val="18"/>
          <w:color w:val="auto"/>
        </w:rPr>
        <w:t>), on the last day of the then current Interest Period applicable to such Eurocurrency Rate Loan; or (B) convert the then outstanding principal amount of each such Eurocurrency Rate Loan to a Base Rate Loan denominated in Dollars as of the last day of such Interest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3" w:name="page184"/>
    <w:bookmarkEnd w:id="183"/>
    <w:p>
      <w:pPr>
        <w:jc w:val="both"/>
        <w:ind w:left="260" w:firstLine="639"/>
        <w:spacing w:after="0" w:line="269" w:lineRule="auto"/>
        <w:tabs>
          <w:tab w:leader="none" w:pos="134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Laws Affecting Eurocurrency Rate Availability</w:t>
      </w:r>
      <w:r>
        <w:rPr>
          <w:rFonts w:ascii="Arial" w:cs="Arial" w:eastAsia="Arial" w:hAnsi="Arial"/>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Eurocurrency Rate Loan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in the London interbank market, such Lender shall promptly give notice thereof to the Administrative Agent and the Administrative Agent shall promptly give notice to the Borrower and the other Lenders. Thereafter, until the Administrative Agent notifies the Borrower that such circumstances no longer exist, (i) the obligations of the Lenders to make Eurocurrency Rate Loans in the affected currency or currencies, and the right of the Borrower to convert any Loan to a Eurocurrency Rate Loan or continue any Loan as a Eurocurrency Rate Loan shall be suspended and thereafter the Borrower may select only Base Rate Loans denominated in Dollars and (ii) if any of the Lenders may not lawfully continue to maintain a Eurocurrency Rate Loan to the end of the then current Interest Period applicable thereto, the applicable Loan shall immediately be converted to a Base Rate Loan denominated in Dollars for the remainder of such Interest Period.</w:t>
      </w:r>
    </w:p>
    <w:p>
      <w:pPr>
        <w:spacing w:after="0" w:line="179" w:lineRule="exact"/>
        <w:rPr>
          <w:rFonts w:ascii="Arial" w:cs="Arial" w:eastAsia="Arial" w:hAnsi="Arial"/>
          <w:sz w:val="18"/>
          <w:szCs w:val="18"/>
          <w:color w:val="auto"/>
        </w:rPr>
      </w:pPr>
    </w:p>
    <w:p>
      <w:pPr>
        <w:jc w:val="both"/>
        <w:ind w:left="260" w:firstLine="639"/>
        <w:spacing w:after="0" w:line="268" w:lineRule="auto"/>
        <w:tabs>
          <w:tab w:leader="none" w:pos="132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 xml:space="preserve">. Notwithstanding anything to the contrary in </w:t>
      </w:r>
      <w:r>
        <w:rPr>
          <w:rFonts w:ascii="Arial" w:cs="Arial" w:eastAsia="Arial" w:hAnsi="Arial"/>
          <w:sz w:val="18"/>
          <w:szCs w:val="18"/>
          <w:u w:val="single" w:color="auto"/>
          <w:color w:val="auto"/>
        </w:rPr>
        <w:t>Section 5.8(a)</w:t>
      </w:r>
      <w:r>
        <w:rPr>
          <w:rFonts w:ascii="Arial" w:cs="Arial" w:eastAsia="Arial" w:hAnsi="Arial"/>
          <w:sz w:val="18"/>
          <w:szCs w:val="18"/>
          <w:color w:val="auto"/>
        </w:rPr>
        <w:t xml:space="preserve"> above, if the Administrative Agent has made the determination (such determination to be conclusive absent manifest error) that (i) the circumstances described in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have arisen and that such circumstances are unlikely to be temporary, (ii) any applicable interest rate specified herein is no longer a widely recognized benchmark rate for newly originated loans in the U.S. syndicated loan market in the applicable currency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U.S. syndicated loan market in the applicable currency, then the Administrative Agent may, to the extent practicable (in consultation with the Borrower and as determined by the Administrative Agent to be generally in accordance with similar situations in other transactions in which it is serving as administrative agent or otherwise consistent with market practice generally), establish a replacement interest rate (the “</w:t>
      </w:r>
      <w:r>
        <w:rPr>
          <w:rFonts w:ascii="Arial" w:cs="Arial" w:eastAsia="Arial" w:hAnsi="Arial"/>
          <w:sz w:val="18"/>
          <w:szCs w:val="18"/>
          <w:u w:val="single" w:color="auto"/>
          <w:color w:val="auto"/>
        </w:rPr>
        <w:t>Replacement Rate</w:t>
      </w:r>
      <w:r>
        <w:rPr>
          <w:rFonts w:ascii="Arial" w:cs="Arial" w:eastAsia="Arial" w:hAnsi="Arial"/>
          <w:sz w:val="18"/>
          <w:szCs w:val="18"/>
          <w:color w:val="auto"/>
        </w:rPr>
        <w:t xml:space="preserve">”), in which case, the Replacement Rate shall, subject to the next two sentences, replace such applicable interest rate for all purposes under the Loan Documents unless and until (A) an event described in </w:t>
      </w:r>
      <w:r>
        <w:rPr>
          <w:rFonts w:ascii="Arial" w:cs="Arial" w:eastAsia="Arial" w:hAnsi="Arial"/>
          <w:sz w:val="18"/>
          <w:szCs w:val="18"/>
          <w:u w:val="single" w:color="auto"/>
          <w:color w:val="auto"/>
        </w:rPr>
        <w:t>Section 5.8(a)(i)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w:t>
      </w:r>
      <w:r>
        <w:rPr>
          <w:rFonts w:ascii="Arial" w:cs="Arial" w:eastAsia="Arial" w:hAnsi="Arial"/>
          <w:sz w:val="18"/>
          <w:szCs w:val="18"/>
          <w:u w:val="single" w:color="auto"/>
          <w:color w:val="auto"/>
        </w:rPr>
        <w:t>(c)(ii)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(c)(iii)</w:t>
      </w:r>
      <w:r>
        <w:rPr>
          <w:rFonts w:ascii="Arial" w:cs="Arial" w:eastAsia="Arial" w:hAnsi="Arial"/>
          <w:sz w:val="18"/>
          <w:szCs w:val="18"/>
          <w:color w:val="auto"/>
        </w:rPr>
        <w:t xml:space="preserve"> occurs with respect to the Replacement Rate or (B) the Administrative Agent (or the Required Lenders through the Administrative Agent) notifies the Borrower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the Borrower, as may be necessary or appropriate, in the opinion of the Administrative Agent, to effect the provisions of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Notwithstanding anything to the contrary in this Agreement or the other Loan Documents (including, without limitation, </w:t>
      </w:r>
      <w:r>
        <w:rPr>
          <w:rFonts w:ascii="Arial" w:cs="Arial" w:eastAsia="Arial" w:hAnsi="Arial"/>
          <w:sz w:val="18"/>
          <w:szCs w:val="18"/>
          <w:u w:val="single" w:color="auto"/>
          <w:color w:val="auto"/>
        </w:rPr>
        <w:t>Section 12.2</w:t>
      </w:r>
      <w:r>
        <w:rPr>
          <w:rFonts w:ascii="Arial" w:cs="Arial" w:eastAsia="Arial" w:hAnsi="Arial"/>
          <w:sz w:val="18"/>
          <w:szCs w:val="18"/>
          <w:color w:val="auto"/>
        </w:rPr>
        <w:t>), such amendment shall become effective without any further action or consent of any other party to this Agreement so long as the Administrative Agent shall not have received, within five (5) Business Days of the delivery of such amendment to the Lenders, written notices from such Lenders that in the aggregate constitute Required Lenders, with each such notice stating that such Lender objects to such amendment (which such notice shall note with specificity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84" w:name="page185"/>
    <w:bookmarkEnd w:id="184"/>
    <w:p>
      <w:pPr>
        <w:jc w:val="both"/>
        <w:ind w:left="260"/>
        <w:spacing w:after="0" w:line="276" w:lineRule="auto"/>
        <w:rPr>
          <w:sz w:val="20"/>
          <w:szCs w:val="20"/>
          <w:color w:val="auto"/>
        </w:rPr>
      </w:pPr>
      <w:r>
        <w:rPr>
          <w:rFonts w:ascii="Arial" w:cs="Arial" w:eastAsia="Arial" w:hAnsi="Arial"/>
          <w:sz w:val="18"/>
          <w:szCs w:val="18"/>
          <w:color w:val="auto"/>
        </w:rPr>
        <w:t xml:space="preserve">the particular provisions of the amendment to which such Lender objects). To the extent the Replacement Rate is approved by the Administrative Agent in connection with this clause (c), the Replacement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 Notwithstanding the foregoing, if the Replacement Rate shall be less than zero, such rate shall be deemed to be zero for purposes of this Agreement.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Indemnity for Losses</w:t>
      </w:r>
      <w:r>
        <w:rPr>
          <w:rFonts w:ascii="Arial" w:cs="Arial" w:eastAsia="Arial" w:hAnsi="Arial"/>
          <w:sz w:val="18"/>
          <w:szCs w:val="18"/>
          <w:color w:val="auto"/>
        </w:rPr>
        <w:t xml:space="preserve">. The Borrower hereby indemnifies each of the Lenders against any loss or expense (including any loss or expense arising from the liquidation or reemployment of funds obtained by it to maintain a Eurocurrency Rate Loan or from fees payable to terminate the deposits from which such funds were obtained or from the performance of any foreign exchange contract, and any customary administrative fees charged by such Lender in connection therewith, which may arise or be attributable to each Lender’s obtaining, liquidating or employing deposits or other funds acquired to effect, fund or maintain any Loan) incurred by it as a consequence of (a) any failure by the Borrower to make any payment when due of any amount due hereunder in connection with a Eurocurrency Rate Loan, (b) any failure of the Borrower to borrow, continue or convert a Loan on a date specified therefor in a Notice of Borrowing or Notice of Conversion/Continuation, (c) any payment, prepayment, continuation or conversion of any Eurocurrency Rate Loan on a date other than the last day of the Interest Period therefor (whether voluntary, automatic, by reason of acceleration or otherwise), (d) any failure of the Borrower to make payment of any Eurocurrency Rate Loan (or interest due thereon) denominated in an Alternative Currency on its scheduled due date or any payment thereof in a different currency or (e) any assignment of a Eurocurrency Rate Loan on the a day other than the last day of the Interest Period therefor as a result of a request by the Borrower pursuant to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The amount of such loss or expense shall be determined, in the applicable Lender’s sole discretion, based upon the assumption that such Lender funded its Revolving Credit Commitment Percentage of the Eurocurrency Rate Loans in the offshore interbank market for such currency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Credit Parties under this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16" w:lineRule="exact"/>
        <w:rPr>
          <w:sz w:val="20"/>
          <w:szCs w:val="20"/>
          <w:color w:val="auto"/>
        </w:rPr>
      </w:pPr>
    </w:p>
    <w:p>
      <w:pPr>
        <w:ind w:left="1300" w:hanging="401"/>
        <w:spacing w:after="0"/>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75" w:val="left"/>
        </w:tabs>
        <w:numPr>
          <w:ilvl w:val="1"/>
          <w:numId w:val="109"/>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Eurocurrency Rate) or any Issuing Lender;</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5" w:name="page186"/>
    <w:bookmarkEnd w:id="185"/>
    <w:p>
      <w:pPr>
        <w:jc w:val="both"/>
        <w:ind w:left="660" w:firstLine="645"/>
        <w:spacing w:after="0" w:line="316" w:lineRule="auto"/>
        <w:tabs>
          <w:tab w:leader="none" w:pos="17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Eurocurrency Rate Loans made by such Lender or any Letter of Credit or participation therein;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81" w:lineRule="exact"/>
        <w:rPr>
          <w:sz w:val="20"/>
          <w:szCs w:val="20"/>
          <w:color w:val="auto"/>
        </w:rPr>
      </w:pPr>
    </w:p>
    <w:p>
      <w:pPr>
        <w:jc w:val="both"/>
        <w:ind w:left="260" w:firstLine="639"/>
        <w:spacing w:after="0" w:line="271" w:lineRule="auto"/>
        <w:tabs>
          <w:tab w:leader="none" w:pos="134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70" w:lineRule="exact"/>
        <w:rPr>
          <w:rFonts w:ascii="Arial" w:cs="Arial" w:eastAsia="Arial" w:hAnsi="Arial"/>
          <w:sz w:val="18"/>
          <w:szCs w:val="18"/>
          <w:color w:val="auto"/>
        </w:rPr>
      </w:pPr>
    </w:p>
    <w:p>
      <w:pPr>
        <w:jc w:val="both"/>
        <w:ind w:left="260" w:firstLine="639"/>
        <w:spacing w:after="0" w:line="260" w:lineRule="auto"/>
        <w:tabs>
          <w:tab w:leader="none" w:pos="1308"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 such Issuing Lender or such other Recipient, as the case may be, the amount shown as due on any such certificate within ten (10) days after receipt thereof.</w:t>
      </w:r>
    </w:p>
    <w:p>
      <w:pPr>
        <w:spacing w:after="0" w:line="180" w:lineRule="exact"/>
        <w:rPr>
          <w:rFonts w:ascii="Arial" w:cs="Arial" w:eastAsia="Arial" w:hAnsi="Arial"/>
          <w:sz w:val="19"/>
          <w:szCs w:val="19"/>
          <w:color w:val="auto"/>
        </w:rPr>
      </w:pPr>
    </w:p>
    <w:p>
      <w:pPr>
        <w:jc w:val="both"/>
        <w:ind w:left="260" w:firstLine="639"/>
        <w:spacing w:after="0" w:line="273" w:lineRule="auto"/>
        <w:tabs>
          <w:tab w:leader="none" w:pos="142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any Lender or an Issuing Lender or any other Recipient pursuant to this Section for any increased costs incurred or reductions suffered more than nine (9) months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86" w:name="page187"/>
    <w:bookmarkEnd w:id="186"/>
    <w:p>
      <w:pPr>
        <w:jc w:val="both"/>
        <w:ind w:left="260" w:firstLine="639"/>
        <w:spacing w:after="0" w:line="256" w:lineRule="auto"/>
        <w:tabs>
          <w:tab w:leader="none" w:pos="1321"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Additional Reserve Requirements</w:t>
      </w:r>
      <w:r>
        <w:rPr>
          <w:rFonts w:ascii="Arial" w:cs="Arial" w:eastAsia="Arial" w:hAnsi="Arial"/>
          <w:sz w:val="19"/>
          <w:szCs w:val="19"/>
          <w:color w:val="auto"/>
        </w:rPr>
        <w:t xml:space="preserve">. The Borrower shall pay to each Lender, as long as such Lender shall be required to comply with any reserve ratio requirement or analogous requirement of any central banking or financial regulatory authority imposed in respect of the maintenance of the Revolving Credit Commitment or the funding of the Eurocurrency Rate Loans, such additional costs (expressed as a percentage per annum and rounded upwards, if necessary, to the nearest five decimal places) equal to the actual costs allocated to such Revolving Credit Commitment or Eurocurrency Rate Loan by such Lender (as determined by such Lender in good faith, which determination shall be conclusive), which shall be due and payable on each date on which interest is payable on such Eurocurrency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shall have received at least ten (10) days’ prior notice (with a copy to the Administrative Agent) of such additional costs from such Lender. If a Lender fails to give notice ten (10) days prior to the relevant payment date, such additional costs shall be due and payable ten (10) days from receipt of such notice.</w:t>
      </w:r>
    </w:p>
    <w:p>
      <w:pPr>
        <w:spacing w:after="0" w:line="184" w:lineRule="exact"/>
        <w:rPr>
          <w:rFonts w:ascii="Arial" w:cs="Arial" w:eastAsia="Arial" w:hAnsi="Arial"/>
          <w:sz w:val="19"/>
          <w:szCs w:val="19"/>
          <w:color w:val="auto"/>
        </w:rPr>
      </w:pPr>
    </w:p>
    <w:p>
      <w:pPr>
        <w:jc w:val="both"/>
        <w:ind w:left="260" w:firstLine="639"/>
        <w:spacing w:after="0" w:line="250" w:lineRule="auto"/>
        <w:tabs>
          <w:tab w:leader="none" w:pos="129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obligations of the Credit Parties under this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260" w:right="20" w:firstLine="639"/>
        <w:spacing w:after="0" w:line="260" w:lineRule="auto"/>
        <w:tabs>
          <w:tab w:leader="none" w:pos="1375"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5.11</w:t>
      </w:r>
      <w:r>
        <w:rPr>
          <w:rFonts w:ascii="Arial" w:cs="Arial" w:eastAsia="Arial" w:hAnsi="Arial"/>
          <w:sz w:val="20"/>
          <w:szCs w:val="20"/>
          <w:color w:val="auto"/>
        </w:rPr>
        <w:t>, the term “Lender” includes any Issuing Lender and the term “Applicable Law” includes FATCA.</w:t>
      </w:r>
    </w:p>
    <w:p>
      <w:pPr>
        <w:spacing w:after="0" w:line="176" w:lineRule="exact"/>
        <w:rPr>
          <w:rFonts w:ascii="Arial" w:cs="Arial" w:eastAsia="Arial" w:hAnsi="Arial"/>
          <w:sz w:val="20"/>
          <w:szCs w:val="20"/>
          <w:color w:val="auto"/>
        </w:rPr>
      </w:pPr>
    </w:p>
    <w:p>
      <w:pPr>
        <w:jc w:val="both"/>
        <w:ind w:left="260" w:firstLine="639"/>
        <w:spacing w:after="0" w:line="273" w:lineRule="auto"/>
        <w:tabs>
          <w:tab w:leader="none" w:pos="142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9" w:lineRule="exact"/>
        <w:rPr>
          <w:rFonts w:ascii="Arial" w:cs="Arial" w:eastAsia="Arial" w:hAnsi="Arial"/>
          <w:sz w:val="18"/>
          <w:szCs w:val="18"/>
          <w:color w:val="auto"/>
        </w:rPr>
      </w:pPr>
    </w:p>
    <w:p>
      <w:pPr>
        <w:ind w:left="260" w:right="20" w:firstLine="639"/>
        <w:spacing w:after="0" w:line="316" w:lineRule="auto"/>
        <w:tabs>
          <w:tab w:leader="none" w:pos="134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30" w:lineRule="exact"/>
        <w:rPr>
          <w:rFonts w:ascii="Arial" w:cs="Arial" w:eastAsia="Arial" w:hAnsi="Arial"/>
          <w:sz w:val="18"/>
          <w:szCs w:val="18"/>
          <w:color w:val="auto"/>
        </w:rPr>
      </w:pPr>
    </w:p>
    <w:p>
      <w:pPr>
        <w:jc w:val="both"/>
        <w:ind w:left="260" w:firstLine="639"/>
        <w:spacing w:after="0" w:line="258" w:lineRule="auto"/>
        <w:tabs>
          <w:tab w:leader="none" w:pos="1346"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Indemnification by the Credit Parties</w:t>
      </w:r>
      <w:r>
        <w:rPr>
          <w:rFonts w:ascii="Arial" w:cs="Arial" w:eastAsia="Arial" w:hAnsi="Arial"/>
          <w:sz w:val="19"/>
          <w:szCs w:val="19"/>
          <w:color w:val="auto"/>
        </w:rPr>
        <w:t>. The Credit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87" w:name="page188"/>
    <w:bookmarkEnd w:id="187"/>
    <w:p>
      <w:pPr>
        <w:jc w:val="both"/>
        <w:ind w:left="260" w:firstLine="639"/>
        <w:spacing w:after="0" w:line="255" w:lineRule="auto"/>
        <w:tabs>
          <w:tab w:leader="none" w:pos="136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9"/>
          <w:szCs w:val="19"/>
          <w:u w:val="single" w:color="auto"/>
          <w:color w:val="auto"/>
        </w:rPr>
        <w:t>Section 12.9(d)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7" w:lineRule="exact"/>
        <w:rPr>
          <w:rFonts w:ascii="Arial" w:cs="Arial" w:eastAsia="Arial" w:hAnsi="Arial"/>
          <w:sz w:val="19"/>
          <w:szCs w:val="19"/>
          <w:color w:val="auto"/>
        </w:rPr>
      </w:pPr>
    </w:p>
    <w:p>
      <w:pPr>
        <w:jc w:val="both"/>
        <w:ind w:left="260" w:firstLine="639"/>
        <w:spacing w:after="0" w:line="246" w:lineRule="auto"/>
        <w:tabs>
          <w:tab w:leader="none" w:pos="134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Credit Party to a Governmental Authority pursuant to this </w:t>
      </w:r>
      <w:r>
        <w:rPr>
          <w:rFonts w:ascii="Arial" w:cs="Arial" w:eastAsia="Arial" w:hAnsi="Arial"/>
          <w:sz w:val="20"/>
          <w:szCs w:val="20"/>
          <w:u w:val="single" w:color="auto"/>
          <w:color w:val="auto"/>
        </w:rPr>
        <w:t>Section 5.11</w:t>
      </w:r>
      <w:r>
        <w:rPr>
          <w:rFonts w:ascii="Arial" w:cs="Arial" w:eastAsia="Arial" w:hAnsi="Arial"/>
          <w:sz w:val="20"/>
          <w:szCs w:val="2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1320" w:hanging="421"/>
        <w:spacing w:after="0"/>
        <w:tabs>
          <w:tab w:leader="none" w:pos="132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1" w:lineRule="auto"/>
        <w:tabs>
          <w:tab w:leader="none" w:pos="171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5.11(g)(ii)(A)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443" w:val="left"/>
        </w:tabs>
        <w:numPr>
          <w:ilvl w:val="2"/>
          <w:numId w:val="114"/>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91" w:lineRule="exact"/>
        <w:rPr>
          <w:rFonts w:ascii="Arial" w:cs="Arial" w:eastAsia="Arial" w:hAnsi="Arial"/>
          <w:sz w:val="20"/>
          <w:szCs w:val="20"/>
          <w:color w:val="auto"/>
        </w:rPr>
      </w:pPr>
    </w:p>
    <w:p>
      <w:pPr>
        <w:ind w:left="1300" w:firstLine="653"/>
        <w:spacing w:after="0" w:line="260" w:lineRule="auto"/>
        <w:tabs>
          <w:tab w:leader="none" w:pos="2581" w:val="left"/>
        </w:tabs>
        <w:numPr>
          <w:ilvl w:val="2"/>
          <w:numId w:val="114"/>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8" w:name="page189"/>
    <w:bookmarkEnd w:id="188"/>
    <w:p>
      <w:pPr>
        <w:jc w:val="both"/>
        <w:ind w:left="1300"/>
        <w:spacing w:after="0" w:line="250" w:lineRule="auto"/>
        <w:rPr>
          <w:sz w:val="20"/>
          <w:szCs w:val="20"/>
          <w:color w:val="auto"/>
        </w:rPr>
      </w:pPr>
      <w:r>
        <w:rPr>
          <w:rFonts w:ascii="Arial" w:cs="Arial" w:eastAsia="Arial" w:hAnsi="Arial"/>
          <w:sz w:val="20"/>
          <w:szCs w:val="20"/>
          <w:color w:val="auto"/>
        </w:rPr>
        <w:t>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6" w:lineRule="exact"/>
        <w:rPr>
          <w:sz w:val="20"/>
          <w:szCs w:val="20"/>
          <w:color w:val="auto"/>
        </w:rPr>
      </w:pPr>
    </w:p>
    <w:p>
      <w:pPr>
        <w:jc w:val="both"/>
        <w:ind w:left="1960" w:firstLine="641"/>
        <w:spacing w:after="0" w:line="259" w:lineRule="auto"/>
        <w:tabs>
          <w:tab w:leader="none" w:pos="3039" w:val="left"/>
        </w:tabs>
        <w:numPr>
          <w:ilvl w:val="1"/>
          <w:numId w:val="115"/>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spacing w:after="0" w:line="178" w:lineRule="exact"/>
        <w:rPr>
          <w:rFonts w:ascii="Arial" w:cs="Arial" w:eastAsia="Arial" w:hAnsi="Arial"/>
          <w:sz w:val="19"/>
          <w:szCs w:val="19"/>
          <w:color w:val="auto"/>
        </w:rPr>
      </w:pPr>
    </w:p>
    <w:p>
      <w:pPr>
        <w:ind w:left="3020" w:hanging="419"/>
        <w:spacing w:after="0"/>
        <w:tabs>
          <w:tab w:leader="none" w:pos="302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1960" w:firstLine="641"/>
        <w:spacing w:after="0" w:line="243" w:lineRule="auto"/>
        <w:tabs>
          <w:tab w:leader="none" w:pos="3169"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b w:val="1"/>
          <w:bCs w:val="1"/>
          <w:i w:val="1"/>
          <w:iCs w:val="1"/>
          <w:color w:val="auto"/>
        </w:rPr>
        <w:t>Exhibit H-1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W-8BEN-E; or</w:t>
      </w:r>
    </w:p>
    <w:p>
      <w:pPr>
        <w:spacing w:after="0" w:line="196" w:lineRule="exact"/>
        <w:rPr>
          <w:rFonts w:ascii="Arial" w:cs="Arial" w:eastAsia="Arial" w:hAnsi="Arial"/>
          <w:sz w:val="20"/>
          <w:szCs w:val="20"/>
          <w:color w:val="auto"/>
        </w:rPr>
      </w:pPr>
    </w:p>
    <w:p>
      <w:pPr>
        <w:jc w:val="both"/>
        <w:ind w:left="1960" w:firstLine="641"/>
        <w:spacing w:after="0" w:line="276" w:lineRule="auto"/>
        <w:tabs>
          <w:tab w:leader="none" w:pos="316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W-8BEN-E, a U.S. Tax Compliance Certificate 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165" w:lineRule="exact"/>
        <w:rPr>
          <w:rFonts w:ascii="Arial" w:cs="Arial" w:eastAsia="Arial" w:hAnsi="Arial"/>
          <w:sz w:val="18"/>
          <w:szCs w:val="18"/>
          <w:color w:val="auto"/>
        </w:rPr>
      </w:pPr>
    </w:p>
    <w:p>
      <w:pPr>
        <w:jc w:val="both"/>
        <w:ind w:left="1300" w:firstLine="653"/>
        <w:spacing w:after="0" w:line="258" w:lineRule="auto"/>
        <w:tabs>
          <w:tab w:leader="none" w:pos="258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1300" w:firstLine="653"/>
        <w:spacing w:after="0" w:line="263" w:lineRule="auto"/>
        <w:tabs>
          <w:tab w:leader="none" w:pos="241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89" w:name="page190"/>
    <w:bookmarkEnd w:id="189"/>
    <w:p>
      <w:pPr>
        <w:jc w:val="both"/>
        <w:ind w:left="1300"/>
        <w:spacing w:after="0" w:line="276" w:lineRule="auto"/>
        <w:rPr>
          <w:sz w:val="20"/>
          <w:szCs w:val="20"/>
          <w:color w:val="auto"/>
        </w:rPr>
      </w:pPr>
      <w:r>
        <w:rPr>
          <w:rFonts w:ascii="Arial" w:cs="Arial" w:eastAsia="Arial" w:hAnsi="Arial"/>
          <w:sz w:val="18"/>
          <w:szCs w:val="18"/>
          <w:color w:val="auto"/>
        </w:rPr>
        <w:t>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5"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0" w:lineRule="exact"/>
        <w:rPr>
          <w:sz w:val="20"/>
          <w:szCs w:val="20"/>
          <w:color w:val="auto"/>
        </w:rPr>
      </w:pPr>
    </w:p>
    <w:p>
      <w:pPr>
        <w:jc w:val="both"/>
        <w:ind w:left="260" w:firstLine="639"/>
        <w:spacing w:after="0" w:line="268" w:lineRule="auto"/>
        <w:tabs>
          <w:tab w:leader="none" w:pos="140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w:t>
      </w:r>
    </w:p>
    <w:p>
      <w:pPr>
        <w:spacing w:after="0" w:line="2" w:lineRule="exact"/>
        <w:rPr>
          <w:rFonts w:ascii="Arial" w:cs="Arial" w:eastAsia="Arial" w:hAnsi="Arial"/>
          <w:sz w:val="18"/>
          <w:szCs w:val="18"/>
          <w:color w:val="auto"/>
        </w:rPr>
      </w:pPr>
    </w:p>
    <w:p>
      <w:pPr>
        <w:jc w:val="both"/>
        <w:ind w:left="260" w:hanging="9"/>
        <w:spacing w:after="0"/>
        <w:tabs>
          <w:tab w:leader="none" w:pos="54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8" w:lineRule="exact"/>
        <w:rPr>
          <w:rFonts w:ascii="Arial" w:cs="Arial" w:eastAsia="Arial" w:hAnsi="Arial"/>
          <w:sz w:val="20"/>
          <w:szCs w:val="20"/>
          <w:color w:val="auto"/>
        </w:rPr>
      </w:pPr>
    </w:p>
    <w:p>
      <w:pPr>
        <w:jc w:val="both"/>
        <w:ind w:left="260" w:firstLine="639"/>
        <w:spacing w:after="0" w:line="250" w:lineRule="auto"/>
        <w:tabs>
          <w:tab w:leader="none" w:pos="1342"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Revolving Credit Commitments and the repayment, satisfaction or discharge of all obligations under any Loan Document.</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57" w:lineRule="auto"/>
        <w:tabs>
          <w:tab w:leader="none" w:pos="1335"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5.11</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90" w:name="page191"/>
    <w:bookmarkEnd w:id="190"/>
    <w:p>
      <w:pPr>
        <w:jc w:val="both"/>
        <w:ind w:left="260" w:firstLine="639"/>
        <w:spacing w:after="0" w:line="273" w:lineRule="auto"/>
        <w:tabs>
          <w:tab w:leader="none" w:pos="137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rFonts w:ascii="Arial" w:cs="Arial" w:eastAsia="Arial" w:hAnsi="Arial"/>
          <w:sz w:val="18"/>
          <w:szCs w:val="18"/>
          <w:color w:val="auto"/>
        </w:rPr>
      </w:pPr>
    </w:p>
    <w:p>
      <w:pPr>
        <w:ind w:left="1680" w:hanging="375"/>
        <w:spacing w:after="0"/>
        <w:tabs>
          <w:tab w:leader="none" w:pos="168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(if any) specified in </w:t>
      </w:r>
      <w:r>
        <w:rPr>
          <w:rFonts w:ascii="Arial" w:cs="Arial" w:eastAsia="Arial" w:hAnsi="Arial"/>
          <w:sz w:val="20"/>
          <w:szCs w:val="20"/>
          <w:u w:val="single" w:color="auto"/>
          <w:color w:val="auto"/>
        </w:rPr>
        <w:t>Section 12.9</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63" w:lineRule="auto"/>
        <w:tabs>
          <w:tab w:leader="none" w:pos="185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5.9</w:t>
      </w:r>
      <w:r>
        <w:rPr>
          <w:rFonts w:ascii="Arial" w:cs="Arial" w:eastAsia="Arial" w:hAnsi="Arial"/>
          <w:sz w:val="19"/>
          <w:szCs w:val="19"/>
          <w:color w:val="auto"/>
        </w:rPr>
        <w:t>) from the assignee (to the extent of such outstanding principal and accrued interest and fees) or the Borrower (in the case of all other amounts);</w:t>
      </w:r>
    </w:p>
    <w:p>
      <w:pPr>
        <w:spacing w:after="0" w:line="176" w:lineRule="exact"/>
        <w:rPr>
          <w:rFonts w:ascii="Arial" w:cs="Arial" w:eastAsia="Arial" w:hAnsi="Arial"/>
          <w:sz w:val="19"/>
          <w:szCs w:val="19"/>
          <w:color w:val="auto"/>
        </w:rPr>
      </w:pPr>
    </w:p>
    <w:p>
      <w:pPr>
        <w:ind w:left="660" w:firstLine="645"/>
        <w:spacing w:after="0" w:line="316" w:lineRule="auto"/>
        <w:tabs>
          <w:tab w:leader="none" w:pos="181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such assignment will result in a reduction in such compensation or payments thereafter;</w:t>
      </w:r>
    </w:p>
    <w:p>
      <w:pPr>
        <w:spacing w:after="0" w:line="130" w:lineRule="exact"/>
        <w:rPr>
          <w:rFonts w:ascii="Arial" w:cs="Arial" w:eastAsia="Arial" w:hAnsi="Arial"/>
          <w:sz w:val="18"/>
          <w:szCs w:val="18"/>
          <w:color w:val="auto"/>
        </w:rPr>
      </w:pPr>
    </w:p>
    <w:p>
      <w:pPr>
        <w:ind w:left="1780" w:hanging="475"/>
        <w:spacing w:after="0"/>
        <w:tabs>
          <w:tab w:leader="none" w:pos="178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74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jc w:val="both"/>
        <w:ind w:firstLine="656"/>
        <w:spacing w:after="0" w:line="250" w:lineRule="auto"/>
        <w:tabs>
          <w:tab w:leader="none" w:pos="1106"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Selection of Lending Office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5.12(a)</w:t>
      </w:r>
      <w:r>
        <w:rPr>
          <w:rFonts w:ascii="Arial" w:cs="Arial" w:eastAsia="Arial" w:hAnsi="Arial"/>
          <w:sz w:val="20"/>
          <w:szCs w:val="20"/>
          <w:color w:val="auto"/>
        </w:rPr>
        <w:t>, each Lender may make any Loan to the Borrower through any Lending Office, provided that the exercise of this option shall not affect the obligations of the Borrower to repay the Loan in accordance with the terms of this Agreement or otherwise alter the rights of the parties hereto.</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6"/>
          <w:szCs w:val="16"/>
          <w:u w:val="single" w:color="auto"/>
          <w:color w:val="auto"/>
        </w:rPr>
        <w:t>Incremental Increases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307" w:lineRule="auto"/>
        <w:tabs>
          <w:tab w:leader="none" w:pos="119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At any time after the Closing Date, upon written notice to the Administrative Agent, the Borrower may, from time to time, request (i) one or more incremental term loans (each,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and/or (ii) one or more increases in the Revolving Credit Commitments (each, a “</w:t>
      </w:r>
      <w:r>
        <w:rPr>
          <w:rFonts w:ascii="Arial" w:cs="Arial" w:eastAsia="Arial" w:hAnsi="Arial"/>
          <w:sz w:val="18"/>
          <w:szCs w:val="18"/>
          <w:u w:val="single" w:color="auto"/>
          <w:color w:val="auto"/>
        </w:rPr>
        <w:t>Revolving Credit Facility Increase</w:t>
      </w:r>
      <w:r>
        <w:rPr>
          <w:rFonts w:ascii="Arial" w:cs="Arial" w:eastAsia="Arial" w:hAnsi="Arial"/>
          <w:sz w:val="18"/>
          <w:szCs w:val="18"/>
          <w:color w:val="auto"/>
        </w:rPr>
        <w:t>” and, together with the Incremental Term Loans, the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initial principal amount of all Incremental Increases shall not exceed $250,000,000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permanent reduction of the Revolving Credit Commitment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(B) any such Incremental Increase shall be in a minimum amount of $25,000,000 or, if less, the remaining amount permitted pursuant to the foregoing clause (A).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91" w:name="page192"/>
    <w:bookmarkEnd w:id="191"/>
    <w:p>
      <w:pPr>
        <w:jc w:val="both"/>
        <w:ind w:firstLine="656"/>
        <w:spacing w:after="0" w:line="285" w:lineRule="auto"/>
        <w:tabs>
          <w:tab w:leader="none" w:pos="1203"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Incremental Lenders</w:t>
      </w:r>
      <w:r>
        <w:rPr>
          <w:rFonts w:ascii="Arial" w:cs="Arial" w:eastAsia="Arial" w:hAnsi="Arial"/>
          <w:sz w:val="19"/>
          <w:szCs w:val="19"/>
          <w:color w:val="auto"/>
        </w:rPr>
        <w:t xml:space="preserve">. Each notice from the Borrower pursuant to this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shall set forth the requested amount and proposed terms of the relevant Incremental Increase. Incremental Increases may be provided by any existing Lender or by any other Persons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the Issuing Lender and/or the Swingline Lender, as applicable, shall have consented (not to be unreasonably withheld or delayed) to such Incremental Lender’s providing such Incremental Increases to the extent any such consent would be required under </w:t>
      </w:r>
      <w:r>
        <w:rPr>
          <w:rFonts w:ascii="Arial" w:cs="Arial" w:eastAsia="Arial" w:hAnsi="Arial"/>
          <w:sz w:val="19"/>
          <w:szCs w:val="19"/>
          <w:u w:val="single" w:color="auto"/>
          <w:color w:val="auto"/>
        </w:rPr>
        <w:t>Section 12.9(b)</w:t>
      </w:r>
      <w:r>
        <w:rPr>
          <w:rFonts w:ascii="Arial" w:cs="Arial" w:eastAsia="Arial" w:hAnsi="Arial"/>
          <w:sz w:val="19"/>
          <w:szCs w:val="19"/>
          <w:color w:val="auto"/>
        </w:rPr>
        <w:t xml:space="preserve"> for an assignment of Loans or Revolving Credit Commitments, as applicable, to such Incremental Lender. At the time of sending such notice, the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84" w:lineRule="exact"/>
        <w:rPr>
          <w:rFonts w:ascii="Arial" w:cs="Arial" w:eastAsia="Arial" w:hAnsi="Arial"/>
          <w:sz w:val="19"/>
          <w:szCs w:val="19"/>
          <w:color w:val="auto"/>
        </w:rPr>
      </w:pPr>
    </w:p>
    <w:p>
      <w:pPr>
        <w:jc w:val="both"/>
        <w:ind w:firstLine="656"/>
        <w:spacing w:after="0" w:line="274" w:lineRule="auto"/>
        <w:tabs>
          <w:tab w:leader="none" w:pos="1192"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Increase Effective Date and Allocations</w:t>
      </w:r>
      <w:r>
        <w:rPr>
          <w:rFonts w:ascii="Arial" w:cs="Arial" w:eastAsia="Arial" w:hAnsi="Arial"/>
          <w:sz w:val="20"/>
          <w:szCs w:val="20"/>
          <w:color w:val="auto"/>
        </w:rPr>
        <w:t>. The Administrative Agent and the Borrower shall determine the effective date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and the final allocation of such Incremental Increase (limited in the case of the Incremental Lenders to their own respective allocations thereof). The Administrative Agent shall promptly notify the Borrower and the Incremental Lenders of the final allocation of such Incremental Increases and the Increase Effective Date.</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203"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Increase</w:t>
      </w:r>
      <w:r>
        <w:rPr>
          <w:rFonts w:ascii="Arial" w:cs="Arial" w:eastAsia="Arial" w:hAnsi="Arial"/>
          <w:sz w:val="20"/>
          <w:szCs w:val="20"/>
          <w:color w:val="auto"/>
        </w:rPr>
        <w:t xml:space="preserve">. Any Incremental Increase shall become effective as of such Increase Effective Date, which, in the case of an Incremental Term Loan incurred to finance a Limited Condition Acquisition, shall be subject to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6" w:lineRule="exact"/>
        <w:rPr>
          <w:rFonts w:ascii="Arial" w:cs="Arial" w:eastAsia="Arial" w:hAnsi="Arial"/>
          <w:sz w:val="20"/>
          <w:szCs w:val="20"/>
          <w:color w:val="auto"/>
        </w:rPr>
      </w:pPr>
    </w:p>
    <w:p>
      <w:pPr>
        <w:ind w:left="1820" w:hanging="515"/>
        <w:spacing w:after="0"/>
        <w:tabs>
          <w:tab w:leader="none" w:pos="18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 Effective Date immediately prior to or after giving effect to</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such Incremental Increase or (B) the making of the initial Extensions of Credit pursuant thereto;</w:t>
      </w:r>
    </w:p>
    <w:p>
      <w:pPr>
        <w:spacing w:after="0" w:line="242" w:lineRule="exact"/>
        <w:rPr>
          <w:rFonts w:ascii="Arial" w:cs="Arial" w:eastAsia="Arial" w:hAnsi="Arial"/>
          <w:sz w:val="20"/>
          <w:szCs w:val="20"/>
          <w:color w:val="auto"/>
        </w:rPr>
      </w:pPr>
    </w:p>
    <w:p>
      <w:pPr>
        <w:jc w:val="both"/>
        <w:ind w:firstLine="1305"/>
        <w:spacing w:after="0" w:line="278" w:lineRule="auto"/>
        <w:tabs>
          <w:tab w:leader="none" w:pos="1862" w:val="left"/>
        </w:tabs>
        <w:numPr>
          <w:ilvl w:val="2"/>
          <w:numId w:val="124"/>
        </w:numPr>
        <w:rPr>
          <w:rFonts w:ascii="Arial" w:cs="Arial" w:eastAsia="Arial" w:hAnsi="Arial"/>
          <w:sz w:val="20"/>
          <w:szCs w:val="20"/>
          <w:color w:val="auto"/>
        </w:rPr>
      </w:pPr>
      <w:r>
        <w:rPr>
          <w:rFonts w:ascii="Arial" w:cs="Arial" w:eastAsia="Arial" w:hAnsi="Arial"/>
          <w:sz w:val="20"/>
          <w:szCs w:val="20"/>
          <w:color w:val="auto"/>
        </w:rPr>
        <w:t xml:space="preserve">all of the representations and warranties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186" w:lineRule="exact"/>
        <w:rPr>
          <w:rFonts w:ascii="Arial" w:cs="Arial" w:eastAsia="Arial" w:hAnsi="Arial"/>
          <w:sz w:val="20"/>
          <w:szCs w:val="20"/>
          <w:color w:val="auto"/>
        </w:rPr>
      </w:pPr>
    </w:p>
    <w:p>
      <w:pPr>
        <w:jc w:val="both"/>
        <w:ind w:firstLine="1305"/>
        <w:spacing w:after="0" w:line="290" w:lineRule="auto"/>
        <w:tabs>
          <w:tab w:leader="none" w:pos="1917" w:val="left"/>
        </w:tabs>
        <w:numPr>
          <w:ilvl w:val="2"/>
          <w:numId w:val="124"/>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from the Borrower, a Compliance Certificate demonstrating the Borrower is in compliance with the financial covenants set forth in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and based on the financial statements for the most recent Measurement Period, both before and after giving effect (on a Pro Forma Basis) to the incurrence of any such Incremental Increase (and assuming that any such Revolving Credit Facility Increase is fully drawn) and any Permitted Acquisition, refinancing of Indebtedness or other event consummated in connection therewith giving rise to a Pro Forma Basis adjustment;</w:t>
      </w:r>
    </w:p>
    <w:p>
      <w:pPr>
        <w:spacing w:after="0" w:line="179" w:lineRule="exact"/>
        <w:rPr>
          <w:rFonts w:ascii="Arial" w:cs="Arial" w:eastAsia="Arial" w:hAnsi="Arial"/>
          <w:sz w:val="19"/>
          <w:szCs w:val="19"/>
          <w:color w:val="auto"/>
        </w:rPr>
      </w:pPr>
    </w:p>
    <w:p>
      <w:pPr>
        <w:ind w:left="1920" w:hanging="615"/>
        <w:spacing w:after="0"/>
        <w:tabs>
          <w:tab w:leader="none" w:pos="192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each Incremental Increase shall constitute Obligations of the Borrower and will be guaranteed by the Guarantors;</w:t>
      </w:r>
    </w:p>
    <w:p>
      <w:pPr>
        <w:spacing w:after="0" w:line="254" w:lineRule="exact"/>
        <w:rPr>
          <w:rFonts w:ascii="Arial" w:cs="Arial" w:eastAsia="Arial" w:hAnsi="Arial"/>
          <w:sz w:val="19"/>
          <w:szCs w:val="19"/>
          <w:color w:val="auto"/>
        </w:rPr>
      </w:pPr>
    </w:p>
    <w:p>
      <w:pPr>
        <w:ind w:left="1860" w:hanging="555"/>
        <w:spacing w:after="0"/>
        <w:tabs>
          <w:tab w:leader="none" w:pos="1860" w:val="left"/>
        </w:tabs>
        <w:numPr>
          <w:ilvl w:val="2"/>
          <w:numId w:val="124"/>
        </w:numPr>
        <w:rPr>
          <w:rFonts w:ascii="Arial" w:cs="Arial" w:eastAsia="Arial" w:hAnsi="Arial"/>
          <w:sz w:val="20"/>
          <w:szCs w:val="20"/>
          <w:color w:val="auto"/>
        </w:rPr>
      </w:pPr>
      <w:r>
        <w:rPr>
          <w:rFonts w:ascii="Arial" w:cs="Arial" w:eastAsia="Arial" w:hAnsi="Arial"/>
          <w:sz w:val="20"/>
          <w:szCs w:val="20"/>
          <w:color w:val="auto"/>
        </w:rPr>
        <w:t>in the case of each Incremental Term Loan (the terms of which shall be set forth in the relevant Incremental</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Amendment):</w:t>
      </w:r>
    </w:p>
    <w:p>
      <w:pPr>
        <w:spacing w:after="0" w:line="229" w:lineRule="exact"/>
        <w:rPr>
          <w:rFonts w:ascii="Arial" w:cs="Arial" w:eastAsia="Arial" w:hAnsi="Arial"/>
          <w:sz w:val="20"/>
          <w:szCs w:val="20"/>
          <w:color w:val="auto"/>
        </w:rPr>
      </w:pPr>
    </w:p>
    <w:p>
      <w:pPr>
        <w:ind w:left="2400" w:hanging="447"/>
        <w:spacing w:after="0"/>
        <w:tabs>
          <w:tab w:leader="none" w:pos="2400" w:val="left"/>
        </w:tabs>
        <w:numPr>
          <w:ilvl w:val="3"/>
          <w:numId w:val="124"/>
        </w:numPr>
        <w:rPr>
          <w:rFonts w:ascii="Arial" w:cs="Arial" w:eastAsia="Arial" w:hAnsi="Arial"/>
          <w:sz w:val="18"/>
          <w:szCs w:val="18"/>
          <w:color w:val="auto"/>
        </w:rPr>
      </w:pPr>
      <w:r>
        <w:rPr>
          <w:rFonts w:ascii="Arial" w:cs="Arial" w:eastAsia="Arial" w:hAnsi="Arial"/>
          <w:sz w:val="18"/>
          <w:szCs w:val="18"/>
          <w:color w:val="auto"/>
        </w:rPr>
        <w:t>the maturity of any such Incremental Term Loan shall not be earlier than the Revolving Credit Maturity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609" w:right="239" w:bottom="1440" w:gutter="0" w:footer="0" w:header="0"/>
        </w:sectPr>
      </w:pPr>
    </w:p>
    <w:bookmarkStart w:id="192" w:name="page193"/>
    <w:bookmarkEnd w:id="192"/>
    <w:p>
      <w:pPr>
        <w:jc w:val="both"/>
        <w:ind w:left="1300" w:firstLine="653"/>
        <w:spacing w:after="0" w:line="250" w:lineRule="auto"/>
        <w:tabs>
          <w:tab w:leader="none" w:pos="241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original issue discount and the upfront fees, if any, Applicable Margin pricing grid, if applicable, an interest rate floor, if applicable, and, amortization for any Incremental Term Loan shall be determined by the applicable Incremental Lenders and the Borrower on the applicable Increase Effective Date; and</w:t>
      </w:r>
    </w:p>
    <w:p>
      <w:pPr>
        <w:spacing w:after="0" w:line="186" w:lineRule="exact"/>
        <w:rPr>
          <w:rFonts w:ascii="Arial" w:cs="Arial" w:eastAsia="Arial" w:hAnsi="Arial"/>
          <w:sz w:val="20"/>
          <w:szCs w:val="20"/>
          <w:color w:val="auto"/>
        </w:rPr>
      </w:pPr>
    </w:p>
    <w:p>
      <w:pPr>
        <w:jc w:val="both"/>
        <w:ind w:left="1300" w:firstLine="653"/>
        <w:spacing w:after="0" w:line="263" w:lineRule="auto"/>
        <w:tabs>
          <w:tab w:leader="none" w:pos="241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except as provided above, all other terms and conditions applicable to any Incremental Term Loan, to the extent not consistent with the terms and conditions applicable to the Revolving Credit Facility, shall be determined by the Borrower and the Incremental Term Lenders providing such Incremental Term Loan (but in any case, will be no more restrictive, taken as a whole, on the Borrower and its Subsidiaries than the terms of the Loan Documents);</w:t>
      </w:r>
    </w:p>
    <w:p>
      <w:pPr>
        <w:spacing w:after="0" w:line="190" w:lineRule="exact"/>
        <w:rPr>
          <w:rFonts w:ascii="Arial" w:cs="Arial" w:eastAsia="Arial" w:hAnsi="Arial"/>
          <w:sz w:val="19"/>
          <w:szCs w:val="19"/>
          <w:color w:val="auto"/>
        </w:rPr>
      </w:pPr>
    </w:p>
    <w:p>
      <w:pPr>
        <w:ind w:left="1920" w:hanging="615"/>
        <w:spacing w:after="0"/>
        <w:tabs>
          <w:tab w:leader="none" w:pos="1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each Revolving Credit Facility Increase (the terms of which shall be set forth in the relevant Incremental</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Amendment):</w:t>
      </w:r>
    </w:p>
    <w:p>
      <w:pPr>
        <w:spacing w:after="0" w:line="243" w:lineRule="exact"/>
        <w:rPr>
          <w:sz w:val="20"/>
          <w:szCs w:val="20"/>
          <w:color w:val="auto"/>
        </w:rPr>
      </w:pPr>
    </w:p>
    <w:p>
      <w:pPr>
        <w:ind w:left="660" w:right="20" w:firstLine="1293"/>
        <w:spacing w:after="0" w:line="289" w:lineRule="auto"/>
        <w:tabs>
          <w:tab w:leader="none" w:pos="2555" w:val="left"/>
        </w:tabs>
        <w:numPr>
          <w:ilvl w:val="2"/>
          <w:numId w:val="127"/>
        </w:numPr>
        <w:rPr>
          <w:rFonts w:ascii="Arial" w:cs="Arial" w:eastAsia="Arial" w:hAnsi="Arial"/>
          <w:sz w:val="20"/>
          <w:szCs w:val="20"/>
          <w:color w:val="auto"/>
        </w:rPr>
      </w:pPr>
      <w:r>
        <w:rPr>
          <w:rFonts w:ascii="Arial" w:cs="Arial" w:eastAsia="Arial" w:hAnsi="Arial"/>
          <w:sz w:val="20"/>
          <w:szCs w:val="20"/>
          <w:color w:val="auto"/>
        </w:rPr>
        <w:t>each such Revolving Credit Facility Increase shall have the same terms, including maturity, Applicable Margin and Commitment Fees, as the Revolving Credit Facility;</w:t>
      </w:r>
    </w:p>
    <w:p>
      <w:pPr>
        <w:spacing w:after="0" w:line="175" w:lineRule="exact"/>
        <w:rPr>
          <w:rFonts w:ascii="Arial" w:cs="Arial" w:eastAsia="Arial" w:hAnsi="Arial"/>
          <w:sz w:val="20"/>
          <w:szCs w:val="20"/>
          <w:color w:val="auto"/>
        </w:rPr>
      </w:pPr>
    </w:p>
    <w:p>
      <w:pPr>
        <w:jc w:val="both"/>
        <w:ind w:left="660" w:firstLine="1293"/>
        <w:spacing w:after="0" w:line="271" w:lineRule="auto"/>
        <w:tabs>
          <w:tab w:leader="none" w:pos="2544" w:val="left"/>
        </w:tabs>
        <w:numPr>
          <w:ilvl w:val="2"/>
          <w:numId w:val="127"/>
        </w:numPr>
        <w:rPr>
          <w:rFonts w:ascii="Arial" w:cs="Arial" w:eastAsia="Arial" w:hAnsi="Arial"/>
          <w:sz w:val="20"/>
          <w:szCs w:val="20"/>
          <w:color w:val="auto"/>
        </w:rPr>
      </w:pPr>
      <w:r>
        <w:rPr>
          <w:rFonts w:ascii="Arial" w:cs="Arial" w:eastAsia="Arial" w:hAnsi="Arial"/>
          <w:sz w:val="20"/>
          <w:szCs w:val="20"/>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Revolving Credit Facility Increase) in accordance with their revised Revolving Credit Commitment Percentages (and the Revolving Credit Lenders (including the Incremental Lenders providing such Revolving Credit Facility Increase) agree to make all payments and adjustments necessary to effect such reallocation and the Borrower shall pay any and all costs required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in connection with such reallocation as if such reallocation were a repayment); and</w:t>
      </w:r>
    </w:p>
    <w:p>
      <w:pPr>
        <w:spacing w:after="0" w:line="194" w:lineRule="exact"/>
        <w:rPr>
          <w:rFonts w:ascii="Arial" w:cs="Arial" w:eastAsia="Arial" w:hAnsi="Arial"/>
          <w:sz w:val="20"/>
          <w:szCs w:val="20"/>
          <w:color w:val="auto"/>
        </w:rPr>
      </w:pPr>
    </w:p>
    <w:p>
      <w:pPr>
        <w:ind w:left="660" w:firstLine="1293"/>
        <w:spacing w:after="0" w:line="289" w:lineRule="auto"/>
        <w:tabs>
          <w:tab w:leader="none" w:pos="2544" w:val="left"/>
        </w:tabs>
        <w:numPr>
          <w:ilvl w:val="2"/>
          <w:numId w:val="127"/>
        </w:numPr>
        <w:rPr>
          <w:rFonts w:ascii="Arial" w:cs="Arial" w:eastAsia="Arial" w:hAnsi="Arial"/>
          <w:sz w:val="20"/>
          <w:szCs w:val="20"/>
          <w:color w:val="auto"/>
        </w:rPr>
      </w:pPr>
      <w:r>
        <w:rPr>
          <w:rFonts w:ascii="Arial" w:cs="Arial" w:eastAsia="Arial" w:hAnsi="Arial"/>
          <w:sz w:val="20"/>
          <w:szCs w:val="20"/>
          <w:color w:val="auto"/>
        </w:rPr>
        <w:t>except as provided above, all of the terms and conditions applicable to such Revolving Credit Facility Increase shall be identical to the terms and conditions applicable to the Revolving Credit Facility; and</w:t>
      </w:r>
    </w:p>
    <w:p>
      <w:pPr>
        <w:spacing w:after="0" w:line="175" w:lineRule="exact"/>
        <w:rPr>
          <w:rFonts w:ascii="Arial" w:cs="Arial" w:eastAsia="Arial" w:hAnsi="Arial"/>
          <w:sz w:val="20"/>
          <w:szCs w:val="20"/>
          <w:color w:val="auto"/>
        </w:rPr>
      </w:pPr>
    </w:p>
    <w:p>
      <w:pPr>
        <w:jc w:val="both"/>
        <w:ind w:firstLine="1305"/>
        <w:spacing w:after="0" w:line="274" w:lineRule="auto"/>
        <w:tabs>
          <w:tab w:leader="none" w:pos="1961"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Borrower, any customary legal opinions or other documents (including a resolution duly adopted by the board of directors (or equivalent governing body) of each Credit Party authorizing such Incremental Increase), modifications to any other instruments and documents reasonably requested by Administrative Agent in connection with any such transaction.</w:t>
      </w:r>
    </w:p>
    <w:p>
      <w:pPr>
        <w:spacing w:after="0" w:line="192" w:lineRule="exact"/>
        <w:rPr>
          <w:rFonts w:ascii="Arial" w:cs="Arial" w:eastAsia="Arial" w:hAnsi="Arial"/>
          <w:sz w:val="20"/>
          <w:szCs w:val="20"/>
          <w:color w:val="auto"/>
        </w:rPr>
      </w:pPr>
    </w:p>
    <w:p>
      <w:pPr>
        <w:jc w:val="both"/>
        <w:ind w:firstLine="656"/>
        <w:spacing w:after="0" w:line="273" w:lineRule="auto"/>
        <w:tabs>
          <w:tab w:leader="none" w:pos="1192"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Incremental Amendments</w:t>
      </w:r>
      <w:r>
        <w:rPr>
          <w:rFonts w:ascii="Arial" w:cs="Arial" w:eastAsia="Arial" w:hAnsi="Arial"/>
          <w:sz w:val="20"/>
          <w:szCs w:val="20"/>
          <w:color w:val="auto"/>
        </w:rPr>
        <w:t>. Each such Incremental Increase shall be effected pursuant to an amendment (an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421" w:lineRule="auto"/>
        <w:tabs>
          <w:tab w:leader="none" w:pos="117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any Incremental Increase may be used by the Borrower and its Subsidiaries for working capital and other general corporate purposes, including the financing of Permitted Acquisitions and any other use not prohibited by this Agreement.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93" w:name="page194"/>
    <w:bookmarkEnd w:id="193"/>
    <w:p>
      <w:pPr>
        <w:jc w:val="both"/>
        <w:ind w:firstLine="648"/>
        <w:spacing w:after="0" w:line="27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within one Business Day following the written request of the Administrative Agent or any Issuing Lender (with a copy to the Administrative Agent), the Borrower shall Cash Collateralize the Fronting Exposure of such Issuing Lender, with respect to such Defaulting Lender (determined after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and any Cash Collateral provided by such Defaulting Lender) in an amount not less than the Minimum Collateral Amount. In addition, if the Administrative Agent notifies the Borrower at any time that the Dollar Equivalent amount of the aggregate outstanding amount of all L/C Obligations at such time exceeds 105% of the Letter of Credit Sublimit then in effect, then, within two (2) Business Days after receipt of such notice, the Borrower shall provide Cash Collateral for the amount by which the L/C Obligations exceeds the Letter of Credit Sublimit.</w:t>
      </w:r>
    </w:p>
    <w:p>
      <w:pPr>
        <w:spacing w:after="0" w:line="169" w:lineRule="exact"/>
        <w:rPr>
          <w:sz w:val="20"/>
          <w:szCs w:val="20"/>
          <w:color w:val="auto"/>
        </w:rPr>
      </w:pPr>
    </w:p>
    <w:p>
      <w:pPr>
        <w:jc w:val="both"/>
        <w:ind w:left="260" w:firstLine="639"/>
        <w:spacing w:after="0" w:line="257" w:lineRule="auto"/>
        <w:tabs>
          <w:tab w:leader="none" w:pos="130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The Borrower, and to the extent provided by any Defaulting Lender, such Defaulting Lender, hereby grants to the Administrative Agent, for the benefit of each Issuing Lender, and agrees to maintain, a first priority security interest in all such 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and each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1" w:lineRule="exact"/>
        <w:rPr>
          <w:rFonts w:ascii="Arial" w:cs="Arial" w:eastAsia="Arial" w:hAnsi="Arial"/>
          <w:sz w:val="19"/>
          <w:szCs w:val="19"/>
          <w:color w:val="auto"/>
        </w:rPr>
      </w:pPr>
    </w:p>
    <w:p>
      <w:pPr>
        <w:jc w:val="both"/>
        <w:ind w:left="260" w:firstLine="639"/>
        <w:spacing w:after="0" w:line="244" w:lineRule="auto"/>
        <w:tabs>
          <w:tab w:leader="none" w:pos="145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or any other Loan Document, Cash Collateral provided under this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5.15</w:t>
      </w:r>
      <w:r>
        <w:rPr>
          <w:rFonts w:ascii="Arial" w:cs="Arial" w:eastAsia="Arial" w:hAnsi="Arial"/>
          <w:sz w:val="20"/>
          <w:szCs w:val="20"/>
          <w:color w:val="auto"/>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94" w:lineRule="exact"/>
        <w:rPr>
          <w:rFonts w:ascii="Arial" w:cs="Arial" w:eastAsia="Arial" w:hAnsi="Arial"/>
          <w:sz w:val="20"/>
          <w:szCs w:val="20"/>
          <w:color w:val="auto"/>
        </w:rPr>
      </w:pPr>
    </w:p>
    <w:p>
      <w:pPr>
        <w:jc w:val="both"/>
        <w:ind w:left="260" w:firstLine="639"/>
        <w:spacing w:after="0" w:line="243" w:lineRule="auto"/>
        <w:tabs>
          <w:tab w:leader="none" w:pos="1335"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Termination of Requirement</w:t>
      </w:r>
      <w:r>
        <w:rPr>
          <w:rFonts w:ascii="Arial" w:cs="Arial" w:eastAsia="Arial" w:hAnsi="Arial"/>
          <w:sz w:val="20"/>
          <w:szCs w:val="20"/>
          <w:color w:val="auto"/>
        </w:rPr>
        <w:t xml:space="preserve">. Cash Collateral (or the appropriate portion thereof) provided to reduce the Fronting Exposure of any Issuing Lender, shall no longer be required to be held as Cash Collateral pursuant to this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following (i) the elimination of the applicable Fronting Exposure (including by the termination of Defaulting Lender status of the applicable Lender), or (ii) the determination by the Administrative Agent and the Issuing Lenders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w:t>
      </w:r>
      <w:r>
        <w:rPr>
          <w:rFonts w:ascii="Arial" w:cs="Arial" w:eastAsia="Arial" w:hAnsi="Arial"/>
          <w:sz w:val="20"/>
          <w:szCs w:val="20"/>
          <w:u w:val="single" w:color="auto"/>
          <w:color w:val="auto"/>
        </w:rPr>
        <w:t>Section 5.15</w:t>
      </w:r>
      <w:r>
        <w:rPr>
          <w:rFonts w:ascii="Arial" w:cs="Arial" w:eastAsia="Arial" w:hAnsi="Arial"/>
          <w:sz w:val="20"/>
          <w:szCs w:val="20"/>
          <w:color w:val="auto"/>
        </w:rPr>
        <w:t>, the Person providing Cash Collateral and the Issuing Lenders may agree that Cash Collateral shall be held to support future anticipated Fronting Exposure or other obligations.</w:t>
      </w:r>
    </w:p>
    <w:p>
      <w:pPr>
        <w:spacing w:after="0" w:line="19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ind w:left="260" w:firstLine="639"/>
        <w:spacing w:after="0" w:line="316" w:lineRule="auto"/>
        <w:tabs>
          <w:tab w:leader="none" w:pos="130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30" w:lineRule="exact"/>
        <w:rPr>
          <w:rFonts w:ascii="Arial" w:cs="Arial" w:eastAsia="Arial" w:hAnsi="Arial"/>
          <w:sz w:val="18"/>
          <w:szCs w:val="18"/>
          <w:color w:val="auto"/>
        </w:rPr>
      </w:pPr>
    </w:p>
    <w:p>
      <w:pPr>
        <w:ind w:left="660" w:firstLine="645"/>
        <w:spacing w:after="0" w:line="287" w:lineRule="auto"/>
        <w:tabs>
          <w:tab w:leader="none" w:pos="1729"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60" w:firstLine="645"/>
        <w:spacing w:after="0" w:line="260" w:lineRule="auto"/>
        <w:tabs>
          <w:tab w:leader="none" w:pos="1797"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Defaulting Lender Waterfall</w:t>
      </w:r>
      <w:r>
        <w:rPr>
          <w:rFonts w:ascii="Arial" w:cs="Arial" w:eastAsia="Arial" w:hAnsi="Arial"/>
          <w:sz w:val="20"/>
          <w:szCs w:val="20"/>
          <w:color w:val="auto"/>
        </w:rPr>
        <w:t>. Any payment of principal, interest, fees or other amounts received by the Administrative Agent for the account of such Defaulting Lender (whether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94" w:name="page195"/>
    <w:bookmarkEnd w:id="194"/>
    <w:p>
      <w:pPr>
        <w:jc w:val="both"/>
        <w:ind w:left="660"/>
        <w:spacing w:after="0" w:line="268" w:lineRule="auto"/>
        <w:rPr>
          <w:sz w:val="20"/>
          <w:szCs w:val="20"/>
          <w:color w:val="auto"/>
        </w:rPr>
      </w:pPr>
      <w:r>
        <w:rPr>
          <w:rFonts w:ascii="Arial" w:cs="Arial" w:eastAsia="Arial" w:hAnsi="Arial"/>
          <w:sz w:val="18"/>
          <w:szCs w:val="18"/>
          <w:color w:val="auto"/>
        </w:rPr>
        <w:t xml:space="preserve">voluntary or mandatory, at maturity,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to the payment of any amounts owing by such Defaulting Lender to the Administrative Agent hereunder;</w:t>
      </w:r>
      <w:r>
        <w:rPr>
          <w:rFonts w:ascii="Arial" w:cs="Arial" w:eastAsia="Arial" w:hAnsi="Arial"/>
          <w:sz w:val="18"/>
          <w:szCs w:val="18"/>
          <w:i w:val="1"/>
          <w:iCs w:val="1"/>
          <w:color w:val="auto"/>
        </w:rPr>
        <w:t xml:space="preserve"> second</w:t>
      </w:r>
      <w:r>
        <w:rPr>
          <w:rFonts w:ascii="Arial" w:cs="Arial" w:eastAsia="Arial" w:hAnsi="Arial"/>
          <w:sz w:val="18"/>
          <w:szCs w:val="18"/>
          <w:color w:val="auto"/>
        </w:rPr>
        <w:t>, to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the Issuing Lenders or the Swingline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Fronting Exposure of the Issuing Lenders and the Swingline Lender with respect to such Defaulting Lender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 to be held in a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Revolving Credit Commitments under the applicable Revolving Credit Facility without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5.15(a)(ii)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73" w:lineRule="exact"/>
        <w:rPr>
          <w:sz w:val="20"/>
          <w:szCs w:val="20"/>
          <w:color w:val="auto"/>
        </w:rPr>
      </w:pPr>
    </w:p>
    <w:p>
      <w:pPr>
        <w:ind w:left="1780" w:hanging="475"/>
        <w:spacing w:after="0"/>
        <w:tabs>
          <w:tab w:leader="none" w:pos="178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43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05"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Letter of Credit commissions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for any period during which that Lender is a Defaulting Lender only to the extent allocable to its Revolving Credit Commitment Percentage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95" w:name="page196"/>
    <w:bookmarkEnd w:id="195"/>
    <w:p>
      <w:pPr>
        <w:ind w:left="1300"/>
        <w:spacing w:after="0"/>
        <w:rPr>
          <w:sz w:val="20"/>
          <w:szCs w:val="20"/>
          <w:color w:val="auto"/>
        </w:rPr>
      </w:pPr>
      <w:r>
        <w:rPr>
          <w:rFonts w:ascii="Arial" w:cs="Arial" w:eastAsia="Arial" w:hAnsi="Arial"/>
          <w:sz w:val="20"/>
          <w:szCs w:val="20"/>
          <w:color w:val="auto"/>
        </w:rPr>
        <w:t xml:space="preserve">stated amount of Letters of Credit for which it has provided Cash Collateral pursuant to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16" w:lineRule="exact"/>
        <w:rPr>
          <w:sz w:val="20"/>
          <w:szCs w:val="20"/>
          <w:color w:val="auto"/>
        </w:rPr>
      </w:pPr>
    </w:p>
    <w:p>
      <w:pPr>
        <w:jc w:val="both"/>
        <w:ind w:left="1300" w:firstLine="653"/>
        <w:spacing w:after="0" w:line="274" w:lineRule="auto"/>
        <w:tabs>
          <w:tab w:leader="none" w:pos="2432" w:val="left"/>
        </w:tabs>
        <w:numPr>
          <w:ilvl w:val="2"/>
          <w:numId w:val="133"/>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69" w:lineRule="exact"/>
        <w:rPr>
          <w:rFonts w:ascii="Arial" w:cs="Arial" w:eastAsia="Arial" w:hAnsi="Arial"/>
          <w:sz w:val="18"/>
          <w:szCs w:val="18"/>
          <w:color w:val="auto"/>
        </w:rPr>
      </w:pPr>
    </w:p>
    <w:p>
      <w:pPr>
        <w:jc w:val="both"/>
        <w:ind w:left="660" w:firstLine="645"/>
        <w:spacing w:after="0" w:line="257" w:lineRule="auto"/>
        <w:tabs>
          <w:tab w:leader="none" w:pos="1801"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9"/>
          <w:szCs w:val="19"/>
          <w:u w:val="single" w:color="auto"/>
          <w:color w:val="auto"/>
        </w:rPr>
        <w:t>Section 12.23</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Arial" w:cs="Arial" w:eastAsia="Arial" w:hAnsi="Arial"/>
          <w:sz w:val="19"/>
          <w:szCs w:val="19"/>
          <w:color w:val="auto"/>
        </w:rPr>
      </w:pPr>
    </w:p>
    <w:p>
      <w:pPr>
        <w:jc w:val="both"/>
        <w:ind w:left="660" w:firstLine="645"/>
        <w:spacing w:after="0" w:line="263" w:lineRule="auto"/>
        <w:tabs>
          <w:tab w:leader="none" w:pos="1787"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repay Swingline Loans in an amount equal to the Swingline Lenders’ Fronting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Issuing Lenders’ Fronting Exposure in accordance with the procedures set forth in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left="260" w:firstLine="639"/>
        <w:spacing w:after="0" w:line="255" w:lineRule="auto"/>
        <w:tabs>
          <w:tab w:leader="none" w:pos="138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Lenders or take such other actions as the Administrative Agent may determine to be necessary to cause the Revolving Credit Loans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Lenders in accordance with the Revolving Credit Commitments (without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OF CLOSING AND BORROWING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96" w:name="page197"/>
    <w:bookmarkEnd w:id="196"/>
    <w:p>
      <w:pPr>
        <w:jc w:val="both"/>
        <w:ind w:firstLine="648"/>
        <w:spacing w:after="0" w:line="250"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Conditions to Closing and Initial Extensions of Credit</w:t>
      </w:r>
      <w:r>
        <w:rPr>
          <w:rFonts w:ascii="Arial" w:cs="Arial" w:eastAsia="Arial" w:hAnsi="Arial"/>
          <w:sz w:val="20"/>
          <w:szCs w:val="20"/>
          <w:color w:val="auto"/>
        </w:rPr>
        <w:t>. The obligation of the Lenders to close this Agreement and to make the initial Loans or issue or participate in the initial Letter of Credit, if any, is subject to the satisfaction of each of the following conditions:</w:t>
      </w:r>
    </w:p>
    <w:p>
      <w:pPr>
        <w:spacing w:after="0" w:line="186" w:lineRule="exact"/>
        <w:rPr>
          <w:sz w:val="20"/>
          <w:szCs w:val="20"/>
          <w:color w:val="auto"/>
        </w:rPr>
      </w:pPr>
    </w:p>
    <w:p>
      <w:pPr>
        <w:jc w:val="both"/>
        <w:ind w:left="260" w:firstLine="639"/>
        <w:spacing w:after="0" w:line="282" w:lineRule="auto"/>
        <w:tabs>
          <w:tab w:leader="none" w:pos="134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Executed Loan Documents</w:t>
      </w:r>
      <w:r>
        <w:rPr>
          <w:rFonts w:ascii="Arial" w:cs="Arial" w:eastAsia="Arial" w:hAnsi="Arial"/>
          <w:sz w:val="18"/>
          <w:szCs w:val="18"/>
          <w:color w:val="auto"/>
        </w:rPr>
        <w:t>. This Agreement, a Revolving Credit Note in favor of each Revolving Credit Lender requesting a Revolving Credit Note, a Swingline Note in favor of the Swingline Lender (if requested thereby), the Guaranty Agreement, together with any other applicable Loan Documents, shall have been duly authorized, executed and delivered to the Administrative Agent by the parties thereto, shall be in full force and effect and no Default or Event of Default shall have occurred and be continuing.</w:t>
      </w:r>
    </w:p>
    <w:p>
      <w:pPr>
        <w:spacing w:after="0" w:line="161" w:lineRule="exact"/>
        <w:rPr>
          <w:rFonts w:ascii="Arial" w:cs="Arial" w:eastAsia="Arial" w:hAnsi="Arial"/>
          <w:sz w:val="18"/>
          <w:szCs w:val="18"/>
          <w:color w:val="auto"/>
        </w:rPr>
      </w:pPr>
    </w:p>
    <w:p>
      <w:pPr>
        <w:ind w:left="260" w:firstLine="639"/>
        <w:spacing w:after="0" w:line="260" w:lineRule="auto"/>
        <w:tabs>
          <w:tab w:leader="none" w:pos="1494"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xml:space="preserve"> The Administrative Agent shall have received each of the following in form and substance reasonably satisfactory to the Administrative Agent:</w:t>
      </w:r>
    </w:p>
    <w:p>
      <w:pPr>
        <w:spacing w:after="0" w:line="176" w:lineRule="exact"/>
        <w:rPr>
          <w:rFonts w:ascii="Arial" w:cs="Arial" w:eastAsia="Arial" w:hAnsi="Arial"/>
          <w:sz w:val="20"/>
          <w:szCs w:val="20"/>
          <w:color w:val="auto"/>
        </w:rPr>
      </w:pPr>
    </w:p>
    <w:p>
      <w:pPr>
        <w:jc w:val="both"/>
        <w:ind w:left="660" w:firstLine="645"/>
        <w:spacing w:after="0" w:line="273" w:lineRule="auto"/>
        <w:tabs>
          <w:tab w:leader="none" w:pos="1675"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from a Responsible Officer of the Borrower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Credit Parties is in violation of any of the covenants contained in this Agreement and the other Loan Documents; (C) after giving effect to the Transactions, no Default or Event of Default has occurred and is continuing; (D) since March 31, 2018, no event has occurred or condition arisen, either individually or in the aggregate, that has had or could reasonably be expected to have a Material Adverse Effect; and (E) each of the Credit Parties, as applicable, has satisfied each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left="660" w:firstLine="645"/>
        <w:spacing w:after="0" w:line="256" w:lineRule="auto"/>
        <w:tabs>
          <w:tab w:leader="none" w:pos="1770"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Certificate of Secretary of each Credit Party</w:t>
      </w:r>
      <w:r>
        <w:rPr>
          <w:rFonts w:ascii="Arial" w:cs="Arial" w:eastAsia="Arial" w:hAnsi="Arial"/>
          <w:sz w:val="19"/>
          <w:szCs w:val="19"/>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9"/>
          <w:szCs w:val="19"/>
          <w:u w:val="single" w:color="auto"/>
          <w:color w:val="auto"/>
        </w:rPr>
        <w:t>Section 6.1(b)(iii)</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660" w:right="20" w:firstLine="645"/>
        <w:spacing w:after="0" w:line="260" w:lineRule="auto"/>
        <w:tabs>
          <w:tab w:leader="none" w:pos="1785"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Certificates of Good Standing</w:t>
      </w:r>
      <w:r>
        <w:rPr>
          <w:rFonts w:ascii="Arial" w:cs="Arial" w:eastAsia="Arial" w:hAnsi="Arial"/>
          <w:sz w:val="20"/>
          <w:szCs w:val="20"/>
          <w:color w:val="auto"/>
        </w:rPr>
        <w:t>. Certificates as of a recent date of the good standing of each Credit Party under the laws of its jurisdiction of incorporation, organization or formation (or equivalent), as applicable.</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15"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Opinions of counsel to the Credit Parties addressed to the Administrative Agent and the Lenders with respect to the Credit Parties, the Loan Documents and such other matters as the Administrative Agent shall request (which such opinions shall expressly permit reliance by permitted successors and assigns of the Administrative Agent and the Lenders subject to customary qualifications).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97" w:name="page198"/>
    <w:bookmarkEnd w:id="197"/>
    <w:p>
      <w:pPr>
        <w:ind w:left="1300" w:hanging="401"/>
        <w:spacing w:after="0"/>
        <w:tabs>
          <w:tab w:leader="none" w:pos="1300" w:val="left"/>
        </w:tabs>
        <w:numPr>
          <w:ilvl w:val="1"/>
          <w:numId w:val="137"/>
        </w:numPr>
        <w:rPr>
          <w:rFonts w:ascii="Arial" w:cs="Arial" w:eastAsia="Arial" w:hAnsi="Arial"/>
          <w:sz w:val="20"/>
          <w:szCs w:val="20"/>
          <w:color w:val="auto"/>
        </w:rPr>
      </w:pPr>
      <w:r>
        <w:rPr>
          <w:rFonts w:ascii="Arial" w:cs="Arial" w:eastAsia="Arial" w:hAnsi="Arial"/>
          <w:sz w:val="20"/>
          <w:szCs w:val="20"/>
          <w:u w:val="single" w:color="auto"/>
          <w:color w:val="auto"/>
        </w:rPr>
        <w:t>Consents; Defaults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20" w:firstLine="645"/>
        <w:spacing w:after="0" w:line="316" w:lineRule="auto"/>
        <w:tabs>
          <w:tab w:leader="none" w:pos="1716"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Governmental and Third Party Approvals</w:t>
      </w:r>
      <w:r>
        <w:rPr>
          <w:rFonts w:ascii="Arial" w:cs="Arial" w:eastAsia="Arial" w:hAnsi="Arial"/>
          <w:sz w:val="18"/>
          <w:szCs w:val="18"/>
          <w:color w:val="auto"/>
        </w:rPr>
        <w:t>. The Credit Parties shall have received all material governmental, shareholder and third party consents and approvals necessary in connection with the Transactions, which shall be in full force and effect.</w:t>
      </w:r>
    </w:p>
    <w:p>
      <w:pPr>
        <w:spacing w:after="0" w:line="130" w:lineRule="exact"/>
        <w:rPr>
          <w:rFonts w:ascii="Arial" w:cs="Arial" w:eastAsia="Arial" w:hAnsi="Arial"/>
          <w:sz w:val="18"/>
          <w:szCs w:val="18"/>
          <w:color w:val="auto"/>
        </w:rPr>
      </w:pPr>
    </w:p>
    <w:p>
      <w:pPr>
        <w:jc w:val="both"/>
        <w:ind w:left="660" w:firstLine="645"/>
        <w:spacing w:after="0" w:line="250" w:lineRule="auto"/>
        <w:tabs>
          <w:tab w:leader="none" w:pos="1784" w:val="left"/>
        </w:tabs>
        <w:numPr>
          <w:ilvl w:val="2"/>
          <w:numId w:val="137"/>
        </w:numPr>
        <w:rPr>
          <w:rFonts w:ascii="Arial" w:cs="Arial" w:eastAsia="Arial" w:hAnsi="Arial"/>
          <w:sz w:val="20"/>
          <w:szCs w:val="20"/>
          <w:color w:val="auto"/>
        </w:rPr>
      </w:pPr>
      <w:r>
        <w:rPr>
          <w:rFonts w:ascii="Arial" w:cs="Arial" w:eastAsia="Arial" w:hAnsi="Arial"/>
          <w:sz w:val="20"/>
          <w:szCs w:val="20"/>
          <w:u w:val="single" w:color="auto"/>
          <w:color w:val="auto"/>
        </w:rPr>
        <w:t>No Injunction, Etc.</w:t>
      </w:r>
      <w:r>
        <w:rPr>
          <w:rFonts w:ascii="Arial" w:cs="Arial" w:eastAsia="Arial" w:hAnsi="Arial"/>
          <w:sz w:val="20"/>
          <w:szCs w:val="20"/>
          <w:color w:val="auto"/>
        </w:rPr>
        <w:t xml:space="preserve"> No action, suit, investigation or proceeding shall be pending or, to the knowledge of the Borrower, threatened in any court or before any arbitrator or any Governmental Authority that could reasonably be expected to have a Material Adverse Effect.</w:t>
      </w:r>
    </w:p>
    <w:p>
      <w:pPr>
        <w:spacing w:after="0" w:line="186" w:lineRule="exact"/>
        <w:rPr>
          <w:rFonts w:ascii="Arial" w:cs="Arial" w:eastAsia="Arial" w:hAnsi="Arial"/>
          <w:sz w:val="20"/>
          <w:szCs w:val="20"/>
          <w:color w:val="auto"/>
        </w:rPr>
      </w:pPr>
    </w:p>
    <w:p>
      <w:pPr>
        <w:ind w:left="1320" w:hanging="421"/>
        <w:spacing w:after="0"/>
        <w:tabs>
          <w:tab w:leader="none" w:pos="1320" w:val="left"/>
        </w:tabs>
        <w:numPr>
          <w:ilvl w:val="1"/>
          <w:numId w:val="137"/>
        </w:numPr>
        <w:rPr>
          <w:rFonts w:ascii="Arial" w:cs="Arial" w:eastAsia="Arial" w:hAnsi="Arial"/>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29" w:val="left"/>
        </w:tabs>
        <w:numPr>
          <w:ilvl w:val="2"/>
          <w:numId w:val="137"/>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Administrative Agent shall have received copies of audited consolidated financial statements for the Borrower and its Subsidiaries for the three Fiscal Years most recently ended for which financial statements are available and interim unaudited financial statements for each quarterly period ended since the last audited financial statements for which financial statements are available.</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906" w:val="left"/>
        </w:tabs>
        <w:numPr>
          <w:ilvl w:val="2"/>
          <w:numId w:val="137"/>
        </w:numPr>
        <w:rPr>
          <w:rFonts w:ascii="Arial" w:cs="Arial" w:eastAsia="Arial" w:hAnsi="Arial"/>
          <w:sz w:val="20"/>
          <w:szCs w:val="20"/>
          <w:color w:val="auto"/>
        </w:rPr>
      </w:pPr>
      <w:r>
        <w:rPr>
          <w:rFonts w:ascii="Arial" w:cs="Arial" w:eastAsia="Arial" w:hAnsi="Arial"/>
          <w:sz w:val="20"/>
          <w:szCs w:val="20"/>
          <w:u w:val="single" w:color="auto"/>
          <w:color w:val="auto"/>
        </w:rPr>
        <w:t>Financial Projections</w:t>
      </w:r>
      <w:r>
        <w:rPr>
          <w:rFonts w:ascii="Arial" w:cs="Arial" w:eastAsia="Arial" w:hAnsi="Arial"/>
          <w:sz w:val="20"/>
          <w:szCs w:val="20"/>
          <w:color w:val="auto"/>
        </w:rPr>
        <w:t>. The Administrative Agent shall have received projections prepared by management of the Borrower, of balance sheets, income statements and cash flow statements on a quarterly basis for the first year following the Closing Date and on an annual basis for the next two years thereafter (the “</w:t>
      </w:r>
      <w:r>
        <w:rPr>
          <w:rFonts w:ascii="Arial" w:cs="Arial" w:eastAsia="Arial" w:hAnsi="Arial"/>
          <w:sz w:val="20"/>
          <w:szCs w:val="20"/>
          <w:u w:val="single" w:color="auto"/>
          <w:color w:val="auto"/>
        </w:rPr>
        <w:t>Projections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60" w:firstLine="645"/>
        <w:spacing w:after="0" w:line="272" w:lineRule="auto"/>
        <w:tabs>
          <w:tab w:leader="none" w:pos="1785"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Financial Condition/Solvency Certificate</w:t>
      </w:r>
      <w:r>
        <w:rPr>
          <w:rFonts w:ascii="Arial" w:cs="Arial" w:eastAsia="Arial" w:hAnsi="Arial"/>
          <w:sz w:val="18"/>
          <w:szCs w:val="18"/>
          <w:color w:val="auto"/>
        </w:rPr>
        <w:t>. The Borrower shall have delivered to the Administrative Agent a certificate, in form and substance reasonably satisfactory to the Administrative Agent, and certified as accurate by the chief financial officer of the Borrower, that (A) after giving effect to the Transactions, the Borrower and its Subsidiaries, on a Consolidated basis are Solvent,</w:t>
      </w:r>
    </w:p>
    <w:p>
      <w:pPr>
        <w:spacing w:after="0" w:line="1" w:lineRule="exact"/>
        <w:rPr>
          <w:rFonts w:ascii="Arial" w:cs="Arial" w:eastAsia="Arial" w:hAnsi="Arial"/>
          <w:sz w:val="18"/>
          <w:szCs w:val="18"/>
          <w:color w:val="auto"/>
        </w:rPr>
      </w:pPr>
    </w:p>
    <w:p>
      <w:pPr>
        <w:jc w:val="both"/>
        <w:ind w:left="660" w:hanging="4"/>
        <w:spacing w:after="0" w:line="260" w:lineRule="auto"/>
        <w:tabs>
          <w:tab w:leader="none" w:pos="100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attached thereto are calculations evidencing compliance on a Pro Forma Basis after giving effect to the Transactions with the covenant contained in </w:t>
      </w:r>
      <w:r>
        <w:rPr>
          <w:rFonts w:ascii="Arial" w:cs="Arial" w:eastAsia="Arial" w:hAnsi="Arial"/>
          <w:sz w:val="19"/>
          <w:szCs w:val="19"/>
          <w:u w:val="single" w:color="auto"/>
          <w:color w:val="auto"/>
        </w:rPr>
        <w:t>Section 9.12(a)</w:t>
      </w:r>
      <w:r>
        <w:rPr>
          <w:rFonts w:ascii="Arial" w:cs="Arial" w:eastAsia="Arial" w:hAnsi="Arial"/>
          <w:sz w:val="19"/>
          <w:szCs w:val="19"/>
          <w:color w:val="auto"/>
        </w:rPr>
        <w:t xml:space="preserve">, (C) after giving effect to the Transactions, the Borrower and its Subsidiaries shall be in compliance with the covenant contained in </w:t>
      </w:r>
      <w:r>
        <w:rPr>
          <w:rFonts w:ascii="Arial" w:cs="Arial" w:eastAsia="Arial" w:hAnsi="Arial"/>
          <w:sz w:val="19"/>
          <w:szCs w:val="19"/>
          <w:u w:val="single" w:color="auto"/>
          <w:color w:val="auto"/>
        </w:rPr>
        <w:t>Section 9.12(b)</w:t>
      </w:r>
      <w:r>
        <w:rPr>
          <w:rFonts w:ascii="Arial" w:cs="Arial" w:eastAsia="Arial" w:hAnsi="Arial"/>
          <w:sz w:val="19"/>
          <w:szCs w:val="19"/>
          <w:color w:val="auto"/>
        </w:rPr>
        <w:t xml:space="preserve"> and (D) attached thereto is a calculation of the Applicable Margin.</w:t>
      </w:r>
    </w:p>
    <w:p>
      <w:pPr>
        <w:spacing w:after="0" w:line="178" w:lineRule="exact"/>
        <w:rPr>
          <w:rFonts w:ascii="Arial" w:cs="Arial" w:eastAsia="Arial" w:hAnsi="Arial"/>
          <w:sz w:val="19"/>
          <w:szCs w:val="19"/>
          <w:color w:val="auto"/>
        </w:rPr>
      </w:pPr>
    </w:p>
    <w:p>
      <w:pPr>
        <w:jc w:val="both"/>
        <w:ind w:left="660" w:firstLine="645"/>
        <w:spacing w:after="0" w:line="243" w:lineRule="auto"/>
        <w:tabs>
          <w:tab w:leader="none" w:pos="1801" w:val="left"/>
        </w:tabs>
        <w:numPr>
          <w:ilvl w:val="2"/>
          <w:numId w:val="138"/>
        </w:numPr>
        <w:rPr>
          <w:rFonts w:ascii="Arial" w:cs="Arial" w:eastAsia="Arial" w:hAnsi="Arial"/>
          <w:sz w:val="20"/>
          <w:szCs w:val="20"/>
          <w:color w:val="auto"/>
        </w:rPr>
      </w:pPr>
      <w:r>
        <w:rPr>
          <w:rFonts w:ascii="Arial" w:cs="Arial" w:eastAsia="Arial" w:hAnsi="Arial"/>
          <w:sz w:val="20"/>
          <w:szCs w:val="20"/>
          <w:u w:val="single" w:color="auto"/>
          <w:color w:val="auto"/>
        </w:rPr>
        <w:t>Payment at Closing</w:t>
      </w:r>
      <w:r>
        <w:rPr>
          <w:rFonts w:ascii="Arial" w:cs="Arial" w:eastAsia="Arial" w:hAnsi="Arial"/>
          <w:sz w:val="20"/>
          <w:szCs w:val="20"/>
          <w:color w:val="auto"/>
        </w:rPr>
        <w:t xml:space="preserve">. The Borrower shall have paid or made arrangements to pay contemporaneously with closing (A) to the Administrative Agent, the Arrangers and the Lenders the fees set forth or referenced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any other accrued and unpaid fees or commissions due hereunder and (B) all reasonable, documented fees and out-of-pocket expenses of McGuireWoods LLP, as counsel to the Administrative Agent, to the extent accrued and unpaid prior to or on the Closing Date, plus such additional amounts of such fees and expenses as shall constitute its reasonable estimate of such fees and expenses incurred or to be incurred by it through the closing proceedings which are associated with the preparation, negotiation, execution, delivery and administration of the Loan Documents.</w:t>
      </w:r>
    </w:p>
    <w:p>
      <w:pPr>
        <w:spacing w:after="0" w:line="193" w:lineRule="exact"/>
        <w:rPr>
          <w:rFonts w:ascii="Arial" w:cs="Arial" w:eastAsia="Arial" w:hAnsi="Arial"/>
          <w:sz w:val="20"/>
          <w:szCs w:val="20"/>
          <w:color w:val="auto"/>
        </w:rPr>
      </w:pPr>
    </w:p>
    <w:p>
      <w:pPr>
        <w:ind w:left="1300" w:hanging="401"/>
        <w:spacing w:after="0"/>
        <w:tabs>
          <w:tab w:leader="none" w:pos="1300"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5"/>
        <w:spacing w:after="0" w:line="287" w:lineRule="auto"/>
        <w:tabs>
          <w:tab w:leader="none" w:pos="1675" w:val="left"/>
        </w:tabs>
        <w:numPr>
          <w:ilvl w:val="2"/>
          <w:numId w:val="139"/>
        </w:numPr>
        <w:rPr>
          <w:rFonts w:ascii="Arial" w:cs="Arial" w:eastAsia="Arial" w:hAnsi="Arial"/>
          <w:sz w:val="19"/>
          <w:szCs w:val="19"/>
          <w:color w:val="auto"/>
        </w:rPr>
      </w:pPr>
      <w:r>
        <w:rPr>
          <w:rFonts w:ascii="Arial" w:cs="Arial" w:eastAsia="Arial" w:hAnsi="Arial"/>
          <w:sz w:val="19"/>
          <w:szCs w:val="19"/>
          <w:u w:val="single" w:color="auto"/>
          <w:color w:val="auto"/>
        </w:rPr>
        <w:t>Notice of Account Designation</w:t>
      </w:r>
      <w:r>
        <w:rPr>
          <w:rFonts w:ascii="Arial" w:cs="Arial" w:eastAsia="Arial" w:hAnsi="Arial"/>
          <w:sz w:val="19"/>
          <w:szCs w:val="19"/>
          <w:color w:val="auto"/>
        </w:rPr>
        <w:t>. The Administrative Agent shall have received a Notice of Account Designation specifying the account or accounts to which the proceeds of any Loans made on or after the Closing Date are to be disbursed.</w:t>
      </w:r>
    </w:p>
    <w:p>
      <w:pPr>
        <w:spacing w:after="0" w:line="152" w:lineRule="exact"/>
        <w:rPr>
          <w:rFonts w:ascii="Arial" w:cs="Arial" w:eastAsia="Arial" w:hAnsi="Arial"/>
          <w:sz w:val="19"/>
          <w:szCs w:val="19"/>
          <w:color w:val="auto"/>
        </w:rPr>
      </w:pPr>
    </w:p>
    <w:p>
      <w:pPr>
        <w:ind w:left="660" w:firstLine="645"/>
        <w:spacing w:after="0" w:line="260" w:lineRule="auto"/>
        <w:tabs>
          <w:tab w:leader="none" w:pos="1797" w:val="left"/>
        </w:tabs>
        <w:numPr>
          <w:ilvl w:val="2"/>
          <w:numId w:val="139"/>
        </w:numPr>
        <w:rPr>
          <w:rFonts w:ascii="Arial" w:cs="Arial" w:eastAsia="Arial" w:hAnsi="Arial"/>
          <w:sz w:val="20"/>
          <w:szCs w:val="20"/>
          <w:color w:val="auto"/>
        </w:rPr>
      </w:pP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All existing Indebtedness (other than the obligations with respect to the Existing Letter of Credit) of the Borrower and its Subsidiaries under the Existing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198" w:name="page199"/>
    <w:bookmarkEnd w:id="198"/>
    <w:p>
      <w:pPr>
        <w:jc w:val="both"/>
        <w:ind w:left="660"/>
        <w:spacing w:after="0" w:line="250" w:lineRule="auto"/>
        <w:rPr>
          <w:sz w:val="20"/>
          <w:szCs w:val="20"/>
          <w:color w:val="auto"/>
        </w:rPr>
      </w:pPr>
      <w:r>
        <w:rPr>
          <w:rFonts w:ascii="Arial" w:cs="Arial" w:eastAsia="Arial" w:hAnsi="Arial"/>
          <w:sz w:val="20"/>
          <w:szCs w:val="20"/>
          <w:color w:val="auto"/>
        </w:rPr>
        <w:t>Credit Agreement shall be repaid in full, all commitments (if any) in respect thereof shall have been terminated and all guarantees therefor and security therefor shall be released, and the Administrative Agent shall have received pay-off letters in form and substance reasonably satisfactory to it evidencing such repayment, termination and release.</w:t>
      </w:r>
    </w:p>
    <w:p>
      <w:pPr>
        <w:spacing w:after="0" w:line="186" w:lineRule="exact"/>
        <w:rPr>
          <w:sz w:val="20"/>
          <w:szCs w:val="20"/>
          <w:color w:val="auto"/>
        </w:rPr>
      </w:pPr>
    </w:p>
    <w:p>
      <w:pPr>
        <w:jc w:val="both"/>
        <w:ind w:left="660" w:firstLine="645"/>
        <w:spacing w:after="0" w:line="259" w:lineRule="auto"/>
        <w:tabs>
          <w:tab w:leader="none" w:pos="183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PATRIOT Act, etc</w:t>
      </w:r>
      <w:r>
        <w:rPr>
          <w:rFonts w:ascii="Arial" w:cs="Arial" w:eastAsia="Arial" w:hAnsi="Arial"/>
          <w:sz w:val="19"/>
          <w:szCs w:val="19"/>
          <w:color w:val="auto"/>
        </w:rPr>
        <w:t>. The Administrative Agent shall have received, at least five (5) Business Days prior to the Closing Date, all documentation and other information required by regulatory authorities under applicable “know your customer” and Anti-Money Laundering Laws, including, without limitation, the PATRIOT Act, requested at least ten (10) Business Days prior to the Closing Date. If the Borrower qualifies as a “legal entity customer” under the Beneficial Ownership Regulation, it shall have delivered to each Administrative Agent and any Lender requesting the same, a Beneficial Ownership Certification in relation to the Borrower, in each case at least five (5) Business Days prior to the Closing Date.</w:t>
      </w:r>
    </w:p>
    <w:p>
      <w:pPr>
        <w:spacing w:after="0" w:line="178" w:lineRule="exact"/>
        <w:rPr>
          <w:rFonts w:ascii="Arial" w:cs="Arial" w:eastAsia="Arial" w:hAnsi="Arial"/>
          <w:sz w:val="19"/>
          <w:szCs w:val="19"/>
          <w:color w:val="auto"/>
        </w:rPr>
      </w:pPr>
    </w:p>
    <w:p>
      <w:pPr>
        <w:ind w:left="660" w:firstLine="645"/>
        <w:spacing w:after="0" w:line="260" w:lineRule="auto"/>
        <w:tabs>
          <w:tab w:leader="none" w:pos="1788"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Investment Policy</w:t>
      </w:r>
      <w:r>
        <w:rPr>
          <w:rFonts w:ascii="Arial" w:cs="Arial" w:eastAsia="Arial" w:hAnsi="Arial"/>
          <w:sz w:val="20"/>
          <w:szCs w:val="20"/>
          <w:color w:val="auto"/>
        </w:rPr>
        <w:t>. The Administrative Agent shall have received a copy of the Borrower’s investment policy as in effect as of the Closing Date.</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32"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11.3(c)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6.1</w:t>
      </w:r>
      <w:r>
        <w:rPr>
          <w:rFonts w:ascii="Arial" w:cs="Arial" w:eastAsia="Arial" w:hAnsi="Arial"/>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Conditions to All Extensions of Credit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with respect to any Incremental Term Loan incurred to finance a Limited Condition Acquisition, the obligations of the Lenders to make or participate in any Extensions of Credit (including the initial Extension of Credit) and/or any Issuing Lender to issue or extend any Letter of Credit are subject to the satisfaction of the following conditions precedent on the relevant borrowing, issuance or extension date:</w:t>
      </w:r>
    </w:p>
    <w:p>
      <w:pPr>
        <w:spacing w:after="0" w:line="192" w:lineRule="exact"/>
        <w:rPr>
          <w:sz w:val="20"/>
          <w:szCs w:val="20"/>
          <w:color w:val="auto"/>
        </w:rPr>
      </w:pPr>
    </w:p>
    <w:p>
      <w:pPr>
        <w:jc w:val="both"/>
        <w:ind w:left="260" w:firstLine="639"/>
        <w:spacing w:after="0" w:line="274" w:lineRule="auto"/>
        <w:tabs>
          <w:tab w:leader="none" w:pos="132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spacing w:after="0" w:line="169" w:lineRule="exact"/>
        <w:rPr>
          <w:rFonts w:ascii="Arial" w:cs="Arial" w:eastAsia="Arial" w:hAnsi="Arial"/>
          <w:sz w:val="18"/>
          <w:szCs w:val="18"/>
          <w:color w:val="auto"/>
        </w:rPr>
      </w:pPr>
    </w:p>
    <w:p>
      <w:pPr>
        <w:ind w:left="260" w:firstLine="639"/>
        <w:spacing w:after="0" w:line="260" w:lineRule="auto"/>
        <w:tabs>
          <w:tab w:leader="none" w:pos="1386"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No Existing Default</w:t>
      </w:r>
      <w:r>
        <w:rPr>
          <w:rFonts w:ascii="Arial" w:cs="Arial" w:eastAsia="Arial" w:hAnsi="Arial"/>
          <w:sz w:val="20"/>
          <w:szCs w:val="20"/>
          <w:color w:val="auto"/>
        </w:rPr>
        <w:t>. No Default or Event of Default shall have occurred and be continuing (i) on the borrowing date with respect to such Loan or after giving effect to the Loans to be made on such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199" w:name="page200"/>
    <w:bookmarkEnd w:id="199"/>
    <w:p>
      <w:pPr>
        <w:ind w:left="260"/>
        <w:spacing w:after="0" w:line="260" w:lineRule="auto"/>
        <w:rPr>
          <w:sz w:val="20"/>
          <w:szCs w:val="20"/>
          <w:color w:val="auto"/>
        </w:rPr>
      </w:pPr>
      <w:r>
        <w:rPr>
          <w:rFonts w:ascii="Arial" w:cs="Arial" w:eastAsia="Arial" w:hAnsi="Arial"/>
          <w:sz w:val="20"/>
          <w:szCs w:val="20"/>
          <w:color w:val="auto"/>
        </w:rPr>
        <w:t>date or (ii) on the issuance or extension date with respect to such Letter of Credit or after giving effect to the issuance or extension of such Letter of Credit on such date.</w:t>
      </w:r>
    </w:p>
    <w:p>
      <w:pPr>
        <w:spacing w:after="0" w:line="177" w:lineRule="exact"/>
        <w:rPr>
          <w:sz w:val="20"/>
          <w:szCs w:val="20"/>
          <w:color w:val="auto"/>
        </w:rPr>
      </w:pPr>
    </w:p>
    <w:p>
      <w:pPr>
        <w:ind w:left="260" w:right="20" w:firstLine="639"/>
        <w:spacing w:after="0" w:line="260" w:lineRule="auto"/>
        <w:tabs>
          <w:tab w:leader="none" w:pos="1348"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The Administrative Agent shall have received a Notice of Borrowing or Letter of Credit Application, as applicable, from the Borrower in accordance with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3.2</w:t>
      </w:r>
      <w:r>
        <w:rPr>
          <w:rFonts w:ascii="Arial" w:cs="Arial" w:eastAsia="Arial" w:hAnsi="Arial"/>
          <w:sz w:val="20"/>
          <w:szCs w:val="20"/>
          <w:color w:val="auto"/>
        </w:rPr>
        <w:t>, as applicable.</w:t>
      </w:r>
    </w:p>
    <w:p>
      <w:pPr>
        <w:spacing w:after="0" w:line="176" w:lineRule="exact"/>
        <w:rPr>
          <w:rFonts w:ascii="Arial" w:cs="Arial" w:eastAsia="Arial" w:hAnsi="Arial"/>
          <w:sz w:val="20"/>
          <w:szCs w:val="20"/>
          <w:color w:val="auto"/>
        </w:rPr>
      </w:pPr>
    </w:p>
    <w:p>
      <w:pPr>
        <w:jc w:val="both"/>
        <w:ind w:left="260" w:firstLine="639"/>
        <w:spacing w:after="0" w:line="246" w:lineRule="auto"/>
        <w:tabs>
          <w:tab w:leader="none" w:pos="1359"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after giving effect thereto.</w:t>
      </w:r>
    </w:p>
    <w:p>
      <w:pPr>
        <w:spacing w:after="0" w:line="191" w:lineRule="exact"/>
        <w:rPr>
          <w:rFonts w:ascii="Arial" w:cs="Arial" w:eastAsia="Arial" w:hAnsi="Arial"/>
          <w:sz w:val="20"/>
          <w:szCs w:val="20"/>
          <w:color w:val="auto"/>
        </w:rPr>
      </w:pPr>
    </w:p>
    <w:p>
      <w:pPr>
        <w:jc w:val="both"/>
        <w:ind w:left="260" w:firstLine="639"/>
        <w:spacing w:after="0" w:line="260" w:lineRule="auto"/>
        <w:tabs>
          <w:tab w:leader="none" w:pos="1348"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Compliance with Specified Agreements</w:t>
      </w:r>
      <w:r>
        <w:rPr>
          <w:rFonts w:ascii="Arial" w:cs="Arial" w:eastAsia="Arial" w:hAnsi="Arial"/>
          <w:sz w:val="19"/>
          <w:szCs w:val="19"/>
          <w:color w:val="auto"/>
        </w:rPr>
        <w:t xml:space="preserve">. The Administrative Agent shall have received a certificate of a Responsible Officer of the Borrower certifying that the Borrower has deposited funds (excluding the proceeds of the Loan or Loans being requested) in accordance with the terms of the Specified Agreements (as applicable) in an amount not less than the amount of the next scheduled payment to be made by the Borrower under the applicable Specified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6.2(e)</w:t>
      </w:r>
      <w:r>
        <w:rPr>
          <w:rFonts w:ascii="Arial" w:cs="Arial" w:eastAsia="Arial" w:hAnsi="Arial"/>
          <w:sz w:val="19"/>
          <w:szCs w:val="19"/>
          <w:color w:val="auto"/>
        </w:rPr>
        <w:t xml:space="preserve"> shall only apply until the Liens created by the Specified Documents have been released and fully terminated.</w:t>
      </w:r>
    </w:p>
    <w:p>
      <w:pPr>
        <w:spacing w:after="0" w:line="18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 xml:space="preserve">Each Notice of Borrowing or Letter of Credit Application submitted by the Borrower shall be deemed to be a representation and warranty that the conditions specified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Extension of Credit.</w:t>
      </w:r>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OF THE CREDIT PARTIES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To induce the Administrative Agent and Lenders to enter into this Agreement and to induce the Lenders to make Extensions of Credit, the Borrower represents and warrants to the Administrative Agent and the Lenders, which representations and warranties shall be deemed made on the Closing Date and as otherwise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that: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xml:space="preserve">. The Borrower and each Subsidiary thereof (a) is duly organized, validly existing and in good standing under the laws of the jurisdiction of its incorporation or formation, (b) has all requisite corporate or other organizational power and authority to own its Properties and to carry on its business as now being conducted and (c) is qualified to do business, and is in good standing (to the extent such concept exists in the relevant jurisdiction, in each jurisdiction where its ownership, lease or operation of Properties or the conduct of its business requires such qualification) except in jurisdictions where the failure to be so qualified or in good standing could not reasonably be expected to result in a Material Adverse Effect. The jurisdictions in which such Credit Party and each Subsidiary thereof are organized as of the Closing Date are described on </w:t>
      </w:r>
      <w:r>
        <w:rPr>
          <w:rFonts w:ascii="Arial" w:cs="Arial" w:eastAsia="Arial" w:hAnsi="Arial"/>
          <w:sz w:val="18"/>
          <w:szCs w:val="18"/>
          <w:u w:val="single" w:color="auto"/>
          <w:color w:val="auto"/>
        </w:rPr>
        <w:t>Schedule 7.1</w:t>
      </w:r>
      <w:r>
        <w:rPr>
          <w:rFonts w:ascii="Arial" w:cs="Arial" w:eastAsia="Arial" w:hAnsi="Arial"/>
          <w:sz w:val="18"/>
          <w:szCs w:val="18"/>
          <w:color w:val="auto"/>
        </w:rPr>
        <w:t>. No Credit Party nor any Subsidiary thereof is an EEA Financial Institution.</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Ownership</w:t>
      </w:r>
      <w:r>
        <w:rPr>
          <w:rFonts w:ascii="Arial" w:cs="Arial" w:eastAsia="Arial" w:hAnsi="Arial"/>
          <w:sz w:val="20"/>
          <w:szCs w:val="20"/>
          <w:color w:val="auto"/>
        </w:rPr>
        <w:t xml:space="preserve">. As of the Closing Date, </w:t>
      </w:r>
      <w:r>
        <w:rPr>
          <w:rFonts w:ascii="Arial" w:cs="Arial" w:eastAsia="Arial" w:hAnsi="Arial"/>
          <w:sz w:val="20"/>
          <w:szCs w:val="20"/>
          <w:u w:val="single" w:color="auto"/>
          <w:color w:val="auto"/>
        </w:rPr>
        <w:t>Schedule 7.2</w:t>
      </w:r>
      <w:r>
        <w:rPr>
          <w:rFonts w:ascii="Arial" w:cs="Arial" w:eastAsia="Arial" w:hAnsi="Arial"/>
          <w:sz w:val="20"/>
          <w:szCs w:val="20"/>
          <w:color w:val="auto"/>
        </w:rPr>
        <w:t xml:space="preserve"> sets forth (a) the name and jurisdiction of organization or incorporation of the Borrower and each Subsidiary of the Borrower and type of entity of each such Subsidiary (b) the number of shares or other Equity Interests, authorized, issued and outstanding of each such Subsidiary and (c) the name of the record owners of such outstanding shares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0" w:name="page201"/>
    <w:bookmarkEnd w:id="200"/>
    <w:p>
      <w:pPr>
        <w:jc w:val="both"/>
        <w:spacing w:after="0" w:line="260" w:lineRule="auto"/>
        <w:rPr>
          <w:sz w:val="20"/>
          <w:szCs w:val="20"/>
          <w:color w:val="auto"/>
        </w:rPr>
      </w:pPr>
      <w:r>
        <w:rPr>
          <w:rFonts w:ascii="Arial" w:cs="Arial" w:eastAsia="Arial" w:hAnsi="Arial"/>
          <w:sz w:val="20"/>
          <w:szCs w:val="20"/>
          <w:color w:val="auto"/>
        </w:rPr>
        <w:t>other Equity Interests of each Subsidiary. As of the Closing Date, all such outstanding shares and other Equity Interests are duly authorized, validly issued, fully paid and non-assessable.</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Each Credit Party has all requisite corporate or other organizational power and has taken all necessary corporate or other organizational action to authorize the execution, delivery and performance of this Agreement and each of the other Loan Documents to which it is a party in accordance with their respective terms. This Agreement and each of the other Loan Documents to which such Credit Party is a party have been duly executed and delivered by such Credit Party, and each such document constitutes the legal, valid and binding obligation of such Credit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Compliance of Agreement, Loan Documents and Borrowing with Laws, Etc.</w:t>
      </w:r>
      <w:r>
        <w:rPr>
          <w:rFonts w:ascii="Arial" w:cs="Arial" w:eastAsia="Arial" w:hAnsi="Arial"/>
          <w:sz w:val="18"/>
          <w:szCs w:val="18"/>
          <w:color w:val="auto"/>
        </w:rPr>
        <w:t xml:space="preserve"> The execution, delivery and performance by each Credit Party of the Loan Documents to which it is a party, in accordance with their respective terms, the Extensions of Credit hereunder and the transactions contemplated hereby or thereby do not (a) require any Governmental Approval, except (i) such as have been obtained or made and are in full force and effect, (ii) for consents, filings and recordings necessary to perfect Liens created pursuant to the Loan Documents and (iii) where the failure to obtain such Governmental Approvals could not reasonably be expected to have a Material Adverse Effect, (b) violate any Applicable Law relating to such Credit Party, except where such violation could not reasonably be expected to have a Material Adverse Effect, (c) conflict with, result in a breach of or constitute a default under the articles of incorporation, bylaws or other Organizational Documents of such Credit Party or (d) conflict with, result in a breach of or constitute a default under any indenture, agreement or other instrument to which such Credit Party is a party or by which any of its properties are bound (excluding any indebtedness under the Existing Credit Agreement being repaid pursuant to </w:t>
      </w:r>
      <w:r>
        <w:rPr>
          <w:rFonts w:ascii="Arial" w:cs="Arial" w:eastAsia="Arial" w:hAnsi="Arial"/>
          <w:sz w:val="18"/>
          <w:szCs w:val="18"/>
          <w:u w:val="single" w:color="auto"/>
          <w:color w:val="auto"/>
        </w:rPr>
        <w:t>Section 6.1(e)(ii)</w:t>
      </w:r>
      <w:r>
        <w:rPr>
          <w:rFonts w:ascii="Arial" w:cs="Arial" w:eastAsia="Arial" w:hAnsi="Arial"/>
          <w:sz w:val="18"/>
          <w:szCs w:val="18"/>
          <w:color w:val="auto"/>
        </w:rPr>
        <w:t>), which could reasonably be expected to have a Material Adverse Effect.</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Borrower and each Subsidiary thereof is in compliance with Applicable Laws applicable to it or its Properties, except in each case where the failure to do so could not reasonably be expected to have a Material Adverse Effect.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Tax Returns and Payments</w:t>
      </w:r>
      <w:r>
        <w:rPr>
          <w:rFonts w:ascii="Arial" w:cs="Arial" w:eastAsia="Arial" w:hAnsi="Arial"/>
          <w:sz w:val="19"/>
          <w:szCs w:val="19"/>
          <w:color w:val="auto"/>
        </w:rPr>
        <w:t>. The Borrower and each Subsidiary thereof has timely filed or caused to be filed all Tax returns required by Applicable Law to have been filed, and has paid, or made adequate provision for the payment of, all Taxes upon it and its property, income, profits and assets that are due and payable, other than (a) Taxes (or any requirement to file Tax returns with respect thereto) that are being contested in good faith by appropriate proceedings and with respect to which reserves in conformity with GAAP have been provided for on the books of the Borrower or such Subsidiary or (b) to the extent that the failure to do so, individually or in the aggregate, could not reasonably be expected to result in a Material Adverse Effect.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 The Borrower and its Subsidiaries owns or is licensed or otherwise has the right to use all of the patents, copyrights, trademarks, service marks, trade names and other intellectual property rights that are required for the operation of its businesses as currently conducted by it, except to the extent that failure to hold such ownership, license or other right could not reasonably be expected to result in a Material Adverse Effect. To the Borrower’s knowledge, the use of such intellectual property by the Borrower and its Subsidiaries and the operation of its business do not infringe any valid and enforceable intellectual property rights of any other Person, except to the extent any such infringement could not, individually or in the aggregate, reasonably be expected to result in a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01" w:name="page202"/>
    <w:bookmarkEnd w:id="201"/>
    <w:p>
      <w:pPr>
        <w:spacing w:after="0" w:line="260" w:lineRule="auto"/>
        <w:rPr>
          <w:sz w:val="20"/>
          <w:szCs w:val="20"/>
          <w:color w:val="auto"/>
        </w:rPr>
      </w:pPr>
      <w:r>
        <w:rPr>
          <w:rFonts w:ascii="Arial" w:cs="Arial" w:eastAsia="Arial" w:hAnsi="Arial"/>
          <w:sz w:val="20"/>
          <w:szCs w:val="20"/>
          <w:color w:val="auto"/>
        </w:rPr>
        <w:t xml:space="preserve">Adverse Effect (it being understood that, except for </w:t>
      </w:r>
      <w:r>
        <w:rPr>
          <w:rFonts w:ascii="Arial" w:cs="Arial" w:eastAsia="Arial" w:hAnsi="Arial"/>
          <w:sz w:val="20"/>
          <w:szCs w:val="20"/>
          <w:u w:val="single" w:color="auto"/>
          <w:color w:val="auto"/>
        </w:rPr>
        <w:t>Section 7.15</w:t>
      </w:r>
      <w:r>
        <w:rPr>
          <w:rFonts w:ascii="Arial" w:cs="Arial" w:eastAsia="Arial" w:hAnsi="Arial"/>
          <w:sz w:val="20"/>
          <w:szCs w:val="20"/>
          <w:color w:val="auto"/>
        </w:rPr>
        <w:t>, this sentence constitutes the Borrower’s sole representation as to non-infringement of intellectual property).</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could not reasonably be expected, individually or in the aggregate, to have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200" w:lineRule="exact"/>
        <w:rPr>
          <w:sz w:val="20"/>
          <w:szCs w:val="20"/>
          <w:color w:val="auto"/>
        </w:rPr>
      </w:pPr>
    </w:p>
    <w:p>
      <w:pPr>
        <w:ind w:left="260" w:firstLine="639"/>
        <w:spacing w:after="0" w:line="260" w:lineRule="auto"/>
        <w:tabs>
          <w:tab w:leader="none" w:pos="147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Borrower and each Subsidiary thereof are, and to their knowledge have been, in compliance, with all applicable Environmental Laws;</w:t>
      </w:r>
    </w:p>
    <w:p>
      <w:pPr>
        <w:spacing w:after="0" w:line="176" w:lineRule="exact"/>
        <w:rPr>
          <w:rFonts w:ascii="Arial" w:cs="Arial" w:eastAsia="Arial" w:hAnsi="Arial"/>
          <w:sz w:val="20"/>
          <w:szCs w:val="20"/>
          <w:color w:val="auto"/>
        </w:rPr>
      </w:pPr>
    </w:p>
    <w:p>
      <w:pPr>
        <w:jc w:val="both"/>
        <w:ind w:left="260" w:firstLine="639"/>
        <w:spacing w:after="0" w:line="269" w:lineRule="auto"/>
        <w:tabs>
          <w:tab w:leader="none" w:pos="138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Neither the Borrower nor any Subsidiary thereof has received any unresolved written notice of violation, alleged violation, non-compliance, liability or potential liability regarding Hazardous Materials or Environmental Laws, nor does the Borrower or any Subsidiary thereof have knowledge or reason to believe that any such notice will be received or is being threatened;</w:t>
      </w:r>
    </w:p>
    <w:p>
      <w:pPr>
        <w:spacing w:after="0" w:line="170" w:lineRule="exact"/>
        <w:rPr>
          <w:rFonts w:ascii="Arial" w:cs="Arial" w:eastAsia="Arial" w:hAnsi="Arial"/>
          <w:sz w:val="19"/>
          <w:szCs w:val="19"/>
          <w:color w:val="auto"/>
        </w:rPr>
      </w:pPr>
    </w:p>
    <w:p>
      <w:pPr>
        <w:jc w:val="both"/>
        <w:ind w:left="260" w:firstLine="639"/>
        <w:spacing w:after="0" w:line="259" w:lineRule="auto"/>
        <w:tabs>
          <w:tab w:leader="none" w:pos="142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Hazardous Materials have not been transported or disposed of to or from the properties owned, or, to the knowledge of Borrower and each Subsidiary, leased or operated by the Borrower or any Subsidiary thereof in violation of Environmental Laws or in a manner or to an unpermitted location which could reasonably be expected to give rise to liability of the Borrower or such Subsidiary under Environmental Laws, nor, to the knowledge of Borrower and each Subsidiary, have any Hazardous Materials been generated, treated, stored or disposed of by the Borrower or any Subsidiary at, on or under any of such properties in violation of Environmental Laws, and in a manner that could reasonably be expected to give rise to liability under, any applicable Environmental Laws;</w:t>
      </w:r>
    </w:p>
    <w:p>
      <w:pPr>
        <w:spacing w:after="0" w:line="178" w:lineRule="exact"/>
        <w:rPr>
          <w:rFonts w:ascii="Arial" w:cs="Arial" w:eastAsia="Arial" w:hAnsi="Arial"/>
          <w:sz w:val="19"/>
          <w:szCs w:val="19"/>
          <w:color w:val="auto"/>
        </w:rPr>
      </w:pPr>
    </w:p>
    <w:p>
      <w:pPr>
        <w:jc w:val="both"/>
        <w:ind w:left="260" w:firstLine="639"/>
        <w:spacing w:after="0" w:line="250" w:lineRule="auto"/>
        <w:tabs>
          <w:tab w:leader="none" w:pos="145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No Environmental Claim is pending, or, to the knowledge of the Borrower and its Subsidiaries, threatened, against the Borrower or any of its Subsidiaries, or relating to any real property owned or, to the knowledge of Borrower and each Subsidiary, leased or operated by the Borrower or any Subsidiary; and</w:t>
      </w:r>
    </w:p>
    <w:p>
      <w:pPr>
        <w:spacing w:after="0" w:line="186" w:lineRule="exact"/>
        <w:rPr>
          <w:rFonts w:ascii="Arial" w:cs="Arial" w:eastAsia="Arial" w:hAnsi="Arial"/>
          <w:sz w:val="20"/>
          <w:szCs w:val="20"/>
          <w:color w:val="auto"/>
        </w:rPr>
      </w:pPr>
    </w:p>
    <w:p>
      <w:pPr>
        <w:jc w:val="both"/>
        <w:ind w:left="260" w:firstLine="639"/>
        <w:spacing w:after="0" w:line="246" w:lineRule="auto"/>
        <w:tabs>
          <w:tab w:leader="none" w:pos="1375"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There has been no release of Hazardous Materials at or from properties owned or, to the knowledge of Borrower and each Subsidiary, leased or operated by the Borrower or any Subsidiary as a result of the operations of the Borrower or its Subsidiaries, now or in the past, in violation of Environmental Laws and in amounts or in a manner that could reasonably be expected to give rise to liability under applicable Environmental Laws.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216" w:lineRule="exact"/>
        <w:rPr>
          <w:sz w:val="20"/>
          <w:szCs w:val="20"/>
          <w:color w:val="auto"/>
        </w:rPr>
      </w:pPr>
    </w:p>
    <w:p>
      <w:pPr>
        <w:ind w:left="260" w:firstLine="639"/>
        <w:spacing w:after="0" w:line="260" w:lineRule="auto"/>
        <w:tabs>
          <w:tab w:leader="none" w:pos="133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As of the Closing Date, no Credit Party nor any ERISA Affiliate maintains or contributes to, or has any obligation under, any Employee Benefit Plans other than those identified on </w:t>
      </w:r>
      <w:r>
        <w:rPr>
          <w:rFonts w:ascii="Arial" w:cs="Arial" w:eastAsia="Arial" w:hAnsi="Arial"/>
          <w:sz w:val="20"/>
          <w:szCs w:val="20"/>
          <w:u w:val="single" w:color="auto"/>
          <w:color w:val="auto"/>
        </w:rPr>
        <w:t>Schedule 7.9</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260" w:firstLine="639"/>
        <w:spacing w:after="0" w:line="257" w:lineRule="auto"/>
        <w:tabs>
          <w:tab w:leader="none" w:pos="141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2" w:name="page203"/>
    <w:bookmarkEnd w:id="202"/>
    <w:p>
      <w:pPr>
        <w:ind w:left="260" w:right="20"/>
        <w:spacing w:after="0" w:line="260" w:lineRule="auto"/>
        <w:rPr>
          <w:sz w:val="20"/>
          <w:szCs w:val="20"/>
          <w:color w:val="auto"/>
        </w:rPr>
      </w:pPr>
      <w:r>
        <w:rPr>
          <w:rFonts w:ascii="Arial" w:cs="Arial" w:eastAsia="Arial" w:hAnsi="Arial"/>
          <w:sz w:val="20"/>
          <w:szCs w:val="20"/>
          <w:color w:val="auto"/>
        </w:rPr>
        <w:t>with respect to any Employee Benefit Plan or any Multiemployer Plan except for a liability that could not reasonably be expected to have a Material Adverse Effect;</w:t>
      </w:r>
    </w:p>
    <w:p>
      <w:pPr>
        <w:spacing w:after="0" w:line="177" w:lineRule="exact"/>
        <w:rPr>
          <w:sz w:val="20"/>
          <w:szCs w:val="20"/>
          <w:color w:val="auto"/>
        </w:rPr>
      </w:pPr>
    </w:p>
    <w:p>
      <w:pPr>
        <w:jc w:val="both"/>
        <w:ind w:left="260" w:firstLine="639"/>
        <w:spacing w:after="0" w:line="259" w:lineRule="auto"/>
        <w:tabs>
          <w:tab w:leader="none" w:pos="132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As of the Closing Date, no Pension Plan has been terminated, nor has any Pension Plan become subject to funding based upon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w:t>
      </w:r>
    </w:p>
    <w:p>
      <w:pPr>
        <w:spacing w:after="0" w:line="178" w:lineRule="exact"/>
        <w:rPr>
          <w:rFonts w:ascii="Arial" w:cs="Arial" w:eastAsia="Arial" w:hAnsi="Arial"/>
          <w:sz w:val="19"/>
          <w:szCs w:val="19"/>
          <w:color w:val="auto"/>
        </w:rPr>
      </w:pPr>
    </w:p>
    <w:p>
      <w:pPr>
        <w:jc w:val="both"/>
        <w:ind w:left="260" w:firstLine="639"/>
        <w:spacing w:after="0" w:line="243" w:lineRule="auto"/>
        <w:tabs>
          <w:tab w:leader="none" w:pos="131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spacing w:after="0" w:line="196" w:lineRule="exact"/>
        <w:rPr>
          <w:rFonts w:ascii="Arial" w:cs="Arial" w:eastAsia="Arial" w:hAnsi="Arial"/>
          <w:sz w:val="20"/>
          <w:szCs w:val="20"/>
          <w:color w:val="auto"/>
        </w:rPr>
      </w:pPr>
    </w:p>
    <w:p>
      <w:pPr>
        <w:ind w:left="1300" w:hanging="401"/>
        <w:spacing w:after="0"/>
        <w:tabs>
          <w:tab w:leader="none" w:pos="13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 Termination Event has occurred or is reasonably expected to occur;</w:t>
      </w:r>
    </w:p>
    <w:p>
      <w:pPr>
        <w:spacing w:after="0" w:line="215" w:lineRule="exact"/>
        <w:rPr>
          <w:rFonts w:ascii="Arial" w:cs="Arial" w:eastAsia="Arial" w:hAnsi="Arial"/>
          <w:sz w:val="20"/>
          <w:szCs w:val="20"/>
          <w:color w:val="auto"/>
        </w:rPr>
      </w:pPr>
    </w:p>
    <w:p>
      <w:pPr>
        <w:jc w:val="both"/>
        <w:ind w:left="260" w:firstLine="639"/>
        <w:spacing w:after="0" w:line="244" w:lineRule="auto"/>
        <w:tabs>
          <w:tab w:leader="none" w:pos="12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its knowledge, threatened concerning or involving (i) any employee welfare benefit plan (as defined in Section 3(1) of ERISA) currently maintained or contributed to by any Credit Party or any ERISA Affiliate, (ii) any Pension Plan or (iii) any Multiemployer Plan.</w:t>
      </w:r>
    </w:p>
    <w:p>
      <w:pPr>
        <w:spacing w:after="0" w:line="194" w:lineRule="exact"/>
        <w:rPr>
          <w:rFonts w:ascii="Arial" w:cs="Arial" w:eastAsia="Arial" w:hAnsi="Arial"/>
          <w:sz w:val="20"/>
          <w:szCs w:val="20"/>
          <w:color w:val="auto"/>
        </w:rPr>
      </w:pPr>
    </w:p>
    <w:p>
      <w:pPr>
        <w:ind w:left="260" w:firstLine="639"/>
        <w:spacing w:after="0" w:line="316" w:lineRule="auto"/>
        <w:tabs>
          <w:tab w:leader="none" w:pos="13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the Closing Date the Borrower is not nor will be using “plan assets” (within the meaning of 29 CFR § 2510.3-101, as modified by Section 3(42) of ERISA) of one or more Benefit Plans in connection with the Loans, the Letters of Credit or the Commitments.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Margin Stock</w:t>
      </w:r>
      <w:r>
        <w:rPr>
          <w:rFonts w:ascii="Arial" w:cs="Arial" w:eastAsia="Arial" w:hAnsi="Arial"/>
          <w:sz w:val="20"/>
          <w:szCs w:val="20"/>
          <w:color w:val="auto"/>
        </w:rPr>
        <w:t>. Neither the Borrower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the provisions of Regulation T, U or X of such Board of Governors.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u w:val="single" w:color="auto"/>
          <w:color w:val="auto"/>
        </w:rPr>
        <w:t>Investment Company Act Status</w:t>
      </w:r>
      <w:r>
        <w:rPr>
          <w:rFonts w:ascii="Arial" w:cs="Arial" w:eastAsia="Arial" w:hAnsi="Arial"/>
          <w:sz w:val="20"/>
          <w:szCs w:val="20"/>
          <w:color w:val="auto"/>
        </w:rPr>
        <w:t>. Neither the Borrower nor any Subsidiary thereof is required to register as an “investment company” or a company “controlled” by an “investment company” (as each such term is defined or used in the Investment Company Act).</w:t>
      </w:r>
    </w:p>
    <w:p>
      <w:pPr>
        <w:spacing w:after="0" w:line="18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audited and unaudited financial statements delivered pursuant to </w:t>
      </w:r>
      <w:r>
        <w:rPr>
          <w:rFonts w:ascii="Arial" w:cs="Arial" w:eastAsia="Arial" w:hAnsi="Arial"/>
          <w:sz w:val="16"/>
          <w:szCs w:val="16"/>
          <w:u w:val="single" w:color="auto"/>
          <w:color w:val="auto"/>
        </w:rPr>
        <w:t>Section 6.1(d)(i)</w:t>
      </w:r>
      <w:r>
        <w:rPr>
          <w:rFonts w:ascii="Arial" w:cs="Arial" w:eastAsia="Arial" w:hAnsi="Arial"/>
          <w:sz w:val="16"/>
          <w:szCs w:val="16"/>
          <w:color w:val="auto"/>
        </w:rPr>
        <w:t xml:space="preserve"> fairly present in all material respects on a Consolidated basis the Consolidated financial position of the Borrower and its Subsidiaries as at such dates, and the Consolidated results of their operations and cash flows for the periods then ended (other than customary year-end and fiscal quarter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03" w:name="page204"/>
    <w:bookmarkEnd w:id="203"/>
    <w:p>
      <w:pPr>
        <w:jc w:val="both"/>
        <w:ind w:right="20"/>
        <w:spacing w:after="0" w:line="260" w:lineRule="auto"/>
        <w:rPr>
          <w:sz w:val="20"/>
          <w:szCs w:val="20"/>
          <w:color w:val="auto"/>
        </w:rPr>
      </w:pPr>
      <w:r>
        <w:rPr>
          <w:rFonts w:ascii="Arial" w:cs="Arial" w:eastAsia="Arial" w:hAnsi="Arial"/>
          <w:sz w:val="20"/>
          <w:szCs w:val="20"/>
          <w:color w:val="auto"/>
        </w:rPr>
        <w:t>adjustments for unaudited financial statements, the absence of footnotes from unaudited financial statements). All such financial statements have been prepared in accordance with GAAP.</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March 31, 2018, no event or condition has occurred that could reasonably be expected, either individually or in the aggregate, to have a Material Adverse Effect.</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7.14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The Borrower and its Subsidiaries, on a Consolidated basis, are Solvent.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7.15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Other than as set forth on </w:t>
      </w:r>
      <w:r>
        <w:rPr>
          <w:rFonts w:ascii="Arial" w:cs="Arial" w:eastAsia="Arial" w:hAnsi="Arial"/>
          <w:sz w:val="20"/>
          <w:szCs w:val="20"/>
          <w:u w:val="single" w:color="auto"/>
          <w:color w:val="auto"/>
        </w:rPr>
        <w:t>Schedule 7.15</w:t>
      </w:r>
      <w:r>
        <w:rPr>
          <w:rFonts w:ascii="Arial" w:cs="Arial" w:eastAsia="Arial" w:hAnsi="Arial"/>
          <w:sz w:val="20"/>
          <w:szCs w:val="20"/>
          <w:color w:val="auto"/>
        </w:rPr>
        <w:t>, there are no material actions, suits or proceedings pending nor, to its knowledge, threatened against or in any other way relating adversely to or affecting the Borrower or any Subsidiary thereof or any of their respective properties in any court or before any arbitrator of any kind or before or by any Governmental Authority that could reasonably be expected to have a Material Adverse Effect.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7.16</w:t>
      </w:r>
      <w:r>
        <w:rPr>
          <w:sz w:val="20"/>
          <w:szCs w:val="20"/>
          <w:color w:val="auto"/>
        </w:rPr>
        <w:tab/>
      </w: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0" w:lineRule="auto"/>
        <w:tabs>
          <w:tab w:leader="none" w:pos="1192" w:val="left"/>
        </w:tabs>
        <w:numPr>
          <w:ilvl w:val="0"/>
          <w:numId w:val="146"/>
        </w:numPr>
        <w:rPr>
          <w:rFonts w:ascii="Arial" w:cs="Arial" w:eastAsia="Arial" w:hAnsi="Arial"/>
          <w:sz w:val="20"/>
          <w:szCs w:val="20"/>
          <w:color w:val="auto"/>
        </w:rPr>
      </w:pPr>
      <w:r>
        <w:rPr>
          <w:rFonts w:ascii="Arial" w:cs="Arial" w:eastAsia="Arial" w:hAnsi="Arial"/>
          <w:sz w:val="20"/>
          <w:szCs w:val="20"/>
          <w:color w:val="auto"/>
        </w:rPr>
        <w:t>None of (i) the Borrower, any Subsidiary thereof, any of their respective directors, senior officers or, to the knowledge of the Borrower or such Subsidiary, any of their respective employees, or (ii) to the knowledge of the Borrower, any agent or representative of the Borrower or any Subsidiary that will act in any capacity in connection with or benefit from the Credit Facility, (A) is a Sanctioned Person or currently the subject or target of any Sanctions, (B) has its assets located in a Sanctioned Country, (C) to the knowledge of the Borrower, is under administrative, civil or criminal investigation for an alleged violation of, or has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(D) directly or, to the knowledge of the Borrower, indirectly derives revenues from investments in, or transactions with, Sanctioned Persons, except, in each of clauses (B) and (D), as permitted by applicable Sanctions or other Applicable Law related to Sanctions applicable to all the parties to this Agreement.</w:t>
      </w:r>
    </w:p>
    <w:p>
      <w:pPr>
        <w:spacing w:after="0" w:line="194" w:lineRule="exact"/>
        <w:rPr>
          <w:rFonts w:ascii="Arial" w:cs="Arial" w:eastAsia="Arial" w:hAnsi="Arial"/>
          <w:sz w:val="20"/>
          <w:szCs w:val="20"/>
          <w:color w:val="auto"/>
        </w:rPr>
      </w:pPr>
    </w:p>
    <w:p>
      <w:pPr>
        <w:jc w:val="both"/>
        <w:ind w:firstLine="656"/>
        <w:spacing w:after="0" w:line="299" w:lineRule="auto"/>
        <w:tabs>
          <w:tab w:leader="none" w:pos="120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Each of the Borrower and its Subsidiaries has implemented and maintains in effect policies and procedures designed to promote and achieve compliance by the Borrower and its Subsidiaries and their respective directors, officers, employees, agents and Affiliates with all Anti-Corruption Laws, Anti-Money Laundering Laws and Sanctions applicable to the Borrower and its Subsidiaries.</w:t>
      </w:r>
    </w:p>
    <w:p>
      <w:pPr>
        <w:spacing w:after="0" w:line="169" w:lineRule="exact"/>
        <w:rPr>
          <w:rFonts w:ascii="Arial" w:cs="Arial" w:eastAsia="Arial" w:hAnsi="Arial"/>
          <w:sz w:val="19"/>
          <w:szCs w:val="19"/>
          <w:color w:val="auto"/>
        </w:rPr>
      </w:pPr>
    </w:p>
    <w:p>
      <w:pPr>
        <w:jc w:val="both"/>
        <w:ind w:firstLine="656"/>
        <w:spacing w:after="0" w:line="278" w:lineRule="auto"/>
        <w:tabs>
          <w:tab w:leader="none" w:pos="1192" w:val="left"/>
        </w:tabs>
        <w:numPr>
          <w:ilvl w:val="0"/>
          <w:numId w:val="146"/>
        </w:numPr>
        <w:rPr>
          <w:rFonts w:ascii="Arial" w:cs="Arial" w:eastAsia="Arial" w:hAnsi="Arial"/>
          <w:sz w:val="20"/>
          <w:szCs w:val="20"/>
          <w:color w:val="auto"/>
        </w:rPr>
      </w:pPr>
      <w:r>
        <w:rPr>
          <w:rFonts w:ascii="Arial" w:cs="Arial" w:eastAsia="Arial" w:hAnsi="Arial"/>
          <w:sz w:val="20"/>
          <w:szCs w:val="20"/>
          <w:color w:val="auto"/>
        </w:rPr>
        <w:t>Each of the Borrower and its Subsidiaries, and to the knowledge of Borrower or any such Subsidiary, each of their respective directors, officers and employees, is in compliance in all material respects with all Anti-Corruption Laws, Anti-Money Laundering Laws and Sanctions applicable to the Borrower and its Subsidiaries.</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20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No proceeds of any Extension of Credit have been used, directly or, to the Borrower’s knowledge, indirectly, by the Borrower, any of its Subsidiaries or, to the Borrower’s knowledge, any of its or their respective directors, officers, employees and agents in violation of </w:t>
      </w:r>
      <w:r>
        <w:rPr>
          <w:rFonts w:ascii="Arial" w:cs="Arial" w:eastAsia="Arial" w:hAnsi="Arial"/>
          <w:sz w:val="20"/>
          <w:szCs w:val="20"/>
          <w:u w:val="single" w:color="auto"/>
          <w:color w:val="auto"/>
        </w:rPr>
        <w:t>Section 8.13(b)</w:t>
      </w:r>
      <w:r>
        <w:rPr>
          <w:rFonts w:ascii="Arial" w:cs="Arial" w:eastAsia="Arial" w:hAnsi="Arial"/>
          <w:sz w:val="20"/>
          <w:szCs w:val="20"/>
          <w:color w:val="auto"/>
        </w:rPr>
        <w:t>.</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u w:val="single" w:color="auto"/>
          <w:color w:val="auto"/>
        </w:rPr>
        <w:t>Disclosure</w:t>
      </w:r>
      <w:r>
        <w:rPr>
          <w:rFonts w:ascii="Arial" w:cs="Arial" w:eastAsia="Arial" w:hAnsi="Arial"/>
          <w:sz w:val="19"/>
          <w:szCs w:val="19"/>
          <w:color w:val="auto"/>
        </w:rPr>
        <w:t>. No financial statement, material report, material certificate or other material written information (other than Projections and information of a general economic or industry-specific nature) furnished by or on behalf of the Borrower or any Subsidiary thereof to the Administrative Agent or any Lender in connection with the transactions contemplated hereby and the negotiation of this Agreement or delivered hereunder (as modified or supplemented by other information so furnished), when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04" w:name="page205"/>
    <w:bookmarkEnd w:id="204"/>
    <w:p>
      <w:pPr>
        <w:jc w:val="both"/>
        <w:spacing w:after="0" w:line="259" w:lineRule="auto"/>
        <w:rPr>
          <w:sz w:val="20"/>
          <w:szCs w:val="20"/>
          <w:color w:val="auto"/>
        </w:rPr>
      </w:pPr>
      <w:r>
        <w:rPr>
          <w:rFonts w:ascii="Arial" w:cs="Arial" w:eastAsia="Arial" w:hAnsi="Arial"/>
          <w:sz w:val="19"/>
          <w:szCs w:val="19"/>
          <w:color w:val="auto"/>
        </w:rPr>
        <w:t>taken together as a whole, contained any untrue statement of a material fact or omitted to state any material fact necessary to make the statements therein, in the light of the circumstances under which they were made, not misleading. The Projections were prepared in good faith on the basis of the assumptions believed by the Borrower to be reasonable at the time delivered to the Administrative Agent, it being understood that (a) actual results may vary materially from the Projections, (b) the Projections are subject to significant uncertainties and contingencies, many of which are beyond the control of the Borrower and its Subsidiaries, (c) the Projections are not to be viewed as facts, and (d) no assurance can be given that the Projections will be realized.</w:t>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Borrower will and will cause each of its Subsidiaries to:</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Financial Statements and Budgets</w:t>
      </w:r>
      <w:r>
        <w:rPr>
          <w:rFonts w:ascii="Arial" w:cs="Arial" w:eastAsia="Arial" w:hAnsi="Arial"/>
          <w:sz w:val="18"/>
          <w:szCs w:val="18"/>
          <w:color w:val="auto"/>
        </w:rPr>
        <w:t>. Deliver to the Administrative Agent, in form and detail reasonably satisfactory to the Administrative Agent (which shall promptly make such information available to the Lenders in accordance with its customary practice):</w:t>
      </w:r>
    </w:p>
    <w:p>
      <w:pPr>
        <w:spacing w:after="0" w:line="130" w:lineRule="exact"/>
        <w:rPr>
          <w:sz w:val="20"/>
          <w:szCs w:val="20"/>
          <w:color w:val="auto"/>
        </w:rPr>
      </w:pPr>
    </w:p>
    <w:p>
      <w:pPr>
        <w:jc w:val="both"/>
        <w:ind w:left="260" w:firstLine="639"/>
        <w:spacing w:after="0" w:line="271" w:lineRule="auto"/>
        <w:tabs>
          <w:tab w:leader="none" w:pos="1321"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practicable and in any event within ninety (90) days after the end of each Fiscal Year (commencing with the Fiscal Year ended March 31, 2019), an audited Consolidated balance sheet of the Borrower and its Subsidiaries as of the close of such Fiscal Year, and audited Consolidated statements of income, retained earnings and cash flows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reasonably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Borrower or any of its Subsidiaries not in accordance with GAAP.</w:t>
      </w:r>
    </w:p>
    <w:p>
      <w:pPr>
        <w:spacing w:after="0" w:line="174" w:lineRule="exact"/>
        <w:rPr>
          <w:rFonts w:ascii="Arial" w:cs="Arial" w:eastAsia="Arial" w:hAnsi="Arial"/>
          <w:sz w:val="18"/>
          <w:szCs w:val="18"/>
          <w:color w:val="auto"/>
        </w:rPr>
      </w:pPr>
    </w:p>
    <w:p>
      <w:pPr>
        <w:jc w:val="both"/>
        <w:ind w:left="260" w:firstLine="639"/>
        <w:spacing w:after="0" w:line="310" w:lineRule="auto"/>
        <w:tabs>
          <w:tab w:leader="none" w:pos="131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practicable and in any event within forty-five (45) days (or, if earlier, on the date of any required public filing thereof) after the end of the first three fiscal quarters of each Fiscal Year (commencing with the fiscal quarter ended June 30, 2019), an unaudited Consolidated balance sheet of the Borrower and its Subsidiaries as of the close of such fiscal quarter and unaudited Consolidated and consolidating statements of income, retained earnings and cash flows and a report containing management’s discussion and analysis of the Borrower’s material quarterly operating results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5" w:name="page206"/>
    <w:bookmarkEnd w:id="205"/>
    <w:p>
      <w:pPr>
        <w:jc w:val="both"/>
        <w:ind w:left="260"/>
        <w:spacing w:after="0" w:line="250" w:lineRule="auto"/>
        <w:rPr>
          <w:sz w:val="20"/>
          <w:szCs w:val="20"/>
          <w:color w:val="auto"/>
        </w:rPr>
      </w:pPr>
      <w:r>
        <w:rPr>
          <w:rFonts w:ascii="Arial" w:cs="Arial" w:eastAsia="Arial" w:hAnsi="Arial"/>
          <w:sz w:val="20"/>
          <w:szCs w:val="20"/>
          <w:color w:val="auto"/>
        </w:rPr>
        <w:t>the financial condition of the Borrower and its Subsidiaries on a Consolidated basis as of their respective dates and the results of operations of the Borrower and its Subsidiaries for the respective periods then ended, subject to normal year-end adjustments and the absence of footnotes.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Certificates; Other Reports</w:t>
      </w:r>
      <w:r>
        <w:rPr>
          <w:rFonts w:ascii="Arial" w:cs="Arial" w:eastAsia="Arial" w:hAnsi="Arial"/>
          <w:sz w:val="20"/>
          <w:szCs w:val="20"/>
          <w:color w:val="auto"/>
        </w:rPr>
        <w:t>. Deliver to the Administrative Agent (which shall promptly make such information available to the Lenders in accordance with its customary practice):</w:t>
      </w:r>
    </w:p>
    <w:p>
      <w:pPr>
        <w:spacing w:after="0" w:line="177" w:lineRule="exact"/>
        <w:rPr>
          <w:sz w:val="20"/>
          <w:szCs w:val="20"/>
          <w:color w:val="auto"/>
        </w:rPr>
      </w:pPr>
    </w:p>
    <w:p>
      <w:pPr>
        <w:jc w:val="both"/>
        <w:ind w:left="260" w:firstLine="639"/>
        <w:spacing w:after="0" w:line="306" w:lineRule="auto"/>
        <w:tabs>
          <w:tab w:leader="none" w:pos="130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at each time financial statements are delivered pursuant to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that, among other things, (i) states that no Default or Event of Default is continuing as of the date of delivery of such Compliance Certificate or, if a Default or Event of Default is continuing, states the nature thereof and the action that the Borrower proposes to take with respect thereto,</w:t>
      </w:r>
    </w:p>
    <w:p>
      <w:pPr>
        <w:spacing w:after="0" w:line="1" w:lineRule="exact"/>
        <w:rPr>
          <w:rFonts w:ascii="Arial" w:cs="Arial" w:eastAsia="Arial" w:hAnsi="Arial"/>
          <w:sz w:val="16"/>
          <w:szCs w:val="16"/>
          <w:color w:val="auto"/>
        </w:rPr>
      </w:pPr>
    </w:p>
    <w:p>
      <w:pPr>
        <w:jc w:val="both"/>
        <w:ind w:left="260" w:hanging="9"/>
        <w:spacing w:after="0"/>
        <w:tabs>
          <w:tab w:leader="none" w:pos="56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demonstrates compliance with the financial covenants set forth in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as of the last day of the applicable Measurement Period ending on the last day of the Measurement Period covered by such financial statements, together with a report containing management’s discussion and analysis of the Borrower’s material quarterly and annual operating results, as applicable and (iii) solely with respect to the financial statements delivered 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a certification of the Consolidated total revenue and Consolidated Total Assets attributable to Immaterial Subsidiaries;</w:t>
      </w:r>
    </w:p>
    <w:p>
      <w:pPr>
        <w:spacing w:after="0" w:line="198" w:lineRule="exact"/>
        <w:rPr>
          <w:rFonts w:ascii="Arial" w:cs="Arial" w:eastAsia="Arial" w:hAnsi="Arial"/>
          <w:sz w:val="20"/>
          <w:szCs w:val="20"/>
          <w:color w:val="auto"/>
        </w:rPr>
      </w:pPr>
    </w:p>
    <w:p>
      <w:pPr>
        <w:jc w:val="both"/>
        <w:ind w:left="260" w:firstLine="639"/>
        <w:spacing w:after="0" w:line="250" w:lineRule="auto"/>
        <w:tabs>
          <w:tab w:leader="none" w:pos="131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promptly upon receipt thereof, copies of all material reports, if any, submitted to the Borrower, any Subsidiary thereof or any of their respective boards of directors by their respective independent public accountants in connection with their auditing function, including any management report and any management responses thereto;</w:t>
      </w:r>
    </w:p>
    <w:p>
      <w:pPr>
        <w:spacing w:after="0" w:line="186" w:lineRule="exact"/>
        <w:rPr>
          <w:rFonts w:ascii="Arial" w:cs="Arial" w:eastAsia="Arial" w:hAnsi="Arial"/>
          <w:sz w:val="20"/>
          <w:szCs w:val="20"/>
          <w:color w:val="auto"/>
        </w:rPr>
      </w:pPr>
    </w:p>
    <w:p>
      <w:pPr>
        <w:jc w:val="both"/>
        <w:ind w:left="260" w:firstLine="639"/>
        <w:spacing w:after="0" w:line="244" w:lineRule="auto"/>
        <w:tabs>
          <w:tab w:leader="none" w:pos="1375" w:val="left"/>
        </w:tabs>
        <w:numPr>
          <w:ilvl w:val="1"/>
          <w:numId w:val="149"/>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material report or communication sent to the stockholders of the Borrower, and copies of all annual, regular, periodic and special reports and registration statements (other than amendments to any registration statement (to the extent such registration statement, in the form it becomes effective, is delivered to the Administrative Agent)) which the Borrower may file or be required to file with the SEC under Section 13 or 15(d) of the Exchange Act;</w:t>
      </w:r>
    </w:p>
    <w:p>
      <w:pPr>
        <w:spacing w:after="0" w:line="194" w:lineRule="exact"/>
        <w:rPr>
          <w:rFonts w:ascii="Arial" w:cs="Arial" w:eastAsia="Arial" w:hAnsi="Arial"/>
          <w:sz w:val="20"/>
          <w:szCs w:val="20"/>
          <w:color w:val="auto"/>
        </w:rPr>
      </w:pPr>
    </w:p>
    <w:p>
      <w:pPr>
        <w:ind w:left="260" w:firstLine="639"/>
        <w:spacing w:after="0" w:line="316" w:lineRule="auto"/>
        <w:tabs>
          <w:tab w:leader="none" w:pos="133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the Borrower or any Subsidiary thereof with any Environmental Law that could reasonably be expected to have a Material Adverse Effect;</w:t>
      </w:r>
    </w:p>
    <w:p>
      <w:pPr>
        <w:spacing w:after="0" w:line="130" w:lineRule="exact"/>
        <w:rPr>
          <w:rFonts w:ascii="Arial" w:cs="Arial" w:eastAsia="Arial" w:hAnsi="Arial"/>
          <w:sz w:val="18"/>
          <w:szCs w:val="18"/>
          <w:color w:val="auto"/>
        </w:rPr>
      </w:pPr>
    </w:p>
    <w:p>
      <w:pPr>
        <w:jc w:val="both"/>
        <w:ind w:left="260" w:firstLine="639"/>
        <w:spacing w:after="0" w:line="250" w:lineRule="auto"/>
        <w:tabs>
          <w:tab w:leader="none" w:pos="1375" w:val="left"/>
        </w:tabs>
        <w:numPr>
          <w:ilvl w:val="1"/>
          <w:numId w:val="149"/>
        </w:numPr>
        <w:rPr>
          <w:rFonts w:ascii="Arial" w:cs="Arial" w:eastAsia="Arial" w:hAnsi="Arial"/>
          <w:sz w:val="20"/>
          <w:szCs w:val="20"/>
          <w:color w:val="auto"/>
        </w:rPr>
      </w:pPr>
      <w:r>
        <w:rPr>
          <w:rFonts w:ascii="Arial" w:cs="Arial" w:eastAsia="Arial" w:hAnsi="Arial"/>
          <w:sz w:val="20"/>
          <w:szCs w:val="20"/>
          <w:color w:val="auto"/>
        </w:rPr>
        <w:t>promptly upon the request thereof, such other information and documentation required by bank regulatory authorities under applicable Anti-Money Laundering Laws (including any applicable “know your customer” rules and regulations and the PATRIOT Act), as from time to time reasonably requested by the Administrative Agent or any Lender;</w:t>
      </w:r>
    </w:p>
    <w:p>
      <w:pPr>
        <w:spacing w:after="0" w:line="186" w:lineRule="exact"/>
        <w:rPr>
          <w:rFonts w:ascii="Arial" w:cs="Arial" w:eastAsia="Arial" w:hAnsi="Arial"/>
          <w:sz w:val="20"/>
          <w:szCs w:val="20"/>
          <w:color w:val="auto"/>
        </w:rPr>
      </w:pPr>
    </w:p>
    <w:p>
      <w:pPr>
        <w:ind w:left="260" w:firstLine="639"/>
        <w:spacing w:after="0" w:line="260" w:lineRule="auto"/>
        <w:tabs>
          <w:tab w:leader="none" w:pos="1367" w:val="left"/>
        </w:tabs>
        <w:numPr>
          <w:ilvl w:val="1"/>
          <w:numId w:val="149"/>
        </w:numPr>
        <w:rPr>
          <w:rFonts w:ascii="Arial" w:cs="Arial" w:eastAsia="Arial" w:hAnsi="Arial"/>
          <w:sz w:val="20"/>
          <w:szCs w:val="20"/>
          <w:color w:val="auto"/>
        </w:rPr>
      </w:pPr>
      <w:r>
        <w:rPr>
          <w:rFonts w:ascii="Arial" w:cs="Arial" w:eastAsia="Arial" w:hAnsi="Arial"/>
          <w:sz w:val="20"/>
          <w:szCs w:val="20"/>
          <w:color w:val="auto"/>
        </w:rPr>
        <w:t>such other information regarding the operations, business affairs and financial condition of the Borrower or any Subsidiary thereof as the Administrative Agent or any Lender may reasonably request; and</w:t>
      </w:r>
    </w:p>
    <w:p>
      <w:pPr>
        <w:spacing w:after="0" w:line="176" w:lineRule="exact"/>
        <w:rPr>
          <w:rFonts w:ascii="Arial" w:cs="Arial" w:eastAsia="Arial" w:hAnsi="Arial"/>
          <w:sz w:val="20"/>
          <w:szCs w:val="20"/>
          <w:color w:val="auto"/>
        </w:rPr>
      </w:pPr>
    </w:p>
    <w:p>
      <w:pPr>
        <w:jc w:val="both"/>
        <w:ind w:left="260" w:firstLine="639"/>
        <w:spacing w:after="0" w:line="246" w:lineRule="auto"/>
        <w:tabs>
          <w:tab w:leader="none" w:pos="135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no later than the 5th day after the end of each calendar month (or if such day is not a Business Day, then on the immediately succeeding Business Day), a detailed report in form and detail reasonably satisfactory to the Administrative Agent regarding the Unrestricted Cash and Cash Equivalents held by the Credit Parties as of such month end, including the owner of the applicable account, balance and location of account.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6" w:name="page207"/>
    <w:bookmarkEnd w:id="206"/>
    <w:p>
      <w:pPr>
        <w:jc w:val="both"/>
        <w:spacing w:after="0" w:line="26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(solely with respect to the requirement to provide a report containing management’s discussion and analysis of the Borrower’s material quarterly and annual operating results, as applicable) or </w:t>
      </w:r>
      <w:r>
        <w:rPr>
          <w:rFonts w:ascii="Arial" w:cs="Arial" w:eastAsia="Arial" w:hAnsi="Arial"/>
          <w:sz w:val="18"/>
          <w:szCs w:val="18"/>
          <w:u w:val="single" w:color="auto"/>
          <w:color w:val="auto"/>
        </w:rPr>
        <w:t>8.2(c)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to the extent requested,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of such documents. Notwithstanding anything contained herein, in every instance the Borrower shall be required to provide paper copies of the Compliance Certificates required by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Borrower hereby acknowledges that (a) the Administrative Agent and/or the Arrangers will make available to the Lenders and the Issuing Lender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the Platform and (b) certain of the Lenders may be “public-side” Lenders (i.e., Lenders that do not wish to receive material non-public information with respect to the Borrower or its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Arrangers, the Issuing Lender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12.10</w:t>
      </w:r>
      <w:r>
        <w:rPr>
          <w:rFonts w:ascii="Arial" w:cs="Arial" w:eastAsia="Arial" w:hAnsi="Arial"/>
          <w:sz w:val="18"/>
          <w:szCs w:val="18"/>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Notice of Litigation and Other Matters</w:t>
      </w:r>
      <w:r>
        <w:rPr>
          <w:rFonts w:ascii="Arial" w:cs="Arial" w:eastAsia="Arial" w:hAnsi="Arial"/>
          <w:sz w:val="20"/>
          <w:szCs w:val="20"/>
          <w:color w:val="auto"/>
        </w:rPr>
        <w:t>. Promptly (but in no event later than ten (10) days after any Responsible Officer of the Borrower obtains knowledge thereof) notify the Administrative Agent in writing of (which shall promptly make such information available to the Lenders in accordance with its customary practice):</w:t>
      </w:r>
    </w:p>
    <w:p>
      <w:pPr>
        <w:spacing w:after="0" w:line="186" w:lineRule="exact"/>
        <w:rPr>
          <w:sz w:val="20"/>
          <w:szCs w:val="20"/>
          <w:color w:val="auto"/>
        </w:rPr>
      </w:pPr>
    </w:p>
    <w:p>
      <w:pPr>
        <w:ind w:left="1300" w:hanging="401"/>
        <w:spacing w:after="0"/>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15" w:lineRule="exact"/>
        <w:rPr>
          <w:rFonts w:ascii="Arial" w:cs="Arial" w:eastAsia="Arial" w:hAnsi="Arial"/>
          <w:sz w:val="20"/>
          <w:szCs w:val="20"/>
          <w:color w:val="auto"/>
        </w:rPr>
      </w:pPr>
    </w:p>
    <w:p>
      <w:pPr>
        <w:ind w:left="260" w:firstLine="639"/>
        <w:spacing w:after="0" w:line="260" w:lineRule="auto"/>
        <w:tabs>
          <w:tab w:leader="none" w:pos="145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commencement of all proceedings and investigations by or before any Governmental Authority and all actions and proceedings in any court or before any arbitrator against or involving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7" w:name="page208"/>
    <w:bookmarkEnd w:id="207"/>
    <w:p>
      <w:pPr>
        <w:ind w:left="260"/>
        <w:spacing w:after="0" w:line="260" w:lineRule="auto"/>
        <w:rPr>
          <w:sz w:val="20"/>
          <w:szCs w:val="20"/>
          <w:color w:val="auto"/>
        </w:rPr>
      </w:pPr>
      <w:r>
        <w:rPr>
          <w:rFonts w:ascii="Arial" w:cs="Arial" w:eastAsia="Arial" w:hAnsi="Arial"/>
          <w:sz w:val="20"/>
          <w:szCs w:val="20"/>
          <w:color w:val="auto"/>
        </w:rPr>
        <w:t>Borrower or any Subsidiary thereof or any of their respective properties, assets or businesses in each case that could reasonably be expected to result in a Material Adverse Effect;</w:t>
      </w:r>
    </w:p>
    <w:p>
      <w:pPr>
        <w:spacing w:after="0" w:line="177" w:lineRule="exact"/>
        <w:rPr>
          <w:sz w:val="20"/>
          <w:szCs w:val="20"/>
          <w:color w:val="auto"/>
        </w:rPr>
      </w:pPr>
    </w:p>
    <w:p>
      <w:pPr>
        <w:ind w:left="260" w:right="20" w:firstLine="639"/>
        <w:spacing w:after="0" w:line="316" w:lineRule="auto"/>
        <w:tabs>
          <w:tab w:leader="none" w:pos="13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notice of any violation received by the Borrower or any Subsidiary thereof from any Governmental Authority including any notice of violation of Environmental Laws which in any such case could reasonably be expected to have a Material Adverse Effect;</w:t>
      </w:r>
    </w:p>
    <w:p>
      <w:pPr>
        <w:spacing w:after="0" w:line="130" w:lineRule="exact"/>
        <w:rPr>
          <w:rFonts w:ascii="Arial" w:cs="Arial" w:eastAsia="Arial" w:hAnsi="Arial"/>
          <w:sz w:val="18"/>
          <w:szCs w:val="18"/>
          <w:color w:val="auto"/>
        </w:rPr>
      </w:pPr>
    </w:p>
    <w:p>
      <w:pPr>
        <w:ind w:left="260" w:firstLine="639"/>
        <w:spacing w:after="0" w:line="287" w:lineRule="auto"/>
        <w:tabs>
          <w:tab w:leader="none" w:pos="135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labor controversy that has resulted in, or threatens to result in, a strike or other work action against the Borrower or any Subsidiary thereof which in any such case could reasonably be expected to have a Material Adverse Effect; and</w:t>
      </w:r>
    </w:p>
    <w:p>
      <w:pPr>
        <w:spacing w:after="0" w:line="152" w:lineRule="exact"/>
        <w:rPr>
          <w:rFonts w:ascii="Arial" w:cs="Arial" w:eastAsia="Arial" w:hAnsi="Arial"/>
          <w:sz w:val="19"/>
          <w:szCs w:val="19"/>
          <w:color w:val="auto"/>
        </w:rPr>
      </w:pPr>
    </w:p>
    <w:p>
      <w:pPr>
        <w:jc w:val="both"/>
        <w:ind w:left="260" w:firstLine="639"/>
        <w:spacing w:after="0" w:line="269" w:lineRule="auto"/>
        <w:tabs>
          <w:tab w:leader="none" w:pos="148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 obtaining knowledge or reason to know that any Credit Party or any ERISA Affiliate has filed or intends to file a notice of intent to terminate any Pension Plan under a distress termination within the meaning of Section 4041(c) of</w:t>
      </w:r>
    </w:p>
    <w:p>
      <w:pPr>
        <w:spacing w:after="0" w:line="1"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20"/>
          <w:szCs w:val="20"/>
          <w:color w:val="auto"/>
        </w:rPr>
        <w:t>ERISA.</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shall describe the provisions of this Agreement and any other Loan Document that have been breached.</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Preservation of Corporate Existence and Related Matters</w:t>
      </w:r>
      <w:r>
        <w:rPr>
          <w:rFonts w:ascii="Arial" w:cs="Arial" w:eastAsia="Arial" w:hAnsi="Arial"/>
          <w:sz w:val="20"/>
          <w:szCs w:val="20"/>
          <w:color w:val="auto"/>
        </w:rPr>
        <w:t xml:space="preserve">. Except as permitted by </w:t>
      </w:r>
      <w:r>
        <w:rPr>
          <w:rFonts w:ascii="Arial" w:cs="Arial" w:eastAsia="Arial" w:hAnsi="Arial"/>
          <w:sz w:val="20"/>
          <w:szCs w:val="20"/>
          <w:u w:val="single" w:color="auto"/>
          <w:color w:val="auto"/>
        </w:rPr>
        <w:t>Section 9.4</w:t>
      </w:r>
      <w:r>
        <w:rPr>
          <w:rFonts w:ascii="Arial" w:cs="Arial" w:eastAsia="Arial" w:hAnsi="Arial"/>
          <w:sz w:val="20"/>
          <w:szCs w:val="20"/>
          <w:color w:val="auto"/>
        </w:rPr>
        <w:t>, preserve and maintain its separate corporate existence or equivalent form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76" w:lineRule="auto"/>
        <w:tabs>
          <w:tab w:leader="none" w:pos="132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Protect and preserve all Properties necessary in and material to its business, including copyrights, patents, trade names, service marks and trademarks; maintain (or use commercially reasonable efforts to cause any landlord to maintain) in good working order and condition, ordinary wear and tear, casualty and condemnation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65" w:lineRule="exact"/>
        <w:rPr>
          <w:rFonts w:ascii="Arial" w:cs="Arial" w:eastAsia="Arial" w:hAnsi="Arial"/>
          <w:sz w:val="18"/>
          <w:szCs w:val="18"/>
          <w:color w:val="auto"/>
        </w:rPr>
      </w:pPr>
    </w:p>
    <w:p>
      <w:pPr>
        <w:jc w:val="both"/>
        <w:ind w:left="260" w:right="20" w:firstLine="639"/>
        <w:spacing w:after="0" w:line="250" w:lineRule="auto"/>
        <w:tabs>
          <w:tab w:leader="none" w:pos="135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Take all reasonable actions to maintain, in full force and effect in all material respects, all Governmental Approvals required for each of them to the normal conduct their respective businesses, except where the failure to do so could not reasonably be expected to have a Material Adverse Effect.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Insurance</w:t>
      </w:r>
      <w:r>
        <w:rPr>
          <w:rFonts w:ascii="Arial" w:cs="Arial" w:eastAsia="Arial" w:hAnsi="Arial"/>
          <w:sz w:val="20"/>
          <w:szCs w:val="20"/>
          <w:color w:val="auto"/>
        </w:rPr>
        <w:t>. Maintain insurance with financially sound and reputable insurance companies against at least such risks and in at least such amounts as are customarily maintained by similar businesses and as may be required by Applicable Law. On the Closing Date and from time to time thereafter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08" w:name="page209"/>
    <w:bookmarkEnd w:id="208"/>
    <w:p>
      <w:pPr>
        <w:jc w:val="both"/>
        <w:ind w:right="20"/>
        <w:spacing w:after="0" w:line="250" w:lineRule="auto"/>
        <w:rPr>
          <w:sz w:val="20"/>
          <w:szCs w:val="20"/>
          <w:color w:val="auto"/>
        </w:rPr>
      </w:pPr>
      <w:r>
        <w:rPr>
          <w:rFonts w:ascii="Arial" w:cs="Arial" w:eastAsia="Arial" w:hAnsi="Arial"/>
          <w:sz w:val="20"/>
          <w:szCs w:val="20"/>
          <w:color w:val="auto"/>
        </w:rPr>
        <w:t>deliver to the Administrative Agent upon its request information in reasonable detail as to the insurance carried by the Borrower and its Subsidiaries then in effect, stating the names of the insurance companies and the amounts, the dates of the expiration thereof and the properties and risks covered thereby.</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8.7 </w:t>
      </w:r>
      <w:r>
        <w:rPr>
          <w:rFonts w:ascii="Arial" w:cs="Arial" w:eastAsia="Arial" w:hAnsi="Arial"/>
          <w:sz w:val="20"/>
          <w:szCs w:val="20"/>
          <w:u w:val="single" w:color="auto"/>
          <w:color w:val="auto"/>
        </w:rPr>
        <w:t>Payment of Taxes</w:t>
      </w:r>
      <w:r>
        <w:rPr>
          <w:rFonts w:ascii="Arial" w:cs="Arial" w:eastAsia="Arial" w:hAnsi="Arial"/>
          <w:sz w:val="20"/>
          <w:szCs w:val="20"/>
          <w:color w:val="auto"/>
        </w:rPr>
        <w:t xml:space="preserve">. Pay and perform all Taxes, assessments and other governmental charges that may be levied or assessed upon it or any of its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payment and discharge shall not be required with respect to any Tax, assessment, charge or levy so long as (a) the validity or amount thereof is being contested in good faith by appropriate proceedings and adequate reserves are maintained with respect thereto in accordance with GAAP or (b) the failure to make such payment and discharge could not reasonably be expected, individually or in the aggregate, to result in a Material Adverse Effect.</w:t>
      </w:r>
    </w:p>
    <w:p>
      <w:pPr>
        <w:spacing w:after="0" w:line="19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Observe and remain in compliance with all Applicable Laws (including ERISA and Environmental Laws) applicable to it, except where the failure to do so could not reasonably be expected to have a Material Adverse Effect.</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8.9 </w:t>
      </w:r>
      <w:r>
        <w:rPr>
          <w:rFonts w:ascii="Arial" w:cs="Arial" w:eastAsia="Arial" w:hAnsi="Arial"/>
          <w:sz w:val="20"/>
          <w:szCs w:val="20"/>
          <w:u w:val="single" w:color="auto"/>
          <w:color w:val="auto"/>
        </w:rPr>
        <w:t>Environmental</w:t>
      </w:r>
      <w:r>
        <w:rPr>
          <w:rFonts w:ascii="Arial" w:cs="Arial" w:eastAsia="Arial" w:hAnsi="Arial"/>
          <w:sz w:val="20"/>
          <w:szCs w:val="20"/>
          <w:color w:val="auto"/>
        </w:rPr>
        <w:t xml:space="preserve">. In addition to and without limiting the generality of </w:t>
      </w:r>
      <w:r>
        <w:rPr>
          <w:rFonts w:ascii="Arial" w:cs="Arial" w:eastAsia="Arial" w:hAnsi="Arial"/>
          <w:sz w:val="20"/>
          <w:szCs w:val="20"/>
          <w:u w:val="single" w:color="auto"/>
          <w:color w:val="auto"/>
        </w:rPr>
        <w:t>Section 8.8</w:t>
      </w:r>
      <w:r>
        <w:rPr>
          <w:rFonts w:ascii="Arial" w:cs="Arial" w:eastAsia="Arial" w:hAnsi="Arial"/>
          <w:sz w:val="20"/>
          <w:szCs w:val="20"/>
          <w:color w:val="auto"/>
        </w:rPr>
        <w:t>, except where the failure to do so could not reasonably be expected to have a Material Adverse Effect, promptly take necessary actions to (a) respond to any violation of applicable Environmental Laws by it and (b) make an appropriate response to any Environmental Claim against it and discharge any finally determined legal obligations it may have to any Person thereunder.</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u w:val="single" w:color="auto"/>
          <w:color w:val="auto"/>
        </w:rPr>
        <w:t>Compliance with ERISA</w:t>
      </w:r>
      <w:r>
        <w:rPr>
          <w:rFonts w:ascii="Arial" w:cs="Arial" w:eastAsia="Arial" w:hAnsi="Arial"/>
          <w:sz w:val="20"/>
          <w:szCs w:val="20"/>
          <w:color w:val="auto"/>
        </w:rPr>
        <w:t xml:space="preserve">. In addition to and without limiting the generality of </w:t>
      </w:r>
      <w:r>
        <w:rPr>
          <w:rFonts w:ascii="Arial" w:cs="Arial" w:eastAsia="Arial" w:hAnsi="Arial"/>
          <w:sz w:val="20"/>
          <w:szCs w:val="20"/>
          <w:u w:val="single" w:color="auto"/>
          <w:color w:val="auto"/>
        </w:rPr>
        <w:t>Section 8.8</w:t>
      </w:r>
      <w:r>
        <w:rPr>
          <w:rFonts w:ascii="Arial" w:cs="Arial" w:eastAsia="Arial" w:hAnsi="Arial"/>
          <w:sz w:val="20"/>
          <w:szCs w:val="20"/>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Visits and Inspections</w:t>
      </w:r>
      <w:r>
        <w:rPr>
          <w:rFonts w:ascii="Arial" w:cs="Arial" w:eastAsia="Arial" w:hAnsi="Arial"/>
          <w:sz w:val="19"/>
          <w:szCs w:val="19"/>
          <w:color w:val="auto"/>
        </w:rPr>
        <w:t xml:space="preserve">. Permit representatives of the Administrative Agent, accompanied by representatives of any Lender (which representatives will be subject to the confidentiality obligations of the Administrative Agent and the Lenders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12.10</w:t>
      </w:r>
      <w:r>
        <w:rPr>
          <w:rFonts w:ascii="Arial" w:cs="Arial" w:eastAsia="Arial" w:hAnsi="Arial"/>
          <w:sz w:val="19"/>
          <w:szCs w:val="19"/>
          <w:color w:val="auto"/>
        </w:rPr>
        <w:t xml:space="preserve">) and Borrower, from time to time upon prior reasonable notice to the Borrower and at such reasonable times during normal business hours, to visit and inspect the primary corporate office of the Borrower; inspect, audit and make extracts from its books, records and files, including management letters prepared by independent public accountants; and discuss with its principal officers, and its independent public accountants, its business, affairs, finances and accounts;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excluding any such visits and inspections during the continuation of an Event of Default, the Administrative Agent shall not exercise such rights more often than once during any calendar year at the Borrower’s expense;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upon the occurrence and during the continuance of an Event of Default, the Administrative Agent or any Lender may do any of the foregoing at the Borrower’s expense at any time without advance notice. Notwithstanding the foregoing, neither the Borrower nor any Subsidiary will be required to disclose, permit the inspection, examination or making copies or abstracts of, or discussion of, any document, information or other matter (a) in respect of which disclosure to the Administrative Agent or any Lender (or their respective representatives) is prohibited by Applicable Law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09" w:name="page210"/>
    <w:bookmarkEnd w:id="209"/>
    <w:p>
      <w:pPr>
        <w:jc w:val="both"/>
        <w:spacing w:after="0" w:line="246" w:lineRule="auto"/>
        <w:rPr>
          <w:sz w:val="20"/>
          <w:szCs w:val="20"/>
          <w:color w:val="auto"/>
        </w:rPr>
      </w:pPr>
      <w:r>
        <w:rPr>
          <w:rFonts w:ascii="Arial" w:cs="Arial" w:eastAsia="Arial" w:hAnsi="Arial"/>
          <w:sz w:val="20"/>
          <w:szCs w:val="20"/>
          <w:color w:val="auto"/>
        </w:rPr>
        <w:t xml:space="preserve">any binding, arm’s-length agreement with a third party or (b) is subject to attorney-client or similar privilege or constitutes attorney work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notify the Administrative Agent as to what is not being disclosed or made available in reliance on this sentence unless doing so is prohibited by Applicable Law or such agreement or would result in waiver of such privilege or cause such material not to constitute attorney work product.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8.12</w:t>
      </w:r>
      <w:r>
        <w:rPr>
          <w:sz w:val="20"/>
          <w:szCs w:val="20"/>
          <w:color w:val="auto"/>
        </w:rPr>
        <w:tab/>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57" w:lineRule="auto"/>
        <w:tabs>
          <w:tab w:leader="none" w:pos="136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Additional Domestic Subsidiaries</w:t>
      </w:r>
      <w:r>
        <w:rPr>
          <w:rFonts w:ascii="Arial" w:cs="Arial" w:eastAsia="Arial" w:hAnsi="Arial"/>
          <w:sz w:val="19"/>
          <w:szCs w:val="19"/>
          <w:color w:val="auto"/>
        </w:rPr>
        <w:t xml:space="preserve">. Promptly notify the Administrative Agent (x) of the creation or acquisition (including by division) of a Person that becomes a Domestic Subsidiary (other than an Excluded Subsidiary) or (y) any Subsidiary that is required to become a Guarantor by virtue of ceasing to constitute an Immaterial Subsidiary pursuant to the definition of “Immaterial Subsidiary” and, within forty-five (45) days after such creation, acquisition or event, as such time period may be extended by the Administrative Agent in its sole discretion, cause such Domestic Subsidiary (other than an Excluded Subsidiary) to (i) become a Guarantor by delivering to the Administrative Agent a duly executed supplement to the Guaranty Agreement or such other document as the Administrative Agent shall deem appropriate for such purpose and (ii) deliver to the Administrative Agent such opinions, documents and certificates referred to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may be reasonably requested by the Administrative Agent.</w:t>
      </w:r>
    </w:p>
    <w:p>
      <w:pPr>
        <w:spacing w:after="0" w:line="181" w:lineRule="exact"/>
        <w:rPr>
          <w:rFonts w:ascii="Arial" w:cs="Arial" w:eastAsia="Arial" w:hAnsi="Arial"/>
          <w:sz w:val="19"/>
          <w:szCs w:val="19"/>
          <w:color w:val="auto"/>
        </w:rPr>
      </w:pPr>
    </w:p>
    <w:p>
      <w:pPr>
        <w:jc w:val="both"/>
        <w:ind w:left="260" w:firstLine="639"/>
        <w:spacing w:after="0" w:line="243" w:lineRule="auto"/>
        <w:tabs>
          <w:tab w:leader="none" w:pos="1427"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Merger Subsidiaries</w:t>
      </w:r>
      <w:r>
        <w:rPr>
          <w:rFonts w:ascii="Arial" w:cs="Arial" w:eastAsia="Arial" w:hAnsi="Arial"/>
          <w:sz w:val="20"/>
          <w:szCs w:val="20"/>
          <w:color w:val="auto"/>
        </w:rPr>
        <w:t xml:space="preserve">. Notwithstanding the foregoing, to the extent any new Domestic Subsidiary is created solely for the purpose of consummating a merger transaction pursuant to a Permitted Acquisition, and such new Domestic Subsidiary at no time holds any assets or liabilities other than any merger consideration contributed to it contemporaneously with the closing of such merger transaction, such new Subsidiary shall not be required to take the actions set forth in </w:t>
      </w:r>
      <w:r>
        <w:rPr>
          <w:rFonts w:ascii="Arial" w:cs="Arial" w:eastAsia="Arial" w:hAnsi="Arial"/>
          <w:sz w:val="20"/>
          <w:szCs w:val="20"/>
          <w:u w:val="single" w:color="auto"/>
          <w:color w:val="auto"/>
        </w:rPr>
        <w:t>Section 8.12(a)</w:t>
      </w:r>
      <w:r>
        <w:rPr>
          <w:rFonts w:ascii="Arial" w:cs="Arial" w:eastAsia="Arial" w:hAnsi="Arial"/>
          <w:sz w:val="20"/>
          <w:szCs w:val="20"/>
          <w:color w:val="auto"/>
        </w:rPr>
        <w:t xml:space="preserve"> until the consummation of such Permitted Acquisition (at which time, the surviving entity of the respective merger transaction shall be required to so comply with </w:t>
      </w:r>
      <w:r>
        <w:rPr>
          <w:rFonts w:ascii="Arial" w:cs="Arial" w:eastAsia="Arial" w:hAnsi="Arial"/>
          <w:sz w:val="20"/>
          <w:szCs w:val="20"/>
          <w:u w:val="single" w:color="auto"/>
          <w:color w:val="auto"/>
        </w:rPr>
        <w:t>Section 8.12(a)</w:t>
      </w:r>
      <w:r>
        <w:rPr>
          <w:rFonts w:ascii="Arial" w:cs="Arial" w:eastAsia="Arial" w:hAnsi="Arial"/>
          <w:sz w:val="20"/>
          <w:szCs w:val="20"/>
          <w:color w:val="auto"/>
        </w:rPr>
        <w:t xml:space="preserve"> within forty-five (45) days of the consummation of such Permitted Acquisition, as such time period may be extended by the Administrative Agent in its sole discretion).</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8.13</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50" w:lineRule="auto"/>
        <w:tabs>
          <w:tab w:leader="none" w:pos="142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Use the proceeds of the Revolving Credit Facility to (i) refinance the loans and commitments under the Existing Credit Agreement and (ii) pay fees and expenses incurred in connection with the Transactions, and (iii) for working capital and general corporate purposes of the Borrower and its Subsidiaries.</w:t>
      </w:r>
    </w:p>
    <w:p>
      <w:pPr>
        <w:spacing w:after="0" w:line="186" w:lineRule="exact"/>
        <w:rPr>
          <w:rFonts w:ascii="Arial" w:cs="Arial" w:eastAsia="Arial" w:hAnsi="Arial"/>
          <w:sz w:val="20"/>
          <w:szCs w:val="20"/>
          <w:color w:val="auto"/>
        </w:rPr>
      </w:pPr>
    </w:p>
    <w:p>
      <w:pPr>
        <w:jc w:val="both"/>
        <w:ind w:left="260" w:firstLine="639"/>
        <w:spacing w:after="0" w:line="243" w:lineRule="auto"/>
        <w:tabs>
          <w:tab w:leader="none" w:pos="138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Not request any Extension of Credit, and not use, and shall ensure that its Subsidiaries and its or their respective directors, officers, employees and agents shall not use, the proceeds of any Extension of Credit, directly or indirectly, (i) in furtherance of an offer, payment, promise to pay, or authorization of the payment or giving of money, or anything else of value, to any Person in violation of any Anti-Corruption Laws or Anti-Money Laundering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8.14 </w:t>
      </w:r>
      <w:r>
        <w:rPr>
          <w:rFonts w:ascii="Arial" w:cs="Arial" w:eastAsia="Arial" w:hAnsi="Arial"/>
          <w:sz w:val="20"/>
          <w:szCs w:val="20"/>
          <w:u w:val="single" w:color="auto"/>
          <w:color w:val="auto"/>
        </w:rPr>
        <w:t>Compliance with Anti-Corruption Laws; Beneficial Ownership Regulation, Anti-Money Laundering Laws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(a) Maintain in effect and enforce policies and procedures designed to promote and achieve compliance by the Borrower, its Subsidiaries and their respective directors, officers, employees and agents with </w:t>
      </w:r>
      <w:r>
        <w:rPr>
          <w:rFonts w:ascii="Arial" w:cs="Arial" w:eastAsia="Arial" w:hAnsi="Arial"/>
          <w:sz w:val="18"/>
          <w:szCs w:val="18"/>
          <w:color w:val="auto"/>
        </w:rPr>
        <w:t>all Anti-Corruption Laws,</w:t>
      </w:r>
      <w:r>
        <w:rPr>
          <w:rFonts w:ascii="Arial" w:cs="Arial" w:eastAsia="Arial" w:hAnsi="Arial"/>
          <w:sz w:val="20"/>
          <w:szCs w:val="20"/>
          <w:color w:val="auto"/>
        </w:rPr>
        <w:t xml:space="preserve"> Anti-Money Laundering Laws </w:t>
      </w:r>
      <w:r>
        <w:rPr>
          <w:rFonts w:ascii="Arial" w:cs="Arial" w:eastAsia="Arial" w:hAnsi="Arial"/>
          <w:sz w:val="18"/>
          <w:szCs w:val="18"/>
          <w:color w:val="auto"/>
        </w:rPr>
        <w:t>and</w:t>
      </w:r>
      <w:r>
        <w:rPr>
          <w:rFonts w:ascii="Arial" w:cs="Arial" w:eastAsia="Arial" w:hAnsi="Arial"/>
          <w:sz w:val="20"/>
          <w:szCs w:val="20"/>
          <w:color w:val="auto"/>
        </w:rPr>
        <w:t xml:space="preserve"> </w:t>
      </w:r>
      <w:r>
        <w:rPr>
          <w:rFonts w:ascii="Arial" w:cs="Arial" w:eastAsia="Arial" w:hAnsi="Arial"/>
          <w:sz w:val="18"/>
          <w:szCs w:val="18"/>
          <w:color w:val="auto"/>
        </w:rPr>
        <w:t>applicable Sanctions</w:t>
      </w:r>
      <w:r>
        <w:rPr>
          <w:rFonts w:ascii="Arial" w:cs="Arial" w:eastAsia="Arial" w:hAnsi="Arial"/>
          <w:sz w:val="19"/>
          <w:szCs w:val="19"/>
          <w:color w:val="auto"/>
        </w:rPr>
        <w:t>, (b) notify the Administrative Agent and each Lender that previously received a Beneficial Ownership Certification of any</w:t>
      </w:r>
      <w:r>
        <w:rPr>
          <w:rFonts w:ascii="Arial" w:cs="Arial" w:eastAsia="Arial" w:hAnsi="Arial"/>
          <w:sz w:val="18"/>
          <w:szCs w:val="18"/>
          <w:color w:val="auto"/>
        </w:rPr>
        <w:t xml:space="preserve"> </w:t>
      </w:r>
      <w:r>
        <w:rPr>
          <w:rFonts w:ascii="Arial" w:cs="Arial" w:eastAsia="Arial" w:hAnsi="Arial"/>
          <w:sz w:val="19"/>
          <w:szCs w:val="19"/>
          <w:color w:val="auto"/>
        </w:rPr>
        <w:t>change in the information provided in the Beneficial Ownership Certification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10" w:name="page211"/>
    <w:bookmarkEnd w:id="210"/>
    <w:p>
      <w:pPr>
        <w:jc w:val="both"/>
        <w:spacing w:after="0" w:line="250" w:lineRule="auto"/>
        <w:rPr>
          <w:sz w:val="20"/>
          <w:szCs w:val="20"/>
          <w:color w:val="auto"/>
        </w:rPr>
      </w:pPr>
      <w:r>
        <w:rPr>
          <w:rFonts w:ascii="Arial" w:cs="Arial" w:eastAsia="Arial" w:hAnsi="Arial"/>
          <w:sz w:val="20"/>
          <w:szCs w:val="20"/>
          <w:color w:val="auto"/>
        </w:rPr>
        <w:t>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8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Borrower will not, and will not permit any of its Subsidiaries to:</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incur, assume or suffer to exist any Indebtedness except:</w:t>
      </w:r>
    </w:p>
    <w:p>
      <w:pPr>
        <w:spacing w:after="0" w:line="216" w:lineRule="exact"/>
        <w:rPr>
          <w:sz w:val="20"/>
          <w:szCs w:val="20"/>
          <w:color w:val="auto"/>
        </w:rPr>
      </w:pPr>
    </w:p>
    <w:p>
      <w:pPr>
        <w:ind w:left="1300" w:hanging="401"/>
        <w:spacing w:after="0"/>
        <w:tabs>
          <w:tab w:leader="none" w:pos="130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15" w:lineRule="exact"/>
        <w:rPr>
          <w:rFonts w:ascii="Arial" w:cs="Arial" w:eastAsia="Arial" w:hAnsi="Arial"/>
          <w:sz w:val="20"/>
          <w:szCs w:val="20"/>
          <w:color w:val="auto"/>
        </w:rPr>
      </w:pPr>
    </w:p>
    <w:p>
      <w:pPr>
        <w:ind w:left="260" w:firstLine="639"/>
        <w:spacing w:after="0" w:line="260" w:lineRule="auto"/>
        <w:tabs>
          <w:tab w:leader="none" w:pos="137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owing under Hedge Agreements entered into in order to manage existing or anticipated interest rate, exchange rate or commodity price risks and not for speculative purposes;</w:t>
      </w:r>
    </w:p>
    <w:p>
      <w:pPr>
        <w:spacing w:after="0" w:line="176" w:lineRule="exact"/>
        <w:rPr>
          <w:rFonts w:ascii="Arial" w:cs="Arial" w:eastAsia="Arial" w:hAnsi="Arial"/>
          <w:sz w:val="20"/>
          <w:szCs w:val="20"/>
          <w:color w:val="auto"/>
        </w:rPr>
      </w:pPr>
    </w:p>
    <w:p>
      <w:pPr>
        <w:ind w:left="1320" w:hanging="421"/>
        <w:spacing w:after="0"/>
        <w:tabs>
          <w:tab w:leader="none" w:pos="1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listed on </w:t>
      </w:r>
      <w:r>
        <w:rPr>
          <w:rFonts w:ascii="Arial" w:cs="Arial" w:eastAsia="Arial" w:hAnsi="Arial"/>
          <w:sz w:val="18"/>
          <w:szCs w:val="18"/>
          <w:u w:val="single" w:color="auto"/>
          <w:color w:val="auto"/>
        </w:rPr>
        <w:t>Schedule 9.1</w:t>
      </w:r>
      <w:r>
        <w:rPr>
          <w:rFonts w:ascii="Arial" w:cs="Arial" w:eastAsia="Arial" w:hAnsi="Arial"/>
          <w:sz w:val="18"/>
          <w:szCs w:val="18"/>
          <w:color w:val="auto"/>
        </w:rPr>
        <w:t>, and any Permitted Refinancing Indebtedness in respect</w:t>
      </w:r>
    </w:p>
    <w:p>
      <w:pPr>
        <w:spacing w:after="0" w:line="38"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jc w:val="both"/>
        <w:ind w:left="260" w:firstLine="639"/>
        <w:spacing w:after="0" w:line="250" w:lineRule="auto"/>
        <w:tabs>
          <w:tab w:leader="none" w:pos="138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Attributable Indebtedness with respect to Capital Lease Obligations and Indebtedness incurred in connection with purchase money Indebtedness in an aggregate principal amount not to exceed at any time outstanding the greater of $40,000,000 and 1% of Consolidated Total Assets, and any Permitted Refinancing Indebtedness in respect thereof;</w:t>
      </w:r>
    </w:p>
    <w:p>
      <w:pPr>
        <w:spacing w:after="0" w:line="186" w:lineRule="exact"/>
        <w:rPr>
          <w:rFonts w:ascii="Arial" w:cs="Arial" w:eastAsia="Arial" w:hAnsi="Arial"/>
          <w:sz w:val="20"/>
          <w:szCs w:val="20"/>
          <w:color w:val="auto"/>
        </w:rPr>
      </w:pPr>
    </w:p>
    <w:p>
      <w:pPr>
        <w:jc w:val="both"/>
        <w:ind w:left="260" w:firstLine="639"/>
        <w:spacing w:after="0" w:line="243" w:lineRule="auto"/>
        <w:tabs>
          <w:tab w:leader="none" w:pos="1362"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Indebtedness of a Person existing at the time such Person became a Subsidiary or assets were acquired from such Person in connection with an Investment permitted pursuant to </w:t>
      </w:r>
      <w:r>
        <w:rPr>
          <w:rFonts w:ascii="Arial" w:cs="Arial" w:eastAsia="Arial" w:hAnsi="Arial"/>
          <w:sz w:val="20"/>
          <w:szCs w:val="20"/>
          <w:u w:val="single" w:color="auto"/>
          <w:color w:val="auto"/>
        </w:rPr>
        <w:t>Section 9.3</w:t>
      </w:r>
      <w:r>
        <w:rPr>
          <w:rFonts w:ascii="Arial" w:cs="Arial" w:eastAsia="Arial" w:hAnsi="Arial"/>
          <w:sz w:val="20"/>
          <w:szCs w:val="20"/>
          <w:color w:val="auto"/>
        </w:rPr>
        <w:t>, to the extent that (i) such Indebtedness was not incurred in connection with, or in contemplation of, such Person becoming a Subsidiary or the acquisition of such assets, (ii) neither the Borrower nor any Subsidiary thereof (other than such Person or any other Person that such Person merges with or that acquires the assets of such Person) shall have any liability or other obligation with respect to such Indebtedness and (iii) the aggregate principal amount of such Indebtedness does not exceed at any time outstanding $25,000,000;</w:t>
      </w:r>
    </w:p>
    <w:p>
      <w:pPr>
        <w:spacing w:after="0" w:line="196" w:lineRule="exact"/>
        <w:rPr>
          <w:rFonts w:ascii="Arial" w:cs="Arial" w:eastAsia="Arial" w:hAnsi="Arial"/>
          <w:sz w:val="20"/>
          <w:szCs w:val="20"/>
          <w:color w:val="auto"/>
        </w:rPr>
      </w:pPr>
    </w:p>
    <w:p>
      <w:pPr>
        <w:jc w:val="both"/>
        <w:ind w:left="260" w:firstLine="639"/>
        <w:spacing w:after="0" w:line="246" w:lineRule="auto"/>
        <w:tabs>
          <w:tab w:leader="none" w:pos="131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 Guarantees by any Credit Party of Indebtedness of any other Credit Party not otherwise prohibited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w:t>
      </w:r>
      <w:r>
        <w:rPr>
          <w:rFonts w:ascii="Arial" w:cs="Arial" w:eastAsia="Arial" w:hAnsi="Arial"/>
          <w:sz w:val="20"/>
          <w:szCs w:val="20"/>
          <w:color w:val="auto"/>
        </w:rPr>
        <w:t xml:space="preserve">, (ii) Guarantees by any Non-Guarantor Subsidiary of Indebtedness of Borrower or any Subsidiary not otherwise prohibited pursuant to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and (iii) Guarantees by any Credit Party of Indebtedness of any Non-Guarantor Subsidiary to the extent permitted pursuant to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260" w:firstLine="639"/>
        <w:spacing w:after="0" w:line="263" w:lineRule="auto"/>
        <w:tabs>
          <w:tab w:leader="none" w:pos="135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unsecured intercompany Indebtedness: (i) owed by any Credit Party to another Credit Party, (ii) owed by any Credit Party to any Non-Guarantor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shall be subordinated to the Obligations in a manner reasonably satisfactory to the Administrative Agent), (iii) owed by any Non-Guarantor Subsidiary to any other Non-Guarantor Subsidiary and (iv) owed by any Non-Guarantor Subsidiary to any Credit Party to the extent permitted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11" w:name="page212"/>
    <w:bookmarkEnd w:id="211"/>
    <w:p>
      <w:pPr>
        <w:ind w:left="260" w:firstLine="639"/>
        <w:spacing w:after="0" w:line="260" w:lineRule="auto"/>
        <w:tabs>
          <w:tab w:leader="none" w:pos="138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other similar instrument drawn against insufficient funds in the ordinary course of business;</w:t>
      </w:r>
    </w:p>
    <w:p>
      <w:pPr>
        <w:spacing w:after="0" w:line="176" w:lineRule="exact"/>
        <w:rPr>
          <w:rFonts w:ascii="Arial" w:cs="Arial" w:eastAsia="Arial" w:hAnsi="Arial"/>
          <w:sz w:val="20"/>
          <w:szCs w:val="20"/>
          <w:color w:val="auto"/>
        </w:rPr>
      </w:pPr>
    </w:p>
    <w:p>
      <w:pPr>
        <w:jc w:val="both"/>
        <w:ind w:left="260" w:firstLine="639"/>
        <w:spacing w:after="0" w:line="263" w:lineRule="auto"/>
        <w:tabs>
          <w:tab w:leader="none" w:pos="132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Indebtedness under performance bonds, surety bonds, customs, bid, stay, return of money, release, appeal and similar bonds, statutory obligations, or with respect to workers’ compensation claims, unemployment insurance (including premiums related thereto), other types of social security, pension obligations, vacation pay, health, disability or other employee benefits in each case incurred in the ordinary course of business, and reimbursement obligations in respect of any of the foregoing;</w:t>
      </w:r>
    </w:p>
    <w:p>
      <w:pPr>
        <w:spacing w:after="0" w:line="176" w:lineRule="exact"/>
        <w:rPr>
          <w:rFonts w:ascii="Arial" w:cs="Arial" w:eastAsia="Arial" w:hAnsi="Arial"/>
          <w:sz w:val="19"/>
          <w:szCs w:val="19"/>
          <w:color w:val="auto"/>
        </w:rPr>
      </w:pPr>
    </w:p>
    <w:p>
      <w:pPr>
        <w:jc w:val="both"/>
        <w:ind w:left="260" w:firstLine="639"/>
        <w:spacing w:after="0" w:line="250" w:lineRule="auto"/>
        <w:tabs>
          <w:tab w:leader="none" w:pos="141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Indebtedness arising from agreements providing for indemnification, adjustment of purchase price or similar obligations (including earn-out and other contingent obligations) incurred in connection with any Asset Disposition permitted hereunder, any Acquisitions or other purchases of assets or Equity Interests permitted hereunder;</w:t>
      </w:r>
    </w:p>
    <w:p>
      <w:pPr>
        <w:spacing w:after="0" w:line="186" w:lineRule="exact"/>
        <w:rPr>
          <w:rFonts w:ascii="Arial" w:cs="Arial" w:eastAsia="Arial" w:hAnsi="Arial"/>
          <w:sz w:val="20"/>
          <w:szCs w:val="20"/>
          <w:color w:val="auto"/>
        </w:rPr>
      </w:pPr>
    </w:p>
    <w:p>
      <w:pPr>
        <w:ind w:left="1320" w:hanging="421"/>
        <w:spacing w:after="0"/>
        <w:tabs>
          <w:tab w:leader="none" w:pos="132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Indebtedness in respect of Cash Management Agreements in the ordinary course of business;</w:t>
      </w:r>
    </w:p>
    <w:p>
      <w:pPr>
        <w:spacing w:after="0" w:line="215" w:lineRule="exact"/>
        <w:rPr>
          <w:rFonts w:ascii="Arial" w:cs="Arial" w:eastAsia="Arial" w:hAnsi="Arial"/>
          <w:sz w:val="20"/>
          <w:szCs w:val="20"/>
          <w:color w:val="auto"/>
        </w:rPr>
      </w:pPr>
    </w:p>
    <w:p>
      <w:pPr>
        <w:ind w:left="260" w:firstLine="639"/>
        <w:spacing w:after="0" w:line="260" w:lineRule="auto"/>
        <w:tabs>
          <w:tab w:leader="none" w:pos="145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Indebtedness consisting of (i) the financing of insurance premiums or (ii) take-or-pay obligations contained in supply arrangements, in each case, in the ordinary course of business;</w:t>
      </w:r>
    </w:p>
    <w:p>
      <w:pPr>
        <w:spacing w:after="0" w:line="176" w:lineRule="exact"/>
        <w:rPr>
          <w:rFonts w:ascii="Arial" w:cs="Arial" w:eastAsia="Arial" w:hAnsi="Arial"/>
          <w:sz w:val="20"/>
          <w:szCs w:val="20"/>
          <w:color w:val="auto"/>
        </w:rPr>
      </w:pPr>
    </w:p>
    <w:p>
      <w:pPr>
        <w:jc w:val="both"/>
        <w:ind w:left="260" w:firstLine="639"/>
        <w:spacing w:after="0" w:line="260" w:lineRule="auto"/>
        <w:tabs>
          <w:tab w:leader="none" w:pos="138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Indebtedness consisting of obligations owing under any customer or supplier, supply, license or similar agreements (including customer deposits and advance payments), in respect of Guarantees of the obligations of suppliers, customers and licensees, in respect of obligations to pay the deferred purchase price of goods or services or progress payments in connection therewith, or in respect of any letter of credit, bankers’ acceptance, bank guaranty or similar instrument supporting trade payables, warehouse receipts or similar facilities, in each case under this clause (m) in the ordinary course of business;</w:t>
      </w:r>
    </w:p>
    <w:p>
      <w:pPr>
        <w:spacing w:after="0" w:line="180" w:lineRule="exact"/>
        <w:rPr>
          <w:rFonts w:ascii="Arial" w:cs="Arial" w:eastAsia="Arial" w:hAnsi="Arial"/>
          <w:sz w:val="19"/>
          <w:szCs w:val="19"/>
          <w:color w:val="auto"/>
        </w:rPr>
      </w:pPr>
    </w:p>
    <w:p>
      <w:pPr>
        <w:jc w:val="both"/>
        <w:ind w:left="260" w:firstLine="639"/>
        <w:spacing w:after="0" w:line="258" w:lineRule="auto"/>
        <w:tabs>
          <w:tab w:leader="none" w:pos="133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Indebtedness, including Subordinated Indebtedness, of the Borrower and its Subsidiaries so long as, both immediately prior to and after giving effect thereto on a Pro Forma Basis (i) no Default or Event of Default has occurred and is continuing and (ii) the Borrower is in compliance with the financial covenants set forth in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such Indebtedness to be used to finance a Limited Condition Acquisition, the requirements set forth in clauses (i) and (ii) shall be subject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all Indebtedness incurred pursuant to this clause (n) by Subsidiaries that are not Credit Parties (and do not become Credit Parties within the time period required pursuant to </w:t>
      </w:r>
      <w:r>
        <w:rPr>
          <w:rFonts w:ascii="Arial" w:cs="Arial" w:eastAsia="Arial" w:hAnsi="Arial"/>
          <w:sz w:val="19"/>
          <w:szCs w:val="19"/>
          <w:u w:val="single" w:color="auto"/>
          <w:color w:val="auto"/>
        </w:rPr>
        <w:t>Section 8.12</w:t>
      </w:r>
      <w:r>
        <w:rPr>
          <w:rFonts w:ascii="Arial" w:cs="Arial" w:eastAsia="Arial" w:hAnsi="Arial"/>
          <w:sz w:val="19"/>
          <w:szCs w:val="19"/>
          <w:color w:val="auto"/>
        </w:rPr>
        <w:t>, as such time period may be extended pursuant to such section) shall not exceed, at any time outstanding, $50,000,000; and</w:t>
      </w:r>
    </w:p>
    <w:p>
      <w:pPr>
        <w:spacing w:after="0" w:line="179" w:lineRule="exact"/>
        <w:rPr>
          <w:rFonts w:ascii="Arial" w:cs="Arial" w:eastAsia="Arial" w:hAnsi="Arial"/>
          <w:sz w:val="19"/>
          <w:szCs w:val="19"/>
          <w:color w:val="auto"/>
        </w:rPr>
      </w:pPr>
    </w:p>
    <w:p>
      <w:pPr>
        <w:ind w:left="260" w:firstLine="639"/>
        <w:spacing w:after="0" w:line="287" w:lineRule="auto"/>
        <w:tabs>
          <w:tab w:leader="none" w:pos="134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to the extent constituting Indebtedness, all premium (if any), interest (including post-petition interest), fees, expenses, charges and additional or contingent interest on Indebtedness otherwise permitted to be incurred pursuant to this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15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on or with respect to any of its Property, whether now owned or hereafter acquired, except:</w:t>
      </w:r>
    </w:p>
    <w:p>
      <w:pPr>
        <w:spacing w:after="0" w:line="177" w:lineRule="exact"/>
        <w:rPr>
          <w:sz w:val="20"/>
          <w:szCs w:val="20"/>
          <w:color w:val="auto"/>
        </w:rPr>
      </w:pPr>
    </w:p>
    <w:p>
      <w:pPr>
        <w:ind w:left="260" w:firstLine="639"/>
        <w:spacing w:after="0" w:line="260" w:lineRule="auto"/>
        <w:tabs>
          <w:tab w:leader="none" w:pos="130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in favor of the Administrative Agent, for the benefit of the Guaranteed Parties, securing the Obligations (including Liens in favor of the Swingline Lender and/or the Issuing Lender, as applicable, on Cash Collateral);</w:t>
      </w:r>
    </w:p>
    <w:p>
      <w:pPr>
        <w:spacing w:after="0" w:line="176" w:lineRule="exact"/>
        <w:rPr>
          <w:rFonts w:ascii="Arial" w:cs="Arial" w:eastAsia="Arial" w:hAnsi="Arial"/>
          <w:sz w:val="20"/>
          <w:szCs w:val="20"/>
          <w:color w:val="auto"/>
        </w:rPr>
      </w:pPr>
    </w:p>
    <w:p>
      <w:pPr>
        <w:jc w:val="both"/>
        <w:ind w:left="260" w:firstLine="639"/>
        <w:spacing w:after="0" w:line="250" w:lineRule="auto"/>
        <w:tabs>
          <w:tab w:leader="none" w:pos="141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described on </w:t>
      </w:r>
      <w:r>
        <w:rPr>
          <w:rFonts w:ascii="Arial" w:cs="Arial" w:eastAsia="Arial" w:hAnsi="Arial"/>
          <w:sz w:val="20"/>
          <w:szCs w:val="20"/>
          <w:u w:val="single" w:color="auto"/>
          <w:color w:val="auto"/>
        </w:rPr>
        <w:t>Schedule 9.2</w:t>
      </w:r>
      <w:r>
        <w:rPr>
          <w:rFonts w:ascii="Arial" w:cs="Arial" w:eastAsia="Arial" w:hAnsi="Arial"/>
          <w:sz w:val="20"/>
          <w:szCs w:val="20"/>
          <w:color w:val="auto"/>
        </w:rPr>
        <w:t xml:space="preserve">, and the replacement, renewal or extension thereof (including Liens incurred, assumed or suffered to exist in connection with any Permitted Refinancing Indebtedness permitted pursuant to </w:t>
      </w:r>
      <w:r>
        <w:rPr>
          <w:rFonts w:ascii="Arial" w:cs="Arial" w:eastAsia="Arial" w:hAnsi="Arial"/>
          <w:sz w:val="20"/>
          <w:szCs w:val="20"/>
          <w:u w:val="single" w:color="auto"/>
          <w:color w:val="auto"/>
        </w:rPr>
        <w:t>Section 9.1(c)</w:t>
      </w:r>
      <w:r>
        <w:rPr>
          <w:rFonts w:ascii="Arial" w:cs="Arial" w:eastAsia="Arial" w:hAnsi="Arial"/>
          <w:sz w:val="20"/>
          <w:szCs w:val="20"/>
          <w:color w:val="auto"/>
        </w:rPr>
        <w:t xml:space="preserve"> (solely to the extent that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12" w:name="page213"/>
    <w:bookmarkEnd w:id="212"/>
    <w:p>
      <w:pPr>
        <w:jc w:val="both"/>
        <w:ind w:left="260"/>
        <w:spacing w:after="0" w:line="250" w:lineRule="auto"/>
        <w:rPr>
          <w:sz w:val="20"/>
          <w:szCs w:val="20"/>
          <w:color w:val="auto"/>
        </w:rPr>
      </w:pPr>
      <w:r>
        <w:rPr>
          <w:rFonts w:ascii="Arial" w:cs="Arial" w:eastAsia="Arial" w:hAnsi="Arial"/>
          <w:sz w:val="20"/>
          <w:szCs w:val="20"/>
          <w:color w:val="auto"/>
        </w:rPr>
        <w:t xml:space="preserve">such Liens were in existence on the Closing Date and described on </w:t>
      </w:r>
      <w:r>
        <w:rPr>
          <w:rFonts w:ascii="Arial" w:cs="Arial" w:eastAsia="Arial" w:hAnsi="Arial"/>
          <w:sz w:val="20"/>
          <w:szCs w:val="20"/>
          <w:u w:val="single" w:color="auto"/>
          <w:color w:val="auto"/>
        </w:rPr>
        <w:t>Schedule 9.2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6" w:lineRule="exact"/>
        <w:rPr>
          <w:sz w:val="20"/>
          <w:szCs w:val="20"/>
          <w:color w:val="auto"/>
        </w:rPr>
      </w:pPr>
    </w:p>
    <w:p>
      <w:pPr>
        <w:ind w:left="260" w:right="20" w:firstLine="639"/>
        <w:spacing w:after="0" w:line="260" w:lineRule="auto"/>
        <w:tabs>
          <w:tab w:leader="none" w:pos="130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for Taxes, assessments and other governmental charges or levies (i) not yet due, or (ii) which are being contested in good faith and by appropriate proceedings if adequate reserves are maintained to the extent required by GAAP;</w:t>
      </w:r>
    </w:p>
    <w:p>
      <w:pPr>
        <w:spacing w:after="0" w:line="176" w:lineRule="exact"/>
        <w:rPr>
          <w:rFonts w:ascii="Arial" w:cs="Arial" w:eastAsia="Arial" w:hAnsi="Arial"/>
          <w:sz w:val="20"/>
          <w:szCs w:val="20"/>
          <w:color w:val="auto"/>
        </w:rPr>
      </w:pPr>
    </w:p>
    <w:p>
      <w:pPr>
        <w:jc w:val="both"/>
        <w:ind w:left="260" w:firstLine="639"/>
        <w:spacing w:after="0" w:line="282" w:lineRule="auto"/>
        <w:tabs>
          <w:tab w:leader="none" w:pos="135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Liens imposed by law such as materialmen, mechanics, carriers, warehousemen, processors or landlords Liens and other like Liens for labor, materials, supplies or rentals incurred in the ordinary course of business, which are not overdue for a period of more than sixty (60) days, or if more than sixty (60) days overdue, no action has been taken to enforce such Liens and such Liens are being contested in good faith and by appropriate proceedings if adequate reserves are maintained to the extent required by GAAP;</w:t>
      </w:r>
    </w:p>
    <w:p>
      <w:pPr>
        <w:spacing w:after="0" w:line="161" w:lineRule="exact"/>
        <w:rPr>
          <w:rFonts w:ascii="Arial" w:cs="Arial" w:eastAsia="Arial" w:hAnsi="Arial"/>
          <w:sz w:val="18"/>
          <w:szCs w:val="18"/>
          <w:color w:val="auto"/>
        </w:rPr>
      </w:pPr>
    </w:p>
    <w:p>
      <w:pPr>
        <w:jc w:val="both"/>
        <w:ind w:left="260" w:firstLine="639"/>
        <w:spacing w:after="0" w:line="243" w:lineRule="auto"/>
        <w:tabs>
          <w:tab w:leader="none" w:pos="130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deposits and pledges made and other Liens incurred in the ordinary course of business in connection with, or to secure payment of, obligations under workers’ compensation, unemployment insurance (including premiums related thereto) and other types of social security, pension obligations, vacation, health, disability, other employee benefits, or similar Applicable Laws, or to secure the performance of tenders, bids, government contracts, trade contracts, leases, statutory obligations, surety, stay, customs, release and appeal bonds, performance and return-of-money bonds, statutory obligations and other similar obligations (including reimbursement obligations in respect of any of the foregoing);</w:t>
      </w:r>
    </w:p>
    <w:p>
      <w:pPr>
        <w:spacing w:after="0" w:line="196" w:lineRule="exact"/>
        <w:rPr>
          <w:rFonts w:ascii="Arial" w:cs="Arial" w:eastAsia="Arial" w:hAnsi="Arial"/>
          <w:sz w:val="20"/>
          <w:szCs w:val="20"/>
          <w:color w:val="auto"/>
        </w:rPr>
      </w:pPr>
    </w:p>
    <w:p>
      <w:pPr>
        <w:jc w:val="both"/>
        <w:ind w:left="260" w:firstLine="639"/>
        <w:spacing w:after="0" w:line="246" w:lineRule="auto"/>
        <w:tabs>
          <w:tab w:leader="none" w:pos="140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in the nature of zoning, building and land use restrictions, entitlements, title restrictions, easements, rights-of-way, covenants and other similar rights or restrictions and encumbrances and minor title irregularities and defects affecting real property, which do not in any case materially and adversely interfere with the ordinary conduct of the business of the Borrower and its Subsidiaries, taken as a whole;</w:t>
      </w:r>
    </w:p>
    <w:p>
      <w:pPr>
        <w:spacing w:after="0" w:line="191" w:lineRule="exact"/>
        <w:rPr>
          <w:rFonts w:ascii="Arial" w:cs="Arial" w:eastAsia="Arial" w:hAnsi="Arial"/>
          <w:sz w:val="20"/>
          <w:szCs w:val="20"/>
          <w:color w:val="auto"/>
        </w:rPr>
      </w:pPr>
    </w:p>
    <w:p>
      <w:pPr>
        <w:ind w:left="260" w:right="20" w:firstLine="639"/>
        <w:spacing w:after="0" w:line="260" w:lineRule="auto"/>
        <w:tabs>
          <w:tab w:leader="none" w:pos="134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arising from the filing of precautionary UCC financing statements relating solely to operating leases or consignment or bailee arrangements entered into in the ordinary course of business;</w:t>
      </w:r>
    </w:p>
    <w:p>
      <w:pPr>
        <w:spacing w:after="0" w:line="176" w:lineRule="exact"/>
        <w:rPr>
          <w:rFonts w:ascii="Arial" w:cs="Arial" w:eastAsia="Arial" w:hAnsi="Arial"/>
          <w:sz w:val="20"/>
          <w:szCs w:val="20"/>
          <w:color w:val="auto"/>
        </w:rPr>
      </w:pPr>
    </w:p>
    <w:p>
      <w:pPr>
        <w:jc w:val="both"/>
        <w:ind w:left="260" w:firstLine="639"/>
        <w:spacing w:after="0" w:line="259" w:lineRule="auto"/>
        <w:tabs>
          <w:tab w:leader="none" w:pos="135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within one hundred and twenty (120) days of the acquisition, repair, construction, improvement or lease, as applicable, of the related Property, (ii) such Liens do not at any time encumber any Property (except for replacements, additions and accessions to such Property) other than the Property financed or improved by such Indebtedness and (iii) the principal amount of Indebtedness secured by any such Lien shall at no time exceed one hundred percent (100%) of the original price for the purchase, repair, construction, improvement or lease amount (as applicable) of such Property at the time of purchase, repair, construction, improvement or lease (as applicable) ;</w:t>
      </w:r>
    </w:p>
    <w:p>
      <w:pPr>
        <w:spacing w:after="0" w:line="178" w:lineRule="exact"/>
        <w:rPr>
          <w:rFonts w:ascii="Arial" w:cs="Arial" w:eastAsia="Arial" w:hAnsi="Arial"/>
          <w:sz w:val="19"/>
          <w:szCs w:val="19"/>
          <w:color w:val="auto"/>
        </w:rPr>
      </w:pPr>
    </w:p>
    <w:p>
      <w:pPr>
        <w:ind w:left="260" w:right="20" w:firstLine="639"/>
        <w:spacing w:after="0" w:line="260" w:lineRule="auto"/>
        <w:tabs>
          <w:tab w:leader="none" w:pos="1329"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Liens securing judgments, orders or decrees not constituting an Event of Default under </w:t>
      </w:r>
      <w:r>
        <w:rPr>
          <w:rFonts w:ascii="Arial" w:cs="Arial" w:eastAsia="Arial" w:hAnsi="Arial"/>
          <w:sz w:val="20"/>
          <w:szCs w:val="20"/>
          <w:u w:val="single" w:color="auto"/>
          <w:color w:val="auto"/>
        </w:rPr>
        <w:t>Section 10.1(l)</w:t>
      </w:r>
      <w:r>
        <w:rPr>
          <w:rFonts w:ascii="Arial" w:cs="Arial" w:eastAsia="Arial" w:hAnsi="Arial"/>
          <w:sz w:val="20"/>
          <w:szCs w:val="20"/>
          <w:color w:val="auto"/>
        </w:rPr>
        <w:t xml:space="preserve"> or securing appeal or other surety bonds relating to such judgments;</w:t>
      </w:r>
    </w:p>
    <w:p>
      <w:pPr>
        <w:spacing w:after="0" w:line="176" w:lineRule="exact"/>
        <w:rPr>
          <w:rFonts w:ascii="Arial" w:cs="Arial" w:eastAsia="Arial" w:hAnsi="Arial"/>
          <w:sz w:val="20"/>
          <w:szCs w:val="20"/>
          <w:color w:val="auto"/>
        </w:rPr>
      </w:pPr>
    </w:p>
    <w:p>
      <w:pPr>
        <w:jc w:val="both"/>
        <w:ind w:left="260" w:firstLine="639"/>
        <w:spacing w:after="0" w:line="282" w:lineRule="auto"/>
        <w:tabs>
          <w:tab w:leader="none" w:pos="135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Liens on Property (i) of a Person that becomes a Subsidiary existing at the time that such Person becomes a Subsidiary in connection with an acquisition permitted hereunder and (ii) of the Borrower or any of its Subsidiaries existing at the time such Property is purchased or otherwise acquired by the Borrower or such Subsidiary pursuant to a transaction permitted hereunder and any modification, replacement, renewal and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the foregoing clauses (i)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13" w:name="page214"/>
    <w:bookmarkEnd w:id="213"/>
    <w:p>
      <w:pPr>
        <w:jc w:val="both"/>
        <w:ind w:left="260"/>
        <w:spacing w:after="0" w:line="291" w:lineRule="auto"/>
        <w:rPr>
          <w:sz w:val="20"/>
          <w:szCs w:val="20"/>
          <w:color w:val="auto"/>
        </w:rPr>
      </w:pPr>
      <w:r>
        <w:rPr>
          <w:rFonts w:ascii="Arial" w:cs="Arial" w:eastAsia="Arial" w:hAnsi="Arial"/>
          <w:sz w:val="18"/>
          <w:szCs w:val="18"/>
          <w:color w:val="auto"/>
        </w:rPr>
        <w:t>and (ii), (A) such Liens are not incurred in connection with, or in anticipation of, such acquisition, (B) such Liens do not encumber any Property other than Property encumbered at the time of such acquisition or such Person becoming a Subsidiary and the proceeds and products thereof and (C) such Liens will secure only those obligations which it secures at the time such acquisition or purchase occurs;</w:t>
      </w:r>
    </w:p>
    <w:p>
      <w:pPr>
        <w:spacing w:after="0" w:line="152" w:lineRule="exact"/>
        <w:rPr>
          <w:sz w:val="20"/>
          <w:szCs w:val="20"/>
          <w:color w:val="auto"/>
        </w:rPr>
      </w:pPr>
    </w:p>
    <w:p>
      <w:pPr>
        <w:jc w:val="both"/>
        <w:ind w:left="260" w:firstLine="639"/>
        <w:spacing w:after="0" w:line="250" w:lineRule="auto"/>
        <w:tabs>
          <w:tab w:leader="none" w:pos="133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 xml:space="preserve">Liens (i) on cash deposits in favor of the seller of any property to be acquired in connection with a Permitted Acquisition to be applied against the purchase price for such Permitted Acquisition, or (ii) consisting of an agreement to sell or otherwise dispose of any property in an Asset Disposition permitted under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260" w:firstLine="639"/>
        <w:spacing w:after="0" w:line="244" w:lineRule="auto"/>
        <w:tabs>
          <w:tab w:leader="none" w:pos="130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(i) Liens of a collecting bank arising in the ordinary course of business under Section 4-210 of the Uniform Commercial Code in effect in the relevant jurisdiction, (ii) Liens of any depositary bank in connection with statutory, common law and contractual rights of setoff and recoupment with respect to any deposit or securities account of the Borrower or any Subsidiary thereof and (iii) Liens arising out of conditional sale, title retention, consignment or similar arrangements for the sale of any assets or property in the ordinary course of business;</w:t>
      </w:r>
    </w:p>
    <w:p>
      <w:pPr>
        <w:spacing w:after="0" w:line="194" w:lineRule="exact"/>
        <w:rPr>
          <w:rFonts w:ascii="Arial" w:cs="Arial" w:eastAsia="Arial" w:hAnsi="Arial"/>
          <w:sz w:val="20"/>
          <w:szCs w:val="20"/>
          <w:color w:val="auto"/>
        </w:rPr>
      </w:pPr>
    </w:p>
    <w:p>
      <w:pPr>
        <w:jc w:val="both"/>
        <w:ind w:left="260" w:firstLine="639"/>
        <w:spacing w:after="0" w:line="250" w:lineRule="auto"/>
        <w:tabs>
          <w:tab w:leader="none" w:pos="1425" w:val="left"/>
        </w:tabs>
        <w:numPr>
          <w:ilvl w:val="1"/>
          <w:numId w:val="159"/>
        </w:numPr>
        <w:rPr>
          <w:rFonts w:ascii="Arial" w:cs="Arial" w:eastAsia="Arial" w:hAnsi="Arial"/>
          <w:sz w:val="20"/>
          <w:szCs w:val="20"/>
          <w:color w:val="auto"/>
        </w:rPr>
      </w:pPr>
      <w:r>
        <w:rPr>
          <w:rFonts w:ascii="Arial" w:cs="Arial" w:eastAsia="Arial" w:hAnsi="Arial"/>
          <w:sz w:val="20"/>
          <w:szCs w:val="20"/>
          <w:color w:val="auto"/>
        </w:rPr>
        <w:t>(i) Liens of landlords arising in the ordinary course of business to the extent relating to the property and assets relating to any lease agreements with such landlord, and (ii) Liens of suppliers (including sellers of goods) or customers arising in the ordinary course of business to the extent limited to the property or assets relating to such contract;</w:t>
      </w:r>
    </w:p>
    <w:p>
      <w:pPr>
        <w:spacing w:after="0" w:line="186" w:lineRule="exact"/>
        <w:rPr>
          <w:rFonts w:ascii="Arial" w:cs="Arial" w:eastAsia="Arial" w:hAnsi="Arial"/>
          <w:sz w:val="20"/>
          <w:szCs w:val="20"/>
          <w:color w:val="auto"/>
        </w:rPr>
      </w:pPr>
    </w:p>
    <w:p>
      <w:pPr>
        <w:ind w:left="1380" w:hanging="481"/>
        <w:spacing w:after="0"/>
        <w:tabs>
          <w:tab w:leader="none" w:pos="13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 leases, licenses, subleases or sublicenses granted to others (including with respect to intellectual property) which do not</w:t>
      </w:r>
    </w:p>
    <w:p>
      <w:pPr>
        <w:spacing w:after="0" w:line="38" w:lineRule="exact"/>
        <w:rPr>
          <w:rFonts w:ascii="Arial" w:cs="Arial" w:eastAsia="Arial" w:hAnsi="Arial"/>
          <w:sz w:val="18"/>
          <w:szCs w:val="18"/>
          <w:color w:val="auto"/>
        </w:rPr>
      </w:pPr>
    </w:p>
    <w:p>
      <w:pPr>
        <w:jc w:val="both"/>
        <w:ind w:left="260" w:hanging="9"/>
        <w:spacing w:after="0" w:line="254" w:lineRule="auto"/>
        <w:tabs>
          <w:tab w:leader="none" w:pos="58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interfere in any material respect with the business of the Borrower and its Subsidiaries, taken as a whole or (B) secure any Indebtedness, (ii) any interest or title of a licensor, sub-licensor, lessor or sub-lessor with respect to any assets under any such lease, license, sublease or sublicense, any restriction or encumbrance to which the interest or title of such licensor, sub-licensor, lessor or sub-lessor may be subject or any subordination of the interest of any licensor, sub-licensor, lessor or sub-lessor under such lease, license, sublease or sublicense to any such restriction or encumbrance, and (iii) any interest or title of a licensor, sub-licensor, lessor or sub-lessor under leases, licenses, subleases or sublicenses entered into by any of the Borrower and its Subsidiaries as licensee, sub-licensee, lessee or sub-lessee in the ordinary course of business or any customary restriction or encumbrance with respect to the property or assets subject to any such lease, license, sublease or sublicense;</w:t>
      </w:r>
    </w:p>
    <w:p>
      <w:pPr>
        <w:spacing w:after="0" w:line="186" w:lineRule="exact"/>
        <w:rPr>
          <w:rFonts w:ascii="Arial" w:cs="Arial" w:eastAsia="Arial" w:hAnsi="Arial"/>
          <w:sz w:val="19"/>
          <w:szCs w:val="19"/>
          <w:color w:val="auto"/>
        </w:rPr>
      </w:pPr>
    </w:p>
    <w:p>
      <w:pPr>
        <w:ind w:left="260" w:firstLine="639"/>
        <w:spacing w:after="0" w:line="260" w:lineRule="auto"/>
        <w:tabs>
          <w:tab w:leader="none" w:pos="1346" w:val="left"/>
        </w:tabs>
        <w:numPr>
          <w:ilvl w:val="1"/>
          <w:numId w:val="160"/>
        </w:numPr>
        <w:rPr>
          <w:rFonts w:ascii="Arial" w:cs="Arial" w:eastAsia="Arial" w:hAnsi="Arial"/>
          <w:sz w:val="20"/>
          <w:szCs w:val="20"/>
          <w:color w:val="auto"/>
        </w:rPr>
      </w:pPr>
      <w:r>
        <w:rPr>
          <w:rFonts w:ascii="Arial" w:cs="Arial" w:eastAsia="Arial" w:hAnsi="Arial"/>
          <w:sz w:val="20"/>
          <w:szCs w:val="20"/>
          <w:color w:val="auto"/>
        </w:rPr>
        <w:t>Liens on assets of Foreign Subsidiaries securing Indebtedness of Foreign Subsidiaries in an aggregate principal amount not to exceed at any time outstanding $50,000,000;</w:t>
      </w:r>
    </w:p>
    <w:p>
      <w:pPr>
        <w:spacing w:after="0" w:line="176" w:lineRule="exact"/>
        <w:rPr>
          <w:rFonts w:ascii="Arial" w:cs="Arial" w:eastAsia="Arial" w:hAnsi="Arial"/>
          <w:sz w:val="20"/>
          <w:szCs w:val="20"/>
          <w:color w:val="auto"/>
        </w:rPr>
      </w:pPr>
    </w:p>
    <w:p>
      <w:pPr>
        <w:ind w:left="260" w:firstLine="639"/>
        <w:spacing w:after="0" w:line="316" w:lineRule="auto"/>
        <w:tabs>
          <w:tab w:leader="none" w:pos="131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 Liens on Equity Interests of joint ventures securing capital contributions thereto and (ii) customary rights of first refusal and tag, drag and similar rights in joint venture agreements and agreements with respect to Non-Wholly-Owned Subsidiaries; and</w:t>
      </w:r>
    </w:p>
    <w:p>
      <w:pPr>
        <w:spacing w:after="0" w:line="130" w:lineRule="exact"/>
        <w:rPr>
          <w:rFonts w:ascii="Arial" w:cs="Arial" w:eastAsia="Arial" w:hAnsi="Arial"/>
          <w:sz w:val="18"/>
          <w:szCs w:val="18"/>
          <w:color w:val="auto"/>
        </w:rPr>
      </w:pPr>
    </w:p>
    <w:p>
      <w:pPr>
        <w:ind w:left="260" w:firstLine="639"/>
        <w:spacing w:after="0" w:line="287" w:lineRule="auto"/>
        <w:tabs>
          <w:tab w:leader="none" w:pos="1319" w:val="left"/>
        </w:tabs>
        <w:numPr>
          <w:ilvl w:val="1"/>
          <w:numId w:val="160"/>
        </w:numPr>
        <w:rPr>
          <w:rFonts w:ascii="Arial" w:cs="Arial" w:eastAsia="Arial" w:hAnsi="Arial"/>
          <w:sz w:val="19"/>
          <w:szCs w:val="19"/>
          <w:color w:val="auto"/>
        </w:rPr>
      </w:pPr>
      <w:r>
        <w:rPr>
          <w:rFonts w:ascii="Arial" w:cs="Arial" w:eastAsia="Arial" w:hAnsi="Arial"/>
          <w:sz w:val="19"/>
          <w:szCs w:val="19"/>
          <w:color w:val="auto"/>
        </w:rPr>
        <w:t>Liens on assets of the Borrower and its Subsidiaries securing Indebtedness of the Borrower and its Subsidiaries in an aggregate amount not to exceed at any time outstanding the greater of (i) $185,000,000 and (ii) 5% of Consolidated Total Assets.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any Investment, except:</w:t>
      </w:r>
    </w:p>
    <w:p>
      <w:pPr>
        <w:spacing w:after="0" w:line="216" w:lineRule="exact"/>
        <w:rPr>
          <w:sz w:val="20"/>
          <w:szCs w:val="20"/>
          <w:color w:val="auto"/>
        </w:rPr>
      </w:pPr>
    </w:p>
    <w:p>
      <w:pPr>
        <w:ind w:left="260" w:firstLine="639"/>
        <w:spacing w:after="0" w:line="260" w:lineRule="auto"/>
        <w:tabs>
          <w:tab w:leader="none" w:pos="133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(other than Investments in Subsidiaries existing on the Closing Date) and described on </w:t>
      </w:r>
      <w:r>
        <w:rPr>
          <w:rFonts w:ascii="Arial" w:cs="Arial" w:eastAsia="Arial" w:hAnsi="Arial"/>
          <w:sz w:val="20"/>
          <w:szCs w:val="20"/>
          <w:u w:val="single" w:color="auto"/>
          <w:color w:val="auto"/>
        </w:rPr>
        <w:t>Schedule 9.3</w:t>
      </w:r>
      <w:r>
        <w:rPr>
          <w:rFonts w:ascii="Arial" w:cs="Arial" w:eastAsia="Arial" w:hAnsi="Arial"/>
          <w:sz w:val="20"/>
          <w:szCs w:val="20"/>
          <w:color w:val="auto"/>
        </w:rPr>
        <w:t xml:space="preserve"> and any modification, replacement, renewal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14" w:name="page215"/>
    <w:bookmarkEnd w:id="214"/>
    <w:p>
      <w:pPr>
        <w:ind w:left="260" w:right="20"/>
        <w:spacing w:after="0" w:line="260" w:lineRule="auto"/>
        <w:rPr>
          <w:sz w:val="20"/>
          <w:szCs w:val="20"/>
          <w:color w:val="auto"/>
        </w:rPr>
      </w:pPr>
      <w:r>
        <w:rPr>
          <w:rFonts w:ascii="Arial" w:cs="Arial" w:eastAsia="Arial" w:hAnsi="Arial"/>
          <w:sz w:val="20"/>
          <w:szCs w:val="20"/>
          <w:color w:val="auto"/>
        </w:rPr>
        <w:t xml:space="preserve">extension thereof so long as such modification, renewal or extension thereof does not increase the amount of such Investment except as otherwise permitted by this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77" w:lineRule="exact"/>
        <w:rPr>
          <w:sz w:val="20"/>
          <w:szCs w:val="20"/>
          <w:color w:val="auto"/>
        </w:rPr>
      </w:pPr>
    </w:p>
    <w:p>
      <w:pPr>
        <w:jc w:val="both"/>
        <w:ind w:left="260" w:firstLine="639"/>
        <w:spacing w:after="0" w:line="269" w:lineRule="auto"/>
        <w:tabs>
          <w:tab w:leader="none" w:pos="134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Investments (i) existing on the Closing Date in Subsidiaries existing on the Closing Date, (ii) made after the Closing Date by any Credit Party in any other Credit Party, (iii) made after the Closing Date by any Non-Guarantor Subsidiary in any Credit Party and (iv) made after the Closing Date by any Non-Guarantor Subsidiary in any other Non-Guarantor Subsidiary;</w:t>
      </w:r>
    </w:p>
    <w:p>
      <w:pPr>
        <w:spacing w:after="0" w:line="170" w:lineRule="exact"/>
        <w:rPr>
          <w:rFonts w:ascii="Arial" w:cs="Arial" w:eastAsia="Arial" w:hAnsi="Arial"/>
          <w:sz w:val="19"/>
          <w:szCs w:val="19"/>
          <w:color w:val="auto"/>
        </w:rPr>
      </w:pPr>
    </w:p>
    <w:p>
      <w:pPr>
        <w:ind w:left="1300" w:hanging="401"/>
        <w:spacing w:after="0"/>
        <w:tabs>
          <w:tab w:leader="none" w:pos="13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5" w:lineRule="exact"/>
        <w:rPr>
          <w:rFonts w:ascii="Arial" w:cs="Arial" w:eastAsia="Arial" w:hAnsi="Arial"/>
          <w:sz w:val="20"/>
          <w:szCs w:val="20"/>
          <w:color w:val="auto"/>
        </w:rPr>
      </w:pPr>
    </w:p>
    <w:p>
      <w:pPr>
        <w:ind w:left="1320" w:hanging="421"/>
        <w:spacing w:after="0"/>
        <w:tabs>
          <w:tab w:leader="none" w:pos="13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consisting of Capital Expenditures;</w:t>
      </w:r>
    </w:p>
    <w:p>
      <w:pPr>
        <w:spacing w:after="0" w:line="215" w:lineRule="exact"/>
        <w:rPr>
          <w:rFonts w:ascii="Arial" w:cs="Arial" w:eastAsia="Arial" w:hAnsi="Arial"/>
          <w:sz w:val="20"/>
          <w:szCs w:val="20"/>
          <w:color w:val="auto"/>
        </w:rPr>
      </w:pPr>
    </w:p>
    <w:p>
      <w:pPr>
        <w:ind w:left="260" w:right="20" w:firstLine="639"/>
        <w:spacing w:after="0" w:line="260" w:lineRule="auto"/>
        <w:tabs>
          <w:tab w:leader="none" w:pos="136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deposits made in the ordinary course of business to secure the performance of leases or other obligations and other Liens as permitted by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280" w:hanging="381"/>
        <w:spacing w:after="0"/>
        <w:tabs>
          <w:tab w:leader="none" w:pos="12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Hedge Agreements permitted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20" w:hanging="421"/>
        <w:spacing w:after="0"/>
        <w:tabs>
          <w:tab w:leader="none" w:pos="13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purchases of assets in the ordinary course of business;</w:t>
      </w:r>
    </w:p>
    <w:p>
      <w:pPr>
        <w:spacing w:after="0" w:line="215" w:lineRule="exact"/>
        <w:rPr>
          <w:rFonts w:ascii="Arial" w:cs="Arial" w:eastAsia="Arial" w:hAnsi="Arial"/>
          <w:sz w:val="20"/>
          <w:szCs w:val="20"/>
          <w:color w:val="auto"/>
        </w:rPr>
      </w:pPr>
    </w:p>
    <w:p>
      <w:pPr>
        <w:ind w:left="1320" w:hanging="421"/>
        <w:spacing w:after="0"/>
        <w:tabs>
          <w:tab w:leader="none" w:pos="13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Investments in the form of Restricted Payments permitted pursuant to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60" w:hanging="361"/>
        <w:spacing w:after="0"/>
        <w:tabs>
          <w:tab w:leader="none" w:pos="126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Guarantees permitted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 w:firstLine="639"/>
        <w:spacing w:after="0" w:line="260" w:lineRule="auto"/>
        <w:tabs>
          <w:tab w:leader="none" w:pos="141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endorsements for collection or deposit and customary trade arrangements with customers;</w:t>
      </w:r>
    </w:p>
    <w:p>
      <w:pPr>
        <w:spacing w:after="0" w:line="176" w:lineRule="exact"/>
        <w:rPr>
          <w:rFonts w:ascii="Arial" w:cs="Arial" w:eastAsia="Arial" w:hAnsi="Arial"/>
          <w:sz w:val="20"/>
          <w:szCs w:val="20"/>
          <w:color w:val="auto"/>
        </w:rPr>
      </w:pPr>
    </w:p>
    <w:p>
      <w:pPr>
        <w:jc w:val="both"/>
        <w:ind w:left="260" w:firstLine="639"/>
        <w:spacing w:after="0" w:line="246" w:lineRule="auto"/>
        <w:tabs>
          <w:tab w:leader="none" w:pos="135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in the form of loans and advances of payroll payments or other compensation, or for moving, entertainment and travel expenses, drawing accounts and similar expenditures, in each case, to present or former employees, directors, members of management, officers, managers or consultants of any of the Borrower and its Subsidiaries in the ordinary course of business and consistent with past practices;</w:t>
      </w:r>
    </w:p>
    <w:p>
      <w:pPr>
        <w:spacing w:after="0" w:line="191" w:lineRule="exact"/>
        <w:rPr>
          <w:rFonts w:ascii="Arial" w:cs="Arial" w:eastAsia="Arial" w:hAnsi="Arial"/>
          <w:sz w:val="20"/>
          <w:szCs w:val="20"/>
          <w:color w:val="auto"/>
        </w:rPr>
      </w:pPr>
    </w:p>
    <w:p>
      <w:pPr>
        <w:ind w:left="260" w:firstLine="639"/>
        <w:spacing w:after="0" w:line="260" w:lineRule="auto"/>
        <w:tabs>
          <w:tab w:leader="none" w:pos="132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in securities of account debtors received pursuant to any plan of reorganization or similar arrangement upon the bankruptcy or insolvency of such account debtors;</w:t>
      </w:r>
    </w:p>
    <w:p>
      <w:pPr>
        <w:spacing w:after="0" w:line="176" w:lineRule="exact"/>
        <w:rPr>
          <w:rFonts w:ascii="Arial" w:cs="Arial" w:eastAsia="Arial" w:hAnsi="Arial"/>
          <w:sz w:val="20"/>
          <w:szCs w:val="20"/>
          <w:color w:val="auto"/>
        </w:rPr>
      </w:pPr>
    </w:p>
    <w:p>
      <w:pPr>
        <w:jc w:val="both"/>
        <w:ind w:left="260" w:firstLine="639"/>
        <w:spacing w:after="0" w:line="250" w:lineRule="auto"/>
        <w:tabs>
          <w:tab w:leader="none" w:pos="141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consisting of indemnification obligations to the officers, directors, managers, employees, consultants and agents of any of the Borrower and its Subsidiaries to the extent required under the bylaws or other constitutive documents of the Borrower or any such Subsidiary in the ordinary course of business;</w:t>
      </w:r>
    </w:p>
    <w:p>
      <w:pPr>
        <w:spacing w:after="0" w:line="186" w:lineRule="exact"/>
        <w:rPr>
          <w:rFonts w:ascii="Arial" w:cs="Arial" w:eastAsia="Arial" w:hAnsi="Arial"/>
          <w:sz w:val="20"/>
          <w:szCs w:val="20"/>
          <w:color w:val="auto"/>
        </w:rPr>
      </w:pPr>
    </w:p>
    <w:p>
      <w:pPr>
        <w:ind w:left="1320" w:hanging="421"/>
        <w:spacing w:after="0"/>
        <w:tabs>
          <w:tab w:leader="none" w:pos="13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Investments in the ordinary course of business consisting of UCC Article 3 endorsements for collection or deposit; and</w:t>
      </w:r>
    </w:p>
    <w:p>
      <w:pPr>
        <w:spacing w:after="0" w:line="227" w:lineRule="exact"/>
        <w:rPr>
          <w:rFonts w:ascii="Arial" w:cs="Arial" w:eastAsia="Arial" w:hAnsi="Arial"/>
          <w:sz w:val="19"/>
          <w:szCs w:val="19"/>
          <w:color w:val="auto"/>
        </w:rPr>
      </w:pPr>
    </w:p>
    <w:p>
      <w:pPr>
        <w:jc w:val="both"/>
        <w:ind w:left="260" w:firstLine="639"/>
        <w:spacing w:after="0" w:line="246" w:lineRule="auto"/>
        <w:tabs>
          <w:tab w:leader="none" w:pos="134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other Investments so long as, both immediately prior to and after giving effect thereto on a Pro Forma Basis (i) no Default or Event of Default has occurred and is continuing and (ii) the Borrower is in compliance with the financial covenants set forth in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connection with any Limited Condition Acquisition, the requirements set forth in clauses (i) and (ii) shall be subject to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15" w:name="page216"/>
    <w:bookmarkEnd w:id="215"/>
    <w:p>
      <w:pPr>
        <w:jc w:val="both"/>
        <w:spacing w:after="0" w:line="246" w:lineRule="auto"/>
        <w:rPr>
          <w:sz w:val="20"/>
          <w:szCs w:val="20"/>
          <w:color w:val="auto"/>
        </w:rPr>
      </w:pPr>
      <w:r>
        <w:rPr>
          <w:rFonts w:ascii="Arial" w:cs="Arial" w:eastAsia="Arial" w:hAnsi="Arial"/>
          <w:sz w:val="20"/>
          <w:szCs w:val="20"/>
          <w:color w:val="auto"/>
        </w:rPr>
        <w:t xml:space="preserve">For purposes of determining the amount of any Investment outstanding for purposes of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any amount realized in respect of such Investment upon the sale, collection or return of capital (not to exceed the original amount invested).</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amalgamate or consolidate with or into, or sell, transfer, license, lease or otherwise dispose of all or substantially all of its Property (whether in a single transaction or a series of related transactions) to, any other Person or liquidate, wind-up or dissolve itself (or suffer any liquidation or dissolution of itself) (including, in each case, pursuant to division), except:</w:t>
      </w:r>
    </w:p>
    <w:p>
      <w:pPr>
        <w:spacing w:after="0" w:line="152" w:lineRule="exact"/>
        <w:rPr>
          <w:sz w:val="20"/>
          <w:szCs w:val="20"/>
          <w:color w:val="auto"/>
        </w:rPr>
      </w:pPr>
    </w:p>
    <w:p>
      <w:pPr>
        <w:jc w:val="both"/>
        <w:ind w:left="260" w:firstLine="639"/>
        <w:spacing w:after="0" w:line="260" w:lineRule="auto"/>
        <w:tabs>
          <w:tab w:leader="none" w:pos="130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 any Subsidiary may be merged, amalgamated or consolidated with or into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the continuing or surviving entity), (ii) any Subsidiary may be merged, amalgamated or consolidated with or into any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Guarantor shall be the continuing or surviving entity or simultaneously with such transaction, the continuing or surviving entity shall become a Guarantor and the Borrower shall comply with </w:t>
      </w:r>
      <w:r>
        <w:rPr>
          <w:rFonts w:ascii="Arial" w:cs="Arial" w:eastAsia="Arial" w:hAnsi="Arial"/>
          <w:sz w:val="19"/>
          <w:szCs w:val="19"/>
          <w:u w:val="single" w:color="auto"/>
          <w:color w:val="auto"/>
        </w:rPr>
        <w:t>Section 8.12</w:t>
      </w:r>
      <w:r>
        <w:rPr>
          <w:rFonts w:ascii="Arial" w:cs="Arial" w:eastAsia="Arial" w:hAnsi="Arial"/>
          <w:sz w:val="19"/>
          <w:szCs w:val="19"/>
          <w:color w:val="auto"/>
        </w:rPr>
        <w:t xml:space="preserve"> in connection therewith), and (iii) any Subsidiary may be dissolved (</w:t>
      </w:r>
      <w:r>
        <w:rPr>
          <w:rFonts w:ascii="Arial" w:cs="Arial" w:eastAsia="Arial" w:hAnsi="Arial"/>
          <w:sz w:val="19"/>
          <w:szCs w:val="19"/>
          <w:u w:val="single" w:color="auto"/>
          <w:color w:val="auto"/>
        </w:rPr>
        <w:t>provided</w:t>
      </w:r>
      <w:r>
        <w:rPr>
          <w:rFonts w:ascii="Arial" w:cs="Arial" w:eastAsia="Arial" w:hAnsi="Arial"/>
          <w:sz w:val="19"/>
          <w:szCs w:val="19"/>
          <w:color w:val="auto"/>
        </w:rPr>
        <w:t>, that a Guarantor shall acquire all the assets of such dissolved Subsidiary);</w:t>
      </w:r>
    </w:p>
    <w:p>
      <w:pPr>
        <w:spacing w:after="0" w:line="180" w:lineRule="exact"/>
        <w:rPr>
          <w:rFonts w:ascii="Arial" w:cs="Arial" w:eastAsia="Arial" w:hAnsi="Arial"/>
          <w:sz w:val="19"/>
          <w:szCs w:val="19"/>
          <w:color w:val="auto"/>
        </w:rPr>
      </w:pPr>
    </w:p>
    <w:p>
      <w:pPr>
        <w:jc w:val="both"/>
        <w:ind w:left="260" w:firstLine="639"/>
        <w:spacing w:after="0" w:line="250" w:lineRule="auto"/>
        <w:tabs>
          <w:tab w:leader="none" w:pos="135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(i) any Non-Guarantor Subsidiary may be merged, amalgamated or consolidated with or into, or be liquidated into, any other Non-Guarantor Subsidiary and (ii) any Non-Guarantor Subsidiary may be dissolved, </w:t>
      </w:r>
      <w:r>
        <w:rPr>
          <w:rFonts w:ascii="Arial" w:cs="Arial" w:eastAsia="Arial" w:hAnsi="Arial"/>
          <w:sz w:val="20"/>
          <w:szCs w:val="20"/>
          <w:u w:val="single" w:color="auto"/>
          <w:color w:val="auto"/>
        </w:rPr>
        <w:t>provided</w:t>
      </w:r>
      <w:r>
        <w:rPr>
          <w:rFonts w:ascii="Arial" w:cs="Arial" w:eastAsia="Arial" w:hAnsi="Arial"/>
          <w:sz w:val="20"/>
          <w:szCs w:val="20"/>
          <w:color w:val="auto"/>
        </w:rPr>
        <w:t>, that a Non-Guarantor Subsidiary shall acquire all the assets of such dissolved Non-Guarantor Subsidiary;</w:t>
      </w:r>
    </w:p>
    <w:p>
      <w:pPr>
        <w:spacing w:after="0" w:line="186" w:lineRule="exact"/>
        <w:rPr>
          <w:rFonts w:ascii="Arial" w:cs="Arial" w:eastAsia="Arial" w:hAnsi="Arial"/>
          <w:sz w:val="20"/>
          <w:szCs w:val="20"/>
          <w:color w:val="auto"/>
        </w:rPr>
      </w:pPr>
    </w:p>
    <w:p>
      <w:pPr>
        <w:jc w:val="both"/>
        <w:ind w:left="260" w:firstLine="639"/>
        <w:spacing w:after="0" w:line="276" w:lineRule="auto"/>
        <w:tabs>
          <w:tab w:leader="none" w:pos="13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Subsidiary may sell, transfer, license, lease or otherwise dispose of all or substantially all of its assets (upon voluntary liquidation, dissolution, winding up or otherwise) to any Credit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transferor, licensor or lessor in such a transaction is a Guarantor, then either (A) the transferee, licensee or lessee, as applicable, must be another Credit Party or (B) simultaneously with such transaction, the transferee, licensee or lessee, as applicable, shall become a Guarantor and the Borrower shall comply with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in connection therewith and (ii) with respect to any such disposition by any Non-Guarantor Subsidiary to a Credit Party, the consideration for such disposition shall not exceed the fair value (as determined in good faith by the Borrower) of such assets;</w:t>
      </w:r>
    </w:p>
    <w:p>
      <w:pPr>
        <w:spacing w:after="0" w:line="165" w:lineRule="exact"/>
        <w:rPr>
          <w:rFonts w:ascii="Arial" w:cs="Arial" w:eastAsia="Arial" w:hAnsi="Arial"/>
          <w:sz w:val="18"/>
          <w:szCs w:val="18"/>
          <w:color w:val="auto"/>
        </w:rPr>
      </w:pPr>
    </w:p>
    <w:p>
      <w:pPr>
        <w:ind w:left="1320" w:hanging="421"/>
        <w:spacing w:after="0"/>
        <w:tabs>
          <w:tab w:leader="none" w:pos="132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Asset Dispositions permitted by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(other than clause (b) thereof);</w:t>
      </w:r>
    </w:p>
    <w:p>
      <w:pPr>
        <w:spacing w:after="0" w:line="215" w:lineRule="exact"/>
        <w:rPr>
          <w:rFonts w:ascii="Arial" w:cs="Arial" w:eastAsia="Arial" w:hAnsi="Arial"/>
          <w:sz w:val="20"/>
          <w:szCs w:val="20"/>
          <w:color w:val="auto"/>
        </w:rPr>
      </w:pPr>
    </w:p>
    <w:p>
      <w:pPr>
        <w:jc w:val="both"/>
        <w:ind w:left="260" w:firstLine="639"/>
        <w:spacing w:after="0" w:line="244" w:lineRule="auto"/>
        <w:tabs>
          <w:tab w:leader="none" w:pos="141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any Subsidiary may merge, amalgamate or consolidate with or into the Person such Subsidiary was formed to acquire in connection with any acquisition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merger, amalgamation or consolidation with a Subsidiary that is a Domestic Subsidiary (other than an Excluded Subsidiary), either (i) a Guarantor shall be the continuing or surviving entity or (ii) simultaneously with such transaction, the continuing or surviving entity shall become a Guarantor and the Borrower shall comply with </w:t>
      </w:r>
      <w:r>
        <w:rPr>
          <w:rFonts w:ascii="Arial" w:cs="Arial" w:eastAsia="Arial" w:hAnsi="Arial"/>
          <w:sz w:val="20"/>
          <w:szCs w:val="20"/>
          <w:u w:val="single" w:color="auto"/>
          <w:color w:val="auto"/>
        </w:rPr>
        <w:t>Section 8.12</w:t>
      </w:r>
      <w:r>
        <w:rPr>
          <w:rFonts w:ascii="Arial" w:cs="Arial" w:eastAsia="Arial" w:hAnsi="Arial"/>
          <w:sz w:val="20"/>
          <w:szCs w:val="20"/>
          <w:color w:val="auto"/>
        </w:rPr>
        <w:t xml:space="preserve"> in connection therewith;</w:t>
      </w:r>
    </w:p>
    <w:p>
      <w:pPr>
        <w:spacing w:after="0" w:line="194" w:lineRule="exact"/>
        <w:rPr>
          <w:rFonts w:ascii="Arial" w:cs="Arial" w:eastAsia="Arial" w:hAnsi="Arial"/>
          <w:sz w:val="20"/>
          <w:szCs w:val="20"/>
          <w:color w:val="auto"/>
        </w:rPr>
      </w:pPr>
    </w:p>
    <w:p>
      <w:pPr>
        <w:jc w:val="both"/>
        <w:ind w:left="260" w:firstLine="639"/>
        <w:spacing w:after="0" w:line="263" w:lineRule="auto"/>
        <w:tabs>
          <w:tab w:leader="none" w:pos="13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any Person may merge, amalgamate or consolidate with or into the Borrower or any of its Subsidiaries in connection with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 merger, amalgamation or consolidation with the Borrower or a Guarantor, the continuing or surviving Person shall be the Borrower or such Guarantor and (ii) in the case of a merger, amalgamation or consolidation not with the Borrower or a Guarantor, the continuing or surviving Person shall be a Subsidiary;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16" w:name="page217"/>
    <w:bookmarkEnd w:id="216"/>
    <w:p>
      <w:pPr>
        <w:jc w:val="both"/>
        <w:ind w:left="260" w:firstLine="639"/>
        <w:spacing w:after="0" w:line="250" w:lineRule="auto"/>
        <w:tabs>
          <w:tab w:leader="none" w:pos="134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any merger, amalgamation, consolidation, liquidation, winding up or dissolution of a Guarantor pursuant to a division so long as each newly created division becomes a Guarantor or the resulting investment in such newly created division would be permitted under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Asset Dispositions</w:t>
      </w:r>
      <w:r>
        <w:rPr>
          <w:rFonts w:ascii="Arial" w:cs="Arial" w:eastAsia="Arial" w:hAnsi="Arial"/>
          <w:sz w:val="18"/>
          <w:szCs w:val="18"/>
          <w:color w:val="auto"/>
        </w:rPr>
        <w:t>. Make any Asset Disposition except:</w:t>
      </w:r>
    </w:p>
    <w:p>
      <w:pPr>
        <w:spacing w:after="0" w:line="216" w:lineRule="exact"/>
        <w:rPr>
          <w:sz w:val="20"/>
          <w:szCs w:val="20"/>
          <w:color w:val="auto"/>
        </w:rPr>
      </w:pPr>
    </w:p>
    <w:p>
      <w:pPr>
        <w:ind w:left="1300" w:hanging="401"/>
        <w:spacing w:after="0"/>
        <w:tabs>
          <w:tab w:leader="none" w:pos="13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sale, transfer or other disposition of inventory in the ordinary course of business;</w:t>
      </w:r>
    </w:p>
    <w:p>
      <w:pPr>
        <w:spacing w:after="0" w:line="215" w:lineRule="exact"/>
        <w:rPr>
          <w:rFonts w:ascii="Arial" w:cs="Arial" w:eastAsia="Arial" w:hAnsi="Arial"/>
          <w:sz w:val="20"/>
          <w:szCs w:val="20"/>
          <w:color w:val="auto"/>
        </w:rPr>
      </w:pPr>
    </w:p>
    <w:p>
      <w:pPr>
        <w:ind w:left="1320" w:hanging="421"/>
        <w:spacing w:after="0"/>
        <w:tabs>
          <w:tab w:leader="none" w:pos="13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Asset Dispositions permitted pursuant to </w:t>
      </w:r>
      <w:r>
        <w:rPr>
          <w:rFonts w:ascii="Arial" w:cs="Arial" w:eastAsia="Arial" w:hAnsi="Arial"/>
          <w:sz w:val="20"/>
          <w:szCs w:val="20"/>
          <w:u w:val="single" w:color="auto"/>
          <w:color w:val="auto"/>
        </w:rPr>
        <w:t>Section 9.4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60" w:firstLine="639"/>
        <w:spacing w:after="0" w:line="250" w:lineRule="auto"/>
        <w:tabs>
          <w:tab w:leader="none" w:pos="138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sale, transfer or other disposition of equipment in the ordinary course of business to the extent that such equipment is exchanged for credit against the purchase price of similar replacement equipment, or the proceeds of such sale, transfer or disposition are applied with reasonable promptness to the purchase price of such replacement equipment;</w:t>
      </w:r>
    </w:p>
    <w:p>
      <w:pPr>
        <w:spacing w:after="0" w:line="186" w:lineRule="exact"/>
        <w:rPr>
          <w:rFonts w:ascii="Arial" w:cs="Arial" w:eastAsia="Arial" w:hAnsi="Arial"/>
          <w:sz w:val="20"/>
          <w:szCs w:val="20"/>
          <w:color w:val="auto"/>
        </w:rPr>
      </w:pPr>
    </w:p>
    <w:p>
      <w:pPr>
        <w:ind w:left="260" w:firstLine="639"/>
        <w:spacing w:after="0" w:line="260" w:lineRule="auto"/>
        <w:tabs>
          <w:tab w:leader="none" w:pos="135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write-off, discount, sale or other disposition of receivables and similar obligations in the ordinary course of business and not undertaken as part of an accounts receivable financing transaction;</w:t>
      </w:r>
    </w:p>
    <w:p>
      <w:pPr>
        <w:spacing w:after="0" w:line="176" w:lineRule="exact"/>
        <w:rPr>
          <w:rFonts w:ascii="Arial" w:cs="Arial" w:eastAsia="Arial" w:hAnsi="Arial"/>
          <w:sz w:val="20"/>
          <w:szCs w:val="20"/>
          <w:color w:val="auto"/>
        </w:rPr>
      </w:pPr>
    </w:p>
    <w:p>
      <w:pPr>
        <w:ind w:left="1300" w:hanging="401"/>
        <w:spacing w:after="0"/>
        <w:tabs>
          <w:tab w:leader="none" w:pos="13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termination, unwinding or other disposition of any Hedge Agreement;</w:t>
      </w:r>
    </w:p>
    <w:p>
      <w:pPr>
        <w:spacing w:after="0" w:line="215" w:lineRule="exact"/>
        <w:rPr>
          <w:rFonts w:ascii="Arial" w:cs="Arial" w:eastAsia="Arial" w:hAnsi="Arial"/>
          <w:sz w:val="20"/>
          <w:szCs w:val="20"/>
          <w:color w:val="auto"/>
        </w:rPr>
      </w:pPr>
    </w:p>
    <w:p>
      <w:pPr>
        <w:ind w:left="1280" w:hanging="381"/>
        <w:spacing w:after="0"/>
        <w:tabs>
          <w:tab w:leader="none" w:pos="128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dispositions of cash and Cash Equivalents;</w:t>
      </w:r>
    </w:p>
    <w:p>
      <w:pPr>
        <w:spacing w:after="0" w:line="215" w:lineRule="exact"/>
        <w:rPr>
          <w:rFonts w:ascii="Arial" w:cs="Arial" w:eastAsia="Arial" w:hAnsi="Arial"/>
          <w:sz w:val="20"/>
          <w:szCs w:val="20"/>
          <w:color w:val="auto"/>
        </w:rPr>
      </w:pPr>
    </w:p>
    <w:p>
      <w:pPr>
        <w:jc w:val="both"/>
        <w:ind w:left="260" w:firstLine="639"/>
        <w:spacing w:after="0" w:line="282" w:lineRule="auto"/>
        <w:tabs>
          <w:tab w:leader="none" w:pos="137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Asset Dispositions (i) between or among Credit Parties, (ii) by any Non-Guarantor Subsidiary to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new transfer, such Credit Party shall not pay more than an amount equal to the fair value of such assets, as determined the Borrower in good faith at the time of such transfer), (iii) by any Non-Guarantor Subsidiary to any other Non-Guarantor Subsidiary and (iv) by any Credit Party to any Non-Guarantor Subsidiary to the extent permitted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260" w:firstLine="639"/>
        <w:spacing w:after="0" w:line="250" w:lineRule="auto"/>
        <w:tabs>
          <w:tab w:leader="none" w:pos="131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sale or other disposition of obsolete, worn-out or surplus assets no longer used or useful in the business of the Borrower and its Subsidiaries, or the swap of equipment and related assets in exchange for similar equipment and related assets, in the ordinary course of business, of comparable or greater value or useful to the business;</w:t>
      </w:r>
    </w:p>
    <w:p>
      <w:pPr>
        <w:spacing w:after="0" w:line="186" w:lineRule="exact"/>
        <w:rPr>
          <w:rFonts w:ascii="Arial" w:cs="Arial" w:eastAsia="Arial" w:hAnsi="Arial"/>
          <w:sz w:val="20"/>
          <w:szCs w:val="20"/>
          <w:color w:val="auto"/>
        </w:rPr>
      </w:pPr>
    </w:p>
    <w:p>
      <w:pPr>
        <w:ind w:left="260" w:right="20" w:firstLine="639"/>
        <w:spacing w:after="0" w:line="260" w:lineRule="auto"/>
        <w:tabs>
          <w:tab w:leader="none" w:pos="135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licenses and sublicenses of intellectual property rights in the ordinary course of business not materially interfering with the business of the Borrower and its Subsidiaries, taken as a whole;</w:t>
      </w:r>
    </w:p>
    <w:p>
      <w:pPr>
        <w:spacing w:after="0" w:line="176" w:lineRule="exact"/>
        <w:rPr>
          <w:rFonts w:ascii="Arial" w:cs="Arial" w:eastAsia="Arial" w:hAnsi="Arial"/>
          <w:sz w:val="20"/>
          <w:szCs w:val="20"/>
          <w:color w:val="auto"/>
        </w:rPr>
      </w:pPr>
    </w:p>
    <w:p>
      <w:pPr>
        <w:ind w:left="260" w:firstLine="639"/>
        <w:spacing w:after="0" w:line="316" w:lineRule="auto"/>
        <w:tabs>
          <w:tab w:leader="none" w:pos="135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leases, subleases, licenses or sublicenses of real or personal property granted by the Borrower or any of its Subsidiaries to others in the ordinary course of business not materially interfering with the business of the Borrower and its Subsidiaries, taken as a whole;</w:t>
      </w:r>
    </w:p>
    <w:p>
      <w:pPr>
        <w:spacing w:after="0" w:line="130" w:lineRule="exact"/>
        <w:rPr>
          <w:rFonts w:ascii="Arial" w:cs="Arial" w:eastAsia="Arial" w:hAnsi="Arial"/>
          <w:sz w:val="18"/>
          <w:szCs w:val="18"/>
          <w:color w:val="auto"/>
        </w:rPr>
      </w:pPr>
    </w:p>
    <w:p>
      <w:pPr>
        <w:ind w:left="260" w:right="20" w:firstLine="639"/>
        <w:spacing w:after="0" w:line="260" w:lineRule="auto"/>
        <w:tabs>
          <w:tab w:leader="none" w:pos="14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Asset Dispositions of Investments in joint ventures if required by, or made pursuant to customary buy/sell arrangements between the joint venture parties set forth in joint venture arrangements and similar binding arrangements;</w:t>
      </w:r>
    </w:p>
    <w:p>
      <w:pPr>
        <w:spacing w:after="0" w:line="176" w:lineRule="exact"/>
        <w:rPr>
          <w:rFonts w:ascii="Arial" w:cs="Arial" w:eastAsia="Arial" w:hAnsi="Arial"/>
          <w:sz w:val="20"/>
          <w:szCs w:val="20"/>
          <w:color w:val="auto"/>
        </w:rPr>
      </w:pPr>
    </w:p>
    <w:p>
      <w:pPr>
        <w:ind w:left="1260" w:hanging="361"/>
        <w:spacing w:after="0"/>
        <w:tabs>
          <w:tab w:leader="none" w:pos="12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Investments permitted by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Permitted Liens and Restricted Payments permitted by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 w:firstLine="639"/>
        <w:spacing w:after="0" w:line="260" w:lineRule="auto"/>
        <w:tabs>
          <w:tab w:leader="none" w:pos="149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lapse or abandonment in the ordinary course of business of any registrations or applications for registration of any intellectual property or the discontinuance of the use or maintenance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17" w:name="page218"/>
    <w:bookmarkEnd w:id="217"/>
    <w:p>
      <w:pPr>
        <w:ind w:left="260"/>
        <w:spacing w:after="0" w:line="260" w:lineRule="auto"/>
        <w:rPr>
          <w:sz w:val="20"/>
          <w:szCs w:val="20"/>
          <w:color w:val="auto"/>
        </w:rPr>
      </w:pPr>
      <w:r>
        <w:rPr>
          <w:rFonts w:ascii="Arial" w:cs="Arial" w:eastAsia="Arial" w:hAnsi="Arial"/>
          <w:sz w:val="20"/>
          <w:szCs w:val="20"/>
          <w:color w:val="auto"/>
        </w:rPr>
        <w:t>of any intellectual property, if the Borrower or any Subsidiary determines in its reasonable business judgment that it would not materially interfere with the business of the Borrower and its Subsidiaries, taken as a whole; and</w:t>
      </w:r>
    </w:p>
    <w:p>
      <w:pPr>
        <w:spacing w:after="0" w:line="177" w:lineRule="exact"/>
        <w:rPr>
          <w:sz w:val="20"/>
          <w:szCs w:val="20"/>
          <w:color w:val="auto"/>
        </w:rPr>
      </w:pPr>
    </w:p>
    <w:p>
      <w:pPr>
        <w:jc w:val="both"/>
        <w:ind w:left="260" w:firstLine="639"/>
        <w:spacing w:after="0" w:line="250" w:lineRule="auto"/>
        <w:tabs>
          <w:tab w:leader="none" w:pos="133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any Asset Disposition so long as, both immediately prior to and after giving effect thereto on a Pro Forma Basis (i) no Default or Event of Default has occurred and is continuing and (ii) the Borrower is in compliance with the financial covenants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9.12</w:t>
      </w:r>
      <w:r>
        <w:rPr>
          <w:rFonts w:ascii="Arial" w:cs="Arial" w:eastAsia="Arial" w:hAnsi="Arial"/>
          <w:sz w:val="20"/>
          <w:szCs w:val="20"/>
          <w:color w:val="auto"/>
        </w:rPr>
        <w: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any Restricted Payments; except:</w:t>
      </w:r>
    </w:p>
    <w:p>
      <w:pPr>
        <w:spacing w:after="0" w:line="216" w:lineRule="exact"/>
        <w:rPr>
          <w:sz w:val="20"/>
          <w:szCs w:val="20"/>
          <w:color w:val="auto"/>
        </w:rPr>
      </w:pPr>
    </w:p>
    <w:p>
      <w:pPr>
        <w:ind w:left="1300" w:hanging="401"/>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Borrower or any Subsidiary may declare and make Restricted Payments in Qualified Equity Interests of such Person;</w:t>
      </w:r>
    </w:p>
    <w:p>
      <w:pPr>
        <w:spacing w:after="0" w:line="238" w:lineRule="exact"/>
        <w:rPr>
          <w:rFonts w:ascii="Arial" w:cs="Arial" w:eastAsia="Arial" w:hAnsi="Arial"/>
          <w:sz w:val="18"/>
          <w:szCs w:val="18"/>
          <w:color w:val="auto"/>
        </w:rPr>
      </w:pPr>
    </w:p>
    <w:p>
      <w:pPr>
        <w:jc w:val="both"/>
        <w:ind w:left="260" w:firstLine="639"/>
        <w:spacing w:after="0" w:line="250" w:lineRule="auto"/>
        <w:tabs>
          <w:tab w:leader="none" w:pos="131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any Subsidiary of the Borrower may declare and make Restricted Payments to the Borrower or any Subsidiary (and, in the case of any Restricted Payment by a Non-Wholly-Owned Subsidiary, to the Borrower and any such other Subsidiary and to each other owner of Equity Interests of such Subsidiary based on their relative ownership interests);</w:t>
      </w:r>
    </w:p>
    <w:p>
      <w:pPr>
        <w:spacing w:after="0" w:line="186" w:lineRule="exact"/>
        <w:rPr>
          <w:rFonts w:ascii="Arial" w:cs="Arial" w:eastAsia="Arial" w:hAnsi="Arial"/>
          <w:sz w:val="20"/>
          <w:szCs w:val="20"/>
          <w:color w:val="auto"/>
        </w:rPr>
      </w:pPr>
    </w:p>
    <w:p>
      <w:pPr>
        <w:jc w:val="both"/>
        <w:ind w:left="260" w:right="20" w:firstLine="639"/>
        <w:spacing w:after="0" w:line="250" w:lineRule="auto"/>
        <w:tabs>
          <w:tab w:leader="none" w:pos="133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the Borrower and its Subsidiaries may make Restricted Payments so long as, both immediately prior to and after giving effect thereto on a Pro Forma Basis (i) no Default or Event of Default has occurred and is continuing and (ii) the Borrower is in compliance with the financial covenants set forth in </w:t>
      </w:r>
      <w:r>
        <w:rPr>
          <w:rFonts w:ascii="Arial" w:cs="Arial" w:eastAsia="Arial" w:hAnsi="Arial"/>
          <w:sz w:val="20"/>
          <w:szCs w:val="20"/>
          <w:u w:val="single" w:color="auto"/>
          <w:color w:val="auto"/>
        </w:rPr>
        <w:t>Section 9.12;</w:t>
      </w:r>
    </w:p>
    <w:p>
      <w:pPr>
        <w:spacing w:after="0" w:line="186" w:lineRule="exact"/>
        <w:rPr>
          <w:rFonts w:ascii="Arial" w:cs="Arial" w:eastAsia="Arial" w:hAnsi="Arial"/>
          <w:sz w:val="20"/>
          <w:szCs w:val="20"/>
          <w:color w:val="auto"/>
        </w:rPr>
      </w:pPr>
    </w:p>
    <w:p>
      <w:pPr>
        <w:ind w:left="260" w:firstLine="639"/>
        <w:spacing w:after="0" w:line="260" w:lineRule="auto"/>
        <w:tabs>
          <w:tab w:leader="none" w:pos="134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Borrower and its Subsidiaries may pay cash in lieu of fractional Equity Interests in connection with any dividend, split or combination thereof or any Permitted Acquisition; and</w:t>
      </w:r>
    </w:p>
    <w:p>
      <w:pPr>
        <w:spacing w:after="0" w:line="176" w:lineRule="exact"/>
        <w:rPr>
          <w:rFonts w:ascii="Arial" w:cs="Arial" w:eastAsia="Arial" w:hAnsi="Arial"/>
          <w:sz w:val="20"/>
          <w:szCs w:val="20"/>
          <w:color w:val="auto"/>
        </w:rPr>
      </w:pPr>
    </w:p>
    <w:p>
      <w:pPr>
        <w:jc w:val="both"/>
        <w:ind w:left="260" w:firstLine="639"/>
        <w:spacing w:after="0" w:line="250" w:lineRule="auto"/>
        <w:tabs>
          <w:tab w:leader="none" w:pos="130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repurchases of Equity Interests in the Borrower and its Subsidiaries deemed to occur upon exercise of stock options or warrants or the settlement or vesting of other Equity Interests if such Equity Interests represent all or a portion of the exercise price of, or tax withholdings with respect to, such Equity Interests.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Directly or indirectly enter into any transaction, including any purchase, sale, lease or exchange of Property, the rendering of any service or the payment of any management, advisory or similar fees, with (a) any officer, director, holder of any Equity Interests in, or other Affiliate of the Borrower or any of its Subsidiaries, or (b) any Affiliate of any such officer, director or holder and:</w:t>
      </w:r>
    </w:p>
    <w:p>
      <w:pPr>
        <w:spacing w:after="0" w:line="192" w:lineRule="exact"/>
        <w:rPr>
          <w:sz w:val="20"/>
          <w:szCs w:val="20"/>
          <w:color w:val="auto"/>
        </w:rPr>
      </w:pPr>
    </w:p>
    <w:p>
      <w:pPr>
        <w:ind w:left="1680" w:hanging="375"/>
        <w:spacing w:after="0"/>
        <w:tabs>
          <w:tab w:leader="none" w:pos="16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9.3</w:t>
      </w:r>
      <w:r>
        <w:rPr>
          <w:rFonts w:ascii="Arial" w:cs="Arial" w:eastAsia="Arial" w:hAnsi="Arial"/>
          <w:sz w:val="20"/>
          <w:szCs w:val="20"/>
          <w:color w:val="auto"/>
        </w:rPr>
        <w:t xml:space="preserve">, </w:t>
      </w:r>
      <w:r>
        <w:rPr>
          <w:rFonts w:ascii="Arial" w:cs="Arial" w:eastAsia="Arial" w:hAnsi="Arial"/>
          <w:sz w:val="20"/>
          <w:szCs w:val="20"/>
          <w:u w:val="single" w:color="auto"/>
          <w:color w:val="auto"/>
        </w:rPr>
        <w:t>9.4</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transactions existing on the Closing Date and described on </w:t>
      </w:r>
      <w:r>
        <w:rPr>
          <w:rFonts w:ascii="Arial" w:cs="Arial" w:eastAsia="Arial" w:hAnsi="Arial"/>
          <w:sz w:val="20"/>
          <w:szCs w:val="20"/>
          <w:u w:val="single" w:color="auto"/>
          <w:color w:val="auto"/>
        </w:rPr>
        <w:t>Schedule 9.7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transactions among Credit Parties not prohibited hereunder;</w:t>
      </w:r>
    </w:p>
    <w:p>
      <w:pPr>
        <w:spacing w:after="0" w:line="215" w:lineRule="exact"/>
        <w:rPr>
          <w:rFonts w:ascii="Arial" w:cs="Arial" w:eastAsia="Arial" w:hAnsi="Arial"/>
          <w:sz w:val="20"/>
          <w:szCs w:val="20"/>
          <w:color w:val="auto"/>
        </w:rPr>
      </w:pPr>
    </w:p>
    <w:p>
      <w:pPr>
        <w:ind w:left="660" w:right="20" w:firstLine="645"/>
        <w:spacing w:after="0" w:line="316" w:lineRule="auto"/>
        <w:tabs>
          <w:tab w:leader="none" w:pos="17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 transactions on terms as favorable to the Borrower or such Subsidiary as would be obtainable by it at the time in a comparable arm’s-length transaction with a Person other than an Affiliate of it as determined in good faith by the Borrower;</w:t>
      </w:r>
    </w:p>
    <w:p>
      <w:pPr>
        <w:spacing w:after="0" w:line="130" w:lineRule="exact"/>
        <w:rPr>
          <w:rFonts w:ascii="Arial" w:cs="Arial" w:eastAsia="Arial" w:hAnsi="Arial"/>
          <w:sz w:val="18"/>
          <w:szCs w:val="18"/>
          <w:color w:val="auto"/>
        </w:rPr>
      </w:pPr>
    </w:p>
    <w:p>
      <w:pPr>
        <w:ind w:left="660" w:firstLine="645"/>
        <w:spacing w:after="0" w:line="260" w:lineRule="auto"/>
        <w:tabs>
          <w:tab w:leader="none" w:pos="171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employment and severance arrangements (including equity incentive plans and employee benefit plans and arrangements) with their respective officers and employees in the ordinary course of business;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18" w:name="page219"/>
    <w:bookmarkEnd w:id="218"/>
    <w:p>
      <w:pPr>
        <w:jc w:val="both"/>
        <w:ind w:left="660" w:firstLine="645"/>
        <w:spacing w:after="0" w:line="250" w:lineRule="auto"/>
        <w:tabs>
          <w:tab w:leader="none" w:pos="182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payment of customary fees and reasonable out of pocket costs to, and indemnities for the benefit of, directors, officers and employees of the Borrower and its Subsidiaries in the ordinary course of business to the extent attributable to the ownership or operation of the Borrower and its Subsidiaries; and</w:t>
      </w:r>
    </w:p>
    <w:p>
      <w:pPr>
        <w:spacing w:after="0" w:line="186" w:lineRule="exact"/>
        <w:rPr>
          <w:rFonts w:ascii="Arial" w:cs="Arial" w:eastAsia="Arial" w:hAnsi="Arial"/>
          <w:sz w:val="20"/>
          <w:szCs w:val="20"/>
          <w:color w:val="auto"/>
        </w:rPr>
      </w:pPr>
    </w:p>
    <w:p>
      <w:pPr>
        <w:ind w:left="1820" w:hanging="515"/>
        <w:spacing w:after="0"/>
        <w:tabs>
          <w:tab w:leader="none" w:pos="182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issuance or transfer of Qualified Equity Interests of the Borrower or a Subsidiary.</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9.8</w:t>
      </w:r>
      <w:r>
        <w:rPr>
          <w:sz w:val="20"/>
          <w:szCs w:val="20"/>
          <w:color w:val="auto"/>
        </w:rPr>
        <w:tab/>
      </w:r>
      <w:r>
        <w:rPr>
          <w:rFonts w:ascii="Arial" w:cs="Arial" w:eastAsia="Arial" w:hAnsi="Arial"/>
          <w:sz w:val="18"/>
          <w:szCs w:val="18"/>
          <w:u w:val="single" w:color="auto"/>
          <w:color w:val="auto"/>
        </w:rPr>
        <w:t>Accounting Changes; Organizational Documents</w:t>
      </w:r>
      <w:r>
        <w:rPr>
          <w:rFonts w:ascii="Arial" w:cs="Arial" w:eastAsia="Arial" w:hAnsi="Arial"/>
          <w:sz w:val="18"/>
          <w:szCs w:val="18"/>
          <w:color w:val="auto"/>
        </w:rPr>
        <w:t>.</w:t>
      </w:r>
    </w:p>
    <w:p>
      <w:pPr>
        <w:spacing w:after="0" w:line="216" w:lineRule="exact"/>
        <w:rPr>
          <w:sz w:val="20"/>
          <w:szCs w:val="20"/>
          <w:color w:val="auto"/>
        </w:rPr>
      </w:pPr>
    </w:p>
    <w:p>
      <w:pPr>
        <w:ind w:left="260" w:firstLine="639"/>
        <w:spacing w:after="0" w:line="316" w:lineRule="auto"/>
        <w:tabs>
          <w:tab w:leader="none" w:pos="134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Change its Fiscal Year end, or make (without the consent of the Administrative Agent) any material change in its accounting treatment and reporting practices, in each case except as required by GAAP or as required to implement any such change.</w:t>
      </w:r>
    </w:p>
    <w:p>
      <w:pPr>
        <w:spacing w:after="0" w:line="130" w:lineRule="exact"/>
        <w:rPr>
          <w:rFonts w:ascii="Arial" w:cs="Arial" w:eastAsia="Arial" w:hAnsi="Arial"/>
          <w:sz w:val="18"/>
          <w:szCs w:val="18"/>
          <w:color w:val="auto"/>
        </w:rPr>
      </w:pPr>
    </w:p>
    <w:p>
      <w:pPr>
        <w:ind w:left="260" w:right="20" w:firstLine="639"/>
        <w:spacing w:after="0" w:line="316" w:lineRule="auto"/>
        <w:tabs>
          <w:tab w:leader="none" w:pos="135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Amend, modify or change the Organizational Documents of any Credit Party or amend, modify or change any Credit Party’s bylaws (or other similar documents) in any manner materially adverse to the rights or interests of the Lenders under the Loan Documents.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No Further Negative Pledges; Restrictive Agreements</w:t>
      </w:r>
      <w:r>
        <w:rPr>
          <w:rFonts w:ascii="Arial" w:cs="Arial" w:eastAsia="Arial" w:hAnsi="Arial"/>
          <w:sz w:val="18"/>
          <w:szCs w:val="18"/>
          <w:color w:val="auto"/>
        </w:rPr>
        <w:t>. Enter into, assume or be party to any consensual encumbrance or restriction on the ability of (a) the Borrower or any Guarantor to create, incur, assume or suffer to exist Liens on Property of such Person, whether now owned or hereafter acquired, for the benefit of the Lenders with respect to the Obligations, (b) (i) any Subsidiary of the Borrower to pay dividends or make any other distributions to any Credit Party on such Subsidiary’s Equity Interests or (ii) the Borrower or any Subsidiary thereof to (x) pay any Indebtedness or other obligation owed to any Credit Party, (y) make loans or advances to any Credit Party or</w:t>
      </w:r>
    </w:p>
    <w:p>
      <w:pPr>
        <w:spacing w:after="0" w:line="4" w:lineRule="exact"/>
        <w:rPr>
          <w:sz w:val="20"/>
          <w:szCs w:val="20"/>
          <w:color w:val="auto"/>
        </w:rPr>
      </w:pPr>
    </w:p>
    <w:p>
      <w:pPr>
        <w:jc w:val="both"/>
        <w:ind w:firstLine="8"/>
        <w:spacing w:after="0" w:line="268" w:lineRule="auto"/>
        <w:tabs>
          <w:tab w:leader="none" w:pos="29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sell, lease or transfer any of its properties or assets to any Credit Party, except, in each case, any such encumbrance or restriction: (A) pursuant to this Agreement and the other Loan Documents, (B) pursuant to any document or instrument governing Indebtedness incurred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encumbrance or restriction is permitted pursuant to </w:t>
      </w:r>
      <w:r>
        <w:rPr>
          <w:rFonts w:ascii="Arial" w:cs="Arial" w:eastAsia="Arial" w:hAnsi="Arial"/>
          <w:sz w:val="18"/>
          <w:szCs w:val="18"/>
          <w:u w:val="single" w:color="auto"/>
          <w:color w:val="auto"/>
        </w:rPr>
        <w:t>Section 9.2(c)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encumbrance or restriction is permitted pursuant to </w:t>
      </w:r>
      <w:r>
        <w:rPr>
          <w:rFonts w:ascii="Arial" w:cs="Arial" w:eastAsia="Arial" w:hAnsi="Arial"/>
          <w:sz w:val="18"/>
          <w:szCs w:val="18"/>
          <w:u w:val="single" w:color="auto"/>
          <w:color w:val="auto"/>
        </w:rPr>
        <w:t>Section 9.2(h)</w:t>
      </w:r>
      <w:r>
        <w:rPr>
          <w:rFonts w:ascii="Arial" w:cs="Arial" w:eastAsia="Arial" w:hAnsi="Arial"/>
          <w:sz w:val="18"/>
          <w:szCs w:val="18"/>
          <w:color w:val="auto"/>
        </w:rPr>
        <w:t>), (C) contained in the Organizational Documents of any Non-Guarantor Subsidiary as of the Closing Date or any Non-Wholly-Owned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 was added or incorporated in the Organizational Documents of such Non-Wholly-Owned Subsidiary or agreement as a result of good faith negotiations concerning such Non-Wholly-Owned Subsidiary among the Borrower (or any Affiliate of the Borrower) and the joint venture partners or Equity Interest holders of such Non-Wholly-Owned Subsidiary), (D)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(E) existing from time to time under or by reason of Applicable Law or required by any Governmental Authority, (F) pursuant to obligations that are binding on a Subsidiary at the time such Subsidiary first becomes a Subsidiary of the Borrower, so long as such obligations are not entered into in contemplation of such Person becoming a Subsidiary, (G) contained in an agreement related to the sale or other disposition of Property (to the extent such sale is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that is customary and limits the transfer of such Property pending the consummation of such sale or other disposition, (H) in leases, subleases, licenses and sublicenses or asset sale agreements otherwise permitted by this Agreement so long as such encumbrance or restriction is in the ordinary course of business and relates only to the assets subject thereto, or (I) pursuant to customary provisions restricting assignment of any agreement entered into in the ordinary course of business or so long as such encumbrance or restriction relates only to the rights and obligations under such agreement or any related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19" w:name="page220"/>
    <w:bookmarkEnd w:id="219"/>
    <w:p>
      <w:pPr>
        <w:jc w:val="both"/>
        <w:ind w:firstLine="648"/>
        <w:spacing w:after="0" w:line="316"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Nature of Business</w:t>
      </w:r>
      <w:r>
        <w:rPr>
          <w:rFonts w:ascii="Arial" w:cs="Arial" w:eastAsia="Arial" w:hAnsi="Arial"/>
          <w:sz w:val="18"/>
          <w:szCs w:val="18"/>
          <w:color w:val="auto"/>
        </w:rPr>
        <w:t>. Engage in any business other than the businesses conducted by the Borrower and its Subsidiaries as of the Closing Date, businesses and business activities reasonably related or ancillary thereto and reasonable extensions thereof.</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Sale Leasebacks</w:t>
      </w:r>
      <w:r>
        <w:rPr>
          <w:rFonts w:ascii="Arial" w:cs="Arial" w:eastAsia="Arial" w:hAnsi="Arial"/>
          <w:sz w:val="20"/>
          <w:szCs w:val="20"/>
          <w:color w:val="auto"/>
        </w:rPr>
        <w:t xml:space="preserve">. Except as permitted by </w:t>
      </w:r>
      <w:r>
        <w:rPr>
          <w:rFonts w:ascii="Arial" w:cs="Arial" w:eastAsia="Arial" w:hAnsi="Arial"/>
          <w:sz w:val="20"/>
          <w:szCs w:val="20"/>
          <w:u w:val="single" w:color="auto"/>
          <w:color w:val="auto"/>
        </w:rPr>
        <w:t>Section 9.1(d)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9.5</w:t>
      </w:r>
      <w:r>
        <w:rPr>
          <w:rFonts w:ascii="Arial" w:cs="Arial" w:eastAsia="Arial" w:hAnsi="Arial"/>
          <w:sz w:val="20"/>
          <w:szCs w:val="20"/>
          <w:color w:val="auto"/>
        </w:rPr>
        <w:t>, directly or indirectly become or remain liable as lessee or as guarantor or other surety with respect to any lease, whether an operating lease or a capital lease, of any Property (whether real, personal or mixed), whether now owned or hereafter acquired, (a) which any Credit Party or any Subsidiary thereof has sold or transferred or is to sell or transfer to a Person which is not another Credit Party or Subsidiary of a Credit Party and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9.12</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71" w:lineRule="auto"/>
        <w:tabs>
          <w:tab w:leader="none" w:pos="134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xml:space="preserve">. As of the last day of any fiscal quarter, permit the Consolidated Net Leverage Ratio to be greater than 3.75 to 1.00. Notwithstanding the foregoing, in connection with any Permitted Acquisition having aggregate cash consideration (including cash, Cash Equivalents and other deferred payment obligations) in excess of $150,000,000, the Borrower may, at its election, in connection with such Permitted Acquisition and upon prior written notice to the Administrative Agent, increase the required Consolidated Net Leverage Ratio pursuant to this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to 4.25 to 1.00,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compliance on a Pro Forma Basis with this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on the LCA Test Date, for the fiscal quarter in which such Permitted Acquisition is consummated and for the three (3) consecutive quarterly test periods after which such Permitted Acquisition is consummated (each, a “</w:t>
      </w:r>
      <w:r>
        <w:rPr>
          <w:rFonts w:ascii="Arial" w:cs="Arial" w:eastAsia="Arial" w:hAnsi="Arial"/>
          <w:sz w:val="18"/>
          <w:szCs w:val="18"/>
          <w:u w:val="single" w:color="auto"/>
          <w:color w:val="auto"/>
        </w:rPr>
        <w:t>Leverage Ratio 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at least two full fiscal quarters following the cessation of each such Leverage Ratio Increase during which no Leverage Ratio Increase shall then be in effect.</w:t>
      </w:r>
    </w:p>
    <w:p>
      <w:pPr>
        <w:spacing w:after="0" w:line="170" w:lineRule="exact"/>
        <w:rPr>
          <w:rFonts w:ascii="Arial" w:cs="Arial" w:eastAsia="Arial" w:hAnsi="Arial"/>
          <w:sz w:val="18"/>
          <w:szCs w:val="18"/>
          <w:color w:val="auto"/>
        </w:rPr>
      </w:pPr>
    </w:p>
    <w:p>
      <w:pPr>
        <w:jc w:val="both"/>
        <w:ind w:left="260" w:firstLine="639"/>
        <w:spacing w:after="0" w:line="250" w:lineRule="auto"/>
        <w:tabs>
          <w:tab w:leader="none" w:pos="134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Minimum Cash Reserves</w:t>
      </w:r>
      <w:r>
        <w:rPr>
          <w:rFonts w:ascii="Arial" w:cs="Arial" w:eastAsia="Arial" w:hAnsi="Arial"/>
          <w:sz w:val="20"/>
          <w:szCs w:val="20"/>
          <w:color w:val="auto"/>
        </w:rPr>
        <w:t xml:space="preserve">. Fail to maintain, at any time, Unrestricted Cash and Cash Equivalents in an aggregate amount of at least $200,000,000 in deposit accounts and/or securities accounts owned by Credit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9.12(b)</w:t>
      </w:r>
      <w:r>
        <w:rPr>
          <w:rFonts w:ascii="Arial" w:cs="Arial" w:eastAsia="Arial" w:hAnsi="Arial"/>
          <w:sz w:val="20"/>
          <w:szCs w:val="20"/>
          <w:color w:val="auto"/>
        </w:rPr>
        <w:t xml:space="preserve"> shall only apply until the Liens created by the Specified Documents have been released and fully terminated.</w:t>
      </w:r>
    </w:p>
    <w:p>
      <w:pPr>
        <w:spacing w:after="0" w:line="186" w:lineRule="exact"/>
        <w:rPr>
          <w:rFonts w:ascii="Arial" w:cs="Arial" w:eastAsia="Arial" w:hAnsi="Arial"/>
          <w:sz w:val="20"/>
          <w:szCs w:val="20"/>
          <w:color w:val="auto"/>
        </w:rPr>
      </w:pPr>
    </w:p>
    <w:p>
      <w:pPr>
        <w:ind w:left="260" w:firstLine="639"/>
        <w:spacing w:after="0" w:line="260" w:lineRule="auto"/>
        <w:tabs>
          <w:tab w:leader="none" w:pos="1348"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Interest Coverage Ratio</w:t>
      </w:r>
      <w:r>
        <w:rPr>
          <w:rFonts w:ascii="Arial" w:cs="Arial" w:eastAsia="Arial" w:hAnsi="Arial"/>
          <w:sz w:val="20"/>
          <w:szCs w:val="20"/>
          <w:color w:val="auto"/>
        </w:rPr>
        <w:t xml:space="preserve">. At all times after the minimum cash reserve requirement pursuant to </w:t>
      </w:r>
      <w:r>
        <w:rPr>
          <w:rFonts w:ascii="Arial" w:cs="Arial" w:eastAsia="Arial" w:hAnsi="Arial"/>
          <w:sz w:val="20"/>
          <w:szCs w:val="20"/>
          <w:u w:val="single" w:color="auto"/>
          <w:color w:val="auto"/>
        </w:rPr>
        <w:t>Section 9.12(b)</w:t>
      </w:r>
      <w:r>
        <w:rPr>
          <w:rFonts w:ascii="Arial" w:cs="Arial" w:eastAsia="Arial" w:hAnsi="Arial"/>
          <w:sz w:val="20"/>
          <w:szCs w:val="20"/>
          <w:color w:val="auto"/>
        </w:rPr>
        <w:t xml:space="preserve"> is no longer in effect, as of the last day of any fiscal quarter, permit the Interest Coverage Ratio to be less than 3.00 to 1.00.</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Directly or indirectly, amend, modify, alter, increase, or change in any material respect any of the payment or other material terms or conditions of any of the Specified Documents except to the extent that such amendment, modification, alteration, increase, or change could not reasonably be expected, individually or in the aggregate,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only apply until the Liens created by the Specified Documents have been released and fully terminated.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0" w:name="page221"/>
    <w:bookmarkEnd w:id="220"/>
    <w:p>
      <w:pPr>
        <w:jc w:val="center"/>
        <w:ind w:right="22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DEFAULT AND REMEDIES</w:t>
      </w:r>
    </w:p>
    <w:p>
      <w:pPr>
        <w:spacing w:after="0" w:line="21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shall constitute an Event of Default:</w:t>
      </w:r>
    </w:p>
    <w:p>
      <w:pPr>
        <w:spacing w:after="0" w:line="216" w:lineRule="exact"/>
        <w:rPr>
          <w:sz w:val="20"/>
          <w:szCs w:val="20"/>
          <w:color w:val="auto"/>
        </w:rPr>
      </w:pPr>
    </w:p>
    <w:p>
      <w:pPr>
        <w:jc w:val="both"/>
        <w:ind w:left="260" w:firstLine="639"/>
        <w:spacing w:after="0" w:line="291" w:lineRule="auto"/>
        <w:tabs>
          <w:tab w:leader="none" w:pos="141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xml:space="preserve">. The Borrower or any other Credit Party shall default in any payment of principal of any Loan or Reimbursement Obligation when and as due (whether at maturity, by reason of acceleration or otherwise) or fail to provide Cash Collateral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5.15(a)(v)</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260" w:firstLine="639"/>
        <w:spacing w:after="0" w:line="250" w:lineRule="auto"/>
        <w:tabs>
          <w:tab w:leader="none" w:pos="1386"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Other Payment Default</w:t>
      </w:r>
      <w:r>
        <w:rPr>
          <w:rFonts w:ascii="Arial" w:cs="Arial" w:eastAsia="Arial" w:hAnsi="Arial"/>
          <w:sz w:val="20"/>
          <w:szCs w:val="20"/>
          <w:color w:val="auto"/>
        </w:rPr>
        <w:t>. The Borrower or any other Credit Party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6" w:lineRule="exact"/>
        <w:rPr>
          <w:rFonts w:ascii="Arial" w:cs="Arial" w:eastAsia="Arial" w:hAnsi="Arial"/>
          <w:sz w:val="20"/>
          <w:szCs w:val="20"/>
          <w:color w:val="auto"/>
        </w:rPr>
      </w:pPr>
    </w:p>
    <w:p>
      <w:pPr>
        <w:jc w:val="both"/>
        <w:ind w:left="260" w:firstLine="639"/>
        <w:spacing w:after="0" w:line="260" w:lineRule="auto"/>
        <w:tabs>
          <w:tab w:leader="none" w:pos="1456"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Misrepresentation</w:t>
      </w:r>
      <w:r>
        <w:rPr>
          <w:rFonts w:ascii="Arial" w:cs="Arial" w:eastAsia="Arial" w:hAnsi="Arial"/>
          <w:sz w:val="19"/>
          <w:szCs w:val="19"/>
          <w:color w:val="auto"/>
        </w:rPr>
        <w:t>. Any representation, warranty or certification made by the Borrower on behalf of itself or any of its Subsidiaries in this Agreement or any other Loan Document that is subject to materiality or Material Adverse Effect qualifications, shall prove to have been untrue when made or deemed made, or any representation, warranty or certification made by the Borrower on behalf of itself or any of its Subsidiaries in this Agreement or any other Loan Document that is not subject to materiality or Material Adverse Effect qualifications, shall prove to have been untrue in any material respect when made or deemed made.</w:t>
      </w:r>
    </w:p>
    <w:p>
      <w:pPr>
        <w:spacing w:after="0" w:line="180" w:lineRule="exact"/>
        <w:rPr>
          <w:rFonts w:ascii="Arial" w:cs="Arial" w:eastAsia="Arial" w:hAnsi="Arial"/>
          <w:sz w:val="19"/>
          <w:szCs w:val="19"/>
          <w:color w:val="auto"/>
        </w:rPr>
      </w:pPr>
    </w:p>
    <w:p>
      <w:pPr>
        <w:jc w:val="both"/>
        <w:ind w:left="260" w:firstLine="639"/>
        <w:spacing w:after="0" w:line="250" w:lineRule="auto"/>
        <w:tabs>
          <w:tab w:leader="none" w:pos="1359"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Default in Performance of Certain Covenants</w:t>
      </w:r>
      <w:r>
        <w:rPr>
          <w:rFonts w:ascii="Arial" w:cs="Arial" w:eastAsia="Arial" w:hAnsi="Arial"/>
          <w:sz w:val="20"/>
          <w:szCs w:val="20"/>
          <w:color w:val="auto"/>
        </w:rPr>
        <w:t xml:space="preserve">. Any Credit Party or any Subsidiary thereof shall default in the performance or observance of any covenant or agreement contained in </w:t>
      </w:r>
      <w:r>
        <w:rPr>
          <w:rFonts w:ascii="Arial" w:cs="Arial" w:eastAsia="Arial" w:hAnsi="Arial"/>
          <w:sz w:val="20"/>
          <w:szCs w:val="20"/>
          <w:u w:val="single" w:color="auto"/>
          <w:color w:val="auto"/>
        </w:rPr>
        <w:t>Sections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8.2(a)</w:t>
      </w:r>
      <w:r>
        <w:rPr>
          <w:rFonts w:ascii="Arial" w:cs="Arial" w:eastAsia="Arial" w:hAnsi="Arial"/>
          <w:sz w:val="20"/>
          <w:szCs w:val="20"/>
          <w:color w:val="auto"/>
        </w:rPr>
        <w:t xml:space="preserve">, </w:t>
      </w:r>
      <w:r>
        <w:rPr>
          <w:rFonts w:ascii="Arial" w:cs="Arial" w:eastAsia="Arial" w:hAnsi="Arial"/>
          <w:sz w:val="20"/>
          <w:szCs w:val="20"/>
          <w:u w:val="single" w:color="auto"/>
          <w:color w:val="auto"/>
        </w:rPr>
        <w:t>8.3(a)</w:t>
      </w:r>
      <w:r>
        <w:rPr>
          <w:rFonts w:ascii="Arial" w:cs="Arial" w:eastAsia="Arial" w:hAnsi="Arial"/>
          <w:sz w:val="20"/>
          <w:szCs w:val="20"/>
          <w:color w:val="auto"/>
        </w:rPr>
        <w:t xml:space="preserve">, </w:t>
      </w:r>
      <w:r>
        <w:rPr>
          <w:rFonts w:ascii="Arial" w:cs="Arial" w:eastAsia="Arial" w:hAnsi="Arial"/>
          <w:sz w:val="20"/>
          <w:szCs w:val="20"/>
          <w:u w:val="single" w:color="auto"/>
          <w:color w:val="auto"/>
        </w:rPr>
        <w:t>8.4</w:t>
      </w:r>
      <w:r>
        <w:rPr>
          <w:rFonts w:ascii="Arial" w:cs="Arial" w:eastAsia="Arial" w:hAnsi="Arial"/>
          <w:sz w:val="20"/>
          <w:szCs w:val="20"/>
          <w:color w:val="auto"/>
        </w:rPr>
        <w:t xml:space="preserve"> (solely as to corporate existence), </w:t>
      </w:r>
      <w:r>
        <w:rPr>
          <w:rFonts w:ascii="Arial" w:cs="Arial" w:eastAsia="Arial" w:hAnsi="Arial"/>
          <w:sz w:val="20"/>
          <w:szCs w:val="20"/>
          <w:u w:val="single" w:color="auto"/>
          <w:color w:val="auto"/>
        </w:rPr>
        <w:t>8.11</w:t>
      </w:r>
      <w:r>
        <w:rPr>
          <w:rFonts w:ascii="Arial" w:cs="Arial" w:eastAsia="Arial" w:hAnsi="Arial"/>
          <w:sz w:val="20"/>
          <w:szCs w:val="20"/>
          <w:color w:val="auto"/>
        </w:rPr>
        <w:t xml:space="preserve">, </w:t>
      </w:r>
      <w:r>
        <w:rPr>
          <w:rFonts w:ascii="Arial" w:cs="Arial" w:eastAsia="Arial" w:hAnsi="Arial"/>
          <w:sz w:val="20"/>
          <w:szCs w:val="20"/>
          <w:u w:val="single" w:color="auto"/>
          <w:color w:val="auto"/>
        </w:rPr>
        <w:t>8.12</w:t>
      </w:r>
      <w:r>
        <w:rPr>
          <w:rFonts w:ascii="Arial" w:cs="Arial" w:eastAsia="Arial" w:hAnsi="Arial"/>
          <w:sz w:val="20"/>
          <w:szCs w:val="20"/>
          <w:color w:val="auto"/>
        </w:rPr>
        <w:t xml:space="preserve">, </w:t>
      </w:r>
      <w:r>
        <w:rPr>
          <w:rFonts w:ascii="Arial" w:cs="Arial" w:eastAsia="Arial" w:hAnsi="Arial"/>
          <w:sz w:val="20"/>
          <w:szCs w:val="20"/>
          <w:u w:val="single" w:color="auto"/>
          <w:color w:val="auto"/>
        </w:rPr>
        <w:t>8.13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260" w:firstLine="639"/>
        <w:spacing w:after="0" w:line="244" w:lineRule="auto"/>
        <w:tabs>
          <w:tab w:leader="none" w:pos="1375"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Default in Performance of Other Covenants and Conditions</w:t>
      </w:r>
      <w:r>
        <w:rPr>
          <w:rFonts w:ascii="Arial" w:cs="Arial" w:eastAsia="Arial" w:hAnsi="Arial"/>
          <w:sz w:val="20"/>
          <w:szCs w:val="20"/>
          <w:color w:val="auto"/>
        </w:rPr>
        <w:t xml:space="preserve">. Any Credit Party or any Subsidiary thereof shall default in the performance or observance of any term, covenant, condition or agreement contained in this Agreement (other than as specifically provided for in this </w:t>
      </w:r>
      <w:r>
        <w:rPr>
          <w:rFonts w:ascii="Arial" w:cs="Arial" w:eastAsia="Arial" w:hAnsi="Arial"/>
          <w:sz w:val="20"/>
          <w:szCs w:val="20"/>
          <w:u w:val="single" w:color="auto"/>
          <w:color w:val="auto"/>
        </w:rPr>
        <w:t>Section 10.1</w:t>
      </w:r>
      <w:r>
        <w:rPr>
          <w:rFonts w:ascii="Arial" w:cs="Arial" w:eastAsia="Arial" w:hAnsi="Arial"/>
          <w:sz w:val="20"/>
          <w:szCs w:val="20"/>
          <w:color w:val="auto"/>
        </w:rPr>
        <w:t>) or any other Loan Document on its part to be performed or observed and such default shall continue for a period of thirty (30) days after the earlier of (i) a Responsible Officer of the Borrower becomes aware thereof and (ii) receipt by the Borrower of written notice thereof from the Administrative Agent.</w:t>
      </w:r>
    </w:p>
    <w:p>
      <w:pPr>
        <w:spacing w:after="0" w:line="194" w:lineRule="exact"/>
        <w:rPr>
          <w:rFonts w:ascii="Arial" w:cs="Arial" w:eastAsia="Arial" w:hAnsi="Arial"/>
          <w:sz w:val="20"/>
          <w:szCs w:val="20"/>
          <w:color w:val="auto"/>
        </w:rPr>
      </w:pPr>
    </w:p>
    <w:p>
      <w:pPr>
        <w:jc w:val="both"/>
        <w:ind w:left="260" w:firstLine="639"/>
        <w:spacing w:after="0" w:line="271" w:lineRule="auto"/>
        <w:tabs>
          <w:tab w:leader="none" w:pos="13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 Any Credit Party or any Subsidiary thereof shall (i) default in the payment of any Indebtedness (other than the Loans or any Reimbursement Obligation)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such Indebtedness to (A) become due, or to be repurchased, prepaid, defeased or redeemed (automatically or otherwise), or an offer to repurchase, prepay, defease or redeem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21" w:name="page222"/>
    <w:bookmarkEnd w:id="221"/>
    <w:p>
      <w:pPr>
        <w:ind w:left="260"/>
        <w:spacing w:after="0"/>
        <w:rPr>
          <w:sz w:val="20"/>
          <w:szCs w:val="20"/>
          <w:color w:val="auto"/>
        </w:rPr>
      </w:pPr>
      <w:r>
        <w:rPr>
          <w:rFonts w:ascii="Arial" w:cs="Arial" w:eastAsia="Arial" w:hAnsi="Arial"/>
          <w:sz w:val="19"/>
          <w:szCs w:val="19"/>
          <w:color w:val="auto"/>
        </w:rPr>
        <w:t>such Indebtedness to be made, prior to its stated maturity (any applicable grace period having expired) or (B) be cash collateralized.</w:t>
      </w:r>
    </w:p>
    <w:p>
      <w:pPr>
        <w:spacing w:after="0" w:line="227" w:lineRule="exact"/>
        <w:rPr>
          <w:sz w:val="20"/>
          <w:szCs w:val="20"/>
          <w:color w:val="auto"/>
        </w:rPr>
      </w:pPr>
    </w:p>
    <w:p>
      <w:pPr>
        <w:ind w:left="1320" w:hanging="421"/>
        <w:spacing w:after="0"/>
        <w:tabs>
          <w:tab w:leader="none" w:pos="1320" w:val="left"/>
        </w:tabs>
        <w:numPr>
          <w:ilvl w:val="1"/>
          <w:numId w:val="17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Any Change in Control shall occur.</w:t>
      </w:r>
    </w:p>
    <w:p>
      <w:pPr>
        <w:spacing w:after="0" w:line="215" w:lineRule="exact"/>
        <w:rPr>
          <w:rFonts w:ascii="Arial" w:cs="Arial" w:eastAsia="Arial" w:hAnsi="Arial"/>
          <w:sz w:val="20"/>
          <w:szCs w:val="20"/>
          <w:color w:val="auto"/>
        </w:rPr>
      </w:pPr>
    </w:p>
    <w:p>
      <w:pPr>
        <w:ind w:left="1400" w:hanging="501"/>
        <w:spacing w:after="0"/>
        <w:tabs>
          <w:tab w:leader="none" w:pos="140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Voluntary Bankruptcy Proceeding</w:t>
      </w:r>
      <w:r>
        <w:rPr>
          <w:rFonts w:ascii="Arial" w:cs="Arial" w:eastAsia="Arial" w:hAnsi="Arial"/>
          <w:sz w:val="18"/>
          <w:szCs w:val="18"/>
          <w:color w:val="auto"/>
        </w:rPr>
        <w:t>. Any Credit Party or any Subsidiary thereof (other than an Immaterial Subsidiary) shall</w:t>
      </w:r>
    </w:p>
    <w:p>
      <w:pPr>
        <w:spacing w:after="0" w:line="38" w:lineRule="exact"/>
        <w:rPr>
          <w:rFonts w:ascii="Arial" w:cs="Arial" w:eastAsia="Arial" w:hAnsi="Arial"/>
          <w:sz w:val="18"/>
          <w:szCs w:val="18"/>
          <w:color w:val="auto"/>
        </w:rPr>
      </w:pPr>
    </w:p>
    <w:p>
      <w:pPr>
        <w:ind w:left="520" w:hanging="269"/>
        <w:spacing w:after="0"/>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commence a voluntary case under any Debtor Relief Laws, (ii) file a petition seeking to take advantage of any Debtor Relief Laws,</w:t>
      </w:r>
    </w:p>
    <w:p>
      <w:pPr>
        <w:spacing w:after="0" w:line="22" w:lineRule="exact"/>
        <w:rPr>
          <w:rFonts w:ascii="Arial" w:cs="Arial" w:eastAsia="Arial" w:hAnsi="Arial"/>
          <w:sz w:val="18"/>
          <w:szCs w:val="18"/>
          <w:color w:val="auto"/>
        </w:rPr>
      </w:pPr>
    </w:p>
    <w:p>
      <w:pPr>
        <w:jc w:val="both"/>
        <w:ind w:left="260" w:hanging="9"/>
        <w:spacing w:after="0"/>
        <w:tabs>
          <w:tab w:leader="none" w:pos="62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98" w:lineRule="exact"/>
        <w:rPr>
          <w:rFonts w:ascii="Arial" w:cs="Arial" w:eastAsia="Arial" w:hAnsi="Arial"/>
          <w:sz w:val="20"/>
          <w:szCs w:val="20"/>
          <w:color w:val="auto"/>
        </w:rPr>
      </w:pPr>
    </w:p>
    <w:p>
      <w:pPr>
        <w:jc w:val="both"/>
        <w:ind w:left="260" w:firstLine="639"/>
        <w:spacing w:after="0" w:line="309" w:lineRule="auto"/>
        <w:tabs>
          <w:tab w:leader="none" w:pos="1275"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any Credit Party or any Subsidiary thereof (other than an Immaterial Subsidiary) in any court of competent jurisdiction seeking (i) relief under any Debtor Relief Laws, or</w:t>
      </w:r>
    </w:p>
    <w:p>
      <w:pPr>
        <w:spacing w:after="0" w:line="1" w:lineRule="exact"/>
        <w:rPr>
          <w:rFonts w:ascii="Arial" w:cs="Arial" w:eastAsia="Arial" w:hAnsi="Arial"/>
          <w:sz w:val="16"/>
          <w:szCs w:val="16"/>
          <w:color w:val="auto"/>
        </w:rPr>
      </w:pPr>
    </w:p>
    <w:p>
      <w:pPr>
        <w:jc w:val="both"/>
        <w:ind w:left="260" w:hanging="9"/>
        <w:spacing w:after="0" w:line="241" w:lineRule="auto"/>
        <w:tabs>
          <w:tab w:leader="none" w:pos="567"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appointment of a trustee, receiver, custodian, liquidator or the like for any Credit Party or any Subsidiary thereof or for all or any substantial part of its assets, domestic or foreign, and such case or proceeding shall continue without dismissal or stay for a period of sixty (60) consecutive days, or an order granting the relief requested in such case or proceeding under such Debtor Relief Laws shall be entered.</w:t>
      </w:r>
    </w:p>
    <w:p>
      <w:pPr>
        <w:spacing w:after="0" w:line="194" w:lineRule="exact"/>
        <w:rPr>
          <w:rFonts w:ascii="Arial" w:cs="Arial" w:eastAsia="Arial" w:hAnsi="Arial"/>
          <w:sz w:val="20"/>
          <w:szCs w:val="20"/>
          <w:color w:val="auto"/>
        </w:rPr>
      </w:pPr>
    </w:p>
    <w:p>
      <w:pPr>
        <w:jc w:val="both"/>
        <w:ind w:left="260" w:firstLine="639"/>
        <w:spacing w:after="0" w:line="282" w:lineRule="auto"/>
        <w:tabs>
          <w:tab w:leader="none" w:pos="1302"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Failure of Agreements</w:t>
      </w:r>
      <w:r>
        <w:rPr>
          <w:rFonts w:ascii="Arial" w:cs="Arial" w:eastAsia="Arial" w:hAnsi="Arial"/>
          <w:sz w:val="18"/>
          <w:szCs w:val="18"/>
          <w:color w:val="auto"/>
        </w:rPr>
        <w:t xml:space="preserve">. Any material provision of this Agreement or material any provision of any other Loan Document shall at any time after its execution and delivery and for any reason, other than as expressly permitted hereunder or thereunder (including as a result of a transaction permitted under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9.5</w:t>
      </w:r>
      <w:r>
        <w:rPr>
          <w:rFonts w:ascii="Arial" w:cs="Arial" w:eastAsia="Arial" w:hAnsi="Arial"/>
          <w:sz w:val="18"/>
          <w:szCs w:val="18"/>
          <w:color w:val="auto"/>
        </w:rPr>
        <w:t>), cease to be valid and binding on any Credit Party or any Subsidiary thereof party thereto or any such Person shall so state in writing, other than in accordance with the express terms hereof or thereof.</w:t>
      </w:r>
    </w:p>
    <w:p>
      <w:pPr>
        <w:spacing w:after="0" w:line="161" w:lineRule="exact"/>
        <w:rPr>
          <w:rFonts w:ascii="Arial" w:cs="Arial" w:eastAsia="Arial" w:hAnsi="Arial"/>
          <w:sz w:val="18"/>
          <w:szCs w:val="18"/>
          <w:color w:val="auto"/>
        </w:rPr>
      </w:pPr>
    </w:p>
    <w:p>
      <w:pPr>
        <w:jc w:val="both"/>
        <w:ind w:left="260" w:firstLine="639"/>
        <w:spacing w:after="0" w:line="243" w:lineRule="auto"/>
        <w:tabs>
          <w:tab w:leader="none" w:pos="1359" w:val="left"/>
        </w:tabs>
        <w:numPr>
          <w:ilvl w:val="1"/>
          <w:numId w:val="177"/>
        </w:numPr>
        <w:rPr>
          <w:rFonts w:ascii="Arial" w:cs="Arial" w:eastAsia="Arial" w:hAnsi="Arial"/>
          <w:sz w:val="20"/>
          <w:szCs w:val="20"/>
          <w:color w:val="auto"/>
        </w:rPr>
      </w:pPr>
      <w:r>
        <w:rPr>
          <w:rFonts w:ascii="Arial" w:cs="Arial" w:eastAsia="Arial" w:hAnsi="Arial"/>
          <w:sz w:val="20"/>
          <w:szCs w:val="20"/>
          <w:u w:val="single" w:color="auto"/>
          <w:color w:val="auto"/>
        </w:rPr>
        <w:t>ERISA Events</w:t>
      </w:r>
      <w:r>
        <w:rPr>
          <w:rFonts w:ascii="Arial" w:cs="Arial" w:eastAsia="Arial" w:hAnsi="Arial"/>
          <w:sz w:val="20"/>
          <w:szCs w:val="20"/>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failure could reasonably be expected to result in a Material Adverse Effect, (ii) a Termination Event or (iii)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that could reasonably be expected to result in a Material Adverse Effect.</w:t>
      </w:r>
    </w:p>
    <w:p>
      <w:pPr>
        <w:spacing w:after="0" w:line="193" w:lineRule="exact"/>
        <w:rPr>
          <w:rFonts w:ascii="Arial" w:cs="Arial" w:eastAsia="Arial" w:hAnsi="Arial"/>
          <w:sz w:val="20"/>
          <w:szCs w:val="20"/>
          <w:color w:val="auto"/>
        </w:rPr>
      </w:pPr>
    </w:p>
    <w:p>
      <w:pPr>
        <w:jc w:val="both"/>
        <w:ind w:left="260" w:firstLine="639"/>
        <w:spacing w:after="0" w:line="243" w:lineRule="auto"/>
        <w:tabs>
          <w:tab w:leader="none" w:pos="1288" w:val="left"/>
        </w:tabs>
        <w:numPr>
          <w:ilvl w:val="1"/>
          <w:numId w:val="177"/>
        </w:numPr>
        <w:rPr>
          <w:rFonts w:ascii="Arial" w:cs="Arial" w:eastAsia="Arial" w:hAnsi="Arial"/>
          <w:sz w:val="20"/>
          <w:szCs w:val="20"/>
          <w:color w:val="auto"/>
        </w:rPr>
      </w:pPr>
      <w:r>
        <w:rPr>
          <w:rFonts w:ascii="Arial" w:cs="Arial" w:eastAsia="Arial" w:hAnsi="Arial"/>
          <w:sz w:val="20"/>
          <w:szCs w:val="20"/>
          <w:u w:val="single" w:color="auto"/>
          <w:color w:val="auto"/>
        </w:rPr>
        <w:t>Judgment</w:t>
      </w:r>
      <w:r>
        <w:rPr>
          <w:rFonts w:ascii="Arial" w:cs="Arial" w:eastAsia="Arial" w:hAnsi="Arial"/>
          <w:sz w:val="20"/>
          <w:szCs w:val="20"/>
          <w:color w:val="auto"/>
        </w:rPr>
        <w:t>. One or more judgments, orders or decrees shall be entered against any Credit Party or any Subsidiary thereof (other than an Immaterial Subsidiary) by any court and continues without having been discharged, vacated or stayed for a period of thirty (30) consecutive days after the entry thereof and such judgments, orders or decrees are either (i) for the payment of money, individually or in the aggregate (to the extent not paid or covered by insurance as to which the relevant insurance company has acknowledged or has not disputed coverage), in excess of the Threshold Amount or (ii) for injunctive relief and could reasonably be expected, individually or in the aggregate, to have a Material Adverse Effect.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22" w:name="page223"/>
    <w:bookmarkEnd w:id="222"/>
    <w:p>
      <w:pPr>
        <w:jc w:val="both"/>
        <w:ind w:left="260" w:firstLine="639"/>
        <w:spacing w:after="0" w:line="256" w:lineRule="auto"/>
        <w:tabs>
          <w:tab w:leader="none" w:pos="137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Default under Specified Agreement</w:t>
      </w:r>
      <w:r>
        <w:rPr>
          <w:rFonts w:ascii="Arial" w:cs="Arial" w:eastAsia="Arial" w:hAnsi="Arial"/>
          <w:sz w:val="19"/>
          <w:szCs w:val="19"/>
          <w:color w:val="auto"/>
        </w:rPr>
        <w:t xml:space="preserve">. The Borrower or any of its Subsidiaries shall have (i) defaulted in the payment when due of any amounts under any Specified Agreement beyond the period of grace, if any, provided in such Specified Agreement, or (ii) (A) defaulted in the observance or performance of any other obligation, agreement or condition under any Specified Agreement, or any other event shall have occurred or condition shall exist under any Specified Agreement, and, in each case of this clause (ii)(A), any applicable notice shall have been given or applicable period of grace shall have lapsed, and (B) any applicable party to such Specified Agreement shall have (x) commenced an exercise of remedies against the Borrower or any of its Subsidiaries pursuant to the security interest provisions contained in the Specified Documents, or (y) notified the Borrower or any of its Subsidiaries that it intends to commence such an exercise of remedies;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10.1(m)</w:t>
      </w:r>
      <w:r>
        <w:rPr>
          <w:rFonts w:ascii="Arial" w:cs="Arial" w:eastAsia="Arial" w:hAnsi="Arial"/>
          <w:sz w:val="19"/>
          <w:szCs w:val="19"/>
          <w:color w:val="auto"/>
        </w:rPr>
        <w:t xml:space="preserve"> shall only apply until the Liens created by the Specified Documents have been released and fully terminated.</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Remedies</w:t>
      </w:r>
      <w:r>
        <w:rPr>
          <w:rFonts w:ascii="Arial" w:cs="Arial" w:eastAsia="Arial" w:hAnsi="Arial"/>
          <w:sz w:val="20"/>
          <w:szCs w:val="20"/>
          <w:color w:val="auto"/>
        </w:rPr>
        <w:t>. Upon the occurrence and during the continuance of an Event of Default, with the consent of the Required Lenders, the Administrative Agent may, or upon the request of the Required Lenders, the Administrative Agent shall, by notice to the Borrower:</w:t>
      </w:r>
    </w:p>
    <w:p>
      <w:pPr>
        <w:spacing w:after="0" w:line="186" w:lineRule="exact"/>
        <w:rPr>
          <w:sz w:val="20"/>
          <w:szCs w:val="20"/>
          <w:color w:val="auto"/>
        </w:rPr>
      </w:pPr>
    </w:p>
    <w:p>
      <w:pPr>
        <w:jc w:val="both"/>
        <w:ind w:left="260" w:firstLine="639"/>
        <w:spacing w:after="0" w:line="268" w:lineRule="auto"/>
        <w:tabs>
          <w:tab w:leader="none" w:pos="1375"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Credit Facility</w:t>
      </w:r>
      <w:r>
        <w:rPr>
          <w:rFonts w:ascii="Arial" w:cs="Arial" w:eastAsia="Arial" w:hAnsi="Arial"/>
          <w:sz w:val="18"/>
          <w:szCs w:val="18"/>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 to request borrowings or Letters of Credit thereunder; provided, that upon the occurrence of an Event of Default specified in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or</w:t>
      </w:r>
    </w:p>
    <w:p>
      <w:pPr>
        <w:spacing w:after="0" w:line="3" w:lineRule="exact"/>
        <w:rPr>
          <w:rFonts w:ascii="Arial" w:cs="Arial" w:eastAsia="Arial" w:hAnsi="Arial"/>
          <w:sz w:val="18"/>
          <w:szCs w:val="18"/>
          <w:color w:val="auto"/>
        </w:rPr>
      </w:pPr>
    </w:p>
    <w:p>
      <w:pPr>
        <w:jc w:val="both"/>
        <w:ind w:left="260"/>
        <w:spacing w:after="0" w:line="241" w:lineRule="auto"/>
        <w:rPr>
          <w:rFonts w:ascii="Arial" w:cs="Arial" w:eastAsia="Arial" w:hAnsi="Arial"/>
          <w:sz w:val="18"/>
          <w:szCs w:val="18"/>
          <w:color w:val="auto"/>
        </w:rPr>
      </w:pPr>
      <w:r>
        <w:rPr>
          <w:rFonts w:ascii="Arial" w:cs="Arial" w:eastAsia="Arial" w:hAnsi="Arial"/>
          <w:sz w:val="20"/>
          <w:szCs w:val="20"/>
          <w:u w:val="single" w:color="auto"/>
          <w:color w:val="auto"/>
        </w:rPr>
        <w:t>(i)</w:t>
      </w:r>
      <w:r>
        <w:rPr>
          <w:rFonts w:ascii="Arial" w:cs="Arial" w:eastAsia="Arial" w:hAnsi="Arial"/>
          <w:sz w:val="20"/>
          <w:szCs w:val="20"/>
          <w:color w:val="auto"/>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96" w:lineRule="exact"/>
        <w:rPr>
          <w:rFonts w:ascii="Arial" w:cs="Arial" w:eastAsia="Arial" w:hAnsi="Arial"/>
          <w:sz w:val="18"/>
          <w:szCs w:val="18"/>
          <w:color w:val="auto"/>
        </w:rPr>
      </w:pPr>
    </w:p>
    <w:p>
      <w:pPr>
        <w:jc w:val="both"/>
        <w:ind w:left="260" w:firstLine="639"/>
        <w:spacing w:after="0" w:line="273" w:lineRule="auto"/>
        <w:tabs>
          <w:tab w:leader="none" w:pos="135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With respect to all Letters of Credit with respect to which presentment for honor shall not have occurred at the time of an acceleration pursuant to the preceding paragraph, demand that the Borrower shall at such time deposit in a Cash Collateral account opened by the Administrative Agent an amount equal to the Minimum Collateral Amount of the aggregate then undrawn and unexpired amount of such Letter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Obligations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After all such Letters of Credit shall have expired or been fully drawn upon, the Reimbursement Obligation shall have been satisfied and all other Obligations shall have been paid in full, the balance, if any, in such Cash Collateral account shall be returned to the Borrower.</w:t>
      </w:r>
    </w:p>
    <w:p>
      <w:pPr>
        <w:spacing w:after="0" w:line="169" w:lineRule="exact"/>
        <w:rPr>
          <w:rFonts w:ascii="Arial" w:cs="Arial" w:eastAsia="Arial" w:hAnsi="Arial"/>
          <w:sz w:val="18"/>
          <w:szCs w:val="18"/>
          <w:color w:val="auto"/>
        </w:rPr>
      </w:pPr>
    </w:p>
    <w:p>
      <w:pPr>
        <w:ind w:left="260" w:firstLine="639"/>
        <w:spacing w:after="0" w:line="260" w:lineRule="auto"/>
        <w:tabs>
          <w:tab w:leader="none" w:pos="1335"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General Remedies</w:t>
      </w:r>
      <w:r>
        <w:rPr>
          <w:rFonts w:ascii="Arial" w:cs="Arial" w:eastAsia="Arial" w:hAnsi="Arial"/>
          <w:sz w:val="20"/>
          <w:szCs w:val="20"/>
          <w:color w:val="auto"/>
        </w:rPr>
        <w:t>. Exercise on behalf of the Guaranteed Parties all of its other rights and remedies under this Agreement, the other Loan Documents and Applicable Law, in order to satisfy all of the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3" w:name="page224"/>
    <w:bookmarkEnd w:id="223"/>
    <w:p>
      <w:pPr>
        <w:ind w:left="660"/>
        <w:spacing w:after="0"/>
        <w:tabs>
          <w:tab w:leader="none" w:pos="204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Rights and Remedies Cumulative; Non-Waiver; etc.</w:t>
      </w:r>
    </w:p>
    <w:p>
      <w:pPr>
        <w:spacing w:after="0" w:line="216" w:lineRule="exact"/>
        <w:rPr>
          <w:sz w:val="20"/>
          <w:szCs w:val="20"/>
          <w:color w:val="auto"/>
        </w:rPr>
      </w:pPr>
    </w:p>
    <w:p>
      <w:pPr>
        <w:jc w:val="both"/>
        <w:ind w:left="260" w:firstLine="639"/>
        <w:spacing w:after="0" w:line="272" w:lineRule="auto"/>
        <w:tabs>
          <w:tab w:leader="none" w:pos="137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71" w:lineRule="exact"/>
        <w:rPr>
          <w:rFonts w:ascii="Arial" w:cs="Arial" w:eastAsia="Arial" w:hAnsi="Arial"/>
          <w:sz w:val="18"/>
          <w:szCs w:val="18"/>
          <w:color w:val="auto"/>
        </w:rPr>
      </w:pPr>
    </w:p>
    <w:p>
      <w:pPr>
        <w:jc w:val="both"/>
        <w:ind w:left="260" w:firstLine="639"/>
        <w:spacing w:after="0" w:line="270" w:lineRule="auto"/>
        <w:tabs>
          <w:tab w:leader="none" w:pos="13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for the benefit of all the Lenders and the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Crediting of Payments and Proceeds</w:t>
      </w:r>
      <w:r>
        <w:rPr>
          <w:rFonts w:ascii="Arial" w:cs="Arial" w:eastAsia="Arial" w:hAnsi="Arial"/>
          <w:sz w:val="20"/>
          <w:szCs w:val="20"/>
          <w:color w:val="auto"/>
        </w:rPr>
        <w:t xml:space="preserve">. In the event that the Obligations have been accelerated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the Administrative Agent or any Lender has exercised any remedy set forth in this Agreement or any other Loan Document, all payments received on account of the Obligations and all net proceeds from the enforcement of the Obligations shall, subject to the provisions of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5.15</w:t>
      </w:r>
      <w:r>
        <w:rPr>
          <w:rFonts w:ascii="Arial" w:cs="Arial" w:eastAsia="Arial" w:hAnsi="Arial"/>
          <w:sz w:val="20"/>
          <w:szCs w:val="20"/>
          <w:color w:val="auto"/>
        </w:rPr>
        <w:t>, be applied by the Administrative Agent as follows:</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Obligations constituting fees, indemnities, expenses and other amounts, including attorney fees, payable to the Administrative Agent in its capacity as such;</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(other than Commitment Fees and Letter of Credit fees payable to the Revolving Credit Lenders), indemnities and other amounts (other than principal and interest) payable to the Lenders, the Issuing Lender and the Swingline Lender under the Loan Documents, including attorney fees, ratably among the Lenders, the Issuing Lender and the Swingline Lender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4" w:name="page225"/>
    <w:bookmarkEnd w:id="224"/>
    <w:p>
      <w:pPr>
        <w:jc w:val="both"/>
        <w:ind w:firstLine="648"/>
        <w:spacing w:after="0" w:line="269"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payment of that portion of the Obligations constituting accrued and unpaid Commitment Fees, Letter of Credit fees payable to the Revolving Credit Lenders and interest on the Loans and Reimbursement Obligations, ratably among the Lenders, the Issuing Lender and the Swingline Lender in proportion to the respective amounts described in this clause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payable to them;</w:t>
      </w:r>
    </w:p>
    <w:p>
      <w:pPr>
        <w:spacing w:after="0" w:line="17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and Reimbursement Obligations and Specified Hedge Obligations and Specified Cash Management Obligations then owing and to Cash Collateralize any L/C Obligations then outstanding, ratably among the holders of such obligations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 and</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 or as otherwise required by Applicable Law.</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Notwithstanding the foregoing, Specified Cash Management Obligations and Specified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Specified Hedge Obligations or Specified Hedge Obligations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for itself and its Affiliates as if a “Lender” party hereto.</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spacing w:after="0" w:line="195" w:lineRule="exact"/>
        <w:rPr>
          <w:sz w:val="20"/>
          <w:szCs w:val="20"/>
          <w:color w:val="auto"/>
        </w:rPr>
      </w:pPr>
    </w:p>
    <w:p>
      <w:pPr>
        <w:jc w:val="both"/>
        <w:ind w:left="260" w:firstLine="639"/>
        <w:spacing w:after="0" w:line="243" w:lineRule="auto"/>
        <w:tabs>
          <w:tab w:leader="none" w:pos="137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12.3</w:t>
      </w:r>
      <w:r>
        <w:rPr>
          <w:rFonts w:ascii="Arial" w:cs="Arial" w:eastAsia="Arial" w:hAnsi="Arial"/>
          <w:sz w:val="20"/>
          <w:szCs w:val="20"/>
          <w:color w:val="auto"/>
        </w:rPr>
        <w:t>) allowed in such judicial proceeding; and</w:t>
      </w:r>
    </w:p>
    <w:p>
      <w:pPr>
        <w:spacing w:after="0" w:line="196" w:lineRule="exact"/>
        <w:rPr>
          <w:rFonts w:ascii="Arial" w:cs="Arial" w:eastAsia="Arial" w:hAnsi="Arial"/>
          <w:sz w:val="20"/>
          <w:szCs w:val="20"/>
          <w:color w:val="auto"/>
        </w:rPr>
      </w:pPr>
    </w:p>
    <w:p>
      <w:pPr>
        <w:ind w:left="1320" w:hanging="421"/>
        <w:spacing w:after="0"/>
        <w:tabs>
          <w:tab w:leader="none" w:pos="1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12.3</w:t>
      </w:r>
      <w:r>
        <w:rPr>
          <w:rFonts w:ascii="Arial" w:cs="Arial" w:eastAsia="Arial" w:hAnsi="Arial"/>
          <w:sz w:val="19"/>
          <w:szCs w:val="19"/>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5" w:name="page226"/>
    <w:bookmarkEnd w:id="225"/>
    <w:p>
      <w:pPr>
        <w:jc w:val="center"/>
        <w:ind w:right="220"/>
        <w:spacing w:after="0"/>
        <w:rPr>
          <w:sz w:val="20"/>
          <w:szCs w:val="20"/>
          <w:color w:val="auto"/>
        </w:rPr>
      </w:pPr>
      <w:r>
        <w:rPr>
          <w:rFonts w:ascii="Arial" w:cs="Arial" w:eastAsia="Arial" w:hAnsi="Arial"/>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xml:space="preserve">. 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8"/>
          <w:szCs w:val="18"/>
          <w:u w:val="single" w:color="auto"/>
          <w:color w:val="auto"/>
        </w:rPr>
        <w:t>Sections 11.6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11.9</w:t>
      </w:r>
      <w:r>
        <w:rPr>
          <w:rFonts w:ascii="Arial" w:cs="Arial" w:eastAsia="Arial" w:hAnsi="Arial"/>
          <w:sz w:val="18"/>
          <w:szCs w:val="18"/>
          <w:color w:val="auto"/>
        </w:rPr>
        <w:t xml:space="preserve"> the provisions of this Article are solely for the benefit of the Administrative Agent, the Lenders and the Issuing Lenders,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50" w:lineRule="auto"/>
        <w:tabs>
          <w:tab w:leader="none" w:pos="130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86" w:lineRule="exact"/>
        <w:rPr>
          <w:rFonts w:ascii="Arial" w:cs="Arial" w:eastAsia="Arial" w:hAnsi="Arial"/>
          <w:sz w:val="20"/>
          <w:szCs w:val="20"/>
          <w:color w:val="auto"/>
        </w:rPr>
      </w:pPr>
    </w:p>
    <w:p>
      <w:pPr>
        <w:ind w:left="660" w:firstLine="645"/>
        <w:spacing w:after="0" w:line="260" w:lineRule="auto"/>
        <w:tabs>
          <w:tab w:leader="none" w:pos="177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Event of Default has occurred and is continuing;</w:t>
      </w:r>
    </w:p>
    <w:p>
      <w:pPr>
        <w:spacing w:after="0" w:line="176" w:lineRule="exact"/>
        <w:rPr>
          <w:rFonts w:ascii="Arial" w:cs="Arial" w:eastAsia="Arial" w:hAnsi="Arial"/>
          <w:sz w:val="20"/>
          <w:szCs w:val="20"/>
          <w:color w:val="auto"/>
        </w:rPr>
      </w:pPr>
    </w:p>
    <w:p>
      <w:pPr>
        <w:jc w:val="both"/>
        <w:ind w:left="660" w:firstLine="645"/>
        <w:spacing w:after="0" w:line="242" w:lineRule="auto"/>
        <w:tabs>
          <w:tab w:leader="none" w:pos="1757" w:val="left"/>
        </w:tabs>
        <w:numPr>
          <w:ilvl w:val="1"/>
          <w:numId w:val="182"/>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97" w:lineRule="exact"/>
        <w:rPr>
          <w:rFonts w:ascii="Arial" w:cs="Arial" w:eastAsia="Arial" w:hAnsi="Arial"/>
          <w:sz w:val="20"/>
          <w:szCs w:val="20"/>
          <w:color w:val="auto"/>
        </w:rPr>
      </w:pPr>
    </w:p>
    <w:p>
      <w:pPr>
        <w:ind w:left="660" w:firstLine="645"/>
        <w:spacing w:after="0" w:line="260" w:lineRule="auto"/>
        <w:tabs>
          <w:tab w:leader="none" w:pos="1812"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26" w:name="page227"/>
    <w:bookmarkEnd w:id="226"/>
    <w:p>
      <w:pPr>
        <w:ind w:left="660" w:right="20"/>
        <w:spacing w:after="0" w:line="260" w:lineRule="auto"/>
        <w:rPr>
          <w:sz w:val="20"/>
          <w:szCs w:val="20"/>
          <w:color w:val="auto"/>
        </w:rPr>
      </w:pPr>
      <w:r>
        <w:rPr>
          <w:rFonts w:ascii="Arial" w:cs="Arial" w:eastAsia="Arial" w:hAnsi="Arial"/>
          <w:sz w:val="20"/>
          <w:szCs w:val="20"/>
          <w:color w:val="auto"/>
        </w:rPr>
        <w:t>to the Borrower or any of its Subsidiaries or Affiliates that is communicated to or obtained by the Person serving as the Administrative Agent or any of its Affiliates in any capacity.</w:t>
      </w:r>
    </w:p>
    <w:p>
      <w:pPr>
        <w:spacing w:after="0" w:line="177" w:lineRule="exact"/>
        <w:rPr>
          <w:sz w:val="20"/>
          <w:szCs w:val="20"/>
          <w:color w:val="auto"/>
        </w:rPr>
      </w:pPr>
    </w:p>
    <w:p>
      <w:pPr>
        <w:jc w:val="both"/>
        <w:ind w:left="260" w:firstLine="639"/>
        <w:spacing w:after="0" w:line="276" w:lineRule="auto"/>
        <w:tabs>
          <w:tab w:leader="none" w:pos="13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bad faith,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by the Borrower, a Lender or an Issuing Lender.</w:t>
      </w:r>
    </w:p>
    <w:p>
      <w:pPr>
        <w:spacing w:after="0" w:line="165" w:lineRule="exact"/>
        <w:rPr>
          <w:rFonts w:ascii="Arial" w:cs="Arial" w:eastAsia="Arial" w:hAnsi="Arial"/>
          <w:sz w:val="18"/>
          <w:szCs w:val="18"/>
          <w:color w:val="auto"/>
        </w:rPr>
      </w:pPr>
    </w:p>
    <w:p>
      <w:pPr>
        <w:jc w:val="both"/>
        <w:ind w:left="260" w:firstLine="639"/>
        <w:spacing w:after="0" w:line="272" w:lineRule="auto"/>
        <w:tabs>
          <w:tab w:leader="none" w:pos="13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without limitation, any report provided to it by an Issuing Lender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171" w:lineRule="exact"/>
        <w:rPr>
          <w:rFonts w:ascii="Arial" w:cs="Arial" w:eastAsia="Arial" w:hAnsi="Arial"/>
          <w:sz w:val="18"/>
          <w:szCs w:val="18"/>
          <w:color w:val="auto"/>
        </w:rPr>
      </w:pPr>
    </w:p>
    <w:p>
      <w:pPr>
        <w:jc w:val="both"/>
        <w:ind w:left="260" w:firstLine="639"/>
        <w:spacing w:after="0" w:line="260" w:lineRule="auto"/>
        <w:tabs>
          <w:tab w:leader="none" w:pos="1332"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Reliance by the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27" w:name="page228"/>
    <w:bookmarkEnd w:id="227"/>
    <w:p>
      <w:pPr>
        <w:jc w:val="both"/>
        <w:ind w:firstLine="648"/>
        <w:spacing w:after="0" w:line="232" w:lineRule="exact"/>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w:t>
      </w:r>
      <w:r>
        <w:rPr>
          <w:rFonts w:ascii="MS PGothic" w:cs="MS PGothic" w:eastAsia="MS PGothic" w:hAnsi="MS PGothic"/>
          <w:sz w:val="18"/>
          <w:szCs w:val="18"/>
          <w:color w:val="auto"/>
        </w:rPr>
        <w:t>‑</w:t>
      </w:r>
      <w:r>
        <w:rPr>
          <w:rFonts w:ascii="Arial" w:cs="Arial" w:eastAsia="Arial" w:hAnsi="Arial"/>
          <w:sz w:val="18"/>
          <w:szCs w:val="18"/>
          <w:color w:val="auto"/>
        </w:rPr>
        <w:t>agents.</w:t>
      </w:r>
    </w:p>
    <w:p>
      <w:pPr>
        <w:spacing w:after="0" w:line="19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72" w:lineRule="auto"/>
        <w:tabs>
          <w:tab w:leader="none" w:pos="132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Issuing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171" w:lineRule="exact"/>
        <w:rPr>
          <w:rFonts w:ascii="Arial" w:cs="Arial" w:eastAsia="Arial" w:hAnsi="Arial"/>
          <w:sz w:val="18"/>
          <w:szCs w:val="18"/>
          <w:color w:val="auto"/>
        </w:rPr>
      </w:pPr>
    </w:p>
    <w:p>
      <w:pPr>
        <w:jc w:val="both"/>
        <w:ind w:left="260" w:firstLine="639"/>
        <w:spacing w:after="0" w:line="243" w:lineRule="auto"/>
        <w:tabs>
          <w:tab w:leader="none" w:pos="1427"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6" w:lineRule="exact"/>
        <w:rPr>
          <w:rFonts w:ascii="Arial" w:cs="Arial" w:eastAsia="Arial" w:hAnsi="Arial"/>
          <w:sz w:val="20"/>
          <w:szCs w:val="20"/>
          <w:color w:val="auto"/>
        </w:rPr>
      </w:pPr>
    </w:p>
    <w:p>
      <w:pPr>
        <w:jc w:val="both"/>
        <w:ind w:left="260" w:firstLine="639"/>
        <w:spacing w:after="0" w:line="271" w:lineRule="auto"/>
        <w:tabs>
          <w:tab w:leader="none" w:pos="138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8" w:name="page229"/>
    <w:bookmarkEnd w:id="228"/>
    <w:p>
      <w:pPr>
        <w:jc w:val="both"/>
        <w:ind w:left="260"/>
        <w:spacing w:after="0" w:line="250" w:lineRule="auto"/>
        <w:rPr>
          <w:sz w:val="20"/>
          <w:szCs w:val="20"/>
          <w:color w:val="auto"/>
        </w:rPr>
      </w:pPr>
      <w:r>
        <w:rPr>
          <w:rFonts w:ascii="Arial" w:cs="Arial" w:eastAsia="Arial" w:hAnsi="Arial"/>
          <w:sz w:val="20"/>
          <w:szCs w:val="20"/>
          <w:color w:val="auto"/>
        </w:rPr>
        <w:t xml:space="preserve">under the other Loan Documents, the provisions of this Article and </w:t>
      </w:r>
      <w:r>
        <w:rPr>
          <w:rFonts w:ascii="Arial" w:cs="Arial" w:eastAsia="Arial" w:hAnsi="Arial"/>
          <w:sz w:val="20"/>
          <w:szCs w:val="20"/>
          <w:u w:val="single" w:color="auto"/>
          <w:color w:val="auto"/>
        </w:rPr>
        <w:t>Section 12.3</w:t>
      </w:r>
      <w:r>
        <w:rPr>
          <w:rFonts w:ascii="Arial" w:cs="Arial" w:eastAsia="Arial" w:hAnsi="Arial"/>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6" w:lineRule="exact"/>
        <w:rPr>
          <w:sz w:val="20"/>
          <w:szCs w:val="20"/>
          <w:color w:val="auto"/>
        </w:rPr>
      </w:pPr>
    </w:p>
    <w:p>
      <w:pPr>
        <w:jc w:val="both"/>
        <w:ind w:left="260" w:firstLine="639"/>
        <w:spacing w:after="0" w:line="257" w:lineRule="auto"/>
        <w:tabs>
          <w:tab w:leader="none" w:pos="142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11.8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Specified Hedge Obligations and Specified Cash Management Obligations</w:t>
      </w:r>
      <w:r>
        <w:rPr>
          <w:rFonts w:ascii="Arial" w:cs="Arial" w:eastAsia="Arial" w:hAnsi="Arial"/>
          <w:sz w:val="19"/>
          <w:szCs w:val="19"/>
          <w:color w:val="auto"/>
        </w:rPr>
        <w:t xml:space="preserve">. No holder of any Specified Hedge Obligations or Specified Cash Management Obligations that obtains the benefits of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by virtue of the provisions hereof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Specified Cash Management Obligations and Specified Hedge Obligations unless the Administrative Agent has received written notice of such Specified Cash Management Obligations and Specified Hedge Obligations, together with such supporting documentation as the Administrative Agent may request, from the applicable holders thereof.</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29" w:name="page230"/>
    <w:bookmarkEnd w:id="229"/>
    <w:p>
      <w:pPr>
        <w:ind w:left="660"/>
        <w:spacing w:after="0"/>
        <w:tabs>
          <w:tab w:leader="none" w:pos="204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left="260" w:firstLine="639"/>
        <w:spacing w:after="0" w:line="291" w:lineRule="auto"/>
        <w:tabs>
          <w:tab w:leader="none" w:pos="133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the Borrower:</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Take-Two Interactive Software,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110 West 44th Street</w:t>
      </w:r>
    </w:p>
    <w:p>
      <w:pPr>
        <w:ind w:left="2600"/>
        <w:spacing w:after="0"/>
        <w:rPr>
          <w:sz w:val="20"/>
          <w:szCs w:val="20"/>
          <w:color w:val="auto"/>
        </w:rPr>
      </w:pPr>
      <w:r>
        <w:rPr>
          <w:rFonts w:ascii="Arial" w:cs="Arial" w:eastAsia="Arial" w:hAnsi="Arial"/>
          <w:sz w:val="20"/>
          <w:szCs w:val="20"/>
          <w:color w:val="auto"/>
        </w:rPr>
        <w:t>New York, New York 10036</w:t>
      </w:r>
    </w:p>
    <w:p>
      <w:pPr>
        <w:ind w:left="2600"/>
        <w:spacing w:after="0"/>
        <w:rPr>
          <w:sz w:val="20"/>
          <w:szCs w:val="20"/>
          <w:color w:val="auto"/>
        </w:rPr>
      </w:pPr>
      <w:r>
        <w:rPr>
          <w:rFonts w:ascii="Arial" w:cs="Arial" w:eastAsia="Arial" w:hAnsi="Arial"/>
          <w:sz w:val="20"/>
          <w:szCs w:val="20"/>
          <w:color w:val="auto"/>
        </w:rPr>
        <w:t>Attention: Treasury and Legal Department</w:t>
      </w:r>
    </w:p>
    <w:p>
      <w:pPr>
        <w:ind w:left="2600"/>
        <w:spacing w:after="0"/>
        <w:rPr>
          <w:sz w:val="20"/>
          <w:szCs w:val="20"/>
          <w:color w:val="auto"/>
        </w:rPr>
      </w:pPr>
      <w:r>
        <w:rPr>
          <w:rFonts w:ascii="Arial" w:cs="Arial" w:eastAsia="Arial" w:hAnsi="Arial"/>
          <w:sz w:val="20"/>
          <w:szCs w:val="20"/>
          <w:color w:val="auto"/>
        </w:rPr>
        <w:t>Telephone No.: (646) 536-2992</w:t>
      </w:r>
    </w:p>
    <w:p>
      <w:pPr>
        <w:ind w:left="2600"/>
        <w:spacing w:after="0"/>
        <w:rPr>
          <w:sz w:val="20"/>
          <w:szCs w:val="20"/>
          <w:color w:val="auto"/>
        </w:rPr>
      </w:pPr>
      <w:r>
        <w:rPr>
          <w:rFonts w:ascii="Arial" w:cs="Arial" w:eastAsia="Arial" w:hAnsi="Arial"/>
          <w:sz w:val="20"/>
          <w:szCs w:val="20"/>
          <w:color w:val="auto"/>
        </w:rPr>
        <w:t>Facsimile No.: (646) 536-2923</w:t>
      </w:r>
    </w:p>
    <w:p>
      <w:pPr>
        <w:ind w:left="26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treasury@take2games.com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Willkie Farr &amp; Gallagher LLP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787 Seventh Avenue</w:t>
      </w:r>
    </w:p>
    <w:p>
      <w:pPr>
        <w:ind w:left="2600"/>
        <w:spacing w:after="0"/>
        <w:rPr>
          <w:sz w:val="20"/>
          <w:szCs w:val="20"/>
          <w:color w:val="auto"/>
        </w:rPr>
      </w:pPr>
      <w:r>
        <w:rPr>
          <w:rFonts w:ascii="Arial" w:cs="Arial" w:eastAsia="Arial" w:hAnsi="Arial"/>
          <w:sz w:val="20"/>
          <w:szCs w:val="20"/>
          <w:color w:val="auto"/>
        </w:rPr>
        <w:t>New York, NY 10019</w:t>
      </w:r>
    </w:p>
    <w:p>
      <w:pPr>
        <w:ind w:left="2600"/>
        <w:spacing w:after="0"/>
        <w:rPr>
          <w:sz w:val="20"/>
          <w:szCs w:val="20"/>
          <w:color w:val="auto"/>
        </w:rPr>
      </w:pPr>
      <w:r>
        <w:rPr>
          <w:rFonts w:ascii="Arial" w:cs="Arial" w:eastAsia="Arial" w:hAnsi="Arial"/>
          <w:sz w:val="20"/>
          <w:szCs w:val="20"/>
          <w:color w:val="auto"/>
        </w:rPr>
        <w:t>Attention: Jeffrey Goldfarb</w:t>
      </w:r>
    </w:p>
    <w:p>
      <w:pPr>
        <w:ind w:left="2600"/>
        <w:spacing w:after="0"/>
        <w:rPr>
          <w:sz w:val="20"/>
          <w:szCs w:val="20"/>
          <w:color w:val="auto"/>
        </w:rPr>
      </w:pPr>
      <w:r>
        <w:rPr>
          <w:rFonts w:ascii="Arial" w:cs="Arial" w:eastAsia="Arial" w:hAnsi="Arial"/>
          <w:sz w:val="20"/>
          <w:szCs w:val="20"/>
          <w:color w:val="auto"/>
        </w:rPr>
        <w:t>Telephone No.: (212) 728-8507</w:t>
      </w:r>
    </w:p>
    <w:p>
      <w:pPr>
        <w:ind w:left="2600"/>
        <w:spacing w:after="0"/>
        <w:rPr>
          <w:sz w:val="20"/>
          <w:szCs w:val="20"/>
          <w:color w:val="auto"/>
        </w:rPr>
      </w:pPr>
      <w:r>
        <w:rPr>
          <w:rFonts w:ascii="Arial" w:cs="Arial" w:eastAsia="Arial" w:hAnsi="Arial"/>
          <w:sz w:val="20"/>
          <w:szCs w:val="20"/>
          <w:color w:val="auto"/>
        </w:rPr>
        <w:t>Facsimile No.: (212) 728-9507</w:t>
      </w:r>
    </w:p>
    <w:p>
      <w:pPr>
        <w:ind w:left="26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jgoldfarb@willkie.com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Wells Fargo as Administrative Agent, Swingline Lender or Issuing Lender (for payments and requests for</w:t>
      </w:r>
    </w:p>
    <w:p>
      <w:pPr>
        <w:spacing w:after="0" w:line="3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Extensions of Credit):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MAC D1109-019</w:t>
      </w:r>
    </w:p>
    <w:p>
      <w:pPr>
        <w:ind w:left="2600"/>
        <w:spacing w:after="0"/>
        <w:rPr>
          <w:sz w:val="20"/>
          <w:szCs w:val="20"/>
          <w:color w:val="auto"/>
        </w:rPr>
      </w:pPr>
      <w:r>
        <w:rPr>
          <w:rFonts w:ascii="Arial" w:cs="Arial" w:eastAsia="Arial" w:hAnsi="Arial"/>
          <w:sz w:val="20"/>
          <w:szCs w:val="20"/>
          <w:color w:val="auto"/>
        </w:rPr>
        <w:t>1525 West W.T. Harris Blvd.</w:t>
      </w:r>
    </w:p>
    <w:p>
      <w:pPr>
        <w:ind w:left="2600"/>
        <w:spacing w:after="0"/>
        <w:rPr>
          <w:sz w:val="20"/>
          <w:szCs w:val="20"/>
          <w:color w:val="auto"/>
        </w:rPr>
      </w:pPr>
      <w:r>
        <w:rPr>
          <w:rFonts w:ascii="Arial" w:cs="Arial" w:eastAsia="Arial" w:hAnsi="Arial"/>
          <w:sz w:val="20"/>
          <w:szCs w:val="20"/>
          <w:color w:val="auto"/>
        </w:rPr>
        <w:t>Charlotte, NC 28262</w:t>
      </w:r>
    </w:p>
    <w:p>
      <w:pPr>
        <w:ind w:left="2600"/>
        <w:spacing w:after="0"/>
        <w:rPr>
          <w:sz w:val="20"/>
          <w:szCs w:val="20"/>
          <w:color w:val="auto"/>
        </w:rPr>
      </w:pPr>
      <w:r>
        <w:rPr>
          <w:rFonts w:ascii="Arial" w:cs="Arial" w:eastAsia="Arial" w:hAnsi="Arial"/>
          <w:sz w:val="20"/>
          <w:szCs w:val="20"/>
          <w:color w:val="auto"/>
        </w:rPr>
        <w:t>Attention of: Syndication Agency Services</w:t>
      </w:r>
    </w:p>
    <w:p>
      <w:pPr>
        <w:ind w:left="2600"/>
        <w:spacing w:after="0"/>
        <w:rPr>
          <w:sz w:val="20"/>
          <w:szCs w:val="20"/>
          <w:color w:val="auto"/>
        </w:rPr>
      </w:pPr>
      <w:r>
        <w:rPr>
          <w:rFonts w:ascii="Arial" w:cs="Arial" w:eastAsia="Arial" w:hAnsi="Arial"/>
          <w:sz w:val="20"/>
          <w:szCs w:val="20"/>
          <w:color w:val="auto"/>
        </w:rPr>
        <w:t>Telephone No.: (704) 590-2706</w:t>
      </w:r>
    </w:p>
    <w:p>
      <w:pPr>
        <w:ind w:left="2600"/>
        <w:spacing w:after="0"/>
        <w:rPr>
          <w:sz w:val="20"/>
          <w:szCs w:val="20"/>
          <w:color w:val="auto"/>
        </w:rPr>
      </w:pPr>
      <w:r>
        <w:rPr>
          <w:rFonts w:ascii="Arial" w:cs="Arial" w:eastAsia="Arial" w:hAnsi="Arial"/>
          <w:sz w:val="20"/>
          <w:szCs w:val="20"/>
          <w:color w:val="auto"/>
        </w:rPr>
        <w:t>Facsimile No.: (844) 879-5899</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MAC D5013-144</w:t>
      </w:r>
    </w:p>
    <w:p>
      <w:pPr>
        <w:ind w:left="2600"/>
        <w:spacing w:after="0" w:line="236" w:lineRule="auto"/>
        <w:rPr>
          <w:sz w:val="20"/>
          <w:szCs w:val="20"/>
          <w:color w:val="auto"/>
        </w:rPr>
      </w:pPr>
      <w:r>
        <w:rPr>
          <w:rFonts w:ascii="Arial" w:cs="Arial" w:eastAsia="Arial" w:hAnsi="Arial"/>
          <w:sz w:val="20"/>
          <w:szCs w:val="20"/>
          <w:color w:val="auto"/>
        </w:rPr>
        <w:t>301 South College Street</w:t>
      </w:r>
    </w:p>
    <w:p>
      <w:pPr>
        <w:ind w:left="2600"/>
        <w:spacing w:after="0" w:line="194" w:lineRule="auto"/>
        <w:rPr>
          <w:sz w:val="20"/>
          <w:szCs w:val="20"/>
          <w:color w:val="auto"/>
        </w:rPr>
      </w:pPr>
      <w:r>
        <w:rPr>
          <w:rFonts w:ascii="Arial" w:cs="Arial" w:eastAsia="Arial" w:hAnsi="Arial"/>
          <w:sz w:val="20"/>
          <w:szCs w:val="20"/>
          <w:color w:val="auto"/>
        </w:rPr>
        <w:t>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600"/>
        <w:spacing w:after="0"/>
        <w:rPr>
          <w:sz w:val="20"/>
          <w:szCs w:val="20"/>
          <w:color w:val="auto"/>
        </w:rPr>
      </w:pPr>
      <w:r>
        <w:rPr>
          <w:rFonts w:ascii="Arial" w:cs="Arial" w:eastAsia="Arial" w:hAnsi="Arial"/>
          <w:sz w:val="20"/>
          <w:szCs w:val="20"/>
          <w:color w:val="auto"/>
        </w:rPr>
        <w:t>Charlotte, NC 28202</w:t>
      </w:r>
    </w:p>
    <w:p>
      <w:pPr>
        <w:ind w:left="2600"/>
        <w:spacing w:after="0"/>
        <w:rPr>
          <w:sz w:val="20"/>
          <w:szCs w:val="20"/>
          <w:color w:val="auto"/>
        </w:rPr>
      </w:pPr>
      <w:r>
        <w:rPr>
          <w:rFonts w:ascii="Arial" w:cs="Arial" w:eastAsia="Arial" w:hAnsi="Arial"/>
          <w:sz w:val="20"/>
          <w:szCs w:val="20"/>
          <w:color w:val="auto"/>
        </w:rPr>
        <w:t>Attention of: Kieran Mahon</w:t>
      </w:r>
    </w:p>
    <w:p>
      <w:pPr>
        <w:ind w:left="2600"/>
        <w:spacing w:after="0"/>
        <w:rPr>
          <w:sz w:val="20"/>
          <w:szCs w:val="20"/>
          <w:color w:val="auto"/>
        </w:rPr>
      </w:pPr>
      <w:r>
        <w:rPr>
          <w:rFonts w:ascii="Arial" w:cs="Arial" w:eastAsia="Arial" w:hAnsi="Arial"/>
          <w:sz w:val="20"/>
          <w:szCs w:val="20"/>
          <w:color w:val="auto"/>
        </w:rPr>
        <w:t>Telephone No.: (704) 715-5575</w:t>
      </w:r>
    </w:p>
    <w:p>
      <w:pPr>
        <w:ind w:left="26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Kieran.Mahon@wellsfargo.com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any Lender: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30" w:name="page231"/>
    <w:bookmarkEnd w:id="230"/>
    <w:p>
      <w:pPr>
        <w:ind w:left="2600" w:right="840"/>
        <w:spacing w:after="0" w:line="260" w:lineRule="auto"/>
        <w:rPr>
          <w:sz w:val="20"/>
          <w:szCs w:val="20"/>
          <w:color w:val="auto"/>
        </w:rPr>
      </w:pPr>
      <w:r>
        <w:rPr>
          <w:rFonts w:ascii="Arial" w:cs="Arial" w:eastAsia="Arial" w:hAnsi="Arial"/>
          <w:sz w:val="20"/>
          <w:szCs w:val="20"/>
          <w:color w:val="auto"/>
        </w:rPr>
        <w:t>To the address of such Lender set forth on the Register with respect to deliveries of notices and other documentation that may contain material non-public information.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62" w:lineRule="exact"/>
        <w:rPr>
          <w:sz w:val="20"/>
          <w:szCs w:val="20"/>
          <w:color w:val="auto"/>
        </w:rPr>
      </w:pPr>
    </w:p>
    <w:p>
      <w:pPr>
        <w:jc w:val="both"/>
        <w:ind w:left="260" w:firstLine="639"/>
        <w:spacing w:after="0" w:line="270" w:lineRule="auto"/>
        <w:tabs>
          <w:tab w:leader="none" w:pos="1413"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70" w:lineRule="exact"/>
        <w:rPr>
          <w:rFonts w:ascii="Arial" w:cs="Arial" w:eastAsia="Arial" w:hAnsi="Arial"/>
          <w:sz w:val="18"/>
          <w:szCs w:val="18"/>
          <w:color w:val="auto"/>
        </w:rPr>
      </w:pPr>
    </w:p>
    <w:p>
      <w:pPr>
        <w:jc w:val="both"/>
        <w:ind w:left="260" w:firstLine="639"/>
        <w:spacing w:after="0" w:line="246" w:lineRule="auto"/>
        <w:tabs>
          <w:tab w:leader="none" w:pos="1321"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spacing w:after="0" w:line="191" w:lineRule="exact"/>
        <w:rPr>
          <w:rFonts w:ascii="Arial" w:cs="Arial" w:eastAsia="Arial" w:hAnsi="Arial"/>
          <w:sz w:val="20"/>
          <w:szCs w:val="20"/>
          <w:color w:val="auto"/>
        </w:rPr>
      </w:pPr>
    </w:p>
    <w:p>
      <w:pPr>
        <w:jc w:val="both"/>
        <w:ind w:left="260" w:firstLine="639"/>
        <w:spacing w:after="0" w:line="246" w:lineRule="auto"/>
        <w:tabs>
          <w:tab w:leader="none" w:pos="1373"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Each of the Borrower, the Administrative Agent, any Issuing Lender or the Swingline Lender may change its address or facsimile number for notices and other communications hereunder by notice to the other parties hereto. Any Lender may change its address or facsimile number for notices and other communications hereunder by notice to the Borrower, the Administrative Agent, each Issuing Lender and the Swingline Lender.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31" w:name="page232"/>
    <w:bookmarkEnd w:id="231"/>
    <w:p>
      <w:pPr>
        <w:ind w:left="1300" w:hanging="401"/>
        <w:spacing w:after="0"/>
        <w:tabs>
          <w:tab w:leader="none" w:pos="130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1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Each Credit Party agrees that the Administrative Agent may, but shall not be obligated to, make the Borrower Materials available to the Issuing Lenders and the other Lenders by posting the Borrower Materials on the Platform. The Borrower acknowledges and agrees that the DQ List shall be deemed suitable for posting and may be posted by the Administrative Agent on the Platform, including the portion of the Platform that is designated for “public side” Lenders.</w:t>
      </w:r>
    </w:p>
    <w:p>
      <w:pPr>
        <w:spacing w:after="0" w:line="191" w:lineRule="exact"/>
        <w:rPr>
          <w:rFonts w:ascii="Arial" w:cs="Arial" w:eastAsia="Arial" w:hAnsi="Arial"/>
          <w:sz w:val="20"/>
          <w:szCs w:val="20"/>
          <w:color w:val="auto"/>
        </w:rPr>
      </w:pPr>
    </w:p>
    <w:p>
      <w:pPr>
        <w:jc w:val="both"/>
        <w:ind w:left="660" w:firstLine="645"/>
        <w:spacing w:after="0" w:line="270" w:lineRule="auto"/>
        <w:tabs>
          <w:tab w:leader="none" w:pos="174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bad faith,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Amendments, Waivers and Consents</w:t>
      </w:r>
      <w:r>
        <w:rPr>
          <w:rFonts w:ascii="Arial" w:cs="Arial" w:eastAsia="Arial" w:hAnsi="Arial"/>
          <w:sz w:val="19"/>
          <w:szCs w:val="19"/>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no amendment, waiver or consent shall:</w:t>
      </w:r>
    </w:p>
    <w:p>
      <w:pPr>
        <w:spacing w:after="0" w:line="181" w:lineRule="exact"/>
        <w:rPr>
          <w:sz w:val="20"/>
          <w:szCs w:val="20"/>
          <w:color w:val="auto"/>
        </w:rPr>
      </w:pPr>
    </w:p>
    <w:p>
      <w:pPr>
        <w:jc w:val="both"/>
        <w:ind w:left="260" w:firstLine="639"/>
        <w:spacing w:after="0" w:line="250" w:lineRule="auto"/>
        <w:tabs>
          <w:tab w:leader="none" w:pos="141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w:t>
      </w:r>
    </w:p>
    <w:p>
      <w:pPr>
        <w:spacing w:after="0" w:line="186" w:lineRule="exact"/>
        <w:rPr>
          <w:rFonts w:ascii="Arial" w:cs="Arial" w:eastAsia="Arial" w:hAnsi="Arial"/>
          <w:sz w:val="20"/>
          <w:szCs w:val="20"/>
          <w:color w:val="auto"/>
        </w:rPr>
      </w:pPr>
    </w:p>
    <w:p>
      <w:pPr>
        <w:ind w:left="260" w:firstLine="639"/>
        <w:spacing w:after="0" w:line="260" w:lineRule="auto"/>
        <w:tabs>
          <w:tab w:leader="none" w:pos="141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increase or extend the Commitment of any Lender (or reinstate any Commitment terminated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or increase the amount of Loans of any Lender, in any case, without the written consent of such Lender;</w:t>
      </w:r>
    </w:p>
    <w:p>
      <w:pPr>
        <w:spacing w:after="0" w:line="176" w:lineRule="exact"/>
        <w:rPr>
          <w:rFonts w:ascii="Arial" w:cs="Arial" w:eastAsia="Arial" w:hAnsi="Arial"/>
          <w:sz w:val="20"/>
          <w:szCs w:val="20"/>
          <w:color w:val="auto"/>
        </w:rPr>
      </w:pPr>
    </w:p>
    <w:p>
      <w:pPr>
        <w:jc w:val="both"/>
        <w:ind w:left="260" w:firstLine="639"/>
        <w:spacing w:after="0" w:line="260" w:lineRule="auto"/>
        <w:tabs>
          <w:tab w:leader="none" w:pos="141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reduce the principal of, or the rate of interest specified herein on, any Loan or Reimbursement Obligation, or (subject to clauses (iv) and (viii)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(i) to waive any obligation of the Borrower to pay interest at the rate set forth in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during the continuance of an Event of Default or (ii) to amend any financial covenant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32" w:name="page233"/>
    <w:bookmarkEnd w:id="232"/>
    <w:p>
      <w:pPr>
        <w:ind w:left="260" w:right="20"/>
        <w:spacing w:after="0" w:line="260" w:lineRule="auto"/>
        <w:rPr>
          <w:sz w:val="20"/>
          <w:szCs w:val="20"/>
          <w:color w:val="auto"/>
        </w:rPr>
      </w:pPr>
      <w:r>
        <w:rPr>
          <w:rFonts w:ascii="Arial" w:cs="Arial" w:eastAsia="Arial" w:hAnsi="Arial"/>
          <w:sz w:val="20"/>
          <w:szCs w:val="20"/>
          <w:color w:val="auto"/>
        </w:rPr>
        <w:t>hereunder (or any defined term used therein) even if the effect of such amendment would be to reduce the rate of interest on any Loan or L/C Obligation or to reduce any fee payable hereunder;</w:t>
      </w:r>
    </w:p>
    <w:p>
      <w:pPr>
        <w:spacing w:after="0" w:line="177" w:lineRule="exact"/>
        <w:rPr>
          <w:sz w:val="20"/>
          <w:szCs w:val="20"/>
          <w:color w:val="auto"/>
        </w:rPr>
      </w:pPr>
    </w:p>
    <w:p>
      <w:pPr>
        <w:ind w:left="260" w:firstLine="639"/>
        <w:spacing w:after="0" w:line="260" w:lineRule="auto"/>
        <w:tabs>
          <w:tab w:leader="none" w:pos="141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 a manner that would alter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sharing of payments or order of application required thereby without the written consent of each Lender directly and adversely affected thereby;</w:t>
      </w:r>
    </w:p>
    <w:p>
      <w:pPr>
        <w:spacing w:after="0" w:line="176" w:lineRule="exact"/>
        <w:rPr>
          <w:rFonts w:ascii="Arial" w:cs="Arial" w:eastAsia="Arial" w:hAnsi="Arial"/>
          <w:sz w:val="20"/>
          <w:szCs w:val="20"/>
          <w:color w:val="auto"/>
        </w:rPr>
      </w:pPr>
    </w:p>
    <w:p>
      <w:pPr>
        <w:jc w:val="both"/>
        <w:ind w:left="260" w:firstLine="639"/>
        <w:spacing w:after="0" w:line="263" w:lineRule="auto"/>
        <w:tabs>
          <w:tab w:leader="none" w:pos="1335"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except as otherwise permitted by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change any provision of this Section or reduce the percentages specified in the definitions of “Required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6" w:lineRule="exact"/>
        <w:rPr>
          <w:rFonts w:ascii="Arial" w:cs="Arial" w:eastAsia="Arial" w:hAnsi="Arial"/>
          <w:sz w:val="19"/>
          <w:szCs w:val="19"/>
          <w:color w:val="auto"/>
        </w:rPr>
      </w:pPr>
    </w:p>
    <w:p>
      <w:pPr>
        <w:ind w:left="260" w:firstLine="639"/>
        <w:spacing w:after="0" w:line="316" w:lineRule="auto"/>
        <w:tabs>
          <w:tab w:leader="none" w:pos="142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30" w:lineRule="exact"/>
        <w:rPr>
          <w:rFonts w:ascii="Arial" w:cs="Arial" w:eastAsia="Arial" w:hAnsi="Arial"/>
          <w:sz w:val="18"/>
          <w:szCs w:val="18"/>
          <w:color w:val="auto"/>
        </w:rPr>
      </w:pPr>
    </w:p>
    <w:p>
      <w:pPr>
        <w:ind w:left="260" w:firstLine="639"/>
        <w:spacing w:after="0" w:line="260" w:lineRule="auto"/>
        <w:tabs>
          <w:tab w:leader="none" w:pos="1319" w:val="left"/>
        </w:tabs>
        <w:numPr>
          <w:ilvl w:val="0"/>
          <w:numId w:val="190"/>
        </w:numPr>
        <w:rPr>
          <w:rFonts w:ascii="Arial" w:cs="Arial" w:eastAsia="Arial" w:hAnsi="Arial"/>
          <w:sz w:val="20"/>
          <w:szCs w:val="20"/>
          <w:color w:val="auto"/>
        </w:rPr>
      </w:pPr>
      <w:r>
        <w:rPr>
          <w:rFonts w:ascii="Arial" w:cs="Arial" w:eastAsia="Arial" w:hAnsi="Arial"/>
          <w:sz w:val="20"/>
          <w:szCs w:val="20"/>
          <w:color w:val="auto"/>
        </w:rPr>
        <w:t>release (i) all of the Guarantors or (iii) Guarantors comprising substantially all of the credit support for the Obligations, in any case, from the Guaranty Agreement, without the written consent of each Lender;</w:t>
      </w:r>
    </w:p>
    <w:p>
      <w:pPr>
        <w:spacing w:after="0" w:line="176" w:lineRule="exact"/>
        <w:rPr>
          <w:rFonts w:ascii="Arial" w:cs="Arial" w:eastAsia="Arial" w:hAnsi="Arial"/>
          <w:sz w:val="20"/>
          <w:szCs w:val="20"/>
          <w:color w:val="auto"/>
        </w:rPr>
      </w:pPr>
    </w:p>
    <w:p>
      <w:pPr>
        <w:ind w:left="260" w:right="20" w:firstLine="639"/>
        <w:spacing w:after="0" w:line="260" w:lineRule="auto"/>
        <w:tabs>
          <w:tab w:leader="none" w:pos="141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amend the definition of “Alternative Currency”, the definition of “Alternative L/C Currency” or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without the written consent of each Revolving Credit Lender and each Issuing Lender; or</w:t>
      </w:r>
    </w:p>
    <w:p>
      <w:pPr>
        <w:spacing w:after="0" w:line="176" w:lineRule="exact"/>
        <w:rPr>
          <w:rFonts w:ascii="Arial" w:cs="Arial" w:eastAsia="Arial" w:hAnsi="Arial"/>
          <w:sz w:val="20"/>
          <w:szCs w:val="20"/>
          <w:color w:val="auto"/>
        </w:rPr>
      </w:pPr>
    </w:p>
    <w:p>
      <w:pPr>
        <w:jc w:val="both"/>
        <w:ind w:left="260" w:firstLine="639"/>
        <w:spacing w:after="0" w:line="278" w:lineRule="auto"/>
        <w:tabs>
          <w:tab w:leader="none" w:pos="12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 waive any condition precedent to any Extension of Credit under the Revolving Credit Facility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(ii) amend or otherwise modify </w:t>
      </w:r>
      <w:r>
        <w:rPr>
          <w:rFonts w:ascii="Arial" w:cs="Arial" w:eastAsia="Arial" w:hAnsi="Arial"/>
          <w:sz w:val="18"/>
          <w:szCs w:val="18"/>
          <w:u w:val="single" w:color="auto"/>
          <w:color w:val="auto"/>
        </w:rPr>
        <w:t>Section 6.2</w:t>
      </w:r>
      <w:r>
        <w:rPr>
          <w:rFonts w:ascii="Arial" w:cs="Arial" w:eastAsia="Arial" w:hAnsi="Arial"/>
          <w:sz w:val="18"/>
          <w:szCs w:val="18"/>
          <w:color w:val="auto"/>
        </w:rPr>
        <w:t>, if the effect of such amendment or modification is to require the Revolving Credit Lenders to make Revolving Credit Loans, the Swingline Lender to make any Swingline Loans or any Issuing Lender to issue any Letter of Credit (in each case, pursuant to a substantially concurrent request by the Borrower) when the Revolving Credit Lenders, Swingline Lender or Issuing Lender would not otherwise be required to do so, in each case, without the written consent of Required Revolving Credit Lenders;</w:t>
      </w:r>
    </w:p>
    <w:p>
      <w:pPr>
        <w:spacing w:after="0" w:line="39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or modify </w:t>
      </w:r>
      <w:r>
        <w:rPr>
          <w:rFonts w:ascii="Arial" w:cs="Arial" w:eastAsia="Arial" w:hAnsi="Arial"/>
          <w:sz w:val="19"/>
          <w:szCs w:val="19"/>
          <w:u w:val="single" w:color="auto"/>
          <w:color w:val="auto"/>
        </w:rPr>
        <w:t>Section 12.24</w:t>
      </w:r>
      <w:r>
        <w:rPr>
          <w:rFonts w:ascii="Arial" w:cs="Arial" w:eastAsia="Arial" w:hAnsi="Arial"/>
          <w:sz w:val="19"/>
          <w:szCs w:val="19"/>
          <w:color w:val="auto"/>
        </w:rPr>
        <w:t xml:space="preserve"> hereof; (iv) the Engagement Letter may be amended, or rights or privileges thereunder waived, in a writing executed only by the parties thereto, (v) each Letter of Credit Application may be amended, or rights or privileges thereunder waived, in a writing executed only by the parties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copy of such amended Letter of Credit Application shall be promptly delivered to the Administrative Agent upon such amendment or waiver, (vi)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33" w:name="page234"/>
    <w:bookmarkEnd w:id="233"/>
    <w:p>
      <w:pPr>
        <w:jc w:val="both"/>
        <w:spacing w:after="0" w:line="242" w:lineRule="auto"/>
        <w:rPr>
          <w:sz w:val="20"/>
          <w:szCs w:val="20"/>
          <w:color w:val="auto"/>
        </w:rPr>
      </w:pPr>
      <w:r>
        <w:rPr>
          <w:rFonts w:ascii="Arial" w:cs="Arial" w:eastAsia="Arial" w:hAnsi="Arial"/>
          <w:sz w:val="20"/>
          <w:szCs w:val="20"/>
          <w:color w:val="auto"/>
        </w:rPr>
        <w:t xml:space="preserve">provision and (vii) the Administrative Agent may, without the consent of any Lender, enter into amendments or modifications to this Agreement or any of the other Loan Documents or to enter into additional Loan Documents as the Administrative Agent reasonably deems appropriate in order to implement any Replacement Rate or otherwise effectuate the terms of </w:t>
      </w:r>
      <w:r>
        <w:rPr>
          <w:rFonts w:ascii="Arial" w:cs="Arial" w:eastAsia="Arial" w:hAnsi="Arial"/>
          <w:sz w:val="20"/>
          <w:szCs w:val="20"/>
          <w:u w:val="single" w:color="auto"/>
          <w:color w:val="auto"/>
        </w:rPr>
        <w:t>Section 5.8(c)</w:t>
      </w:r>
      <w:r>
        <w:rPr>
          <w:rFonts w:ascii="Arial" w:cs="Arial" w:eastAsia="Arial" w:hAnsi="Arial"/>
          <w:sz w:val="20"/>
          <w:szCs w:val="20"/>
          <w:color w:val="auto"/>
        </w:rPr>
        <w:t xml:space="preserve"> in accordance with the terms of </w:t>
      </w:r>
      <w:r>
        <w:rPr>
          <w:rFonts w:ascii="Arial" w:cs="Arial" w:eastAsia="Arial" w:hAnsi="Arial"/>
          <w:sz w:val="20"/>
          <w:szCs w:val="20"/>
          <w:u w:val="single" w:color="auto"/>
          <w:color w:val="auto"/>
        </w:rPr>
        <w:t>Section 5.8(c)</w:t>
      </w:r>
      <w:r>
        <w:rPr>
          <w:rFonts w:ascii="Arial" w:cs="Arial" w:eastAsia="Arial" w:hAnsi="Arial"/>
          <w:sz w:val="20"/>
          <w:szCs w:val="20"/>
          <w:color w:val="auto"/>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Notwithstanding anything in this Agreement to the contrary, each Lender hereby irrevocably authorizes the Administrative Agent on its behalf, and without further consent of any Lender (but with the consent of the Borrower and the Administrative Agent), to (x) amend and restate this Agreement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(y) enter into amendments or modifications to this Agreement (including, without limitation, amendments to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any of the other Loan Documents or to enter into additional Loan Documents as the Administrative Agent reasonably deems appropriate in order to effectuate the terms of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(including, without limitation, as applicable, (1) to permit the Incremental Term Loans and the Revolving Credit Facility Increases to share ratably in the benefits of this Agreement and the other Loan Documents and (2) to include the Incremental Term Loan Commitments and the Revolving Credit Facility Increase, as applicable, or outstanding Incremental Term Loans and outstanding Revolving Credit Facility Increase, as applicable, in any determination of (i) Required Lenders or Required Revolving Credit Lenders, as applicable or (ii) similar required lender terms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216" w:lineRule="exact"/>
        <w:rPr>
          <w:sz w:val="20"/>
          <w:szCs w:val="20"/>
          <w:color w:val="auto"/>
        </w:rPr>
      </w:pPr>
    </w:p>
    <w:p>
      <w:pPr>
        <w:jc w:val="both"/>
        <w:ind w:left="260" w:firstLine="639"/>
        <w:spacing w:after="0" w:line="267" w:lineRule="auto"/>
        <w:tabs>
          <w:tab w:leader="none" w:pos="1321"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and each other Credit Party, jointly and severally, shall pay (i) all reasonable out of pocket expenses incurred by the Administrative Agent, the Arrangers, and their respective Affiliates (including, without limitation, reasonable and documented fees and expenses of one firm of lead counsel and one firm of counsel in each relevant jurisdiction),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without limitation, reasonable and documented fees and expenses of one primary firm of counsel for counsel for the Administrative Agent and all of the Lenders and one firm of counsel in each relevant jurisdiction, and in the case of an actual or perceived conflict of interest of any of the foregoing counsel, one additional counsel for each group of affected parties similarly situated and taken as a whole)), in connection with the enforcement or protection of its rights (A) in connection with this Agreement and the other Loan Documents, including its rights under this </w:t>
      </w:r>
      <w:r>
        <w:rPr>
          <w:rFonts w:ascii="Arial" w:cs="Arial" w:eastAsia="Arial" w:hAnsi="Arial"/>
          <w:sz w:val="18"/>
          <w:szCs w:val="18"/>
          <w:u w:val="single" w:color="auto"/>
          <w:color w:val="auto"/>
        </w:rPr>
        <w:t>Section 12.3</w:t>
      </w:r>
      <w:r>
        <w:rPr>
          <w:rFonts w:ascii="Arial" w:cs="Arial" w:eastAsia="Arial" w:hAnsi="Arial"/>
          <w:sz w:val="18"/>
          <w:szCs w:val="18"/>
          <w:color w:val="auto"/>
        </w:rPr>
        <w:t>, or</w:t>
      </w:r>
    </w:p>
    <w:p>
      <w:pPr>
        <w:spacing w:after="0" w:line="7" w:lineRule="exact"/>
        <w:rPr>
          <w:rFonts w:ascii="Arial" w:cs="Arial" w:eastAsia="Arial" w:hAnsi="Arial"/>
          <w:sz w:val="18"/>
          <w:szCs w:val="18"/>
          <w:color w:val="auto"/>
        </w:rPr>
      </w:pPr>
    </w:p>
    <w:p>
      <w:pPr>
        <w:ind w:left="560" w:hanging="309"/>
        <w:spacing w:after="0"/>
        <w:tabs>
          <w:tab w:leader="none" w:pos="5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 connection with the Loans made or Letters of Credit issued hereunder, including all such out of pocket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34" w:name="page235"/>
    <w:bookmarkEnd w:id="234"/>
    <w:p>
      <w:pPr>
        <w:ind w:left="260"/>
        <w:spacing w:after="0"/>
        <w:rPr>
          <w:sz w:val="20"/>
          <w:szCs w:val="20"/>
          <w:color w:val="auto"/>
        </w:rPr>
      </w:pPr>
      <w:r>
        <w:rPr>
          <w:rFonts w:ascii="Arial" w:cs="Arial" w:eastAsia="Arial" w:hAnsi="Arial"/>
          <w:sz w:val="20"/>
          <w:szCs w:val="20"/>
          <w:color w:val="auto"/>
        </w:rPr>
        <w:t>expenses incurred during any workout, restructuring or negotiations in respect of such Loans or Letters of Credit.</w:t>
      </w:r>
    </w:p>
    <w:p>
      <w:pPr>
        <w:spacing w:after="0" w:line="216" w:lineRule="exact"/>
        <w:rPr>
          <w:sz w:val="20"/>
          <w:szCs w:val="20"/>
          <w:color w:val="auto"/>
        </w:rPr>
      </w:pPr>
    </w:p>
    <w:p>
      <w:pPr>
        <w:jc w:val="both"/>
        <w:ind w:firstLine="656"/>
        <w:spacing w:after="0" w:line="268" w:lineRule="auto"/>
        <w:tabs>
          <w:tab w:leader="none" w:pos="115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and shall pay or reimburse any such Indemnitee for, any and all losses, claims (including, without limitation, any Environmental Claims), penalties, damages, liabilities and related expenses (including the fees, charges and disbursements of one primary counsel for all Indemnitees and, if reasonably necessary, a single local counsel in each relevant jurisdiction (unless there is an actual or perceived conflict of interest in which case each such Indemnitee may retain its own counsel)), incurred by any Indemnitee or asserted against any Indemnitee by any Person (including the Borrower or any other Credit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out-of-pocket attorneys and consultant’s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bad faith, gross negligence or willful misconduct of such Indemnitee, (B) result from a claim brought by any Credit Party or any Subsidiary thereof against an Indemnitee for material breach of such Indemnitee’s obligations hereunder or under any other Loan Document, if such Credit Party or such Subsidiary has obtained a final and non-appealable judgment in its favor on such claim as determined by a court of competent jurisdiction or (C) arise out of a dispute that is solely between Indemnitees in their capacities as such (and not in their capacity as Arranger, Administrative Agent, Swingline Lender or Issuing Lender) and not arising out of any act or omission of the Borrower or any Subsidiary or Affiliate thereof. This </w:t>
      </w:r>
      <w:r>
        <w:rPr>
          <w:rFonts w:ascii="Arial" w:cs="Arial" w:eastAsia="Arial" w:hAnsi="Arial"/>
          <w:sz w:val="18"/>
          <w:szCs w:val="18"/>
          <w:u w:val="single" w:color="auto"/>
          <w:color w:val="auto"/>
        </w:rPr>
        <w:t>Section 12.3(b)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1" w:lineRule="exact"/>
        <w:rPr>
          <w:rFonts w:ascii="Arial" w:cs="Arial" w:eastAsia="Arial" w:hAnsi="Arial"/>
          <w:sz w:val="18"/>
          <w:szCs w:val="18"/>
          <w:color w:val="auto"/>
        </w:rPr>
      </w:pPr>
    </w:p>
    <w:p>
      <w:pPr>
        <w:jc w:val="both"/>
        <w:ind w:left="260" w:firstLine="639"/>
        <w:spacing w:after="0" w:line="316" w:lineRule="auto"/>
        <w:tabs>
          <w:tab w:leader="none" w:pos="1308"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clause (a) or (b) 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35" w:name="page236"/>
    <w:bookmarkEnd w:id="235"/>
    <w:p>
      <w:pPr>
        <w:jc w:val="both"/>
        <w:ind w:left="260"/>
        <w:spacing w:after="0" w:line="271" w:lineRule="auto"/>
        <w:rPr>
          <w:sz w:val="20"/>
          <w:szCs w:val="20"/>
          <w:color w:val="auto"/>
        </w:rPr>
      </w:pPr>
      <w:r>
        <w:rPr>
          <w:rFonts w:ascii="Arial" w:cs="Arial" w:eastAsia="Arial" w:hAnsi="Arial"/>
          <w:sz w:val="18"/>
          <w:szCs w:val="18"/>
          <w:color w:val="auto"/>
        </w:rPr>
        <w:t xml:space="preserve">Credit Exposure immediately prior to such reduction) of such unpaid amount (including any such unpaid amount in respect of a claim asserted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Issuing Lender or the Swingline Lender in its capacity as such, or against any Related Party of any of the foregoing acting for the Administrative Agent (or any such sub-agent), such Issuing Lender or the Swingline Lender in connection with such capacity. The obligations of the Lenders under this clause (c) are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75" w:lineRule="exact"/>
        <w:rPr>
          <w:sz w:val="20"/>
          <w:szCs w:val="20"/>
          <w:color w:val="auto"/>
        </w:rPr>
      </w:pPr>
    </w:p>
    <w:p>
      <w:pPr>
        <w:jc w:val="both"/>
        <w:ind w:left="260" w:right="20" w:firstLine="639"/>
        <w:spacing w:after="0" w:line="242" w:lineRule="auto"/>
        <w:tabs>
          <w:tab w:leader="none" w:pos="1319"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the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7" w:lineRule="exact"/>
        <w:rPr>
          <w:rFonts w:ascii="Arial" w:cs="Arial" w:eastAsia="Arial" w:hAnsi="Arial"/>
          <w:sz w:val="20"/>
          <w:szCs w:val="20"/>
          <w:color w:val="auto"/>
        </w:rPr>
      </w:pPr>
    </w:p>
    <w:p>
      <w:pPr>
        <w:ind w:left="1300" w:hanging="401"/>
        <w:spacing w:after="0"/>
        <w:tabs>
          <w:tab w:leader="none" w:pos="130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demand therefor.</w:t>
      </w:r>
    </w:p>
    <w:p>
      <w:pPr>
        <w:spacing w:after="0" w:line="215" w:lineRule="exact"/>
        <w:rPr>
          <w:rFonts w:ascii="Arial" w:cs="Arial" w:eastAsia="Arial" w:hAnsi="Arial"/>
          <w:sz w:val="20"/>
          <w:szCs w:val="20"/>
          <w:color w:val="auto"/>
        </w:rPr>
      </w:pPr>
    </w:p>
    <w:p>
      <w:pPr>
        <w:ind w:left="260" w:right="20" w:firstLine="639"/>
        <w:spacing w:after="0" w:line="260" w:lineRule="auto"/>
        <w:tabs>
          <w:tab w:leader="none" w:pos="1313"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termination of the Loan Documents and payment of the obligations hereunder.</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Issuing Lender, the Swingline Lender and each of their respective Affiliates (with the consent of or at the direction of the Required Lenders)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pending such payment, shall be segregated by such Defaulting Lender or Affiliate of a Defaulting Lender from its other funds and deemed held in trust for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36" w:name="page237"/>
    <w:bookmarkEnd w:id="236"/>
    <w:p>
      <w:pPr>
        <w:jc w:val="both"/>
        <w:spacing w:after="0" w:line="258" w:lineRule="auto"/>
        <w:rPr>
          <w:sz w:val="20"/>
          <w:szCs w:val="20"/>
          <w:color w:val="auto"/>
        </w:rPr>
      </w:pPr>
      <w:r>
        <w:rPr>
          <w:rFonts w:ascii="Arial" w:cs="Arial" w:eastAsia="Arial" w:hAnsi="Arial"/>
          <w:sz w:val="19"/>
          <w:szCs w:val="19"/>
          <w:color w:val="auto"/>
        </w:rPr>
        <w:t xml:space="preserve">benefit of the Administrative Agent, the Issuing Lenders, the Swingline Lender and the Lenders, and (y) the Defaulting Lender or its Affiliate shall provide promptly to the Administrative Agent a statement describing in reasonable detail the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u w:val="single" w:color="auto"/>
          <w:color w:val="auto"/>
        </w:rPr>
        <w:t>Governing Law; Jurisdiction, Etc.</w:t>
      </w:r>
    </w:p>
    <w:p>
      <w:pPr>
        <w:spacing w:after="0" w:line="216" w:lineRule="exact"/>
        <w:rPr>
          <w:sz w:val="20"/>
          <w:szCs w:val="20"/>
          <w:color w:val="auto"/>
        </w:rPr>
      </w:pPr>
    </w:p>
    <w:p>
      <w:pPr>
        <w:jc w:val="both"/>
        <w:ind w:left="260" w:firstLine="639"/>
        <w:spacing w:after="0" w:line="246" w:lineRule="auto"/>
        <w:tabs>
          <w:tab w:leader="none" w:pos="1429"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1" w:lineRule="exact"/>
        <w:rPr>
          <w:rFonts w:ascii="Arial" w:cs="Arial" w:eastAsia="Arial" w:hAnsi="Arial"/>
          <w:sz w:val="20"/>
          <w:szCs w:val="20"/>
          <w:color w:val="auto"/>
        </w:rPr>
      </w:pPr>
    </w:p>
    <w:p>
      <w:pPr>
        <w:jc w:val="both"/>
        <w:ind w:left="260" w:firstLine="639"/>
        <w:spacing w:after="0" w:line="255" w:lineRule="auto"/>
        <w:tabs>
          <w:tab w:leader="none" w:pos="1359"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spacing w:after="0" w:line="182" w:lineRule="exact"/>
        <w:rPr>
          <w:rFonts w:ascii="Arial" w:cs="Arial" w:eastAsia="Arial" w:hAnsi="Arial"/>
          <w:sz w:val="19"/>
          <w:szCs w:val="19"/>
          <w:color w:val="auto"/>
        </w:rPr>
      </w:pPr>
    </w:p>
    <w:p>
      <w:pPr>
        <w:jc w:val="both"/>
        <w:ind w:left="260" w:firstLine="639"/>
        <w:spacing w:after="0" w:line="244" w:lineRule="auto"/>
        <w:tabs>
          <w:tab w:leader="none" w:pos="1416"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left="260" w:firstLine="639"/>
        <w:spacing w:after="0" w:line="250" w:lineRule="auto"/>
        <w:tabs>
          <w:tab w:leader="none" w:pos="1454"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12.1</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12.6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37" w:name="page238"/>
    <w:bookmarkEnd w:id="237"/>
    <w:p>
      <w:pPr>
        <w:jc w:val="both"/>
        <w:spacing w:after="0" w:line="243" w:lineRule="auto"/>
        <w:rPr>
          <w:sz w:val="20"/>
          <w:szCs w:val="20"/>
          <w:color w:val="auto"/>
        </w:rPr>
      </w:pPr>
      <w:r>
        <w:rPr>
          <w:rFonts w:ascii="Arial" w:cs="Arial" w:eastAsia="Arial" w:hAnsi="Arial"/>
          <w:sz w:val="20"/>
          <w:szCs w:val="20"/>
          <w:color w:val="auto"/>
        </w:rPr>
        <w:t>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Reversal of Payments</w:t>
      </w:r>
      <w:r>
        <w:rPr>
          <w:rFonts w:ascii="Arial" w:cs="Arial" w:eastAsia="Arial" w:hAnsi="Arial"/>
          <w:sz w:val="19"/>
          <w:szCs w:val="19"/>
          <w:color w:val="auto"/>
        </w:rPr>
        <w:t>. To the extent any Credit Party makes a payment or payments to the Administrative Agent for the ratable benefit of any of the Guaranteed Parties or to any Guaranteed Party directly or the Administrative Agent or any Guaranteed Party receives any payment or any Guaranteed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12.8 </w:t>
      </w:r>
      <w:r>
        <w:rPr>
          <w:rFonts w:ascii="Arial" w:cs="Arial" w:eastAsia="Arial" w:hAnsi="Arial"/>
          <w:sz w:val="20"/>
          <w:szCs w:val="20"/>
          <w:u w:val="single" w:color="auto"/>
          <w:color w:val="auto"/>
        </w:rPr>
        <w:t>Injunctive Relief</w:t>
      </w:r>
      <w:r>
        <w:rPr>
          <w:rFonts w:ascii="Arial" w:cs="Arial" w:eastAsia="Arial" w:hAnsi="Arial"/>
          <w:sz w:val="20"/>
          <w:szCs w:val="20"/>
          <w:color w:val="auto"/>
        </w:rPr>
        <w:t>.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1" w:lineRule="auto"/>
        <w:tabs>
          <w:tab w:leader="none" w:pos="107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neither the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4" w:lineRule="exact"/>
        <w:rPr>
          <w:rFonts w:ascii="Arial" w:cs="Arial" w:eastAsia="Arial" w:hAnsi="Arial"/>
          <w:sz w:val="18"/>
          <w:szCs w:val="18"/>
          <w:color w:val="auto"/>
        </w:rPr>
      </w:pPr>
    </w:p>
    <w:p>
      <w:pPr>
        <w:ind w:firstLine="656"/>
        <w:spacing w:after="0" w:line="260" w:lineRule="auto"/>
        <w:tabs>
          <w:tab w:leader="none" w:pos="1059"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Any Lender may at any time assign to one or more assignees all or a portion of its rights and obligations under this Agreement (including all or a portion of its Revolving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38" w:name="page239"/>
    <w:bookmarkEnd w:id="238"/>
    <w:p>
      <w:pPr>
        <w:spacing w:after="0" w:line="260" w:lineRule="auto"/>
        <w:rPr>
          <w:sz w:val="20"/>
          <w:szCs w:val="20"/>
          <w:color w:val="auto"/>
        </w:rPr>
      </w:pPr>
      <w:r>
        <w:rPr>
          <w:rFonts w:ascii="Arial" w:cs="Arial" w:eastAsia="Arial" w:hAnsi="Arial"/>
          <w:sz w:val="20"/>
          <w:szCs w:val="20"/>
          <w:color w:val="auto"/>
        </w:rPr>
        <w:t xml:space="preserve">Credit Commitment and the Revolving Credit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any such assignment shall be subject to the following conditions:</w:t>
      </w:r>
    </w:p>
    <w:p>
      <w:pPr>
        <w:spacing w:after="0" w:line="177" w:lineRule="exact"/>
        <w:rPr>
          <w:sz w:val="20"/>
          <w:szCs w:val="20"/>
          <w:color w:val="auto"/>
        </w:rPr>
      </w:pPr>
    </w:p>
    <w:p>
      <w:pPr>
        <w:ind w:left="1680" w:hanging="375"/>
        <w:spacing w:after="0"/>
        <w:tabs>
          <w:tab w:leader="none" w:pos="168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44" w:lineRule="auto"/>
        <w:tabs>
          <w:tab w:leader="none" w:pos="2457"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 (i)(B) of this Section in the aggregate or in the case of an assignment to a Lender, an Affiliate of a Lender or an Approved Fund, no minimum amount need be assigned; and</w:t>
      </w:r>
    </w:p>
    <w:p>
      <w:pPr>
        <w:spacing w:after="0" w:line="194" w:lineRule="exact"/>
        <w:rPr>
          <w:rFonts w:ascii="Arial" w:cs="Arial" w:eastAsia="Arial" w:hAnsi="Arial"/>
          <w:sz w:val="20"/>
          <w:szCs w:val="20"/>
          <w:color w:val="auto"/>
        </w:rPr>
      </w:pPr>
    </w:p>
    <w:p>
      <w:pPr>
        <w:jc w:val="both"/>
        <w:ind w:left="1300" w:firstLine="653"/>
        <w:spacing w:after="0" w:line="255" w:lineRule="auto"/>
        <w:tabs>
          <w:tab w:leader="none" w:pos="239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$5,000,000, in the case of any assignment in respect of any Incremental Term Loan, unless each of the Administrative Agent and, so long as no Event of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given its consent five (5) Business Days after the date written notice thereof has been delivered by the assigning Lender (through the Administrative Agent) unless such consent is expressly refused by the Borrower prior to such fifth (5th) Business Day;</w:t>
      </w:r>
    </w:p>
    <w:p>
      <w:pPr>
        <w:spacing w:after="0" w:line="187" w:lineRule="exact"/>
        <w:rPr>
          <w:rFonts w:ascii="Arial" w:cs="Arial" w:eastAsia="Arial" w:hAnsi="Arial"/>
          <w:sz w:val="19"/>
          <w:szCs w:val="19"/>
          <w:color w:val="auto"/>
        </w:rPr>
      </w:pPr>
    </w:p>
    <w:p>
      <w:pPr>
        <w:ind w:left="660" w:firstLine="645"/>
        <w:spacing w:after="0" w:line="287" w:lineRule="auto"/>
        <w:tabs>
          <w:tab w:leader="none" w:pos="1865"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Loan or the Commitment assigned</w:t>
      </w:r>
      <w:r>
        <w:rPr>
          <w:rFonts w:ascii="Arial" w:cs="Arial" w:eastAsia="Arial" w:hAnsi="Arial"/>
          <w:sz w:val="19"/>
          <w:szCs w:val="19"/>
          <w:b w:val="1"/>
          <w:bCs w:val="1"/>
          <w:color w:val="auto"/>
        </w:rPr>
        <w:t>;</w:t>
      </w:r>
    </w:p>
    <w:p>
      <w:pPr>
        <w:spacing w:after="0" w:line="152" w:lineRule="exact"/>
        <w:rPr>
          <w:rFonts w:ascii="Arial" w:cs="Arial" w:eastAsia="Arial" w:hAnsi="Arial"/>
          <w:sz w:val="19"/>
          <w:szCs w:val="19"/>
          <w:color w:val="auto"/>
        </w:rPr>
      </w:pPr>
    </w:p>
    <w:p>
      <w:pPr>
        <w:ind w:left="660" w:firstLine="645"/>
        <w:spacing w:after="0" w:line="260" w:lineRule="auto"/>
        <w:tabs>
          <w:tab w:leader="none" w:pos="1799"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176" w:lineRule="exact"/>
        <w:rPr>
          <w:rFonts w:ascii="Arial" w:cs="Arial" w:eastAsia="Arial" w:hAnsi="Arial"/>
          <w:sz w:val="20"/>
          <w:szCs w:val="20"/>
          <w:color w:val="auto"/>
        </w:rPr>
      </w:pPr>
    </w:p>
    <w:p>
      <w:pPr>
        <w:ind w:left="2440" w:hanging="487"/>
        <w:spacing w:after="0"/>
        <w:tabs>
          <w:tab w:leader="none" w:pos="24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w:t>
      </w:r>
    </w:p>
    <w:p>
      <w:pPr>
        <w:spacing w:after="0" w:line="38" w:lineRule="exact"/>
        <w:rPr>
          <w:rFonts w:ascii="Arial" w:cs="Arial" w:eastAsia="Arial" w:hAnsi="Arial"/>
          <w:sz w:val="18"/>
          <w:szCs w:val="18"/>
          <w:color w:val="auto"/>
        </w:rPr>
      </w:pPr>
    </w:p>
    <w:p>
      <w:pPr>
        <w:jc w:val="both"/>
        <w:ind w:left="1300" w:firstLine="5"/>
        <w:spacing w:after="0"/>
        <w:tabs>
          <w:tab w:leader="none" w:pos="158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5 Business Days after having received notice thereof;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Borrower’s consent shall not be required during the primary syndication of the Credit Facility;</w:t>
      </w:r>
    </w:p>
    <w:p>
      <w:pPr>
        <w:spacing w:after="0" w:line="198" w:lineRule="exact"/>
        <w:rPr>
          <w:rFonts w:ascii="Arial" w:cs="Arial" w:eastAsia="Arial" w:hAnsi="Arial"/>
          <w:sz w:val="20"/>
          <w:szCs w:val="20"/>
          <w:color w:val="auto"/>
        </w:rPr>
      </w:pPr>
    </w:p>
    <w:p>
      <w:pPr>
        <w:jc w:val="both"/>
        <w:ind w:left="1300" w:firstLine="653"/>
        <w:spacing w:after="0" w:line="246" w:lineRule="auto"/>
        <w:tabs>
          <w:tab w:leader="none" w:pos="2487"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(i) the Revolving Credit Facility or any unfunded Incremental Term Loan Commitments if such assignment is to a Person that is not a Lender with a Revolving Credit Commitment or an Incremental Term Loan Commitment, as applicable, an Affiliate of such Lender or an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39" w:name="page240"/>
    <w:bookmarkEnd w:id="239"/>
    <w:p>
      <w:pPr>
        <w:ind w:left="1300"/>
        <w:spacing w:after="0" w:line="260" w:lineRule="auto"/>
        <w:rPr>
          <w:sz w:val="20"/>
          <w:szCs w:val="20"/>
          <w:color w:val="auto"/>
        </w:rPr>
      </w:pPr>
      <w:r>
        <w:rPr>
          <w:rFonts w:ascii="Arial" w:cs="Arial" w:eastAsia="Arial" w:hAnsi="Arial"/>
          <w:sz w:val="20"/>
          <w:szCs w:val="20"/>
          <w:color w:val="auto"/>
        </w:rPr>
        <w:t>Approved Fund with respect to such Lender or (ii) any Incremental Term Loans to a Person that is not a Lender, an Affiliate of a Lender or an Approved Fund; and</w:t>
      </w:r>
    </w:p>
    <w:p>
      <w:pPr>
        <w:spacing w:after="0" w:line="177" w:lineRule="exact"/>
        <w:rPr>
          <w:sz w:val="20"/>
          <w:szCs w:val="20"/>
          <w:color w:val="auto"/>
        </w:rPr>
      </w:pPr>
    </w:p>
    <w:p>
      <w:pPr>
        <w:ind w:left="1300" w:right="20" w:firstLine="653"/>
        <w:spacing w:after="0" w:line="260" w:lineRule="auto"/>
        <w:tabs>
          <w:tab w:leader="none" w:pos="2405" w:val="left"/>
        </w:tabs>
        <w:numPr>
          <w:ilvl w:val="2"/>
          <w:numId w:val="199"/>
        </w:numPr>
        <w:rPr>
          <w:rFonts w:ascii="Arial" w:cs="Arial" w:eastAsia="Arial" w:hAnsi="Arial"/>
          <w:sz w:val="20"/>
          <w:szCs w:val="20"/>
          <w:color w:val="auto"/>
        </w:rPr>
      </w:pPr>
      <w:r>
        <w:rPr>
          <w:rFonts w:ascii="Arial" w:cs="Arial" w:eastAsia="Arial" w:hAnsi="Arial"/>
          <w:sz w:val="20"/>
          <w:szCs w:val="20"/>
          <w:color w:val="auto"/>
        </w:rPr>
        <w:t>the consents of the Issuing Lenders and the Swingline Lender (such consents not to be unreasonably withheld or delayed) shall be required for any assignment in respect of the Revolving Credit Facility.</w:t>
      </w:r>
    </w:p>
    <w:p>
      <w:pPr>
        <w:spacing w:after="0" w:line="176" w:lineRule="exact"/>
        <w:rPr>
          <w:rFonts w:ascii="Arial" w:cs="Arial" w:eastAsia="Arial" w:hAnsi="Arial"/>
          <w:sz w:val="20"/>
          <w:szCs w:val="20"/>
          <w:color w:val="auto"/>
        </w:rPr>
      </w:pPr>
    </w:p>
    <w:p>
      <w:pPr>
        <w:jc w:val="both"/>
        <w:ind w:left="660" w:firstLine="645"/>
        <w:spacing w:after="0" w:line="278" w:lineRule="auto"/>
        <w:tabs>
          <w:tab w:leader="none" w:pos="1828"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5" w:lineRule="exact"/>
        <w:rPr>
          <w:rFonts w:ascii="Arial" w:cs="Arial" w:eastAsia="Arial" w:hAnsi="Arial"/>
          <w:sz w:val="18"/>
          <w:szCs w:val="18"/>
          <w:color w:val="auto"/>
        </w:rPr>
      </w:pPr>
    </w:p>
    <w:p>
      <w:pPr>
        <w:jc w:val="both"/>
        <w:ind w:left="660" w:firstLine="645"/>
        <w:spacing w:after="0" w:line="282" w:lineRule="auto"/>
        <w:tabs>
          <w:tab w:leader="none" w:pos="1787"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No Assignments or Participations to Certain Persons</w:t>
      </w:r>
      <w:r>
        <w:rPr>
          <w:rFonts w:ascii="Arial" w:cs="Arial" w:eastAsia="Arial" w:hAnsi="Arial"/>
          <w:sz w:val="18"/>
          <w:szCs w:val="18"/>
          <w:color w:val="auto"/>
        </w:rPr>
        <w:t>. No such assignment shall be made to (A) a natural Person (or a holding company, investment vehicle or trust for, or owned and operated for the primary benefit of, a natural Person), (B) the Borrower or any of the Borrower’s respective Subsidiaries or Affiliates or (C) any Defaulting Lender or any of its Subsidiaries, or any Person who, upon becoming a Lender hereunder, would constitute any of the foregoing Persons described in this clause (C).</w:t>
      </w:r>
    </w:p>
    <w:p>
      <w:pPr>
        <w:spacing w:after="0" w:line="161" w:lineRule="exact"/>
        <w:rPr>
          <w:rFonts w:ascii="Arial" w:cs="Arial" w:eastAsia="Arial" w:hAnsi="Arial"/>
          <w:sz w:val="18"/>
          <w:szCs w:val="18"/>
          <w:color w:val="auto"/>
        </w:rPr>
      </w:pPr>
    </w:p>
    <w:p>
      <w:pPr>
        <w:jc w:val="both"/>
        <w:ind w:left="660" w:firstLine="645"/>
        <w:spacing w:after="0" w:line="268" w:lineRule="auto"/>
        <w:tabs>
          <w:tab w:leader="none" w:pos="1869"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w:t>
      </w:r>
    </w:p>
    <w:p>
      <w:pPr>
        <w:spacing w:after="0" w:line="3" w:lineRule="exact"/>
        <w:rPr>
          <w:rFonts w:ascii="Arial" w:cs="Arial" w:eastAsia="Arial" w:hAnsi="Arial"/>
          <w:sz w:val="18"/>
          <w:szCs w:val="18"/>
          <w:color w:val="auto"/>
        </w:rPr>
      </w:pPr>
    </w:p>
    <w:p>
      <w:pPr>
        <w:jc w:val="both"/>
        <w:ind w:left="660" w:hanging="4"/>
        <w:spacing w:after="0"/>
        <w:tabs>
          <w:tab w:leader="none" w:pos="982"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acquire (and fund as appropriate) its full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0" w:name="page241"/>
    <w:bookmarkEnd w:id="240"/>
    <w:p>
      <w:pPr>
        <w:jc w:val="both"/>
        <w:spacing w:after="0" w:line="278" w:lineRule="auto"/>
        <w:rPr>
          <w:sz w:val="20"/>
          <w:szCs w:val="20"/>
          <w:color w:val="auto"/>
        </w:rPr>
      </w:pPr>
      <w:r>
        <w:rPr>
          <w:rFonts w:ascii="Arial" w:cs="Arial" w:eastAsia="Arial" w:hAnsi="Arial"/>
          <w:sz w:val="18"/>
          <w:szCs w:val="18"/>
          <w:color w:val="auto"/>
        </w:rPr>
        <w:t>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Subsidiaries or Affiliates, which shall be null and void).</w:t>
      </w:r>
    </w:p>
    <w:p>
      <w:pPr>
        <w:spacing w:after="0" w:line="165" w:lineRule="exact"/>
        <w:rPr>
          <w:sz w:val="20"/>
          <w:szCs w:val="20"/>
          <w:color w:val="auto"/>
        </w:rPr>
      </w:pPr>
    </w:p>
    <w:p>
      <w:pPr>
        <w:jc w:val="both"/>
        <w:ind w:firstLine="656"/>
        <w:spacing w:after="0" w:line="257" w:lineRule="auto"/>
        <w:tabs>
          <w:tab w:leader="none" w:pos="1061"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Charlotte, North Carolina, a copy of each Assignment and Assumption and Incremental Amendment delivered to it and a register for the recordation of the names and addresses of the Lenders, and the Revolving Credit Commitment of, and principal amounts of (and stated interest on)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spacing w:after="0" w:line="181" w:lineRule="exact"/>
        <w:rPr>
          <w:rFonts w:ascii="Arial" w:cs="Arial" w:eastAsia="Arial" w:hAnsi="Arial"/>
          <w:sz w:val="19"/>
          <w:szCs w:val="19"/>
          <w:color w:val="auto"/>
        </w:rPr>
      </w:pPr>
    </w:p>
    <w:p>
      <w:pPr>
        <w:jc w:val="both"/>
        <w:ind w:firstLine="656"/>
        <w:spacing w:after="0" w:line="241" w:lineRule="auto"/>
        <w:tabs>
          <w:tab w:leader="none" w:pos="1126"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Any Lender may at any time, without the consent of, or notice to, the Borrower, the Administrative Agent, any Issuing Lender or the Swingline Lender, sell participations to any Person (other than a natural Person (or a holding company, investment vehicle or trust for, or owned and operated for the primary benefit of, a natural Person), or the Borrower or any of the Borrower’s respective Subsidiaries or Affiliates) (each,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and/or obligations under this Agreement (including all or a portion of its Revolving Credit Commitment and/or the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12.3(c)</w:t>
      </w:r>
      <w:r>
        <w:rPr>
          <w:rFonts w:ascii="Arial" w:cs="Arial" w:eastAsia="Arial" w:hAnsi="Arial"/>
          <w:sz w:val="20"/>
          <w:szCs w:val="20"/>
          <w:color w:val="auto"/>
        </w:rPr>
        <w:t xml:space="preserve"> with respect to any payments made by such Lender to its Participant(s).</w:t>
      </w:r>
    </w:p>
    <w:p>
      <w:pPr>
        <w:spacing w:after="0" w:line="20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Section 12.2(a)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that directly and adversely affects such Participant. The Borrower agrees that each Participant shall be entitled to the benefits of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as if it were an assignee under paragraph</w:t>
      </w:r>
    </w:p>
    <w:p>
      <w:pPr>
        <w:spacing w:after="0" w:line="4" w:lineRule="exact"/>
        <w:rPr>
          <w:sz w:val="20"/>
          <w:szCs w:val="20"/>
          <w:color w:val="auto"/>
        </w:rPr>
      </w:pPr>
    </w:p>
    <w:p>
      <w:pPr>
        <w:jc w:val="both"/>
        <w:ind w:firstLine="8"/>
        <w:spacing w:after="0" w:line="256" w:lineRule="auto"/>
        <w:tabs>
          <w:tab w:leader="none" w:pos="29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of this Section; and (B) shall not be entitled to receive any greater payment under </w:t>
      </w:r>
      <w:r>
        <w:rPr>
          <w:rFonts w:ascii="Arial" w:cs="Arial" w:eastAsia="Arial" w:hAnsi="Arial"/>
          <w:sz w:val="19"/>
          <w:szCs w:val="19"/>
          <w:u w:val="single" w:color="auto"/>
          <w:color w:val="auto"/>
        </w:rPr>
        <w:t>Sections 5.10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9"/>
          <w:szCs w:val="19"/>
          <w:u w:val="single" w:color="auto"/>
          <w:color w:val="auto"/>
        </w:rPr>
        <w:t>Section 5.12(b)</w:t>
      </w:r>
      <w:r>
        <w:rPr>
          <w:rFonts w:ascii="Arial" w:cs="Arial" w:eastAsia="Arial" w:hAnsi="Arial"/>
          <w:sz w:val="19"/>
          <w:szCs w:val="19"/>
          <w:color w:val="auto"/>
        </w:rPr>
        <w:t xml:space="preserve"> with respect to any Participant. To the extent permitted by law, each Participant also shall be entitled to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1" w:name="page242"/>
    <w:bookmarkEnd w:id="241"/>
    <w:p>
      <w:pPr>
        <w:jc w:val="both"/>
        <w:spacing w:after="0" w:line="260" w:lineRule="auto"/>
        <w:rPr>
          <w:sz w:val="20"/>
          <w:szCs w:val="20"/>
          <w:color w:val="auto"/>
        </w:rPr>
      </w:pPr>
      <w:r>
        <w:rPr>
          <w:rFonts w:ascii="Arial" w:cs="Arial" w:eastAsia="Arial" w:hAnsi="Arial"/>
          <w:sz w:val="20"/>
          <w:szCs w:val="20"/>
          <w:color w:val="auto"/>
        </w:rPr>
        <w:t xml:space="preserve">benefits of </w:t>
      </w:r>
      <w:r>
        <w:rPr>
          <w:rFonts w:ascii="Arial" w:cs="Arial" w:eastAsia="Arial" w:hAnsi="Arial"/>
          <w:sz w:val="20"/>
          <w:szCs w:val="20"/>
          <w:u w:val="single" w:color="auto"/>
          <w:color w:val="auto"/>
        </w:rPr>
        <w:t>Section 12.4</w:t>
      </w:r>
      <w:r>
        <w:rPr>
          <w:rFonts w:ascii="Arial" w:cs="Arial" w:eastAsia="Arial" w:hAnsi="Arial"/>
          <w:sz w:val="20"/>
          <w:szCs w:val="20"/>
          <w:color w:val="auto"/>
        </w:rPr>
        <w:t xml:space="preserve">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agrees to be subject to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12.4</w:t>
      </w:r>
      <w:r>
        <w:rPr>
          <w:rFonts w:ascii="Arial" w:cs="Arial" w:eastAsia="Arial" w:hAnsi="Arial"/>
          <w:sz w:val="20"/>
          <w:szCs w:val="20"/>
          <w:color w:val="auto"/>
        </w:rPr>
        <w:t xml:space="preserve"> as though it were a Lender.</w:t>
      </w:r>
    </w:p>
    <w:p>
      <w:pPr>
        <w:spacing w:after="0" w:line="17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5" w:lineRule="exact"/>
        <w:rPr>
          <w:sz w:val="20"/>
          <w:szCs w:val="20"/>
          <w:color w:val="auto"/>
        </w:rPr>
      </w:pPr>
    </w:p>
    <w:p>
      <w:pPr>
        <w:jc w:val="both"/>
        <w:ind w:firstLine="656"/>
        <w:spacing w:after="0" w:line="246" w:lineRule="auto"/>
        <w:tabs>
          <w:tab w:leader="none" w:pos="1129" w:val="left"/>
        </w:tabs>
        <w:numPr>
          <w:ilvl w:val="1"/>
          <w:numId w:val="204"/>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053"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Cashless Settlement</w:t>
      </w:r>
      <w:r>
        <w:rPr>
          <w:rFonts w:ascii="Arial" w:cs="Arial" w:eastAsia="Arial" w:hAnsi="Arial"/>
          <w:sz w:val="18"/>
          <w:szCs w:val="18"/>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51" w:lineRule="exact"/>
        <w:rPr>
          <w:rFonts w:ascii="Arial" w:cs="Arial" w:eastAsia="Arial" w:hAnsi="Arial"/>
          <w:sz w:val="18"/>
          <w:szCs w:val="18"/>
          <w:color w:val="auto"/>
        </w:rPr>
      </w:pPr>
    </w:p>
    <w:p>
      <w:pPr>
        <w:jc w:val="both"/>
        <w:ind w:firstLine="656"/>
        <w:spacing w:after="0" w:line="268" w:lineRule="auto"/>
        <w:tabs>
          <w:tab w:leader="none" w:pos="1104"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(i) No assignment or participation shall be made to any Person that was a Disqualified Institution as of the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on which the assigning Lender entered into a binding agreement to sell and assign or participate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(h)(i) shall not be void, but the other provisions of this clause</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shall apply.</w:t>
      </w:r>
    </w:p>
    <w:p>
      <w:pPr>
        <w:spacing w:after="0" w:line="213" w:lineRule="exact"/>
        <w:rPr>
          <w:rFonts w:ascii="Arial" w:cs="Arial" w:eastAsia="Arial" w:hAnsi="Arial"/>
          <w:sz w:val="20"/>
          <w:szCs w:val="20"/>
          <w:color w:val="auto"/>
        </w:rPr>
      </w:pPr>
    </w:p>
    <w:p>
      <w:pPr>
        <w:jc w:val="both"/>
        <w:ind w:firstLine="1305"/>
        <w:spacing w:after="0" w:line="243" w:lineRule="auto"/>
        <w:tabs>
          <w:tab w:leader="none" w:pos="1757" w:val="left"/>
        </w:tabs>
        <w:numPr>
          <w:ilvl w:val="2"/>
          <w:numId w:val="205"/>
        </w:numPr>
        <w:rPr>
          <w:rFonts w:ascii="Arial" w:cs="Arial" w:eastAsia="Arial" w:hAnsi="Arial"/>
          <w:sz w:val="20"/>
          <w:szCs w:val="20"/>
          <w:color w:val="auto"/>
        </w:rPr>
      </w:pPr>
      <w:r>
        <w:rPr>
          <w:rFonts w:ascii="Arial" w:cs="Arial" w:eastAsia="Arial" w:hAnsi="Arial"/>
          <w:sz w:val="20"/>
          <w:szCs w:val="20"/>
          <w:color w:val="auto"/>
        </w:rPr>
        <w:t>If any assignment or participation is made to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(B) in the case of outstanding Incremental Term Loans held by Disqualified Institutions, purchase or prepay such Incremental Term Loan by paying the lesser of (x) the principal amount thereof and (y) the amount that such Disqualified Institution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2" w:name="page243"/>
    <w:bookmarkEnd w:id="242"/>
    <w:p>
      <w:pPr>
        <w:jc w:val="both"/>
        <w:spacing w:after="0" w:line="278" w:lineRule="auto"/>
        <w:rPr>
          <w:sz w:val="20"/>
          <w:szCs w:val="20"/>
          <w:color w:val="auto"/>
        </w:rPr>
      </w:pPr>
      <w:r>
        <w:rPr>
          <w:rFonts w:ascii="Arial" w:cs="Arial" w:eastAsia="Arial" w:hAnsi="Arial"/>
          <w:sz w:val="18"/>
          <w:szCs w:val="18"/>
          <w:color w:val="auto"/>
        </w:rPr>
        <w:t xml:space="preserve">paid to acquire such Incremental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Arial" w:cs="Arial" w:eastAsia="Arial" w:hAnsi="Arial"/>
          <w:sz w:val="18"/>
          <w:szCs w:val="18"/>
          <w:u w:val="single" w:color="auto"/>
          <w:color w:val="auto"/>
        </w:rPr>
        <w:t>Section 12.9</w:t>
      </w:r>
      <w:r>
        <w:rPr>
          <w:rFonts w:ascii="Arial" w:cs="Arial" w:eastAsia="Arial" w:hAnsi="Arial"/>
          <w:sz w:val="18"/>
          <w:szCs w:val="18"/>
          <w:color w:val="auto"/>
        </w:rPr>
        <w:t>), all of its interest, rights and obligations under this Agreement to one or more Eligible Assignees at the lesser of (x) the principal amount thereof and (y) the amount that such Disqualified Institution paid to acquire such interests, rights and, in each case plus accrued interest, accrued fees and all other amounts (other than principal amounts) payable to it hereunder.</w:t>
      </w:r>
    </w:p>
    <w:p>
      <w:pPr>
        <w:spacing w:after="0" w:line="179" w:lineRule="exact"/>
        <w:rPr>
          <w:sz w:val="20"/>
          <w:szCs w:val="20"/>
          <w:color w:val="auto"/>
        </w:rPr>
      </w:pPr>
    </w:p>
    <w:p>
      <w:pPr>
        <w:jc w:val="both"/>
        <w:ind w:firstLine="1305"/>
        <w:spacing w:after="0" w:line="267" w:lineRule="auto"/>
        <w:tabs>
          <w:tab w:leader="none" w:pos="180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w:t>
      </w:r>
    </w:p>
    <w:p>
      <w:pPr>
        <w:spacing w:after="0" w:line="7" w:lineRule="exact"/>
        <w:rPr>
          <w:rFonts w:ascii="Arial" w:cs="Arial" w:eastAsia="Arial" w:hAnsi="Arial"/>
          <w:sz w:val="18"/>
          <w:szCs w:val="18"/>
          <w:color w:val="auto"/>
        </w:rPr>
      </w:pPr>
    </w:p>
    <w:p>
      <w:pPr>
        <w:ind w:firstLine="8"/>
        <w:spacing w:after="0" w:line="239" w:lineRule="auto"/>
        <w:tabs>
          <w:tab w:leader="none" w:pos="29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not to contest any request by any party for a determination by the bankruptcy court (or other applicable court of competent jurisdiction) effectuating the foregoing clause (2).</w:t>
      </w:r>
    </w:p>
    <w:p>
      <w:pPr>
        <w:spacing w:after="0" w:line="1" w:lineRule="exact"/>
        <w:rPr>
          <w:rFonts w:ascii="Arial" w:cs="Arial" w:eastAsia="Arial" w:hAnsi="Arial"/>
          <w:sz w:val="20"/>
          <w:szCs w:val="20"/>
          <w:color w:val="auto"/>
        </w:rPr>
      </w:pPr>
    </w:p>
    <w:p>
      <w:pPr>
        <w:jc w:val="both"/>
        <w:ind w:firstLine="1305"/>
        <w:spacing w:after="0" w:line="241" w:lineRule="auto"/>
        <w:tabs>
          <w:tab w:leader="none" w:pos="1808"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Arial" w:cs="Arial" w:eastAsia="Arial" w:hAnsi="Arial"/>
          <w:sz w:val="20"/>
          <w:szCs w:val="20"/>
          <w:u w:val="single" w:color="auto"/>
          <w:color w:val="auto"/>
        </w:rPr>
        <w:t>DQ List</w:t>
      </w:r>
      <w:r>
        <w:rPr>
          <w:rFonts w:ascii="Arial" w:cs="Arial" w:eastAsia="Arial" w:hAnsi="Arial"/>
          <w:sz w:val="20"/>
          <w:szCs w:val="20"/>
          <w:color w:val="auto"/>
        </w:rPr>
        <w:t>”) on the Platform, including that portion of the Platform that is designated for “public side” Lenders and/or (B) provide the DQ List to each Lender requesting the same.</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Administrative Agent, the Lenders and the Issuing Lenders agree to maintain the confidentiality of the Information (as defined below), except that Information may be disclosed (a) to its Affiliates and to its and its Affiliates’ respective Related Parties in connection with the Credit Facility, this Agreement, the transactions contemplated hereby or in connection with marketing of services by such Affiliate or Related Party to the Borrower or any of its Subsidiaries (it being understood that the Persons to whom such disclosure is made shall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or in accordance with the Administrative Agent’s, any Issuing Lender’s or any Lender’s regulatory compliance policy if the Administrative Agent, the Issuing Lender or such Lender, as applicable, deems such disclosure to be necessary for the mitigation of claims by those authorities against the Administrative Agent, the Issuing Lender or such Lender, as applicable, or any of its Related Parties (in which case, the Administrative Agent, the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Borrower, in advance, to the extent practicable and otherwise permitted by Applicable Law), (c) as to the extent required by Applicable Laws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43" w:name="page244"/>
    <w:bookmarkEnd w:id="243"/>
    <w:p>
      <w:pPr>
        <w:jc w:val="both"/>
        <w:spacing w:after="0" w:line="302" w:lineRule="auto"/>
        <w:rPr>
          <w:sz w:val="20"/>
          <w:szCs w:val="20"/>
          <w:color w:val="auto"/>
        </w:rPr>
      </w:pPr>
      <w:r>
        <w:rPr>
          <w:rFonts w:ascii="Arial" w:cs="Arial" w:eastAsia="Arial" w:hAnsi="Arial"/>
          <w:sz w:val="16"/>
          <w:szCs w:val="16"/>
          <w:color w:val="auto"/>
        </w:rPr>
        <w:t>or regulations or in any legal, judicial, administrative proceeding or other compulsory process, (d) to any other party hereto, (e) in connection with the exercise of any remedies under this Agreement, under any other Loan Document or under any Specified Hedge Agreement or Specified Cash Management Agreement, or any action or proceeding relating to this Agreement, any other Loan Document or any Specified Hedge Agreement or Specified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or (ii)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Participant, or prospective assignee or Participant, in reliance on this clause (f)), (iii) to an investor or prospective investor in an Approved Fund that also agrees that Information shall be used solely for the purpose of evaluating an investment in such Approved Fund, (iv) to a trustee, collateral manager, servicer, backup servicer, noteholder or secured party in an Approved Fund in connection with the administration, servicing and reporting on the assets serving as collateral for an Approved Fund, (g) on a confidential basis to the CUSIP Service Bureau or any similar agency in connection with the issuance and monitoring of CUSIP numbers with respect to the Credit Facility, (h) with the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(k) to the extent that such information is independently developed by such Person, (l) for purposes of establishing a “due diligence” defense or (m) to the extent required by an insurance company in connection with providing insurance coverage or providing reimbursement pursuant to this Agreement. In addition, the Administrative Agent and the Lenders may disclose the existence of this Agreement and information about this Agreement to market data collectors, similar service providers to the lending industry and service providers to the Lenders in connection with the administration of this Agreement, the other Loan Documents, and the Commitments.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12.11 </w:t>
      </w:r>
      <w:r>
        <w:rPr>
          <w:rFonts w:ascii="Arial" w:cs="Arial" w:eastAsia="Arial" w:hAnsi="Arial"/>
          <w:sz w:val="20"/>
          <w:szCs w:val="20"/>
          <w:u w:val="single" w:color="auto"/>
          <w:color w:val="auto"/>
        </w:rPr>
        <w:t>Performance of Duties</w:t>
      </w:r>
      <w:r>
        <w:rPr>
          <w:rFonts w:ascii="Arial" w:cs="Arial" w:eastAsia="Arial" w:hAnsi="Arial"/>
          <w:sz w:val="20"/>
          <w:szCs w:val="20"/>
          <w:color w:val="auto"/>
        </w:rPr>
        <w:t>. Each of the Credit Party’s obligations under this Agreement and each of the other Loan Documents shall be performed by such Credit Party at its sole cost and expense.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44" w:name="page245"/>
    <w:bookmarkEnd w:id="244"/>
    <w:p>
      <w:pPr>
        <w:spacing w:after="0"/>
        <w:rPr>
          <w:sz w:val="20"/>
          <w:szCs w:val="20"/>
          <w:color w:val="auto"/>
        </w:rPr>
      </w:pPr>
      <w:r>
        <w:rPr>
          <w:rFonts w:ascii="Arial" w:cs="Arial" w:eastAsia="Arial" w:hAnsi="Arial"/>
          <w:sz w:val="19"/>
          <w:szCs w:val="19"/>
          <w:color w:val="auto"/>
        </w:rPr>
        <w:t>remain unpaid or unsatisfied, any of the Revolving Credit Commitments remain in effect or the Credit Facility has not been terminated.</w:t>
      </w:r>
    </w:p>
    <w:p>
      <w:pPr>
        <w:spacing w:after="0" w:line="22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12.13</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102"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All representations and warranties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96" w:lineRule="exact"/>
        <w:rPr>
          <w:rFonts w:ascii="Arial" w:cs="Arial" w:eastAsia="Arial" w:hAnsi="Arial"/>
          <w:sz w:val="20"/>
          <w:szCs w:val="20"/>
          <w:color w:val="auto"/>
        </w:rPr>
      </w:pPr>
    </w:p>
    <w:p>
      <w:pPr>
        <w:jc w:val="both"/>
        <w:ind w:firstLine="656"/>
        <w:spacing w:after="0" w:line="291" w:lineRule="auto"/>
        <w:tabs>
          <w:tab w:leader="none" w:pos="116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12.14 </w:t>
      </w:r>
      <w:r>
        <w:rPr>
          <w:rFonts w:ascii="Arial" w:cs="Arial" w:eastAsia="Arial" w:hAnsi="Arial"/>
          <w:sz w:val="20"/>
          <w:szCs w:val="20"/>
          <w:u w:val="single" w:color="auto"/>
          <w:color w:val="auto"/>
        </w:rPr>
        <w:t>Titles and Captions</w:t>
      </w:r>
      <w:r>
        <w:rPr>
          <w:rFonts w:ascii="Arial" w:cs="Arial" w:eastAsia="Arial" w:hAnsi="Arial"/>
          <w:sz w:val="20"/>
          <w:szCs w:val="20"/>
          <w:color w:val="auto"/>
        </w:rPr>
        <w:t>. Titles and captions of Articles, Sections and subsections in, and the table of contents of, this Agreement are for convenience only, and neither limit nor amplify the provisions of this Agreement.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12.15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w:t>
      </w:r>
    </w:p>
    <w:p>
      <w:pPr>
        <w:spacing w:after="0" w:line="19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12.16</w:t>
      </w:r>
      <w:r>
        <w:rPr>
          <w:sz w:val="20"/>
          <w:szCs w:val="20"/>
          <w:color w:val="auto"/>
        </w:rPr>
        <w:tab/>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6" w:lineRule="auto"/>
        <w:tabs>
          <w:tab w:leader="none" w:pos="1142"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 the Swingline Lender and/or the Arrangers,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6.1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84" w:lineRule="exact"/>
        <w:rPr>
          <w:rFonts w:ascii="Arial" w:cs="Arial" w:eastAsia="Arial" w:hAnsi="Arial"/>
          <w:sz w:val="19"/>
          <w:szCs w:val="19"/>
          <w:color w:val="auto"/>
        </w:rPr>
      </w:pPr>
    </w:p>
    <w:p>
      <w:pPr>
        <w:ind w:firstLine="656"/>
        <w:spacing w:after="0" w:line="260" w:lineRule="auto"/>
        <w:tabs>
          <w:tab w:leader="none" w:pos="1072"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6" w:right="239" w:bottom="1440" w:gutter="0" w:footer="0" w:header="0"/>
        </w:sectPr>
      </w:pPr>
    </w:p>
    <w:bookmarkStart w:id="245" w:name="page246"/>
    <w:bookmarkEnd w:id="245"/>
    <w:p>
      <w:pPr>
        <w:jc w:val="both"/>
        <w:spacing w:after="0" w:line="246" w:lineRule="auto"/>
        <w:rPr>
          <w:sz w:val="20"/>
          <w:szCs w:val="20"/>
          <w:color w:val="auto"/>
        </w:rPr>
      </w:pPr>
      <w:r>
        <w:rPr>
          <w:rFonts w:ascii="Arial" w:cs="Arial" w:eastAsia="Arial" w:hAnsi="Arial"/>
          <w:sz w:val="20"/>
          <w:szCs w:val="20"/>
          <w:color w:val="auto"/>
        </w:rPr>
        <w:t>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12.17 </w:t>
      </w:r>
      <w:r>
        <w:rPr>
          <w:rFonts w:ascii="Arial" w:cs="Arial" w:eastAsia="Arial" w:hAnsi="Arial"/>
          <w:sz w:val="20"/>
          <w:szCs w:val="20"/>
          <w:u w:val="single" w:color="auto"/>
          <w:color w:val="auto"/>
        </w:rPr>
        <w:t>Term of Agreement</w:t>
      </w:r>
      <w:r>
        <w:rPr>
          <w:rFonts w:ascii="Arial" w:cs="Arial" w:eastAsia="Arial" w:hAnsi="Arial"/>
          <w:sz w:val="20"/>
          <w:szCs w:val="20"/>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12.18 </w:t>
      </w:r>
      <w:r>
        <w:rPr>
          <w:rFonts w:ascii="Arial" w:cs="Arial" w:eastAsia="Arial" w:hAnsi="Arial"/>
          <w:sz w:val="20"/>
          <w:szCs w:val="20"/>
          <w:u w:val="single" w:color="auto"/>
          <w:color w:val="auto"/>
        </w:rPr>
        <w:t>USA PATRIOT Act; Anti-Money Laundering Laws</w:t>
      </w:r>
      <w:r>
        <w:rPr>
          <w:rFonts w:ascii="Arial" w:cs="Arial" w:eastAsia="Arial" w:hAnsi="Arial"/>
          <w:sz w:val="20"/>
          <w:szCs w:val="20"/>
          <w:color w:val="auto"/>
        </w:rPr>
        <w:t>. The Administrative Agent and each Lender hereby notifies the Borrower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12.19 </w:t>
      </w:r>
      <w:r>
        <w:rPr>
          <w:rFonts w:ascii="Arial" w:cs="Arial" w:eastAsia="Arial" w:hAnsi="Arial"/>
          <w:sz w:val="20"/>
          <w:szCs w:val="20"/>
          <w:u w:val="single" w:color="auto"/>
          <w:color w:val="auto"/>
        </w:rPr>
        <w:t>Independent Effect of Covenants</w:t>
      </w:r>
      <w:r>
        <w:rPr>
          <w:rFonts w:ascii="Arial" w:cs="Arial" w:eastAsia="Arial" w:hAnsi="Arial"/>
          <w:sz w:val="20"/>
          <w:szCs w:val="20"/>
          <w:color w:val="auto"/>
        </w:rPr>
        <w:t xml:space="preserve">. The Borrower expressly acknowledges and agrees that each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hereof shall be given independent effect. Accordingly, the Borrower shall not engage in any transaction or other act otherwise permitted under any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before or after giving effect to such transaction or act, the Borrower shall or would be in breach of any other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w:t>
      </w:r>
    </w:p>
    <w:p>
      <w:pPr>
        <w:spacing w:after="0" w:line="19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12.20</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21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Administrative Agent, the Arrangers, Issuing Lenders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Issuing Lenders and the Lenders is and has been acting solely as a principal and is not the financial advisor, agent or fiduciary, for the Borrower or any of its Affiliates, stockholders, creditors or employees or any other Person, (iii) none of the Administrative Agent, the Arrangers, Issuing Lenders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Issuing Lenders or Lender has advised or is currently advising the Borrower or any of its Affiliates on other matters) and none of the Administrative Agent, the Arrangers, Issuing Lenders or the Lenders has any obligation to the Borrower or any of its Affiliates with respect to the financing transactions contemplated hereby except those obligations expressly set forth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6" w:name="page247"/>
    <w:bookmarkEnd w:id="246"/>
    <w:p>
      <w:pPr>
        <w:jc w:val="both"/>
        <w:spacing w:after="0" w:line="274" w:lineRule="auto"/>
        <w:rPr>
          <w:sz w:val="20"/>
          <w:szCs w:val="20"/>
          <w:color w:val="auto"/>
        </w:rPr>
      </w:pPr>
      <w:r>
        <w:rPr>
          <w:rFonts w:ascii="Arial" w:cs="Arial" w:eastAsia="Arial" w:hAnsi="Arial"/>
          <w:sz w:val="18"/>
          <w:szCs w:val="18"/>
          <w:color w:val="auto"/>
        </w:rPr>
        <w:t>herein and in the other Loan Documents, (iv) the Arrangers, Issuing Lenders and the Lenders and their respective Affiliates may be engaged in a broad range of transactions that involve interests that differ from, and may conflict with, those of the Borrower and its Affiliates, and none of the Administrative Agent, the Arrangers, Issuing Lenders or the Lenders has any obligation to disclose any of such interests by virtue of any advisory, agency or fiduciary relationship and (v) the Administrative Agent, the Arrangers, Issuing Lenders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69" w:lineRule="exact"/>
        <w:rPr>
          <w:sz w:val="20"/>
          <w:szCs w:val="20"/>
          <w:color w:val="auto"/>
        </w:rPr>
      </w:pPr>
    </w:p>
    <w:p>
      <w:pPr>
        <w:jc w:val="both"/>
        <w:ind w:firstLine="656"/>
        <w:spacing w:after="0" w:line="273" w:lineRule="auto"/>
        <w:tabs>
          <w:tab w:leader="none" w:pos="108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Credit Party acknowledges and agrees that each Lender, the Arrangers, Issuing Lenders and any Affiliate thereof may lend money to, invest in, and generally engage in any kind of business with, any of the Borrower, any Affiliate thereof or any other person or entity that may do business with or own securities of any of the foregoing, all as if such Lender, Arranger, Issuing Lender or Affiliate thereof were not a Lender, Arranger, Issuing Lender or an Affiliate thereof (or an agent or any other person with any similar role under the Credit Facilities) and without any duty to account therefor to any other Lender, the Arrangers, the Issuing Lenders, the Borrower or any Affiliate of the foregoing. Each Lender, the Arrangers, Issuing Lenders and any Affiliate thereof may accept fees and other consideration from the Borrower or any Affiliate thereof for services in connection with this Agreement, the Credit Facilities or otherwise without having to account for the same to any other Lender, the Arrangers, Issuing Lenders, the Borrower or any Affiliate of the foregoing.</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12.21 </w:t>
      </w:r>
      <w:r>
        <w:rPr>
          <w:rFonts w:ascii="Arial" w:cs="Arial" w:eastAsia="Arial" w:hAnsi="Arial"/>
          <w:sz w:val="20"/>
          <w:szCs w:val="20"/>
          <w:u w:val="single" w:color="auto"/>
          <w:color w:val="auto"/>
        </w:rPr>
        <w:t>Inconsistencies with Other Documents</w:t>
      </w:r>
      <w:r>
        <w:rPr>
          <w:rFonts w:ascii="Arial" w:cs="Arial" w:eastAsia="Arial" w:hAnsi="Arial"/>
          <w:sz w:val="20"/>
          <w:szCs w:val="20"/>
          <w:color w:val="auto"/>
        </w:rPr>
        <w:t>. In the event there is a conflict or inconsistency between this Agreement and any other Loan Document, the terms of this Agreement shall control.</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12.22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xml:space="preserve">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5" w:lineRule="exact"/>
        <w:rPr>
          <w:sz w:val="20"/>
          <w:szCs w:val="20"/>
          <w:color w:val="auto"/>
        </w:rPr>
      </w:pPr>
    </w:p>
    <w:p>
      <w:pPr>
        <w:ind w:firstLine="656"/>
        <w:spacing w:after="0" w:line="260" w:lineRule="auto"/>
        <w:tabs>
          <w:tab w:leader="none" w:pos="1195"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jc w:val="both"/>
        <w:ind w:left="660" w:firstLine="645"/>
        <w:spacing w:after="0" w:line="246" w:lineRule="auto"/>
        <w:tabs>
          <w:tab w:leader="none" w:pos="1809"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5" w:lineRule="exact"/>
        <w:rPr>
          <w:rFonts w:ascii="Arial" w:cs="Arial" w:eastAsia="Arial" w:hAnsi="Arial"/>
          <w:sz w:val="20"/>
          <w:szCs w:val="20"/>
          <w:color w:val="auto"/>
        </w:rPr>
      </w:pPr>
    </w:p>
    <w:p>
      <w:pPr>
        <w:ind w:left="660" w:firstLine="645"/>
        <w:spacing w:after="0" w:line="260" w:lineRule="auto"/>
        <w:tabs>
          <w:tab w:leader="none" w:pos="1827" w:val="left"/>
        </w:tabs>
        <w:numPr>
          <w:ilvl w:val="1"/>
          <w:numId w:val="21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7" w:name="page248"/>
    <w:bookmarkEnd w:id="247"/>
    <w:p>
      <w:pPr>
        <w:jc w:val="both"/>
        <w:ind w:firstLine="648"/>
        <w:spacing w:after="0" w:line="270" w:lineRule="auto"/>
        <w:rPr>
          <w:sz w:val="20"/>
          <w:szCs w:val="20"/>
          <w:color w:val="auto"/>
        </w:rPr>
      </w:pPr>
      <w:r>
        <w:rPr>
          <w:rFonts w:ascii="Arial" w:cs="Arial" w:eastAsia="Arial" w:hAnsi="Arial"/>
          <w:sz w:val="18"/>
          <w:szCs w:val="18"/>
          <w:color w:val="auto"/>
        </w:rPr>
        <w:t xml:space="preserve">SECTION 12.23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12.24</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63" w:lineRule="auto"/>
        <w:tabs>
          <w:tab w:leader="none" w:pos="159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90" w:lineRule="exact"/>
        <w:rPr>
          <w:rFonts w:ascii="Arial" w:cs="Arial" w:eastAsia="Arial" w:hAnsi="Arial"/>
          <w:sz w:val="19"/>
          <w:szCs w:val="19"/>
          <w:color w:val="auto"/>
        </w:rPr>
      </w:pPr>
    </w:p>
    <w:p>
      <w:pPr>
        <w:jc w:val="both"/>
        <w:ind w:left="1300" w:firstLine="653"/>
        <w:spacing w:after="0" w:line="250" w:lineRule="auto"/>
        <w:tabs>
          <w:tab w:leader="none" w:pos="2453" w:val="left"/>
        </w:tabs>
        <w:numPr>
          <w:ilvl w:val="1"/>
          <w:numId w:val="21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99" w:lineRule="exact"/>
        <w:rPr>
          <w:rFonts w:ascii="Arial" w:cs="Arial" w:eastAsia="Arial" w:hAnsi="Arial"/>
          <w:sz w:val="20"/>
          <w:szCs w:val="20"/>
          <w:color w:val="auto"/>
        </w:rPr>
      </w:pPr>
    </w:p>
    <w:p>
      <w:pPr>
        <w:jc w:val="both"/>
        <w:ind w:left="1300" w:firstLine="653"/>
        <w:spacing w:after="0" w:line="258" w:lineRule="auto"/>
        <w:tabs>
          <w:tab w:leader="none" w:pos="255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Arial" w:cs="Arial" w:eastAsia="Arial" w:hAnsi="Arial"/>
          <w:sz w:val="19"/>
          <w:szCs w:val="19"/>
          <w:color w:val="auto"/>
        </w:rPr>
      </w:pPr>
    </w:p>
    <w:p>
      <w:pPr>
        <w:jc w:val="both"/>
        <w:ind w:left="1300" w:firstLine="653"/>
        <w:spacing w:after="0" w:line="246" w:lineRule="auto"/>
        <w:tabs>
          <w:tab w:leader="none" w:pos="2634" w:val="left"/>
        </w:tabs>
        <w:numPr>
          <w:ilvl w:val="1"/>
          <w:numId w:val="213"/>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825" w:right="239" w:bottom="1440" w:gutter="0" w:footer="0" w:header="0"/>
        </w:sectPr>
      </w:pPr>
    </w:p>
    <w:bookmarkStart w:id="248" w:name="page249"/>
    <w:bookmarkEnd w:id="248"/>
    <w:p>
      <w:pPr>
        <w:ind w:left="1300"/>
        <w:spacing w:after="0" w:line="275" w:lineRule="auto"/>
        <w:rPr>
          <w:sz w:val="20"/>
          <w:szCs w:val="20"/>
          <w:color w:val="auto"/>
        </w:rPr>
      </w:pPr>
      <w:r>
        <w:rPr>
          <w:rFonts w:ascii="Arial" w:cs="Arial" w:eastAsia="Arial" w:hAnsi="Arial"/>
          <w:sz w:val="18"/>
          <w:szCs w:val="18"/>
          <w:color w:val="auto"/>
        </w:rPr>
        <w:t>of and performance of the Loans, the Letters of Credit, the Commitments and this Agreement satisfies the requirements of sub-sections (b) through (g) of Part I of PTE 84-14 and (D) to the best knowledge of such Lender, the requirements of subsection</w:t>
      </w:r>
    </w:p>
    <w:p>
      <w:pPr>
        <w:spacing w:after="0" w:line="1" w:lineRule="exact"/>
        <w:rPr>
          <w:sz w:val="20"/>
          <w:szCs w:val="20"/>
          <w:color w:val="auto"/>
        </w:rPr>
      </w:pPr>
    </w:p>
    <w:p>
      <w:pPr>
        <w:ind w:left="1300" w:firstLine="5"/>
        <w:spacing w:after="0" w:line="244" w:lineRule="auto"/>
        <w:tabs>
          <w:tab w:leader="none" w:pos="1595" w:val="left"/>
        </w:tabs>
        <w:numPr>
          <w:ilvl w:val="0"/>
          <w:numId w:val="214"/>
        </w:numPr>
        <w:rPr>
          <w:rFonts w:ascii="Arial" w:cs="Arial" w:eastAsia="Arial" w:hAnsi="Arial"/>
          <w:sz w:val="20"/>
          <w:szCs w:val="20"/>
          <w:color w:val="auto"/>
        </w:rPr>
      </w:pPr>
      <w:r>
        <w:rPr>
          <w:rFonts w:ascii="Arial" w:cs="Arial" w:eastAsia="Arial" w:hAnsi="Arial"/>
          <w:sz w:val="20"/>
          <w:szCs w:val="20"/>
          <w:color w:val="auto"/>
        </w:rPr>
        <w:t>of Part I of PTE 84-14 are satisfied with respect to such Lender’s entrance into, participation in, administration of and performance of the Loans, the Letters of Credit, the Commitments and this Agreement; or</w:t>
      </w:r>
    </w:p>
    <w:p>
      <w:pPr>
        <w:spacing w:after="0" w:line="205" w:lineRule="exact"/>
        <w:rPr>
          <w:rFonts w:ascii="Arial" w:cs="Arial" w:eastAsia="Arial" w:hAnsi="Arial"/>
          <w:sz w:val="20"/>
          <w:szCs w:val="20"/>
          <w:color w:val="auto"/>
        </w:rPr>
      </w:pPr>
    </w:p>
    <w:p>
      <w:pPr>
        <w:ind w:left="1300" w:firstLine="653"/>
        <w:spacing w:after="0" w:line="260" w:lineRule="auto"/>
        <w:tabs>
          <w:tab w:leader="none" w:pos="2627" w:val="left"/>
        </w:tabs>
        <w:numPr>
          <w:ilvl w:val="1"/>
          <w:numId w:val="21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jc w:val="both"/>
        <w:ind w:left="660" w:firstLine="645"/>
        <w:spacing w:after="0" w:line="256" w:lineRule="auto"/>
        <w:tabs>
          <w:tab w:leader="none" w:pos="180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108975915_18</w:t>
      </w:r>
    </w:p>
    <w:p>
      <w:pPr>
        <w:sectPr>
          <w:pgSz w:w="11900" w:h="16838" w:orient="portrait"/>
          <w:cols w:equalWidth="0" w:num="1">
            <w:col w:w="11420"/>
          </w:cols>
          <w:pgMar w:left="240" w:top="595" w:right="239" w:bottom="1440" w:gutter="0" w:footer="0" w:header="0"/>
        </w:sectPr>
      </w:pPr>
    </w:p>
    <w:bookmarkStart w:id="249" w:name="page250"/>
    <w:bookmarkEnd w:id="24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under seal by their duly authorized officers, all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TAKE-TWO INTERACTIVE SOFTWARE, INC.</w:t>
      </w:r>
      <w:r>
        <w:rPr>
          <w:rFonts w:ascii="Arial" w:cs="Arial" w:eastAsia="Arial" w:hAnsi="Arial"/>
          <w:sz w:val="20"/>
          <w:szCs w:val="20"/>
          <w:color w:val="auto"/>
        </w:rPr>
        <w:t>, as Borrower</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057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5">
                      <a:extLst>
                        <a:ext uri="{28A0092B-C50C-407E-A947-70E740481C1C}"/>
                      </a:extLst>
                    </a:blip>
                    <a:srcRect/>
                    <a:stretch>
                      <a:fillRect/>
                    </a:stretch>
                  </pic:blipFill>
                  <pic:spPr bwMode="auto">
                    <a:xfrm>
                      <a:off x="0" y="0"/>
                      <a:ext cx="10579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Daniel P. Emerson</w:t>
      </w:r>
    </w:p>
    <w:p>
      <w:pPr>
        <w:ind w:left="3900"/>
        <w:spacing w:after="0"/>
        <w:rPr>
          <w:sz w:val="20"/>
          <w:szCs w:val="20"/>
          <w:color w:val="auto"/>
        </w:rPr>
      </w:pPr>
      <w:r>
        <w:rPr>
          <w:rFonts w:ascii="Arial" w:cs="Arial" w:eastAsia="Arial" w:hAnsi="Arial"/>
          <w:sz w:val="20"/>
          <w:szCs w:val="20"/>
          <w:color w:val="auto"/>
        </w:rPr>
        <w:t>Title: EVP and General Counsel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FFFFFF"/>
        </w:rPr>
        <w:t>108975915_18</w:t>
      </w:r>
    </w:p>
    <w:p>
      <w:pPr>
        <w:sectPr>
          <w:pgSz w:w="11900" w:h="16838" w:orient="portrait"/>
          <w:cols w:equalWidth="0" w:num="1">
            <w:col w:w="11420"/>
          </w:cols>
          <w:pgMar w:left="240" w:top="596" w:right="239" w:bottom="1440" w:gutter="0" w:footer="0" w:header="0"/>
        </w:sectPr>
      </w:pPr>
    </w:p>
    <w:bookmarkStart w:id="250" w:name="page251"/>
    <w:bookmarkEnd w:id="250"/>
    <w:p>
      <w:pPr>
        <w:ind w:left="3900"/>
        <w:spacing w:after="0"/>
        <w:rPr>
          <w:sz w:val="20"/>
          <w:szCs w:val="20"/>
          <w:color w:val="auto"/>
        </w:rPr>
      </w:pPr>
      <w:r>
        <w:rPr>
          <w:rFonts w:ascii="Arial" w:cs="Arial" w:eastAsia="Arial" w:hAnsi="Arial"/>
          <w:sz w:val="20"/>
          <w:szCs w:val="20"/>
          <w:b w:val="1"/>
          <w:bCs w:val="1"/>
          <w:color w:val="auto"/>
        </w:rPr>
        <w:t>ADMINISTRATIVE AGENT AND LENDERS:</w:t>
      </w:r>
    </w:p>
    <w:p>
      <w:pPr>
        <w:spacing w:after="0" w:line="216" w:lineRule="exact"/>
        <w:rPr>
          <w:sz w:val="20"/>
          <w:szCs w:val="20"/>
          <w:color w:val="auto"/>
        </w:rPr>
      </w:pPr>
    </w:p>
    <w:p>
      <w:pPr>
        <w:ind w:left="390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Swingline Lender, Issuing Lender and Lender</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Kieran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855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6">
                      <a:extLst>
                        <a:ext uri="{28A0092B-C50C-407E-A947-70E740481C1C}"/>
                      </a:extLst>
                    </a:blip>
                    <a:srcRect/>
                    <a:stretch>
                      <a:fillRect/>
                    </a:stretch>
                  </pic:blipFill>
                  <pic:spPr bwMode="auto">
                    <a:xfrm>
                      <a:off x="0" y="0"/>
                      <a:ext cx="8553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Kieran Mahon</w:t>
      </w:r>
    </w:p>
    <w:p>
      <w:pPr>
        <w:ind w:left="39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Signature Page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FFFFFF"/>
        </w:rPr>
        <w:t>108975915_18</w:t>
      </w:r>
    </w:p>
    <w:p>
      <w:pPr>
        <w:sectPr>
          <w:pgSz w:w="11900" w:h="16838" w:orient="portrait"/>
          <w:cols w:equalWidth="0" w:num="1">
            <w:col w:w="10620"/>
          </w:cols>
          <w:pgMar w:left="240" w:top="589" w:right="1039" w:bottom="1440" w:gutter="0" w:footer="0" w:header="0"/>
        </w:sectPr>
      </w:pPr>
    </w:p>
    <w:bookmarkStart w:id="251" w:name="page252"/>
    <w:bookmarkEnd w:id="251"/>
    <w:p>
      <w:pPr>
        <w:ind w:left="390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an Issuing Lender and a Lender</w:t>
      </w: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Daglas Panchal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904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7">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Daglas Panchal</w:t>
      </w:r>
    </w:p>
    <w:p>
      <w:pPr>
        <w:ind w:left="39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FFFFFF"/>
        </w:rPr>
        <w:t>108975915_18</w:t>
      </w:r>
    </w:p>
    <w:p>
      <w:pPr>
        <w:sectPr>
          <w:pgSz w:w="11900" w:h="16838" w:orient="portrait"/>
          <w:cols w:equalWidth="0" w:num="1">
            <w:col w:w="10219"/>
          </w:cols>
          <w:pgMar w:left="240" w:top="589" w:right="1440" w:bottom="1440" w:gutter="0" w:footer="0" w:header="0"/>
        </w:sectPr>
      </w:pPr>
    </w:p>
    <w:bookmarkStart w:id="252" w:name="page253"/>
    <w:bookmarkEnd w:id="252"/>
    <w:p>
      <w:pPr>
        <w:ind w:left="3900"/>
        <w:spacing w:after="0"/>
        <w:rPr>
          <w:sz w:val="20"/>
          <w:szCs w:val="20"/>
          <w:color w:val="auto"/>
        </w:rPr>
      </w:pPr>
      <w:r>
        <w:rPr>
          <w:rFonts w:ascii="Arial" w:cs="Arial" w:eastAsia="Arial" w:hAnsi="Arial"/>
          <w:sz w:val="20"/>
          <w:szCs w:val="20"/>
          <w:b w:val="1"/>
          <w:bCs w:val="1"/>
          <w:color w:val="auto"/>
        </w:rPr>
        <w:t>BNP PARIBAS</w:t>
      </w:r>
      <w:r>
        <w:rPr>
          <w:rFonts w:ascii="Arial" w:cs="Arial" w:eastAsia="Arial" w:hAnsi="Arial"/>
          <w:sz w:val="20"/>
          <w:szCs w:val="20"/>
          <w:color w:val="auto"/>
        </w:rPr>
        <w:t>, as a Lender</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Maria Mulic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757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8">
                      <a:extLst>
                        <a:ext uri="{28A0092B-C50C-407E-A947-70E740481C1C}"/>
                      </a:extLst>
                    </a:blip>
                    <a:srcRect/>
                    <a:stretch>
                      <a:fillRect/>
                    </a:stretch>
                  </pic:blipFill>
                  <pic:spPr bwMode="auto">
                    <a:xfrm>
                      <a:off x="0" y="0"/>
                      <a:ext cx="75755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Maria Mulic</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Barbara E. Nash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Barbara E. Nash</w:t>
      </w:r>
    </w:p>
    <w:p>
      <w:pPr>
        <w:ind w:left="39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5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Take-Two Interactive Software, Inc.</w:t>
      </w:r>
    </w:p>
    <w:p>
      <w:pPr>
        <w:spacing w:after="0" w:line="4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FFFFFF"/>
        </w:rPr>
        <w:t>108975915_18</w:t>
      </w:r>
    </w:p>
    <w:p>
      <w:pPr>
        <w:sectPr>
          <w:pgSz w:w="11900" w:h="16838" w:orient="portrait"/>
          <w:cols w:equalWidth="0" w:num="1">
            <w:col w:w="10219"/>
          </w:cols>
          <w:pgMar w:left="240" w:top="590" w:right="1440" w:bottom="1440" w:gutter="0" w:footer="0" w:header="0"/>
        </w:sectPr>
      </w:pPr>
    </w:p>
    <w:bookmarkStart w:id="253" w:name="page254"/>
    <w:bookmarkEnd w:id="253"/>
    <w:p>
      <w:pPr>
        <w:ind w:left="390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 as a Lender</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Peter I.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938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Peter I. Sanchez</w:t>
      </w:r>
    </w:p>
    <w:p>
      <w:pPr>
        <w:ind w:left="39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FFFFFF"/>
        </w:rPr>
        <w:t>108975915_18</w:t>
      </w:r>
    </w:p>
    <w:p>
      <w:pPr>
        <w:sectPr>
          <w:pgSz w:w="11900" w:h="16838" w:orient="portrait"/>
          <w:cols w:equalWidth="0" w:num="1">
            <w:col w:w="10219"/>
          </w:cols>
          <w:pgMar w:left="240" w:top="589" w:right="1440"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2K Czech, s.r.o.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(Chengdu) Co.,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(Shanghai) Co.,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Marin,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Play,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Songs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Sounds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Games Tunes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Studios Montreal,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 Vegas,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2KSports,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A.C.N. 617 406 550 Pty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A.C.N. 633 146 291 Pty Ltd.</w:t>
      </w:r>
    </w:p>
    <w:p>
      <w:pPr>
        <w:spacing w:after="0" w:line="144" w:lineRule="exact"/>
        <w:rPr>
          <w:sz w:val="20"/>
          <w:szCs w:val="20"/>
          <w:color w:val="auto"/>
        </w:rPr>
      </w:pPr>
    </w:p>
    <w:p>
      <w:pPr>
        <w:ind w:right="700"/>
        <w:spacing w:after="0" w:line="407" w:lineRule="auto"/>
        <w:rPr>
          <w:sz w:val="20"/>
          <w:szCs w:val="20"/>
          <w:color w:val="auto"/>
        </w:rPr>
      </w:pPr>
      <w:r>
        <w:rPr>
          <w:rFonts w:ascii="Arial" w:cs="Arial" w:eastAsia="Arial" w:hAnsi="Arial"/>
          <w:sz w:val="18"/>
          <w:szCs w:val="18"/>
          <w:color w:val="auto"/>
        </w:rPr>
        <w:t>Cat Daddy Games, L.L.C. DMA Design Holdings Limited Double Take LLC</w:t>
      </w:r>
    </w:p>
    <w:p>
      <w:pPr>
        <w:ind w:right="860"/>
        <w:spacing w:after="0" w:line="431" w:lineRule="auto"/>
        <w:rPr>
          <w:sz w:val="20"/>
          <w:szCs w:val="20"/>
          <w:color w:val="auto"/>
        </w:rPr>
      </w:pPr>
      <w:r>
        <w:rPr>
          <w:rFonts w:ascii="Arial" w:cs="Arial" w:eastAsia="Arial" w:hAnsi="Arial"/>
          <w:sz w:val="17"/>
          <w:szCs w:val="17"/>
          <w:color w:val="auto"/>
        </w:rPr>
        <w:t>Firaxis Games, Inc. Frog City Software, Inc. Gathering of Developers, Inc. Gearhead Entertainment, Inc. Glennco Games, LLC Hangar 13 UK Limited Indie Built,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Inventory Management Systems,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Ghost Story Games,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Joytech Europe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Joytech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Kush Games,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Maxcorp Ltd.</w:t>
      </w:r>
    </w:p>
    <w:p>
      <w:pPr>
        <w:spacing w:after="0" w:line="144" w:lineRule="exact"/>
        <w:rPr>
          <w:sz w:val="20"/>
          <w:szCs w:val="20"/>
          <w:color w:val="auto"/>
        </w:rPr>
      </w:pPr>
    </w:p>
    <w:p>
      <w:pPr>
        <w:ind w:right="600"/>
        <w:spacing w:after="0" w:line="435" w:lineRule="auto"/>
        <w:rPr>
          <w:sz w:val="20"/>
          <w:szCs w:val="20"/>
          <w:color w:val="auto"/>
        </w:rPr>
      </w:pPr>
      <w:r>
        <w:rPr>
          <w:rFonts w:ascii="Arial" w:cs="Arial" w:eastAsia="Arial" w:hAnsi="Arial"/>
          <w:sz w:val="17"/>
          <w:szCs w:val="17"/>
          <w:color w:val="auto"/>
        </w:rPr>
        <w:t>Parrot Games, S.L.U. Rockstar Events Inc. Rockstar Games, Inc. Rockstar Games Songs LLC Rockstar Games Sounds LLC Rockstar Games Toronto ULC Rockstar Games Tunes LLC Rockstar Games Vancouver ULC Rockstar Interactive India LLP Rockstar International Limited Rockstar Leeds Limited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Subsidiaries of Take-Two Interactive Software, Inc.</w:t>
      </w:r>
    </w:p>
    <w:p>
      <w:pPr>
        <w:spacing w:after="0" w:line="325" w:lineRule="exact"/>
        <w:rPr>
          <w:sz w:val="20"/>
          <w:szCs w:val="20"/>
          <w:color w:val="auto"/>
        </w:rPr>
      </w:pPr>
    </w:p>
    <w:p>
      <w:pPr>
        <w:ind w:left="5020"/>
        <w:spacing w:after="0"/>
        <w:rPr>
          <w:sz w:val="20"/>
          <w:szCs w:val="20"/>
          <w:color w:val="auto"/>
        </w:rPr>
      </w:pPr>
      <w:r>
        <w:rPr>
          <w:rFonts w:ascii="Arial" w:cs="Arial" w:eastAsia="Arial" w:hAnsi="Arial"/>
          <w:sz w:val="14"/>
          <w:szCs w:val="14"/>
          <w:b w:val="1"/>
          <w:bCs w:val="1"/>
          <w:u w:val="single" w:color="auto"/>
          <w:color w:val="auto"/>
        </w:rPr>
        <w:t>Jurisdiction of Incorporation</w:t>
      </w:r>
    </w:p>
    <w:p>
      <w:pPr>
        <w:spacing w:after="0" w:line="1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Czech Republic</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China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China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New York</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Quebec</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Australia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Australia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Washington</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Texas</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Pennsylvania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Hong Kong</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California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Bermuda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Spain</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New York</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British Columbia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British Columbia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India</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3000" w:space="720"/>
            <w:col w:w="7680"/>
          </w:cols>
          <w:pgMar w:left="260" w:top="121" w:right="239" w:bottom="339" w:gutter="0" w:footer="0" w:header="0"/>
        </w:sectPr>
      </w:pPr>
    </w:p>
    <w:bookmarkStart w:id="255" w:name="page256"/>
    <w:bookmarkEnd w:id="255"/>
    <w:p>
      <w:pPr>
        <w:ind w:left="20"/>
        <w:spacing w:after="0"/>
        <w:rPr>
          <w:sz w:val="20"/>
          <w:szCs w:val="20"/>
          <w:color w:val="auto"/>
        </w:rPr>
      </w:pPr>
      <w:r>
        <w:rPr>
          <w:rFonts w:ascii="Arial" w:cs="Arial" w:eastAsia="Arial" w:hAnsi="Arial"/>
          <w:sz w:val="14"/>
          <w:szCs w:val="14"/>
          <w:b w:val="1"/>
          <w:bCs w:val="1"/>
          <w:u w:val="single" w:color="auto"/>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Rockstar Lincoln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Rockstar London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Rockstar New England,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Rockstar North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Rockstar San Diego,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 Point, K.K.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 Point, S.L.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T2 Developer,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 2 Interactive Software Pty.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 2 Productions,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Asia Pte.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Chile SpA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Contracting,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Esports Holdings,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Europe (Holdings)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GB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Holdings III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Holdings II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 Two Holdings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Hong Kong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Benelux B.V.</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Take-Two Interactive Canada Holdings, Inc.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Canada,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Espana S.L.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France SAS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GmbH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Japan G.K.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Korea Ltd.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Take-Two Interactive Software Europe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Software UK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International B.V.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International Holdings 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Invest Espana, S.L.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Talent,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UK Holdings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Take-Two Vegas,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Take Two International GmbH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Talonsoft,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Techcorp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Venom Games Limited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Visual Concepts China Co., Ltd.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Visual Concepts Entertainment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Visual Concepts Hungary Kft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VLM Entertainment Group,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WC Holdco, Inc.</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Arial" w:cs="Arial" w:eastAsia="Arial" w:hAnsi="Arial"/>
          <w:sz w:val="12"/>
          <w:szCs w:val="12"/>
          <w:b w:val="1"/>
          <w:bCs w:val="1"/>
          <w:u w:val="single" w:color="auto"/>
          <w:color w:val="auto"/>
        </w:rPr>
        <w:t>Jurisdiction of Incorporation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ectPr>
          <w:pgSz w:w="11900" w:h="16838" w:orient="portrait"/>
          <w:cols w:equalWidth="0" w:num="2">
            <w:col w:w="7060" w:space="720"/>
            <w:col w:w="2640"/>
          </w:cols>
          <w:pgMar w:left="260" w:top="599" w:right="1219" w:bottom="0" w:gutter="0" w:footer="0" w:header="0"/>
        </w:sectPr>
      </w:pPr>
    </w:p>
    <w:bookmarkStart w:id="256" w:name="page257"/>
    <w:bookmarkEnd w:id="2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following Registration Statements (Form S-8 Nos. 333-158735, 333-177822, 333-191993, 333-198787 333-214285 and 333-220895 and Form S-3 Nos. 333-189246, 333-204318, 333-204339, 333-211473, 333-211474 333-216019, 333-218235, 333-224284 and 333-230884) of Take-Two Interactive Software, Inc. of our reports dated May 13, 2019,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000" w:val="left"/>
        </w:tabs>
        <w:rPr>
          <w:sz w:val="20"/>
          <w:szCs w:val="20"/>
          <w:color w:val="auto"/>
        </w:rPr>
      </w:pPr>
      <w:r>
        <w:rPr>
          <w:rFonts w:ascii="Arial" w:cs="Arial" w:eastAsia="Arial" w:hAnsi="Arial"/>
          <w:sz w:val="18"/>
          <w:szCs w:val="18"/>
          <w:color w:val="auto"/>
        </w:rPr>
        <w:t>New York, New York</w:t>
      </w:r>
      <w:r>
        <w:rPr>
          <w:sz w:val="20"/>
          <w:szCs w:val="20"/>
          <w:color w:val="auto"/>
        </w:rPr>
        <w:tab/>
      </w:r>
      <w:r>
        <w:rPr>
          <w:rFonts w:ascii="Arial" w:cs="Arial" w:eastAsia="Arial" w:hAnsi="Arial"/>
          <w:sz w:val="17"/>
          <w:szCs w:val="17"/>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13, 2019</w:t>
      </w:r>
    </w:p>
    <w:p>
      <w:pPr>
        <w:sectPr>
          <w:pgSz w:w="11900" w:h="16838" w:orient="portrait"/>
          <w:cols w:equalWidth="0" w:num="1">
            <w:col w:w="11420"/>
          </w:cols>
          <w:pgMar w:left="240" w:top="121" w:right="239" w:bottom="1440" w:gutter="0" w:footer="0" w:header="0"/>
        </w:sectPr>
      </w:pPr>
    </w:p>
    <w:bookmarkStart w:id="258" w:name="page259"/>
    <w:bookmarkEnd w:id="258"/>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TAKE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Strauss Zelnick, certify that:</w:t>
      </w:r>
    </w:p>
    <w:p>
      <w:pPr>
        <w:spacing w:after="0" w:line="225" w:lineRule="exact"/>
        <w:rPr>
          <w:sz w:val="20"/>
          <w:szCs w:val="20"/>
          <w:color w:val="auto"/>
        </w:rPr>
      </w:pPr>
    </w:p>
    <w:p>
      <w:pPr>
        <w:ind w:left="320" w:hanging="312"/>
        <w:spacing w:after="0"/>
        <w:tabs>
          <w:tab w:leader="none" w:pos="3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2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400"/>
        <w:spacing w:after="0" w:line="264" w:lineRule="auto"/>
        <w:tabs>
          <w:tab w:leader="none" w:pos="72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00"/>
        <w:spacing w:after="0" w:line="264" w:lineRule="auto"/>
        <w:tabs>
          <w:tab w:leader="none" w:pos="88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00"/>
        <w:spacing w:after="0" w:line="308" w:lineRule="auto"/>
        <w:tabs>
          <w:tab w:leader="none" w:pos="727"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00"/>
        <w:spacing w:after="0" w:line="264" w:lineRule="auto"/>
        <w:tabs>
          <w:tab w:leader="none" w:pos="74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00"/>
        <w:spacing w:after="0" w:line="277" w:lineRule="auto"/>
        <w:tabs>
          <w:tab w:leader="none" w:pos="77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00" w:right="20"/>
        <w:spacing w:after="0" w:line="277" w:lineRule="auto"/>
        <w:tabs>
          <w:tab w:leader="none" w:pos="77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May 13, 2019</w:t>
            </w:r>
          </w:p>
        </w:tc>
        <w:tc>
          <w:tcPr>
            <w:tcW w:w="5460" w:type="dxa"/>
            <w:vAlign w:val="bottom"/>
          </w:tcPr>
          <w:p>
            <w:pPr>
              <w:ind w:left="20"/>
              <w:spacing w:after="0"/>
              <w:rPr>
                <w:sz w:val="20"/>
                <w:szCs w:val="20"/>
                <w:color w:val="auto"/>
              </w:rPr>
            </w:pPr>
            <w:r>
              <w:rPr>
                <w:rFonts w:ascii="Arial" w:cs="Arial" w:eastAsia="Arial" w:hAnsi="Arial"/>
                <w:sz w:val="18"/>
                <w:szCs w:val="18"/>
                <w:color w:val="auto"/>
              </w:rPr>
              <w:t>/s/ STRAUSS ZELNICK</w:t>
            </w:r>
          </w:p>
        </w:tc>
      </w:tr>
      <w:tr>
        <w:trPr>
          <w:trHeight w:val="216"/>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Strauss Zelnick</w:t>
            </w:r>
          </w:p>
        </w:tc>
      </w:tr>
      <w:tr>
        <w:trPr>
          <w:trHeight w:val="230"/>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9" w:right="239" w:bottom="1440" w:gutter="0" w:footer="0" w:header="0"/>
        </w:sectPr>
      </w:pPr>
    </w:p>
    <w:bookmarkStart w:id="259" w:name="page260"/>
    <w:bookmarkEnd w:id="25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TAKE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5" w:lineRule="exact"/>
        <w:rPr>
          <w:sz w:val="20"/>
          <w:szCs w:val="20"/>
          <w:color w:val="auto"/>
        </w:rPr>
      </w:pPr>
    </w:p>
    <w:p>
      <w:pPr>
        <w:ind w:left="320" w:hanging="312"/>
        <w:spacing w:after="0"/>
        <w:tabs>
          <w:tab w:leader="none" w:pos="3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2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400"/>
        <w:spacing w:after="0" w:line="264" w:lineRule="auto"/>
        <w:tabs>
          <w:tab w:leader="none" w:pos="72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00"/>
        <w:spacing w:after="0" w:line="264" w:lineRule="auto"/>
        <w:tabs>
          <w:tab w:leader="none" w:pos="88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00"/>
        <w:spacing w:after="0" w:line="308" w:lineRule="auto"/>
        <w:tabs>
          <w:tab w:leader="none" w:pos="727"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00"/>
        <w:spacing w:after="0" w:line="264" w:lineRule="auto"/>
        <w:tabs>
          <w:tab w:leader="none" w:pos="74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00"/>
        <w:spacing w:after="0" w:line="277" w:lineRule="auto"/>
        <w:tabs>
          <w:tab w:leader="none" w:pos="77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00" w:right="20"/>
        <w:spacing w:after="0" w:line="277" w:lineRule="auto"/>
        <w:tabs>
          <w:tab w:leader="none" w:pos="77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May 13, 2019</w:t>
            </w:r>
          </w:p>
        </w:tc>
        <w:tc>
          <w:tcPr>
            <w:tcW w:w="5460" w:type="dxa"/>
            <w:vAlign w:val="bottom"/>
          </w:tcPr>
          <w:p>
            <w:pPr>
              <w:ind w:left="20"/>
              <w:spacing w:after="0"/>
              <w:rPr>
                <w:sz w:val="20"/>
                <w:szCs w:val="20"/>
                <w:color w:val="auto"/>
              </w:rPr>
            </w:pPr>
            <w:r>
              <w:rPr>
                <w:rFonts w:ascii="Arial" w:cs="Arial" w:eastAsia="Arial" w:hAnsi="Arial"/>
                <w:sz w:val="18"/>
                <w:szCs w:val="18"/>
                <w:color w:val="auto"/>
              </w:rPr>
              <w:t>/s/ LAINIE GOLDSTEIN</w:t>
            </w:r>
          </w:p>
        </w:tc>
      </w:tr>
      <w:tr>
        <w:trPr>
          <w:trHeight w:val="216"/>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Lainie Goldstein</w:t>
            </w:r>
          </w:p>
        </w:tc>
      </w:tr>
      <w:tr>
        <w:trPr>
          <w:trHeight w:val="230"/>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9"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TAKE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Take-Two Interactive Software, Inc. (the “Company”) on Form 10-K for the period ended March 31, 2019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May 13, 2019</w:t>
            </w:r>
          </w:p>
        </w:tc>
        <w:tc>
          <w:tcPr>
            <w:tcW w:w="5460" w:type="dxa"/>
            <w:vAlign w:val="bottom"/>
          </w:tcPr>
          <w:p>
            <w:pPr>
              <w:ind w:left="20"/>
              <w:spacing w:after="0"/>
              <w:rPr>
                <w:sz w:val="20"/>
                <w:szCs w:val="20"/>
                <w:color w:val="auto"/>
              </w:rPr>
            </w:pPr>
            <w:r>
              <w:rPr>
                <w:rFonts w:ascii="Arial" w:cs="Arial" w:eastAsia="Arial" w:hAnsi="Arial"/>
                <w:sz w:val="18"/>
                <w:szCs w:val="18"/>
                <w:color w:val="auto"/>
              </w:rPr>
              <w:t>/s/ STRAUSS ZELNICK</w:t>
            </w:r>
          </w:p>
        </w:tc>
      </w:tr>
      <w:tr>
        <w:trPr>
          <w:trHeight w:val="216"/>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Strauss Zelnick</w:t>
            </w:r>
          </w:p>
        </w:tc>
      </w:tr>
      <w:tr>
        <w:trPr>
          <w:trHeight w:val="230"/>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729"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TAKE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Take-Two Interactive Software, Inc. (the “Company”) on Form 10-K for the period ended March 31, 2019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May 13, 2019</w:t>
            </w:r>
          </w:p>
        </w:tc>
        <w:tc>
          <w:tcPr>
            <w:tcW w:w="5460" w:type="dxa"/>
            <w:vAlign w:val="bottom"/>
          </w:tcPr>
          <w:p>
            <w:pPr>
              <w:ind w:left="20"/>
              <w:spacing w:after="0"/>
              <w:rPr>
                <w:sz w:val="20"/>
                <w:szCs w:val="20"/>
                <w:color w:val="auto"/>
              </w:rPr>
            </w:pPr>
            <w:r>
              <w:rPr>
                <w:rFonts w:ascii="Arial" w:cs="Arial" w:eastAsia="Arial" w:hAnsi="Arial"/>
                <w:sz w:val="18"/>
                <w:szCs w:val="18"/>
                <w:color w:val="auto"/>
              </w:rPr>
              <w:t>/s/ LAINIE GOLDSTEIN</w:t>
            </w:r>
          </w:p>
        </w:tc>
      </w:tr>
      <w:tr>
        <w:trPr>
          <w:trHeight w:val="216"/>
        </w:trPr>
        <w:tc>
          <w:tcPr>
            <w:tcW w:w="594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Lainie Goldstein</w:t>
            </w:r>
          </w:p>
        </w:tc>
      </w:tr>
      <w:tr>
        <w:trPr>
          <w:trHeight w:val="230"/>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41"/>
        </w:trPr>
        <w:tc>
          <w:tcPr>
            <w:tcW w:w="594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o"/>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1)"/>
      <w:numFmt w:val="decimal"/>
      <w:start w:val="1"/>
    </w:lvl>
  </w:abstractNum>
  <w:abstractNum w:abstractNumId="7">
    <w:nsid w:val="7C58FD05"/>
    <w:multiLevelType w:val="hybridMultilevel"/>
    <w:lvl w:ilvl="0">
      <w:lvlJc w:val="left"/>
      <w:lvlText w:val="(%1)"/>
      <w:numFmt w:val="lowerRoman"/>
      <w:start w:val="3"/>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1)"/>
      <w:numFmt w:val="lowerLetter"/>
      <w:start w:val="1"/>
    </w:lvl>
    <w:lvl w:ilvl="1">
      <w:lvlJc w:val="left"/>
      <w:lvlText w:val="(%2)"/>
      <w:numFmt w:val="lowerRoman"/>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1)"/>
      <w:numFmt w:val="decimal"/>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
      <w:numFmt w:val="bullet"/>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1."/>
      <w:numFmt w:val="decimal"/>
      <w:start w:val="2"/>
    </w:lvl>
  </w:abstractNum>
  <w:abstractNum w:abstractNumId="19">
    <w:nsid w:val="69E373"/>
    <w:multiLevelType w:val="hybridMultilevel"/>
    <w:lvl w:ilvl="0">
      <w:lvlJc w:val="left"/>
      <w:lvlText w:val="(%1)"/>
      <w:numFmt w:val="decimal"/>
      <w:start w:val="1"/>
    </w:lvl>
  </w:abstractNum>
  <w:abstractNum w:abstractNumId="20">
    <w:nsid w:val="2C27173B"/>
    <w:multiLevelType w:val="hybridMultilevel"/>
    <w:lvl w:ilvl="0">
      <w:lvlJc w:val="left"/>
      <w:lvlText w:val="(%1)"/>
      <w:numFmt w:val="decimal"/>
      <w:start w:val="1"/>
    </w:lvl>
  </w:abstractNum>
  <w:abstractNum w:abstractNumId="21">
    <w:nsid w:val="4C9B0904"/>
    <w:multiLevelType w:val="hybridMultilevel"/>
    <w:lvl w:ilvl="0">
      <w:lvlJc w:val="left"/>
      <w:lvlText w:val="(%1)"/>
      <w:numFmt w:val="decimal"/>
      <w:start w:val="1"/>
    </w:lvl>
  </w:abstractNum>
  <w:abstractNum w:abstractNumId="22">
    <w:nsid w:val="6AA7B75C"/>
    <w:multiLevelType w:val="hybridMultilevel"/>
    <w:lvl w:ilvl="0">
      <w:lvlJc w:val="left"/>
      <w:lvlText w:val="(%1)"/>
      <w:numFmt w:val="decimal"/>
      <w:start w:val="1"/>
    </w:lvl>
  </w:abstractNum>
  <w:abstractNum w:abstractNumId="23">
    <w:nsid w:val="1DF029D3"/>
    <w:multiLevelType w:val="hybridMultilevel"/>
    <w:lvl w:ilvl="0">
      <w:lvlJc w:val="left"/>
      <w:lvlText w:val="(%1)"/>
      <w:numFmt w:val="decimal"/>
      <w:start w:val="1"/>
    </w:lvl>
  </w:abstractNum>
  <w:abstractNum w:abstractNumId="24">
    <w:nsid w:val="5675FF36"/>
    <w:multiLevelType w:val="hybridMultilevel"/>
    <w:lvl w:ilvl="0">
      <w:lvlJc w:val="left"/>
      <w:lvlText w:val="%1."/>
      <w:numFmt w:val="decimal"/>
      <w:start w:val="3"/>
    </w:lvl>
  </w:abstractNum>
  <w:abstractNum w:abstractNumId="25">
    <w:nsid w:val="3DD15094"/>
    <w:multiLevelType w:val="hybridMultilevel"/>
    <w:lvl w:ilvl="0">
      <w:lvlJc w:val="left"/>
      <w:lvlText w:val="%1."/>
      <w:numFmt w:val="decimal"/>
      <w:start w:val="4"/>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1."/>
      <w:numFmt w:val="decimal"/>
      <w:start w:val="5"/>
    </w:lvl>
  </w:abstractNum>
  <w:abstractNum w:abstractNumId="28">
    <w:nsid w:val="5B25ACE2"/>
    <w:multiLevelType w:val="hybridMultilevel"/>
    <w:lvl w:ilvl="0">
      <w:lvlJc w:val="left"/>
      <w:lvlText w:val="%1."/>
      <w:numFmt w:val="decimal"/>
      <w:start w:val="6"/>
    </w:lvl>
  </w:abstractNum>
  <w:abstractNum w:abstractNumId="29">
    <w:nsid w:val="175DFCF0"/>
    <w:multiLevelType w:val="hybridMultilevel"/>
    <w:lvl w:ilvl="0">
      <w:lvlJc w:val="left"/>
      <w:lvlText w:val="%1."/>
      <w:numFmt w:val="decimal"/>
      <w:start w:val="8"/>
    </w:lvl>
  </w:abstractNum>
  <w:abstractNum w:abstractNumId="30">
    <w:nsid w:val="4F97E3E4"/>
    <w:multiLevelType w:val="hybridMultilevel"/>
    <w:lvl w:ilvl="0">
      <w:lvlJc w:val="left"/>
      <w:lvlText w:val="%1."/>
      <w:numFmt w:val="decimal"/>
      <w:start w:val="9"/>
    </w:lvl>
  </w:abstractNum>
  <w:abstractNum w:abstractNumId="31">
    <w:nsid w:val="53B0A9E"/>
    <w:multiLevelType w:val="hybridMultilevel"/>
    <w:lvl w:ilvl="0">
      <w:lvlJc w:val="left"/>
      <w:lvlText w:val="%1."/>
      <w:numFmt w:val="decimal"/>
      <w:start w:val="10"/>
    </w:lvl>
  </w:abstractNum>
  <w:abstractNum w:abstractNumId="32">
    <w:nsid w:val="34FD6B4F"/>
    <w:multiLevelType w:val="hybridMultilevel"/>
    <w:lvl w:ilvl="0">
      <w:lvlJc w:val="left"/>
      <w:lvlText w:val="(%1)"/>
      <w:numFmt w:val="lowerLetter"/>
      <w:start w:val="2"/>
    </w:lvl>
  </w:abstractNum>
  <w:abstractNum w:abstractNumId="33">
    <w:nsid w:val="5915FF32"/>
    <w:multiLevelType w:val="hybridMultilevel"/>
    <w:lvl w:ilvl="0">
      <w:lvlJc w:val="left"/>
      <w:lvlText w:val="(%1)"/>
      <w:numFmt w:val="decimal"/>
      <w:start w:val="1"/>
    </w:lvl>
  </w:abstractNum>
  <w:abstractNum w:abstractNumId="34">
    <w:nsid w:val="56438D15"/>
    <w:multiLevelType w:val="hybridMultilevel"/>
    <w:lvl w:ilvl="0">
      <w:lvlJc w:val="left"/>
      <w:lvlText w:val="%1."/>
      <w:numFmt w:val="decimal"/>
      <w:start w:val="16"/>
    </w:lvl>
  </w:abstractNum>
  <w:abstractNum w:abstractNumId="35">
    <w:nsid w:val="519E3149"/>
    <w:multiLevelType w:val="hybridMultilevel"/>
    <w:lvl w:ilvl="0">
      <w:lvlJc w:val="left"/>
      <w:lvlText w:val="(%1)"/>
      <w:numFmt w:val="decimal"/>
      <w:start w:val="1"/>
    </w:lvl>
  </w:abstractNum>
  <w:abstractNum w:abstractNumId="36">
    <w:nsid w:val="2C6E4AFD"/>
    <w:multiLevelType w:val="hybridMultilevel"/>
    <w:lvl w:ilvl="0">
      <w:lvlJc w:val="left"/>
      <w:lvlText w:val="(%1)"/>
      <w:numFmt w:val="decimal"/>
      <w:start w:val="1"/>
    </w:lvl>
  </w:abstractNum>
  <w:abstractNum w:abstractNumId="37">
    <w:nsid w:val="17A1B582"/>
    <w:multiLevelType w:val="hybridMultilevel"/>
    <w:lvl w:ilvl="0">
      <w:lvlJc w:val="left"/>
      <w:lvlText w:val="(%1)"/>
      <w:numFmt w:val="lowerLetter"/>
      <w:start w:val="1"/>
    </w:lvl>
  </w:abstractNum>
  <w:abstractNum w:abstractNumId="38">
    <w:nsid w:val="4DF72E4E"/>
    <w:multiLevelType w:val="hybridMultilevel"/>
    <w:lvl w:ilvl="0">
      <w:lvlJc w:val="left"/>
      <w:lvlText w:val="(%1)"/>
      <w:numFmt w:val="lowerLetter"/>
      <w:start w:val="3"/>
    </w:lvl>
    <w:lvl w:ilvl="1">
      <w:lvlJc w:val="left"/>
      <w:lvlText w:val="(%2)"/>
      <w:numFmt w:val="lowerRoman"/>
      <w:start w:val="1"/>
    </w:lvl>
  </w:abstractNum>
  <w:abstractNum w:abstractNumId="39">
    <w:nsid w:val="5046B5A9"/>
    <w:multiLevelType w:val="hybridMultilevel"/>
    <w:lvl w:ilvl="0">
      <w:lvlJc w:val="left"/>
      <w:lvlText w:val="(%1)"/>
      <w:numFmt w:val="lowerLetter"/>
      <w:start w:val="14"/>
    </w:lvl>
  </w:abstractNum>
  <w:abstractNum w:abstractNumId="40">
    <w:nsid w:val="5D888A08"/>
    <w:multiLevelType w:val="hybridMultilevel"/>
    <w:lvl w:ilvl="0">
      <w:lvlJc w:val="left"/>
      <w:lvlText w:val="(%1)"/>
      <w:numFmt w:val="lowerLetter"/>
      <w:start w:val="19"/>
    </w:lvl>
  </w:abstractNum>
  <w:abstractNum w:abstractNumId="41">
    <w:nsid w:val="2A082C70"/>
    <w:multiLevelType w:val="hybridMultilevel"/>
    <w:lvl w:ilvl="0">
      <w:lvlJc w:val="left"/>
      <w:lvlText w:val="(%1)"/>
      <w:numFmt w:val="lowerLetter"/>
      <w:start w:val="27"/>
    </w:lvl>
  </w:abstractNum>
  <w:abstractNum w:abstractNumId="42">
    <w:nsid w:val="5EC6AFD4"/>
    <w:multiLevelType w:val="hybridMultilevel"/>
    <w:lvl w:ilvl="0">
      <w:lvlJc w:val="left"/>
      <w:lvlText w:val="(%1)"/>
      <w:numFmt w:val="lowerLetter"/>
      <w:start w:val="1"/>
    </w:lvl>
  </w:abstractNum>
  <w:abstractNum w:abstractNumId="43">
    <w:nsid w:val="19E21BB2"/>
    <w:multiLevelType w:val="hybridMultilevel"/>
    <w:lvl w:ilvl="0">
      <w:lvlJc w:val="left"/>
      <w:lvlText w:val="(%1)"/>
      <w:numFmt w:val="lowerLetter"/>
      <w:start w:val="1"/>
    </w:lvl>
  </w:abstractNum>
  <w:abstractNum w:abstractNumId="44">
    <w:nsid w:val="75E0858A"/>
    <w:multiLevelType w:val="hybridMultilevel"/>
    <w:lvl w:ilvl="0">
      <w:lvlJc w:val="left"/>
      <w:lvlText w:val="(%1)"/>
      <w:numFmt w:val="lowerLetter"/>
      <w:start w:val="2"/>
    </w:lvl>
  </w:abstractNum>
  <w:abstractNum w:abstractNumId="45">
    <w:nsid w:val="57A61A29"/>
    <w:multiLevelType w:val="hybridMultilevel"/>
    <w:lvl w:ilvl="0">
      <w:lvlJc w:val="left"/>
      <w:lvlText w:val="(%1)"/>
      <w:numFmt w:val="lowerLetter"/>
      <w:start w:val="1"/>
    </w:lvl>
  </w:abstractNum>
  <w:abstractNum w:abstractNumId="46">
    <w:nsid w:val="5399C654"/>
    <w:multiLevelType w:val="hybridMultilevel"/>
    <w:lvl w:ilvl="0">
      <w:lvlJc w:val="left"/>
      <w:lvlText w:val="(%1)"/>
      <w:numFmt w:val="lowerLetter"/>
      <w:start w:val="6"/>
    </w:lvl>
  </w:abstractNum>
  <w:abstractNum w:abstractNumId="47">
    <w:nsid w:val="20EE1348"/>
    <w:multiLevelType w:val="hybridMultilevel"/>
    <w:lvl w:ilvl="0">
      <w:lvlJc w:val="left"/>
      <w:lvlText w:val="(%1)"/>
      <w:numFmt w:val="lowerLetter"/>
      <w:start w:val="1"/>
    </w:lvl>
  </w:abstractNum>
  <w:abstractNum w:abstractNumId="48">
    <w:nsid w:val="4427069A"/>
    <w:multiLevelType w:val="hybridMultilevel"/>
    <w:lvl w:ilvl="0">
      <w:lvlJc w:val="left"/>
      <w:lvlText w:val="(%1)"/>
      <w:numFmt w:val="lowerRoman"/>
      <w:start w:val="2"/>
    </w:lvl>
  </w:abstractNum>
  <w:abstractNum w:abstractNumId="49">
    <w:nsid w:val="B37E80A"/>
    <w:multiLevelType w:val="hybridMultilevel"/>
    <w:lvl w:ilvl="0">
      <w:lvlJc w:val="left"/>
      <w:lvlText w:val="(%1)"/>
      <w:numFmt w:val="lowerRoman"/>
      <w:start w:val="1"/>
    </w:lvl>
  </w:abstractNum>
  <w:abstractNum w:abstractNumId="50">
    <w:nsid w:val="2157F6BC"/>
    <w:multiLevelType w:val="hybridMultilevel"/>
    <w:lvl w:ilvl="0">
      <w:lvlJc w:val="left"/>
      <w:lvlText w:val="(%1)"/>
      <w:numFmt w:val="lowerLetter"/>
      <w:start w:val="1"/>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lowerLetter"/>
      <w:start w:val="1"/>
    </w:lvl>
    <w:lvl w:ilvl="1">
      <w:lvlJc w:val="left"/>
      <w:lvlText w:val="(%2)"/>
      <w:numFmt w:val="lowerRoman"/>
      <w:start w:val="1"/>
    </w:lvl>
  </w:abstractNum>
  <w:abstractNum w:abstractNumId="53">
    <w:nsid w:val="BFFAE18"/>
    <w:multiLevelType w:val="hybridMultilevel"/>
    <w:lvl w:ilvl="0">
      <w:lvlJc w:val="left"/>
      <w:lvlText w:val="%1"/>
      <w:numFmt w:val="upperLetter"/>
      <w:start w:val="1"/>
    </w:lvl>
    <w:lvl w:ilvl="1">
      <w:lvlJc w:val="left"/>
      <w:lvlText w:val="(%2)"/>
      <w:numFmt w:val="lowerRoman"/>
      <w:start w:val="5"/>
    </w:lvl>
  </w:abstractNum>
  <w:abstractNum w:abstractNumId="54">
    <w:nsid w:val="E3E47A8"/>
    <w:multiLevelType w:val="hybridMultilevel"/>
    <w:lvl w:ilvl="0">
      <w:lvlJc w:val="left"/>
      <w:lvlText w:val="(%1)"/>
      <w:numFmt w:val="upperLetter"/>
      <w:start w:val="1"/>
    </w:lvl>
    <w:lvl w:ilvl="1">
      <w:lvlJc w:val="left"/>
      <w:lvlText w:val="(%2)"/>
      <w:numFmt w:val="lowerRoman"/>
      <w:start w:val="10"/>
    </w:lvl>
  </w:abstractNum>
  <w:abstractNum w:abstractNumId="55">
    <w:nsid w:val="2E48F044"/>
    <w:multiLevelType w:val="hybridMultilevel"/>
    <w:lvl w:ilvl="0">
      <w:lvlJc w:val="left"/>
      <w:lvlText w:val="(%1)"/>
      <w:numFmt w:val="lowerLetter"/>
      <w:start w:val="3"/>
    </w:lvl>
    <w:lvl w:ilvl="1">
      <w:lvlJc w:val="left"/>
      <w:lvlText w:val="(%2)"/>
      <w:numFmt w:val="lowerRoman"/>
      <w:start w:val="1"/>
    </w:lvl>
  </w:abstractNum>
  <w:abstractNum w:abstractNumId="56">
    <w:nsid w:val="49D0FEAC"/>
    <w:multiLevelType w:val="hybridMultilevel"/>
    <w:lvl w:ilvl="0">
      <w:lvlJc w:val="left"/>
      <w:lvlText w:val="(%1)"/>
      <w:numFmt w:val="lowerLetter"/>
      <w:start w:val="1"/>
    </w:lvl>
  </w:abstractNum>
  <w:abstractNum w:abstractNumId="57">
    <w:nsid w:val="4BEE5A5B"/>
    <w:multiLevelType w:val="hybridMultilevel"/>
    <w:lvl w:ilvl="0">
      <w:lvlJc w:val="left"/>
      <w:lvlText w:val="(%1)"/>
      <w:numFmt w:val="lowerLetter"/>
      <w:start w:val="4"/>
    </w:lvl>
  </w:abstractNum>
  <w:abstractNum w:abstractNumId="58">
    <w:nsid w:val="5551B9F3"/>
    <w:multiLevelType w:val="hybridMultilevel"/>
    <w:lvl w:ilvl="0">
      <w:lvlJc w:val="left"/>
      <w:lvlText w:val="(%1)"/>
      <w:numFmt w:val="lowerRoman"/>
      <w:start w:val="4"/>
    </w:lvl>
  </w:abstractNum>
  <w:abstractNum w:abstractNumId="59">
    <w:nsid w:val="24F6AB8E"/>
    <w:multiLevelType w:val="hybridMultilevel"/>
    <w:lvl w:ilvl="0">
      <w:lvlJc w:val="left"/>
      <w:lvlText w:val="(%1)"/>
      <w:numFmt w:val="lowerLetter"/>
      <w:start w:val="1"/>
    </w:lvl>
  </w:abstractNum>
  <w:abstractNum w:abstractNumId="60">
    <w:nsid w:val="634C574C"/>
    <w:multiLevelType w:val="hybridMultilevel"/>
    <w:lvl w:ilvl="0">
      <w:lvlJc w:val="left"/>
      <w:lvlText w:val="(%1)"/>
      <w:numFmt w:val="lowerLetter"/>
      <w:start w:val="3"/>
    </w:lvl>
  </w:abstractNum>
  <w:abstractNum w:abstractNumId="61">
    <w:nsid w:val="24E99DD7"/>
    <w:multiLevelType w:val="hybridMultilevel"/>
    <w:lvl w:ilvl="0">
      <w:lvlJc w:val="left"/>
      <w:lvlText w:val="(%1)"/>
      <w:numFmt w:val="lowerLetter"/>
      <w:start w:val="1"/>
    </w:lvl>
  </w:abstractNum>
  <w:abstractNum w:abstractNumId="62">
    <w:nsid w:val="2A31B62D"/>
    <w:multiLevelType w:val="hybridMultilevel"/>
    <w:lvl w:ilvl="0">
      <w:lvlJc w:val="left"/>
      <w:lvlText w:val="(%1)"/>
      <w:numFmt w:val="lowerLetter"/>
      <w:start w:val="1"/>
    </w:lvl>
  </w:abstractNum>
  <w:abstractNum w:abstractNumId="63">
    <w:nsid w:val="1849C29B"/>
    <w:multiLevelType w:val="hybridMultilevel"/>
    <w:lvl w:ilvl="0">
      <w:lvlJc w:val="left"/>
      <w:lvlText w:val="(%1)"/>
      <w:numFmt w:val="lowerRoman"/>
      <w:start w:val="2"/>
    </w:lvl>
  </w:abstractNum>
  <w:abstractNum w:abstractNumId="64">
    <w:nsid w:val="7DFF9D09"/>
    <w:multiLevelType w:val="hybridMultilevel"/>
    <w:lvl w:ilvl="0">
      <w:lvlJc w:val="left"/>
      <w:lvlText w:val="(%1)"/>
      <w:numFmt w:val="lowerLetter"/>
      <w:start w:val="1"/>
    </w:lvl>
  </w:abstractNum>
  <w:abstractNum w:abstractNumId="65">
    <w:nsid w:val="754342"/>
    <w:multiLevelType w:val="hybridMultilevel"/>
    <w:lvl w:ilvl="0">
      <w:lvlJc w:val="left"/>
      <w:lvlText w:val="(%1)"/>
      <w:numFmt w:val="lowerLetter"/>
      <w:start w:val="2"/>
    </w:lvl>
  </w:abstractNum>
  <w:abstractNum w:abstractNumId="66">
    <w:nsid w:val="69E7F3E5"/>
    <w:multiLevelType w:val="hybridMultilevel"/>
    <w:lvl w:ilvl="0">
      <w:lvlJc w:val="left"/>
      <w:lvlText w:val="(%1)"/>
      <w:numFmt w:val="lowerLetter"/>
      <w:start w:val="1"/>
    </w:lvl>
  </w:abstractNum>
  <w:abstractNum w:abstractNumId="67">
    <w:nsid w:val="2A6DE806"/>
    <w:multiLevelType w:val="hybridMultilevel"/>
    <w:lvl w:ilvl="0">
      <w:lvlJc w:val="left"/>
      <w:lvlText w:val="(%1)"/>
      <w:numFmt w:val="lowerLetter"/>
      <w:start w:val="3"/>
    </w:lvl>
  </w:abstractNum>
  <w:abstractNum w:abstractNumId="68">
    <w:nsid w:val="1816F8C4"/>
    <w:multiLevelType w:val="hybridMultilevel"/>
    <w:lvl w:ilvl="0">
      <w:lvlJc w:val="left"/>
      <w:lvlText w:val="(%1)"/>
      <w:numFmt w:val="lowerLetter"/>
      <w:start w:val="6"/>
    </w:lvl>
  </w:abstractNum>
  <w:abstractNum w:abstractNumId="69">
    <w:nsid w:val="37DF2233"/>
    <w:multiLevelType w:val="hybridMultilevel"/>
    <w:lvl w:ilvl="0">
      <w:lvlJc w:val="left"/>
      <w:lvlText w:val="(%1)"/>
      <w:numFmt w:val="lowerLetter"/>
      <w:start w:val="3"/>
    </w:lvl>
  </w:abstractNum>
  <w:abstractNum w:abstractNumId="70">
    <w:nsid w:val="7AB49DAF"/>
    <w:multiLevelType w:val="hybridMultilevel"/>
    <w:lvl w:ilvl="0">
      <w:lvlJc w:val="left"/>
      <w:lvlText w:val="(%1)"/>
      <w:numFmt w:val="lowerLetter"/>
      <w:start w:val="1"/>
    </w:lvl>
  </w:abstractNum>
  <w:abstractNum w:abstractNumId="71">
    <w:nsid w:val="759F82CD"/>
    <w:multiLevelType w:val="hybridMultilevel"/>
    <w:lvl w:ilvl="0">
      <w:lvlJc w:val="left"/>
      <w:lvlText w:val="(%1)"/>
      <w:numFmt w:val="upperLetter"/>
      <w:start w:val="2"/>
    </w:lvl>
    <w:lvl w:ilvl="1">
      <w:lvlJc w:val="left"/>
      <w:lvlText w:val="(%2)"/>
      <w:numFmt w:val="lowerLetter"/>
      <w:start w:val="3"/>
    </w:lvl>
  </w:abstractNum>
  <w:abstractNum w:abstractNumId="72">
    <w:nsid w:val="61E74EA3"/>
    <w:multiLevelType w:val="hybridMultilevel"/>
    <w:lvl w:ilvl="0">
      <w:lvlJc w:val="left"/>
      <w:lvlText w:val="(%1)"/>
      <w:numFmt w:val="lowerLetter"/>
      <w:start w:val="1"/>
    </w:lvl>
  </w:abstractNum>
  <w:abstractNum w:abstractNumId="73">
    <w:nsid w:val="597B4D84"/>
    <w:multiLevelType w:val="hybridMultilevel"/>
    <w:lvl w:ilvl="0">
      <w:lvlJc w:val="left"/>
      <w:lvlText w:val="(%1)"/>
      <w:numFmt w:val="lowerLetter"/>
      <w:start w:val="1"/>
    </w:lvl>
  </w:abstractNum>
  <w:abstractNum w:abstractNumId="74">
    <w:nsid w:val="F819E7F"/>
    <w:multiLevelType w:val="hybridMultilevel"/>
    <w:lvl w:ilvl="0">
      <w:lvlJc w:val="left"/>
      <w:lvlText w:val="(%1)"/>
      <w:numFmt w:val="lowerLetter"/>
      <w:start w:val="3"/>
    </w:lvl>
  </w:abstractNum>
  <w:abstractNum w:abstractNumId="75">
    <w:nsid w:val="57C7D42D"/>
    <w:multiLevelType w:val="hybridMultilevel"/>
    <w:lvl w:ilvl="0">
      <w:lvlJc w:val="left"/>
      <w:lvlText w:val="(%1)"/>
      <w:numFmt w:val="lowerLetter"/>
      <w:start w:val="1"/>
    </w:lvl>
  </w:abstractNum>
  <w:abstractNum w:abstractNumId="76">
    <w:nsid w:val="312167AD"/>
    <w:multiLevelType w:val="hybridMultilevel"/>
    <w:lvl w:ilvl="0">
      <w:lvlJc w:val="left"/>
      <w:lvlText w:val="%1"/>
      <w:numFmt w:val="lowerLetter"/>
      <w:start w:val="1"/>
    </w:lvl>
    <w:lvl w:ilvl="1">
      <w:lvlJc w:val="left"/>
      <w:lvlText w:val="(%2)"/>
      <w:numFmt w:val="lowerLetter"/>
      <w:start w:val="1"/>
    </w:lvl>
  </w:abstractNum>
  <w:abstractNum w:abstractNumId="77">
    <w:nsid w:val="631B64D4"/>
    <w:multiLevelType w:val="hybridMultilevel"/>
    <w:lvl w:ilvl="0">
      <w:lvlJc w:val="left"/>
      <w:lvlText w:val="(%1)"/>
      <w:numFmt w:val="lowerLetter"/>
      <w:start w:val="9"/>
    </w:lvl>
    <w:lvl w:ilvl="1">
      <w:lvlJc w:val="left"/>
      <w:lvlText w:val="(%2)"/>
      <w:numFmt w:val="lowerLetter"/>
      <w:start w:val="2"/>
    </w:lvl>
  </w:abstractNum>
  <w:abstractNum w:abstractNumId="78">
    <w:nsid w:val="78B5E77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
    <w:nsid w:val="75486E47"/>
    <w:multiLevelType w:val="hybridMultilevel"/>
    <w:lvl w:ilvl="0">
      <w:lvlJc w:val="left"/>
      <w:lvlText w:val="(%1)"/>
      <w:numFmt w:val="lowerRoman"/>
      <w:start w:val="4"/>
    </w:lvl>
  </w:abstractNum>
  <w:abstractNum w:abstractNumId="80">
    <w:nsid w:val="6E534CDE"/>
    <w:multiLevelType w:val="hybridMultilevel"/>
    <w:lvl w:ilvl="0">
      <w:lvlJc w:val="left"/>
      <w:lvlText w:val="(%1)"/>
      <w:numFmt w:val="lowerLetter"/>
      <w:start w:val="3"/>
    </w:lvl>
  </w:abstractNum>
  <w:abstractNum w:abstractNumId="81">
    <w:nsid w:val="1A0DDE32"/>
    <w:multiLevelType w:val="hybridMultilevel"/>
    <w:lvl w:ilvl="0">
      <w:lvlJc w:val="left"/>
      <w:lvlText w:val="(%1)"/>
      <w:numFmt w:val="lowerLetter"/>
      <w:start w:val="1"/>
    </w:lvl>
  </w:abstractNum>
  <w:abstractNum w:abstractNumId="82">
    <w:nsid w:val="65968C1C"/>
    <w:multiLevelType w:val="hybridMultilevel"/>
    <w:lvl w:ilvl="0">
      <w:lvlJc w:val="left"/>
      <w:lvlText w:val="(%1)"/>
      <w:numFmt w:val="lowerLetter"/>
      <w:start w:val="35"/>
    </w:lvl>
    <w:lvl w:ilvl="1">
      <w:lvlJc w:val="left"/>
      <w:lvlText w:val="(%2)"/>
      <w:numFmt w:val="lowerLetter"/>
      <w:start w:val="2"/>
    </w:lvl>
  </w:abstractNum>
  <w:abstractNum w:abstractNumId="83">
    <w:nsid w:val="46263DEC"/>
    <w:multiLevelType w:val="hybridMultilevel"/>
    <w:lvl w:ilvl="0">
      <w:lvlJc w:val="left"/>
      <w:lvlText w:val="(%1)"/>
      <w:numFmt w:val="lowerLetter"/>
      <w:start w:val="1"/>
    </w:lvl>
  </w:abstractNum>
  <w:abstractNum w:abstractNumId="84">
    <w:nsid w:val="260D8C4A"/>
    <w:multiLevelType w:val="hybridMultilevel"/>
    <w:lvl w:ilvl="0">
      <w:lvlJc w:val="left"/>
      <w:lvlText w:val="(%1)"/>
      <w:numFmt w:val="lowerLetter"/>
      <w:start w:val="2"/>
    </w:lvl>
    <w:lvl w:ilvl="1">
      <w:lvlJc w:val="left"/>
      <w:lvlText w:val="(%2)"/>
      <w:numFmt w:val="lowerRoman"/>
      <w:start w:val="1"/>
    </w:lvl>
  </w:abstractNum>
  <w:abstractNum w:abstractNumId="85">
    <w:nsid w:val="73D4D3C4"/>
    <w:multiLevelType w:val="hybridMultilevel"/>
    <w:lvl w:ilvl="0">
      <w:lvlJc w:val="left"/>
      <w:lvlText w:val="(%1)"/>
      <w:numFmt w:val="lowerLetter"/>
      <w:start w:val="4"/>
    </w:lvl>
  </w:abstractNum>
  <w:abstractNum w:abstractNumId="86">
    <w:nsid w:val="746F2E30"/>
    <w:multiLevelType w:val="hybridMultilevel"/>
    <w:lvl w:ilvl="0">
      <w:lvlJc w:val="left"/>
      <w:lvlText w:val="(%1)"/>
      <w:numFmt w:val="lowerLetter"/>
      <w:start w:val="1"/>
    </w:lvl>
  </w:abstractNum>
  <w:abstractNum w:abstractNumId="87">
    <w:nsid w:val="6FDE8AF6"/>
    <w:multiLevelType w:val="hybridMultilevel"/>
    <w:lvl w:ilvl="0">
      <w:lvlJc w:val="left"/>
      <w:lvlText w:val="(%1)"/>
      <w:numFmt w:val="lowerLetter"/>
      <w:start w:val="1"/>
    </w:lvl>
  </w:abstractNum>
  <w:abstractNum w:abstractNumId="88">
    <w:nsid w:val="3FC32E20"/>
    <w:multiLevelType w:val="hybridMultilevel"/>
    <w:lvl w:ilvl="0">
      <w:lvlJc w:val="left"/>
      <w:lvlText w:val="(%1)"/>
      <w:numFmt w:val="lowerLetter"/>
      <w:start w:val="1"/>
    </w:lvl>
  </w:abstractNum>
  <w:abstractNum w:abstractNumId="89">
    <w:nsid w:val="49C0E823"/>
    <w:multiLevelType w:val="hybridMultilevel"/>
    <w:lvl w:ilvl="0">
      <w:lvlJc w:val="left"/>
      <w:lvlText w:val="(%1)"/>
      <w:numFmt w:val="lowerLetter"/>
      <w:start w:val="1"/>
    </w:lvl>
  </w:abstractNum>
  <w:abstractNum w:abstractNumId="90">
    <w:nsid w:val="14D53685"/>
    <w:multiLevelType w:val="hybridMultilevel"/>
    <w:lvl w:ilvl="0">
      <w:lvlJc w:val="left"/>
      <w:lvlText w:val="(%1)"/>
      <w:numFmt w:val="lowerLetter"/>
      <w:start w:val="1"/>
    </w:lvl>
    <w:lvl w:ilvl="1">
      <w:lvlJc w:val="left"/>
      <w:lvlText w:val="(%2)"/>
      <w:numFmt w:val="lowerRoman"/>
      <w:start w:val="1"/>
    </w:lvl>
  </w:abstractNum>
  <w:abstractNum w:abstractNumId="91">
    <w:nsid w:val="230F856C"/>
    <w:multiLevelType w:val="hybridMultilevel"/>
    <w:lvl w:ilvl="0">
      <w:lvlJc w:val="left"/>
      <w:lvlText w:val="(%1)"/>
      <w:numFmt w:val="lowerLetter"/>
      <w:start w:val="3"/>
    </w:lvl>
  </w:abstractNum>
  <w:abstractNum w:abstractNumId="92">
    <w:nsid w:val="6EAA85FB"/>
    <w:multiLevelType w:val="hybridMultilevel"/>
    <w:lvl w:ilvl="0">
      <w:lvlJc w:val="left"/>
      <w:lvlText w:val="(%1)"/>
      <w:numFmt w:val="lowerLetter"/>
      <w:start w:val="1"/>
    </w:lvl>
  </w:abstractNum>
  <w:abstractNum w:abstractNumId="93">
    <w:nsid w:val="3F06ECB2"/>
    <w:multiLevelType w:val="hybridMultilevel"/>
    <w:lvl w:ilvl="0">
      <w:lvlJc w:val="left"/>
      <w:lvlText w:val="(%1)"/>
      <w:numFmt w:val="lowerLetter"/>
      <w:start w:val="2"/>
    </w:lvl>
  </w:abstractNum>
  <w:abstractNum w:abstractNumId="94">
    <w:nsid w:val="3B594807"/>
    <w:multiLevelType w:val="hybridMultilevel"/>
    <w:lvl w:ilvl="0">
      <w:lvlJc w:val="left"/>
      <w:lvlText w:val="%1"/>
      <w:numFmt w:val="upperLetter"/>
      <w:start w:val="1"/>
    </w:lvl>
    <w:lvl w:ilvl="1">
      <w:lvlJc w:val="left"/>
      <w:lvlText w:val="(%2)"/>
      <w:numFmt w:val="lowerLetter"/>
      <w:start w:val="1"/>
    </w:lvl>
  </w:abstractNum>
  <w:abstractNum w:abstractNumId="95">
    <w:nsid w:val="6CAA2304"/>
    <w:multiLevelType w:val="hybridMultilevel"/>
    <w:lvl w:ilvl="0">
      <w:lvlJc w:val="left"/>
      <w:lvlText w:val="(%1)"/>
      <w:numFmt w:val="upperLetter"/>
      <w:start w:val="2"/>
    </w:lvl>
    <w:lvl w:ilvl="1">
      <w:lvlJc w:val="left"/>
      <w:lvlText w:val="(%2)"/>
      <w:numFmt w:val="lowerLetter"/>
      <w:start w:val="2"/>
    </w:lvl>
  </w:abstractNum>
  <w:abstractNum w:abstractNumId="96">
    <w:nsid w:val="3F7C2FF4"/>
    <w:multiLevelType w:val="hybridMultilevel"/>
    <w:lvl w:ilvl="0">
      <w:lvlJc w:val="left"/>
      <w:lvlText w:val="(%1)"/>
      <w:numFmt w:val="upperLetter"/>
      <w:start w:val="1"/>
    </w:lvl>
  </w:abstractNum>
  <w:abstractNum w:abstractNumId="97">
    <w:nsid w:val="25413BEC"/>
    <w:multiLevelType w:val="hybridMultilevel"/>
    <w:lvl w:ilvl="0">
      <w:lvlJc w:val="left"/>
      <w:lvlText w:val="(%1)"/>
      <w:numFmt w:val="lowerLetter"/>
      <w:start w:val="1"/>
    </w:lvl>
  </w:abstractNum>
  <w:abstractNum w:abstractNumId="98">
    <w:nsid w:val="17180B0B"/>
    <w:multiLevelType w:val="hybridMultilevel"/>
    <w:lvl w:ilvl="0">
      <w:lvlJc w:val="left"/>
      <w:lvlText w:val="(%1)"/>
      <w:numFmt w:val="lowerLetter"/>
      <w:start w:val="2"/>
    </w:lvl>
  </w:abstractNum>
  <w:abstractNum w:abstractNumId="99">
    <w:nsid w:val="579328B9"/>
    <w:multiLevelType w:val="hybridMultilevel"/>
    <w:lvl w:ilvl="0">
      <w:lvlJc w:val="left"/>
      <w:lvlText w:val="(%1)"/>
      <w:numFmt w:val="lowerLetter"/>
      <w:start w:val="1"/>
    </w:lvl>
    <w:lvl w:ilvl="1">
      <w:lvlJc w:val="left"/>
      <w:lvlText w:val="(%2)"/>
      <w:numFmt w:val="lowerRoman"/>
      <w:start w:val="1"/>
    </w:lvl>
  </w:abstractNum>
  <w:abstractNum w:abstractNumId="100">
    <w:nsid w:val="5D205E20"/>
    <w:multiLevelType w:val="hybridMultilevel"/>
    <w:lvl w:ilvl="0">
      <w:lvlJc w:val="left"/>
      <w:lvlText w:val="%1"/>
      <w:numFmt w:val="lowerLetter"/>
      <w:start w:val="1"/>
    </w:lvl>
    <w:lvl w:ilvl="1">
      <w:lvlJc w:val="left"/>
      <w:lvlText w:val="(%2)"/>
      <w:numFmt w:val="lowerRoman"/>
      <w:start w:val="4"/>
    </w:lvl>
  </w:abstractNum>
  <w:abstractNum w:abstractNumId="101">
    <w:nsid w:val="11CCA8BA"/>
    <w:multiLevelType w:val="hybridMultilevel"/>
    <w:lvl w:ilvl="0">
      <w:lvlJc w:val="left"/>
      <w:lvlText w:val="(%1)"/>
      <w:numFmt w:val="lowerLetter"/>
      <w:start w:val="2"/>
    </w:lvl>
    <w:lvl w:ilvl="1">
      <w:lvlJc w:val="left"/>
      <w:lvlText w:val="%2"/>
      <w:numFmt w:val="lowerRoman"/>
      <w:start w:val="1"/>
    </w:lvl>
  </w:abstractNum>
  <w:abstractNum w:abstractNumId="102">
    <w:nsid w:val="4D32AB86"/>
    <w:multiLevelType w:val="hybridMultilevel"/>
    <w:lvl w:ilvl="0">
      <w:lvlJc w:val="left"/>
      <w:lvlText w:val="(%1)"/>
      <w:numFmt w:val="lowerLetter"/>
      <w:start w:val="1"/>
    </w:lvl>
  </w:abstractNum>
  <w:abstractNum w:abstractNumId="103">
    <w:nsid w:val="3F07ACC3"/>
    <w:multiLevelType w:val="hybridMultilevel"/>
    <w:lvl w:ilvl="0">
      <w:lvlJc w:val="left"/>
      <w:lvlText w:val="(%1)"/>
      <w:numFmt w:val="lowerRoman"/>
      <w:start w:val="1"/>
    </w:lvl>
  </w:abstractNum>
  <w:abstractNum w:abstractNumId="104">
    <w:nsid w:val="6B47F63E"/>
    <w:multiLevelType w:val="hybridMultilevel"/>
    <w:lvl w:ilvl="0">
      <w:lvlJc w:val="left"/>
      <w:lvlText w:val="(%1)"/>
      <w:numFmt w:val="lowerLetter"/>
      <w:start w:val="1"/>
    </w:lvl>
  </w:abstractNum>
  <w:abstractNum w:abstractNumId="105">
    <w:nsid w:val="5CB44A05"/>
    <w:multiLevelType w:val="hybridMultilevel"/>
    <w:lvl w:ilvl="0">
      <w:lvlJc w:val="left"/>
      <w:lvlText w:val="(%1)"/>
      <w:numFmt w:val="lowerLetter"/>
      <w:start w:val="2"/>
    </w:lvl>
  </w:abstractNum>
  <w:abstractNum w:abstractNumId="106">
    <w:nsid w:val="16CF80F1"/>
    <w:multiLevelType w:val="hybridMultilevel"/>
    <w:lvl w:ilvl="0">
      <w:lvlJc w:val="left"/>
      <w:lvlText w:val="(%1)"/>
      <w:numFmt w:val="lowerLetter"/>
      <w:start w:val="1"/>
    </w:lvl>
  </w:abstractNum>
  <w:abstractNum w:abstractNumId="107">
    <w:nsid w:val="1C695DEC"/>
    <w:multiLevelType w:val="hybridMultilevel"/>
    <w:lvl w:ilvl="0">
      <w:lvlJc w:val="left"/>
      <w:lvlText w:val="(%1)"/>
      <w:numFmt w:val="lowerLetter"/>
      <w:start w:val="2"/>
    </w:lvl>
  </w:abstractNum>
  <w:abstractNum w:abstractNumId="108">
    <w:nsid w:val="3FCFAED9"/>
    <w:multiLevelType w:val="hybridMultilevel"/>
    <w:lvl w:ilvl="0">
      <w:lvlJc w:val="left"/>
      <w:lvlText w:val="(%1)"/>
      <w:numFmt w:val="lowerLetter"/>
      <w:start w:val="1"/>
    </w:lvl>
    <w:lvl w:ilvl="1">
      <w:lvlJc w:val="left"/>
      <w:lvlText w:val="(%2)"/>
      <w:numFmt w:val="lowerRoman"/>
      <w:start w:val="1"/>
    </w:lvl>
  </w:abstractNum>
  <w:abstractNum w:abstractNumId="109">
    <w:nsid w:val="F856867"/>
    <w:multiLevelType w:val="hybridMultilevel"/>
    <w:lvl w:ilvl="0">
      <w:lvlJc w:val="left"/>
      <w:lvlText w:val="(%1)"/>
      <w:numFmt w:val="lowerRoman"/>
      <w:start w:val="3"/>
    </w:lvl>
  </w:abstractNum>
  <w:abstractNum w:abstractNumId="110">
    <w:nsid w:val="11B1CC33"/>
    <w:multiLevelType w:val="hybridMultilevel"/>
    <w:lvl w:ilvl="0">
      <w:lvlJc w:val="left"/>
      <w:lvlText w:val="(%1)"/>
      <w:numFmt w:val="lowerLetter"/>
      <w:start w:val="2"/>
    </w:lvl>
  </w:abstractNum>
  <w:abstractNum w:abstractNumId="111">
    <w:nsid w:val="2E22FBB7"/>
    <w:multiLevelType w:val="hybridMultilevel"/>
    <w:lvl w:ilvl="0">
      <w:lvlJc w:val="left"/>
      <w:lvlText w:val="(%1)"/>
      <w:numFmt w:val="lowerLetter"/>
      <w:start w:val="5"/>
    </w:lvl>
  </w:abstractNum>
  <w:abstractNum w:abstractNumId="112">
    <w:nsid w:val="29934699"/>
    <w:multiLevelType w:val="hybridMultilevel"/>
    <w:lvl w:ilvl="0">
      <w:lvlJc w:val="left"/>
      <w:lvlText w:val="(%1)"/>
      <w:numFmt w:val="lowerLetter"/>
      <w:start w:val="1"/>
    </w:lvl>
  </w:abstractNum>
  <w:abstractNum w:abstractNumId="113">
    <w:nsid w:val="7748585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4">
    <w:nsid w:val="744939A3"/>
    <w:multiLevelType w:val="hybridMultilevel"/>
    <w:lvl w:ilvl="0">
      <w:lvlJc w:val="left"/>
      <w:lvlText w:val="%1"/>
      <w:numFmt w:val="upperLetter"/>
      <w:start w:val="1"/>
    </w:lvl>
    <w:lvl w:ilvl="1">
      <w:lvlJc w:val="left"/>
      <w:lvlText w:val="(%2)"/>
      <w:numFmt w:val="decimal"/>
      <w:start w:val="1"/>
    </w:lvl>
  </w:abstractNum>
  <w:abstractNum w:abstractNumId="115">
    <w:nsid w:val="4FA0D2E3"/>
    <w:multiLevelType w:val="hybridMultilevel"/>
    <w:lvl w:ilvl="0">
      <w:lvlJc w:val="left"/>
      <w:lvlText w:val="(%1)"/>
      <w:numFmt w:val="upperLetter"/>
      <w:start w:val="3"/>
    </w:lvl>
    <w:lvl w:ilvl="1">
      <w:lvlJc w:val="left"/>
      <w:lvlText w:val="%2"/>
      <w:numFmt w:val="decimal"/>
      <w:start w:val="1"/>
    </w:lvl>
  </w:abstractNum>
  <w:abstractNum w:abstractNumId="116">
    <w:nsid w:val="6B1D2C14"/>
    <w:multiLevelType w:val="hybridMultilevel"/>
    <w:lvl w:ilvl="0">
      <w:lvlJc w:val="left"/>
      <w:lvlText w:val="%1"/>
      <w:numFmt w:val="lowerLetter"/>
      <w:start w:val="1"/>
    </w:lvl>
    <w:lvl w:ilvl="1">
      <w:lvlJc w:val="left"/>
      <w:lvlText w:val="(%2)"/>
      <w:numFmt w:val="lowerLetter"/>
      <w:start w:val="8"/>
    </w:lvl>
  </w:abstractNum>
  <w:abstractNum w:abstractNumId="117">
    <w:nsid w:val="68B867D3"/>
    <w:multiLevelType w:val="hybridMultilevel"/>
    <w:lvl w:ilvl="0">
      <w:lvlJc w:val="left"/>
      <w:lvlText w:val="(%1)"/>
      <w:numFmt w:val="lowerLetter"/>
      <w:start w:val="8"/>
    </w:lvl>
    <w:lvl w:ilvl="1">
      <w:lvlJc w:val="left"/>
      <w:lvlText w:val="(%2)"/>
      <w:numFmt w:val="lowerLetter"/>
      <w:start w:val="9"/>
    </w:lvl>
  </w:abstractNum>
  <w:abstractNum w:abstractNumId="118">
    <w:nsid w:val="3F7F5DD9"/>
    <w:multiLevelType w:val="hybridMultilevel"/>
    <w:lvl w:ilvl="0">
      <w:lvlJc w:val="left"/>
      <w:lvlText w:val="(%1)"/>
      <w:numFmt w:val="lowerLetter"/>
      <w:start w:val="1"/>
    </w:lvl>
  </w:abstractNum>
  <w:abstractNum w:abstractNumId="119">
    <w:nsid w:val="2AE05A34"/>
    <w:multiLevelType w:val="hybridMultilevel"/>
    <w:lvl w:ilvl="0">
      <w:lvlJc w:val="left"/>
      <w:lvlText w:val="(%1)"/>
      <w:numFmt w:val="lowerLetter"/>
      <w:start w:val="2"/>
    </w:lvl>
    <w:lvl w:ilvl="1">
      <w:lvlJc w:val="left"/>
      <w:lvlText w:val="(%2)"/>
      <w:numFmt w:val="lowerRoman"/>
      <w:start w:val="1"/>
    </w:lvl>
  </w:abstractNum>
  <w:abstractNum w:abstractNumId="120">
    <w:nsid w:val="32794FF7"/>
    <w:multiLevelType w:val="hybridMultilevel"/>
    <w:lvl w:ilvl="0">
      <w:lvlJc w:val="left"/>
      <w:lvlText w:val="(%1)"/>
      <w:numFmt w:val="lowerLetter"/>
      <w:start w:val="3"/>
    </w:lvl>
  </w:abstractNum>
  <w:abstractNum w:abstractNumId="121">
    <w:nsid w:val="5454945E"/>
    <w:multiLevelType w:val="hybridMultilevel"/>
    <w:lvl w:ilvl="0">
      <w:lvlJc w:val="left"/>
      <w:lvlText w:val="(%1)"/>
      <w:numFmt w:val="lowerLetter"/>
      <w:start w:val="1"/>
    </w:lvl>
  </w:abstractNum>
  <w:abstractNum w:abstractNumId="122">
    <w:nsid w:val="4DEFDFA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3">
    <w:nsid w:val="2123D5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24">
    <w:nsid w:val="135B8110"/>
    <w:multiLevelType w:val="hybridMultilevel"/>
    <w:lvl w:ilvl="0">
      <w:lvlJc w:val="left"/>
      <w:lvlText w:val="%1"/>
      <w:numFmt w:val="lowerRoman"/>
      <w:start w:val="1"/>
    </w:lvl>
    <w:lvl w:ilvl="1">
      <w:lvlJc w:val="left"/>
      <w:lvlText w:val="(%2)"/>
      <w:numFmt w:val="upperLetter"/>
      <w:start w:val="2"/>
    </w:lvl>
  </w:abstractNum>
  <w:abstractNum w:abstractNumId="125">
    <w:nsid w:val="94927A8"/>
    <w:multiLevelType w:val="hybridMultilevel"/>
    <w:lvl w:ilvl="0">
      <w:lvlJc w:val="left"/>
      <w:lvlText w:val="(%1)"/>
      <w:numFmt w:val="lowerRoman"/>
      <w:start w:val="6"/>
    </w:lvl>
    <w:lvl w:ilvl="1">
      <w:lvlJc w:val="left"/>
      <w:lvlText w:val="%2"/>
      <w:numFmt w:val="upperLetter"/>
      <w:start w:val="1"/>
    </w:lvl>
  </w:abstractNum>
  <w:abstractNum w:abstractNumId="126">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7">
    <w:nsid w:val="52D7B105"/>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28">
    <w:nsid w:val="2E8A639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9">
    <w:nsid w:val="24E60401"/>
    <w:multiLevelType w:val="hybridMultilevel"/>
    <w:lvl w:ilvl="0">
      <w:lvlJc w:val="left"/>
      <w:lvlText w:val="(%1)"/>
      <w:numFmt w:val="lowerLetter"/>
      <w:start w:val="1"/>
    </w:lvl>
  </w:abstractNum>
  <w:abstractNum w:abstractNumId="130">
    <w:nsid w:val="2A6AD9BE"/>
    <w:multiLevelType w:val="hybridMultilevel"/>
    <w:lvl w:ilvl="0">
      <w:lvlJc w:val="left"/>
      <w:lvlText w:val="(%1)"/>
      <w:numFmt w:val="lowerLetter"/>
      <w:start w:val="1"/>
    </w:lvl>
    <w:lvl w:ilvl="1">
      <w:lvlJc w:val="left"/>
      <w:lvlText w:val="(%2)"/>
      <w:numFmt w:val="lowerRoman"/>
      <w:start w:val="1"/>
    </w:lvl>
  </w:abstractNum>
  <w:abstractNum w:abstractNumId="131">
    <w:nsid w:val="BAAC1B4"/>
    <w:multiLevelType w:val="hybridMultilevel"/>
    <w:lvl w:ilvl="0">
      <w:lvlJc w:val="left"/>
      <w:lvlText w:val="(%1)"/>
      <w:numFmt w:val="lowerRoman"/>
      <w:start w:val="3"/>
    </w:lvl>
    <w:lvl w:ilvl="1">
      <w:lvlJc w:val="left"/>
      <w:lvlText w:val="(%2)"/>
      <w:numFmt w:val="upperLetter"/>
      <w:start w:val="1"/>
    </w:lvl>
  </w:abstractNum>
  <w:abstractNum w:abstractNumId="132">
    <w:nsid w:val="36B2AC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33">
    <w:nsid w:val="779D854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34">
    <w:nsid w:val="4AB26E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5">
    <w:nsid w:val="21FAA2FA"/>
    <w:multiLevelType w:val="hybridMultilevel"/>
    <w:lvl w:ilvl="0">
      <w:lvlJc w:val="left"/>
      <w:lvlText w:val="(%1)"/>
      <w:numFmt w:val="lowerLetter"/>
      <w:start w:val="1"/>
    </w:lvl>
    <w:lvl w:ilvl="1">
      <w:lvlJc w:val="left"/>
      <w:lvlText w:val="(%2)"/>
      <w:numFmt w:val="lowerRoman"/>
      <w:start w:val="1"/>
    </w:lvl>
  </w:abstractNum>
  <w:abstractNum w:abstractNumId="136">
    <w:nsid w:val="5451CF4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37">
    <w:nsid w:val="6181EF69"/>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4"/>
    </w:lvl>
  </w:abstractNum>
  <w:abstractNum w:abstractNumId="138">
    <w:nsid w:val="3E6400E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9">
    <w:nsid w:val="14217E23"/>
    <w:multiLevelType w:val="hybridMultilevel"/>
    <w:lvl w:ilvl="0">
      <w:lvlJc w:val="left"/>
      <w:lvlText w:val="(%1)"/>
      <w:numFmt w:val="lowerRoman"/>
      <w:start w:val="3"/>
    </w:lvl>
  </w:abstractNum>
  <w:abstractNum w:abstractNumId="140">
    <w:nsid w:val="710757D0"/>
    <w:multiLevelType w:val="hybridMultilevel"/>
    <w:lvl w:ilvl="0">
      <w:lvlJc w:val="left"/>
      <w:lvlText w:val="(%1)"/>
      <w:numFmt w:val="lowerLetter"/>
      <w:start w:val="1"/>
    </w:lvl>
  </w:abstractNum>
  <w:abstractNum w:abstractNumId="141">
    <w:nsid w:val="5015CD1A"/>
    <w:multiLevelType w:val="hybridMultilevel"/>
    <w:lvl w:ilvl="0">
      <w:lvlJc w:val="left"/>
      <w:lvlText w:val="(%1)"/>
      <w:numFmt w:val="lowerLetter"/>
      <w:start w:val="3"/>
    </w:lvl>
  </w:abstractNum>
  <w:abstractNum w:abstractNumId="142">
    <w:nsid w:val="424479DA"/>
    <w:multiLevelType w:val="hybridMultilevel"/>
    <w:lvl w:ilvl="0">
      <w:lvlJc w:val="left"/>
      <w:lvlText w:val="(%1)"/>
      <w:numFmt w:val="lowerLetter"/>
      <w:start w:val="1"/>
    </w:lvl>
  </w:abstractNum>
  <w:abstractNum w:abstractNumId="143">
    <w:nsid w:val="1A9A9E69"/>
    <w:multiLevelType w:val="hybridMultilevel"/>
    <w:lvl w:ilvl="0">
      <w:lvlJc w:val="left"/>
      <w:lvlText w:val="(%1)"/>
      <w:numFmt w:val="lowerLetter"/>
      <w:start w:val="1"/>
    </w:lvl>
  </w:abstractNum>
  <w:abstractNum w:abstractNumId="144">
    <w:nsid w:val="475E256A"/>
    <w:multiLevelType w:val="hybridMultilevel"/>
    <w:lvl w:ilvl="0">
      <w:lvlJc w:val="left"/>
      <w:lvlText w:val="(%1)"/>
      <w:numFmt w:val="lowerLetter"/>
      <w:start w:val="3"/>
    </w:lvl>
  </w:abstractNum>
  <w:abstractNum w:abstractNumId="145">
    <w:nsid w:val="368DB37E"/>
    <w:multiLevelType w:val="hybridMultilevel"/>
    <w:lvl w:ilvl="0">
      <w:lvlJc w:val="left"/>
      <w:lvlText w:val="(%1)"/>
      <w:numFmt w:val="lowerLetter"/>
      <w:start w:val="1"/>
    </w:lvl>
  </w:abstractNum>
  <w:abstractNum w:abstractNumId="146">
    <w:nsid w:val="6A3B714C"/>
    <w:multiLevelType w:val="hybridMultilevel"/>
    <w:lvl w:ilvl="0">
      <w:lvlJc w:val="left"/>
      <w:lvlText w:val="(%1)"/>
      <w:numFmt w:val="lowerLetter"/>
      <w:start w:val="1"/>
    </w:lvl>
  </w:abstractNum>
  <w:abstractNum w:abstractNumId="147">
    <w:nsid w:val="327B517E"/>
    <w:multiLevelType w:val="hybridMultilevel"/>
    <w:lvl w:ilvl="0">
      <w:lvlJc w:val="left"/>
      <w:lvlText w:val="%1"/>
      <w:numFmt w:val="lowerLetter"/>
      <w:start w:val="1"/>
    </w:lvl>
    <w:lvl w:ilvl="1">
      <w:lvlJc w:val="left"/>
      <w:lvlText w:val="(%2)"/>
      <w:numFmt w:val="lowerLetter"/>
      <w:start w:val="1"/>
    </w:lvl>
  </w:abstractNum>
  <w:abstractNum w:abstractNumId="148">
    <w:nsid w:val="1F461B51"/>
    <w:multiLevelType w:val="hybridMultilevel"/>
    <w:lvl w:ilvl="0">
      <w:lvlJc w:val="left"/>
      <w:lvlText w:val="(%1)"/>
      <w:numFmt w:val="lowerLetter"/>
      <w:start w:val="35"/>
    </w:lvl>
    <w:lvl w:ilvl="1">
      <w:lvlJc w:val="left"/>
      <w:lvlText w:val="(%2)"/>
      <w:numFmt w:val="lowerLetter"/>
      <w:start w:val="2"/>
    </w:lvl>
  </w:abstractNum>
  <w:abstractNum w:abstractNumId="149">
    <w:nsid w:val="29BACF25"/>
    <w:multiLevelType w:val="hybridMultilevel"/>
    <w:lvl w:ilvl="0">
      <w:lvlJc w:val="left"/>
      <w:lvlText w:val="(%1)"/>
      <w:numFmt w:val="lowerLetter"/>
      <w:start w:val="1"/>
    </w:lvl>
  </w:abstractNum>
  <w:abstractNum w:abstractNumId="150">
    <w:nsid w:val="5D5BABB3"/>
    <w:multiLevelType w:val="hybridMultilevel"/>
    <w:lvl w:ilvl="0">
      <w:lvlJc w:val="left"/>
      <w:lvlText w:val="(%1)"/>
      <w:numFmt w:val="lowerLetter"/>
      <w:start w:val="3"/>
    </w:lvl>
  </w:abstractNum>
  <w:abstractNum w:abstractNumId="151">
    <w:nsid w:val="51BF6B48"/>
    <w:multiLevelType w:val="hybridMultilevel"/>
    <w:lvl w:ilvl="0">
      <w:lvlJc w:val="left"/>
      <w:lvlText w:val="(%1)"/>
      <w:numFmt w:val="lowerLetter"/>
      <w:start w:val="1"/>
    </w:lvl>
  </w:abstractNum>
  <w:abstractNum w:abstractNumId="152">
    <w:nsid w:val="7E0F6384"/>
    <w:multiLevelType w:val="hybridMultilevel"/>
    <w:lvl w:ilvl="0">
      <w:lvlJc w:val="left"/>
      <w:lvlText w:val="(%1)"/>
      <w:numFmt w:val="lowerLetter"/>
      <w:start w:val="1"/>
    </w:lvl>
  </w:abstractNum>
  <w:abstractNum w:abstractNumId="153">
    <w:nsid w:val="2B4B8B53"/>
    <w:multiLevelType w:val="hybridMultilevel"/>
    <w:lvl w:ilvl="0">
      <w:lvlJc w:val="left"/>
      <w:lvlText w:val="(%1)"/>
      <w:numFmt w:val="lowerLetter"/>
      <w:start w:val="1"/>
    </w:lvl>
  </w:abstractNum>
  <w:abstractNum w:abstractNumId="154">
    <w:nsid w:val="72E3413A"/>
    <w:multiLevelType w:val="hybridMultilevel"/>
    <w:lvl w:ilvl="0">
      <w:lvlJc w:val="left"/>
      <w:lvlText w:val="(%1)"/>
      <w:numFmt w:val="lowerLetter"/>
      <w:start w:val="1"/>
    </w:lvl>
  </w:abstractNum>
  <w:abstractNum w:abstractNumId="155">
    <w:nsid w:val="116AE494"/>
    <w:multiLevelType w:val="hybridMultilevel"/>
    <w:lvl w:ilvl="0">
      <w:lvlJc w:val="left"/>
      <w:lvlText w:val="(%1)"/>
      <w:numFmt w:val="lowerLetter"/>
      <w:start w:val="8"/>
    </w:lvl>
  </w:abstractNum>
  <w:abstractNum w:abstractNumId="156">
    <w:nsid w:val="3494B2FB"/>
    <w:multiLevelType w:val="hybridMultilevel"/>
    <w:lvl w:ilvl="0">
      <w:lvlJc w:val="left"/>
      <w:lvlText w:val="(%1)"/>
      <w:numFmt w:val="lowerLetter"/>
      <w:start w:val="1"/>
    </w:lvl>
  </w:abstractNum>
  <w:abstractNum w:abstractNumId="157">
    <w:nsid w:val="B13A31"/>
    <w:multiLevelType w:val="hybridMultilevel"/>
    <w:lvl w:ilvl="0">
      <w:lvlJc w:val="left"/>
      <w:lvlText w:val="(%1)"/>
      <w:numFmt w:val="lowerLetter"/>
      <w:start w:val="3"/>
    </w:lvl>
  </w:abstractNum>
  <w:abstractNum w:abstractNumId="158">
    <w:nsid w:val="64429599"/>
    <w:multiLevelType w:val="hybridMultilevel"/>
    <w:lvl w:ilvl="0">
      <w:lvlJc w:val="left"/>
      <w:lvlText w:val="%1"/>
      <w:numFmt w:val="upperLetter"/>
      <w:start w:val="1"/>
    </w:lvl>
    <w:lvl w:ilvl="1">
      <w:lvlJc w:val="left"/>
      <w:lvlText w:val="(%2)"/>
      <w:numFmt w:val="lowerLetter"/>
      <w:start w:val="11"/>
    </w:lvl>
  </w:abstractNum>
  <w:abstractNum w:abstractNumId="159">
    <w:nsid w:val="631F1690"/>
    <w:multiLevelType w:val="hybridMultilevel"/>
    <w:lvl w:ilvl="0">
      <w:lvlJc w:val="left"/>
      <w:lvlText w:val="(%1)"/>
      <w:numFmt w:val="upperLetter"/>
      <w:start w:val="1"/>
    </w:lvl>
    <w:lvl w:ilvl="1">
      <w:lvlJc w:val="left"/>
      <w:lvlText w:val="(%2)"/>
      <w:numFmt w:val="lowerLetter"/>
      <w:start w:val="15"/>
    </w:lvl>
  </w:abstractNum>
  <w:abstractNum w:abstractNumId="160">
    <w:nsid w:val="25973E32"/>
    <w:multiLevelType w:val="hybridMultilevel"/>
    <w:lvl w:ilvl="0">
      <w:lvlJc w:val="left"/>
      <w:lvlText w:val="(%1)"/>
      <w:numFmt w:val="lowerLetter"/>
      <w:start w:val="1"/>
    </w:lvl>
  </w:abstractNum>
  <w:abstractNum w:abstractNumId="161">
    <w:nsid w:val="EAD6F57"/>
    <w:multiLevelType w:val="hybridMultilevel"/>
    <w:lvl w:ilvl="0">
      <w:lvlJc w:val="left"/>
      <w:lvlText w:val="(%1)"/>
      <w:numFmt w:val="lowerLetter"/>
      <w:start w:val="2"/>
    </w:lvl>
  </w:abstractNum>
  <w:abstractNum w:abstractNumId="162">
    <w:nsid w:val="6EC9D844"/>
    <w:multiLevelType w:val="hybridMultilevel"/>
    <w:lvl w:ilvl="0">
      <w:lvlJc w:val="left"/>
      <w:lvlText w:val="(%1)"/>
      <w:numFmt w:val="lowerLetter"/>
      <w:start w:val="1"/>
    </w:lvl>
  </w:abstractNum>
  <w:abstractNum w:abstractNumId="163">
    <w:nsid w:val="5C49EAEE"/>
    <w:multiLevelType w:val="hybridMultilevel"/>
    <w:lvl w:ilvl="0">
      <w:lvlJc w:val="left"/>
      <w:lvlText w:val="(%1)"/>
      <w:numFmt w:val="lowerLetter"/>
      <w:start w:val="7"/>
    </w:lvl>
  </w:abstractNum>
  <w:abstractNum w:abstractNumId="164">
    <w:nsid w:val="64AF49B"/>
    <w:multiLevelType w:val="hybridMultilevel"/>
    <w:lvl w:ilvl="0">
      <w:lvlJc w:val="left"/>
      <w:lvlText w:val="(%1)"/>
      <w:numFmt w:val="lowerLetter"/>
      <w:start w:val="1"/>
    </w:lvl>
  </w:abstractNum>
  <w:abstractNum w:abstractNumId="165">
    <w:nsid w:val="397C46BC"/>
    <w:multiLevelType w:val="hybridMultilevel"/>
    <w:lvl w:ilvl="0">
      <w:lvlJc w:val="left"/>
      <w:lvlText w:val="(%1)"/>
      <w:numFmt w:val="lowerLetter"/>
      <w:start w:val="14"/>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Roman"/>
      <w:start w:val="1"/>
    </w:lvl>
  </w:abstractNum>
  <w:abstractNum w:abstractNumId="168">
    <w:nsid w:val="1AFE3625"/>
    <w:multiLevelType w:val="hybridMultilevel"/>
    <w:lvl w:ilvl="0">
      <w:lvlJc w:val="left"/>
      <w:lvlText w:val="(%1)"/>
      <w:numFmt w:val="lowerRoman"/>
      <w:start w:val="6"/>
    </w:lvl>
  </w:abstractNum>
  <w:abstractNum w:abstractNumId="169">
    <w:nsid w:val="3CA88ECF"/>
    <w:multiLevelType w:val="hybridMultilevel"/>
    <w:lvl w:ilvl="0">
      <w:lvlJc w:val="left"/>
      <w:lvlText w:val="(%1)"/>
      <w:numFmt w:val="lowerLetter"/>
      <w:start w:val="1"/>
    </w:lvl>
  </w:abstractNum>
  <w:abstractNum w:abstractNumId="170">
    <w:nsid w:val="6EBE4208"/>
    <w:multiLevelType w:val="hybridMultilevel"/>
    <w:lvl w:ilvl="0">
      <w:lvlJc w:val="left"/>
      <w:lvlText w:val="(%1)"/>
      <w:numFmt w:val="lowerLetter"/>
      <w:start w:val="26"/>
    </w:lvl>
  </w:abstractNum>
  <w:abstractNum w:abstractNumId="171">
    <w:nsid w:val="C058DF5"/>
    <w:multiLevelType w:val="hybridMultilevel"/>
    <w:lvl w:ilvl="0">
      <w:lvlJc w:val="left"/>
      <w:lvlText w:val="(%1)"/>
      <w:numFmt w:val="lowerLetter"/>
      <w:start w:val="1"/>
    </w:lvl>
  </w:abstractNum>
  <w:abstractNum w:abstractNumId="172">
    <w:nsid w:val="CBE5BE9"/>
    <w:multiLevelType w:val="hybridMultilevel"/>
    <w:lvl w:ilvl="0">
      <w:lvlJc w:val="left"/>
      <w:lvlText w:val="(%1)"/>
      <w:numFmt w:val="lowerLetter"/>
      <w:start w:val="1"/>
    </w:lvl>
  </w:abstractNum>
  <w:abstractNum w:abstractNumId="173">
    <w:nsid w:val="3102BBE2"/>
    <w:multiLevelType w:val="hybridMultilevel"/>
    <w:lvl w:ilvl="0">
      <w:lvlJc w:val="left"/>
      <w:lvlText w:val="%1"/>
      <w:numFmt w:val="lowerRoman"/>
      <w:start w:val="1"/>
    </w:lvl>
    <w:lvl w:ilvl="1">
      <w:lvlJc w:val="left"/>
      <w:lvlText w:val="(%2)"/>
      <w:numFmt w:val="lowerLetter"/>
      <w:start w:val="7"/>
    </w:lvl>
  </w:abstractNum>
  <w:abstractNum w:abstractNumId="174">
    <w:nsid w:val="26A02C5E"/>
    <w:multiLevelType w:val="hybridMultilevel"/>
    <w:lvl w:ilvl="0">
      <w:lvlJc w:val="left"/>
      <w:lvlText w:val="(%1)"/>
      <w:numFmt w:val="lowerRoman"/>
      <w:start w:val="1"/>
    </w:lvl>
    <w:lvl w:ilvl="1">
      <w:lvlJc w:val="left"/>
      <w:lvlText w:val="%2"/>
      <w:numFmt w:val="lowerLetter"/>
      <w:start w:val="1"/>
    </w:lvl>
  </w:abstractNum>
  <w:abstractNum w:abstractNumId="175">
    <w:nsid w:val="541C8153"/>
    <w:multiLevelType w:val="hybridMultilevel"/>
    <w:lvl w:ilvl="0">
      <w:lvlJc w:val="left"/>
      <w:lvlText w:val="(%1)"/>
      <w:numFmt w:val="lowerRoman"/>
      <w:start w:val="3"/>
    </w:lvl>
    <w:lvl w:ilvl="1">
      <w:lvlJc w:val="left"/>
      <w:lvlText w:val="(%2)"/>
      <w:numFmt w:val="lowerLetter"/>
      <w:start w:val="9"/>
    </w:lvl>
  </w:abstractNum>
  <w:abstractNum w:abstractNumId="176">
    <w:nsid w:val="67906F60"/>
    <w:multiLevelType w:val="hybridMultilevel"/>
    <w:lvl w:ilvl="0">
      <w:lvlJc w:val="left"/>
      <w:lvlText w:val="(%1)"/>
      <w:numFmt w:val="lowerRoman"/>
      <w:start w:val="2"/>
    </w:lvl>
    <w:lvl w:ilvl="1">
      <w:lvlJc w:val="left"/>
      <w:lvlText w:val="(%2)"/>
      <w:numFmt w:val="lowerLetter"/>
      <w:start w:val="10"/>
    </w:lvl>
  </w:abstractNum>
  <w:abstractNum w:abstractNumId="177">
    <w:nsid w:val="10DB9DAA"/>
    <w:multiLevelType w:val="hybridMultilevel"/>
    <w:lvl w:ilvl="0">
      <w:lvlJc w:val="left"/>
      <w:lvlText w:val="(%1)"/>
      <w:numFmt w:val="lowerLetter"/>
      <w:start w:val="13"/>
    </w:lvl>
  </w:abstractNum>
  <w:abstractNum w:abstractNumId="178">
    <w:nsid w:val="697D2D2"/>
    <w:multiLevelType w:val="hybridMultilevel"/>
    <w:lvl w:ilvl="0">
      <w:lvlJc w:val="left"/>
      <w:lvlText w:val="(%1)"/>
      <w:numFmt w:val="lowerLetter"/>
      <w:start w:val="1"/>
    </w:lvl>
  </w:abstractNum>
  <w:abstractNum w:abstractNumId="179">
    <w:nsid w:val="6D68AB2"/>
    <w:multiLevelType w:val="hybridMultilevel"/>
    <w:lvl w:ilvl="0">
      <w:lvlJc w:val="left"/>
      <w:lvlText w:val="(%1)"/>
      <w:numFmt w:val="lowerLetter"/>
      <w:start w:val="1"/>
    </w:lvl>
  </w:abstractNum>
  <w:abstractNum w:abstractNumId="180">
    <w:nsid w:val="3A966CD0"/>
    <w:multiLevelType w:val="hybridMultilevel"/>
    <w:lvl w:ilvl="0">
      <w:lvlJc w:val="left"/>
      <w:lvlText w:val="(%1)"/>
      <w:numFmt w:val="lowerLetter"/>
      <w:start w:val="1"/>
    </w:lvl>
  </w:abstractNum>
  <w:abstractNum w:abstractNumId="181">
    <w:nsid w:val="63F37E85"/>
    <w:multiLevelType w:val="hybridMultilevel"/>
    <w:lvl w:ilvl="0">
      <w:lvlJc w:val="left"/>
      <w:lvlText w:val="(%1)"/>
      <w:numFmt w:val="lowerLetter"/>
      <w:start w:val="1"/>
    </w:lvl>
    <w:lvl w:ilvl="1">
      <w:lvlJc w:val="left"/>
      <w:lvlText w:val="(%2)"/>
      <w:numFmt w:val="lowerRoman"/>
      <w:start w:val="1"/>
    </w:lvl>
  </w:abstractNum>
  <w:abstractNum w:abstractNumId="182">
    <w:nsid w:val="5895F5FA"/>
    <w:multiLevelType w:val="hybridMultilevel"/>
    <w:lvl w:ilvl="0">
      <w:lvlJc w:val="left"/>
      <w:lvlText w:val="(%1)"/>
      <w:numFmt w:val="lowerLetter"/>
      <w:start w:val="2"/>
    </w:lvl>
  </w:abstractNum>
  <w:abstractNum w:abstractNumId="183">
    <w:nsid w:val="38A5D054"/>
    <w:multiLevelType w:val="hybridMultilevel"/>
    <w:lvl w:ilvl="0">
      <w:lvlJc w:val="left"/>
      <w:lvlText w:val="(%1)"/>
      <w:numFmt w:val="lowerLetter"/>
      <w:start w:val="1"/>
    </w:lvl>
  </w:abstractNum>
  <w:abstractNum w:abstractNumId="184">
    <w:nsid w:val="F3F09D8"/>
    <w:multiLevelType w:val="hybridMultilevel"/>
    <w:lvl w:ilvl="0">
      <w:lvlJc w:val="left"/>
      <w:lvlText w:val="(%1)"/>
      <w:numFmt w:val="lowerLetter"/>
      <w:start w:val="4"/>
    </w:lvl>
  </w:abstractNum>
  <w:abstractNum w:abstractNumId="185">
    <w:nsid w:val="4B793735"/>
    <w:multiLevelType w:val="hybridMultilevel"/>
    <w:lvl w:ilvl="0">
      <w:lvlJc w:val="left"/>
      <w:lvlText w:val="(%1)"/>
      <w:numFmt w:val="lowerLetter"/>
      <w:start w:val="1"/>
    </w:lvl>
  </w:abstractNum>
  <w:abstractNum w:abstractNumId="186">
    <w:nsid w:val="4A10B4E8"/>
    <w:multiLevelType w:val="hybridMultilevel"/>
    <w:lvl w:ilvl="0">
      <w:lvlJc w:val="left"/>
      <w:lvlText w:val="%1"/>
      <w:numFmt w:val="upperLetter"/>
      <w:start w:val="1"/>
    </w:lvl>
    <w:lvl w:ilvl="1">
      <w:lvlJc w:val="left"/>
      <w:lvlText w:val="(%2)"/>
      <w:numFmt w:val="lowerLetter"/>
      <w:start w:val="2"/>
    </w:lvl>
  </w:abstractNum>
  <w:abstractNum w:abstractNumId="187">
    <w:nsid w:val="43D3BCD4"/>
    <w:multiLevelType w:val="hybridMultilevel"/>
    <w:lvl w:ilvl="0">
      <w:lvlJc w:val="left"/>
      <w:lvlText w:val="(%1)"/>
      <w:numFmt w:val="lowerLetter"/>
      <w:start w:val="5"/>
    </w:lvl>
    <w:lvl w:ilvl="1">
      <w:lvlJc w:val="left"/>
      <w:lvlText w:val="(%2)"/>
      <w:numFmt w:val="lowerRoman"/>
      <w:start w:val="1"/>
    </w:lvl>
  </w:abstractNum>
  <w:abstractNum w:abstractNumId="188">
    <w:nsid w:val="4C2A7166"/>
    <w:multiLevelType w:val="hybridMultilevel"/>
    <w:lvl w:ilvl="0">
      <w:lvlJc w:val="left"/>
      <w:lvlText w:val="(%1)"/>
      <w:numFmt w:val="lowerLetter"/>
      <w:start w:val="1"/>
    </w:lvl>
  </w:abstractNum>
  <w:abstractNum w:abstractNumId="189">
    <w:nsid w:val="2E534A82"/>
    <w:multiLevelType w:val="hybridMultilevel"/>
    <w:lvl w:ilvl="0">
      <w:lvlJc w:val="left"/>
      <w:lvlText w:val="(%1)"/>
      <w:numFmt w:val="lowerLetter"/>
      <w:start w:val="4"/>
    </w:lvl>
  </w:abstractNum>
  <w:abstractNum w:abstractNumId="190">
    <w:nsid w:val="26F2D364"/>
    <w:multiLevelType w:val="hybridMultilevel"/>
    <w:lvl w:ilvl="0">
      <w:lvlJc w:val="left"/>
      <w:lvlText w:val="%1"/>
      <w:numFmt w:val="upperLetter"/>
      <w:start w:val="1"/>
    </w:lvl>
    <w:lvl w:ilvl="1">
      <w:lvlJc w:val="left"/>
      <w:lvlText w:val="(%2)"/>
      <w:numFmt w:val="lowerLetter"/>
      <w:start w:val="1"/>
    </w:lvl>
  </w:abstractNum>
  <w:abstractNum w:abstractNumId="191">
    <w:nsid w:val="71C1AF98"/>
    <w:multiLevelType w:val="hybridMultilevel"/>
    <w:lvl w:ilvl="0">
      <w:lvlJc w:val="left"/>
      <w:lvlText w:val="(%1)"/>
      <w:numFmt w:val="upperLetter"/>
      <w:start w:val="2"/>
    </w:lvl>
    <w:lvl w:ilvl="1">
      <w:lvlJc w:val="left"/>
      <w:lvlText w:val="%2"/>
      <w:numFmt w:val="lowerLetter"/>
      <w:start w:val="1"/>
    </w:lvl>
  </w:abstractNum>
  <w:abstractNum w:abstractNumId="192">
    <w:nsid w:val="3D00B9D9"/>
    <w:multiLevelType w:val="hybridMultilevel"/>
    <w:lvl w:ilvl="0">
      <w:lvlJc w:val="left"/>
      <w:lvlText w:val="(%1)"/>
      <w:numFmt w:val="lowerLetter"/>
      <w:start w:val="2"/>
    </w:lvl>
    <w:lvl w:ilvl="1">
      <w:lvlJc w:val="left"/>
      <w:lvlText w:val="(%2)"/>
      <w:numFmt w:val="lowerLetter"/>
      <w:start w:val="3"/>
    </w:lvl>
  </w:abstractNum>
  <w:abstractNum w:abstractNumId="193">
    <w:nsid w:val="15BCABA8"/>
    <w:multiLevelType w:val="hybridMultilevel"/>
    <w:lvl w:ilvl="0">
      <w:lvlJc w:val="left"/>
      <w:lvlText w:val="(%1)"/>
      <w:numFmt w:val="lowerLetter"/>
      <w:start w:val="4"/>
    </w:lvl>
  </w:abstractNum>
  <w:abstractNum w:abstractNumId="194">
    <w:nsid w:val="4E0B9A87"/>
    <w:multiLevelType w:val="hybridMultilevel"/>
    <w:lvl w:ilvl="0">
      <w:lvlJc w:val="left"/>
      <w:lvlText w:val="(%1)"/>
      <w:numFmt w:val="lowerLetter"/>
      <w:start w:val="1"/>
    </w:lvl>
  </w:abstractNum>
  <w:abstractNum w:abstractNumId="195">
    <w:nsid w:val="434BAE75"/>
    <w:multiLevelType w:val="hybridMultilevel"/>
    <w:lvl w:ilvl="0">
      <w:lvlJc w:val="left"/>
      <w:lvlText w:val="(%1)"/>
      <w:numFmt w:val="lowerLetter"/>
      <w:start w:val="1"/>
    </w:lvl>
  </w:abstractNum>
  <w:abstractNum w:abstractNumId="196">
    <w:nsid w:val="4F38F265"/>
    <w:multiLevelType w:val="hybridMultilevel"/>
    <w:lvl w:ilvl="0">
      <w:lvlJc w:val="left"/>
      <w:lvlText w:val="(%1)"/>
      <w:numFmt w:val="lowerRoman"/>
      <w:start w:val="1"/>
    </w:lvl>
    <w:lvl w:ilvl="1">
      <w:lvlJc w:val="left"/>
      <w:lvlText w:val="(%2)"/>
      <w:numFmt w:val="upperLetter"/>
      <w:start w:val="1"/>
    </w:lvl>
  </w:abstractNum>
  <w:abstractNum w:abstractNumId="197">
    <w:nsid w:val="4C502870"/>
    <w:multiLevelType w:val="hybridMultilevel"/>
    <w:lvl w:ilvl="0">
      <w:lvlJc w:val="left"/>
      <w:lvlText w:val="(%1)"/>
      <w:numFmt w:val="lowerRoman"/>
      <w:start w:val="10"/>
    </w:lvl>
    <w:lvl w:ilvl="1">
      <w:lvlJc w:val="left"/>
      <w:lvlText w:val="(%2)"/>
      <w:numFmt w:val="upperLetter"/>
      <w:start w:val="2"/>
    </w:lvl>
  </w:abstractNum>
  <w:abstractNum w:abstractNumId="198">
    <w:nsid w:val="1DE8725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99">
    <w:nsid w:val="6A37288A"/>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00">
    <w:nsid w:val="8F8B73F"/>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01">
    <w:nsid w:val="CA6B462"/>
    <w:multiLevelType w:val="hybridMultilevel"/>
    <w:lvl w:ilvl="0">
      <w:lvlJc w:val="left"/>
      <w:lvlText w:val="(%1)"/>
      <w:numFmt w:val="lowerLetter"/>
      <w:start w:val="3"/>
    </w:lvl>
  </w:abstractNum>
  <w:abstractNum w:abstractNumId="202">
    <w:nsid w:val="763CB680"/>
    <w:multiLevelType w:val="hybridMultilevel"/>
    <w:lvl w:ilvl="0">
      <w:lvlJc w:val="left"/>
      <w:lvlText w:val="(%1)"/>
      <w:numFmt w:val="lowerLetter"/>
      <w:start w:val="2"/>
    </w:lvl>
  </w:abstractNum>
  <w:abstractNum w:abstractNumId="203">
    <w:nsid w:val="15B7132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204">
    <w:nsid w:val="3DA97044"/>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35"/>
    </w:lvl>
  </w:abstractNum>
  <w:abstractNum w:abstractNumId="205">
    <w:nsid w:val="1CDCE2DE"/>
    <w:multiLevelType w:val="hybridMultilevel"/>
    <w:lvl w:ilvl="0">
      <w:lvlJc w:val="left"/>
      <w:lvlText w:val="%1"/>
      <w:numFmt w:val="decimal"/>
      <w:start w:val="1"/>
    </w:lvl>
    <w:lvl w:ilvl="1">
      <w:lvlJc w:val="left"/>
      <w:lvlText w:val="(%2)"/>
      <w:numFmt w:val="lowerRoman"/>
      <w:start w:val="3"/>
    </w:lvl>
  </w:abstractNum>
  <w:abstractNum w:abstractNumId="206">
    <w:nsid w:val="69D3947C"/>
    <w:multiLevelType w:val="hybridMultilevel"/>
    <w:lvl w:ilvl="0">
      <w:lvlJc w:val="left"/>
      <w:lvlText w:val="(%1)"/>
      <w:numFmt w:val="decimal"/>
      <w:start w:val="3"/>
    </w:lvl>
    <w:lvl w:ilvl="1">
      <w:lvlJc w:val="left"/>
      <w:lvlText w:val="(%2)"/>
      <w:numFmt w:val="lowerRoman"/>
      <w:start w:val="4"/>
    </w:lvl>
  </w:abstractNum>
  <w:abstractNum w:abstractNumId="207">
    <w:nsid w:val="2539DFA5"/>
    <w:multiLevelType w:val="hybridMultilevel"/>
    <w:lvl w:ilvl="0">
      <w:lvlJc w:val="left"/>
      <w:lvlText w:val="(%1)"/>
      <w:numFmt w:val="lowerLetter"/>
      <w:start w:val="1"/>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lowerLetter"/>
      <w:start w:val="1"/>
    </w:lvl>
  </w:abstractNum>
  <w:abstractNum w:abstractNumId="210">
    <w:nsid w:val="2C106A57"/>
    <w:multiLevelType w:val="hybridMultilevel"/>
    <w:lvl w:ilvl="0">
      <w:lvlJc w:val="left"/>
      <w:lvlText w:val="(%1)"/>
      <w:numFmt w:val="lowerLetter"/>
      <w:start w:val="2"/>
    </w:lvl>
  </w:abstractNum>
  <w:abstractNum w:abstractNumId="211">
    <w:nsid w:val="684EED59"/>
    <w:multiLevelType w:val="hybridMultilevel"/>
    <w:lvl w:ilvl="0">
      <w:lvlJc w:val="left"/>
      <w:lvlText w:val="(%1)"/>
      <w:numFmt w:val="lowerLetter"/>
      <w:start w:val="1"/>
    </w:lvl>
    <w:lvl w:ilvl="1">
      <w:lvlJc w:val="left"/>
      <w:lvlText w:val="(%2)"/>
      <w:numFmt w:val="lowerRoman"/>
      <w:start w:val="1"/>
    </w:lvl>
  </w:abstractNum>
  <w:abstractNum w:abstractNumId="212">
    <w:nsid w:val="545EE5D3"/>
    <w:multiLevelType w:val="hybridMultilevel"/>
    <w:lvl w:ilvl="0">
      <w:lvlJc w:val="left"/>
      <w:lvlText w:val="(%1)"/>
      <w:numFmt w:val="lowerLetter"/>
      <w:start w:val="1"/>
    </w:lvl>
    <w:lvl w:ilvl="1">
      <w:lvlJc w:val="left"/>
      <w:lvlText w:val="(%2)"/>
      <w:numFmt w:val="lowerRoman"/>
      <w:start w:val="1"/>
    </w:lvl>
  </w:abstractNum>
  <w:abstractNum w:abstractNumId="213">
    <w:nsid w:val="4A66051"/>
    <w:multiLevelType w:val="hybridMultilevel"/>
    <w:lvl w:ilvl="0">
      <w:lvlJc w:val="left"/>
      <w:lvlText w:val="(%1)"/>
      <w:numFmt w:val="lowerLetter"/>
      <w:start w:val="1"/>
    </w:lvl>
    <w:lvl w:ilvl="1">
      <w:lvlJc w:val="left"/>
      <w:lvlText w:val="(%2)"/>
      <w:numFmt w:val="lowerRoman"/>
      <w:start w:val="4"/>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22" Type="http://schemas.openxmlformats.org/officeDocument/2006/relationships/image" Target="media/image5.png"/><Relationship Id="rId41" Type="http://schemas.openxmlformats.org/officeDocument/2006/relationships/image" Target="media/image6.png"/><Relationship Id="rId55" Type="http://schemas.openxmlformats.org/officeDocument/2006/relationships/image" Target="media/image7.png"/><Relationship Id="rId69" Type="http://schemas.openxmlformats.org/officeDocument/2006/relationships/image" Target="media/image8.png"/><Relationship Id="rId79" Type="http://schemas.openxmlformats.org/officeDocument/2006/relationships/image" Target="media/image9.png"/><Relationship Id="rId80" Type="http://schemas.openxmlformats.org/officeDocument/2006/relationships/image" Target="media/image10.png"/><Relationship Id="rId81" Type="http://schemas.openxmlformats.org/officeDocument/2006/relationships/image" Target="media/image11.png"/><Relationship Id="rId82" Type="http://schemas.openxmlformats.org/officeDocument/2006/relationships/image" Target="media/image12.png"/><Relationship Id="rId83" Type="http://schemas.openxmlformats.org/officeDocument/2006/relationships/image" Target="media/image13.png"/><Relationship Id="rId84" Type="http://schemas.openxmlformats.org/officeDocument/2006/relationships/image" Target="media/image14.png"/><Relationship Id="rId85" Type="http://schemas.openxmlformats.org/officeDocument/2006/relationships/image" Target="media/image15.png"/><Relationship Id="rId86" Type="http://schemas.openxmlformats.org/officeDocument/2006/relationships/image" Target="media/image16.png"/><Relationship Id="rId87" Type="http://schemas.openxmlformats.org/officeDocument/2006/relationships/image" Target="media/image17.png"/><Relationship Id="rId88" Type="http://schemas.openxmlformats.org/officeDocument/2006/relationships/image" Target="media/image18.png"/><Relationship Id="rId89" Type="http://schemas.openxmlformats.org/officeDocument/2006/relationships/image" Target="media/image19.png"/><Relationship Id="rId90" Type="http://schemas.openxmlformats.org/officeDocument/2006/relationships/image" Target="media/image20.png"/><Relationship Id="rId91" Type="http://schemas.openxmlformats.org/officeDocument/2006/relationships/image" Target="media/image21.jpeg"/><Relationship Id="rId92" Type="http://schemas.openxmlformats.org/officeDocument/2006/relationships/image" Target="media/image22.png"/><Relationship Id="rId93" Type="http://schemas.openxmlformats.org/officeDocument/2006/relationships/image" Target="media/image23.png"/><Relationship Id="rId94" Type="http://schemas.openxmlformats.org/officeDocument/2006/relationships/image" Target="media/image24.png"/><Relationship Id="rId95" Type="http://schemas.openxmlformats.org/officeDocument/2006/relationships/image" Target="media/image25.png"/><Relationship Id="rId96" Type="http://schemas.openxmlformats.org/officeDocument/2006/relationships/image" Target="media/image26.png"/><Relationship Id="rId97" Type="http://schemas.openxmlformats.org/officeDocument/2006/relationships/image" Target="media/image27.png"/><Relationship Id="rId98" Type="http://schemas.openxmlformats.org/officeDocument/2006/relationships/image" Target="media/image28.png"/><Relationship Id="rId99" Type="http://schemas.openxmlformats.org/officeDocument/2006/relationships/image" Target="media/image29.png"/><Relationship Id="rId12" Type="http://schemas.openxmlformats.org/officeDocument/2006/relationships/hyperlink" Target="http://www.sec.gov/Archives/edgar/data/946581/000110465917006472/a17-3563_1ex2d1.htm" TargetMode="External"/><Relationship Id="rId13" Type="http://schemas.openxmlformats.org/officeDocument/2006/relationships/hyperlink" Target="http://www.sec.gov/Archives/edgar/data/946581/000112528204000439/b330117ex3_1.txt" TargetMode="External"/><Relationship Id="rId14" Type="http://schemas.openxmlformats.org/officeDocument/2006/relationships/hyperlink" Target="http://www.sec.gov/Archives/edgar/data/946581/000112528204000439/b330117ex3_1-1.txt" TargetMode="External"/><Relationship Id="rId15" Type="http://schemas.openxmlformats.org/officeDocument/2006/relationships/hyperlink" Target="http://www.sec.gov/Archives/edgar/data/946581/000112528204000439/b330117ex3_1-2.txt" TargetMode="External"/><Relationship Id="rId16" Type="http://schemas.openxmlformats.org/officeDocument/2006/relationships/hyperlink" Target="http://www.sec.gov/Archives/edgar/data/946581/000110465909025827/a09-10859_1ex3d1.htm" TargetMode="External"/><Relationship Id="rId17" Type="http://schemas.openxmlformats.org/officeDocument/2006/relationships/hyperlink" Target="http://www.sec.gov/Archives/edgar/data/946581/000110465912065069/a12-21962_1ex3d1.htm" TargetMode="External"/><Relationship Id="rId18" Type="http://schemas.openxmlformats.org/officeDocument/2006/relationships/hyperlink" Target="http://www.sec.gov/Archives/edgar/data/946581/000110465908019702/a08-9031_2ex4d2.htm" TargetMode="External"/><Relationship Id="rId19" Type="http://schemas.openxmlformats.org/officeDocument/2006/relationships/hyperlink" Target="http://www.sec.gov/Archives/edgar/data/946581/000110465917057663/a17-22069_1ex3d1.htm" TargetMode="External"/><Relationship Id="rId20" Type="http://schemas.openxmlformats.org/officeDocument/2006/relationships/hyperlink" Target="http://www.sec.gov/Archives/edgar/data/946581/000114420408014086/v105825_ex10-1.htm" TargetMode="External"/><Relationship Id="rId21" Type="http://schemas.openxmlformats.org/officeDocument/2006/relationships/hyperlink" Target="http://www.sec.gov/Archives/edgar/data/946581/000119312516662296/d146119ddef14a.htm#tx146119_32" TargetMode="External"/><Relationship Id="rId23" Type="http://schemas.openxmlformats.org/officeDocument/2006/relationships/hyperlink" Target="http://www.sec.gov/Archives/edgar/data/946581/000104746909006187/a2193344zex-10_2.htm" TargetMode="External"/><Relationship Id="rId24" Type="http://schemas.openxmlformats.org/officeDocument/2006/relationships/hyperlink" Target="http://www.sec.gov/Archives/edgar/data/946581/000104746909006187/a2193344zex-10_3.htm" TargetMode="External"/><Relationship Id="rId25" Type="http://schemas.openxmlformats.org/officeDocument/2006/relationships/hyperlink" Target="http://www.sec.gov/Archives/edgar/data/946581/000104746912007602/a2210397zex-10_1.htm" TargetMode="External"/><Relationship Id="rId26" Type="http://schemas.openxmlformats.org/officeDocument/2006/relationships/hyperlink" Target="http://www.sec.gov/Archives/edgar/data/946581/000104746913010066/a2217131zex-10_1.htm" TargetMode="External"/><Relationship Id="rId27" Type="http://schemas.openxmlformats.org/officeDocument/2006/relationships/hyperlink" Target="http://www.sec.gov/Archives/edgar/data/946581/000104746913010066/a2217131zex-10_2.htm" TargetMode="External"/><Relationship Id="rId28" Type="http://schemas.openxmlformats.org/officeDocument/2006/relationships/hyperlink" Target="http://www.sec.gov/Archives/edgar/data/946581/000104746913010066/a2217131zex-10_3.htm" TargetMode="External"/><Relationship Id="rId29" Type="http://schemas.openxmlformats.org/officeDocument/2006/relationships/hyperlink" Target="http://www.sec.gov/Archives/edgar/data/946581/000104746913010066/a2217131zex-10_4.htm" TargetMode="External"/><Relationship Id="rId30" Type="http://schemas.openxmlformats.org/officeDocument/2006/relationships/hyperlink" Target="http://www.sec.gov/Archives/edgar/data/946581/000104746913010066/a2217131zex-10_5.htm" TargetMode="External"/><Relationship Id="rId31" Type="http://schemas.openxmlformats.org/officeDocument/2006/relationships/hyperlink" Target="http://www.sec.gov/Archives/edgar/data/946581/000119312517238644/d330685ddef14a.htm#tx330685_36" TargetMode="External"/><Relationship Id="rId32" Type="http://schemas.openxmlformats.org/officeDocument/2006/relationships/hyperlink" Target="http://www.sec.gov/Archives/edgar/data/946581/000119312517238644/d330685ddef14a.htm#tx330685_37" TargetMode="External"/><Relationship Id="rId33" Type="http://schemas.openxmlformats.org/officeDocument/2006/relationships/hyperlink" Target="http://www.sec.gov/Archives/edgar/data/946581/000162828017011117/ttwoex-10x4.htm" TargetMode="External"/><Relationship Id="rId34" Type="http://schemas.openxmlformats.org/officeDocument/2006/relationships/hyperlink" Target="http://www.sec.gov/Archives/edgar/data/946581/000162828017011117/ttwoex-10x5.htm" TargetMode="External"/><Relationship Id="rId35" Type="http://schemas.openxmlformats.org/officeDocument/2006/relationships/hyperlink" Target="http://www.sec.gov/Archives/edgar/data/946581/000162828017011117/ttwoex-10x6.htm" TargetMode="External"/><Relationship Id="rId36" Type="http://schemas.openxmlformats.org/officeDocument/2006/relationships/hyperlink" Target="http://www.sec.gov/Archives/edgar/data/946581/000162828017011117/ttwoex-10x7.htm" TargetMode="External"/><Relationship Id="rId37" Type="http://schemas.openxmlformats.org/officeDocument/2006/relationships/hyperlink" Target="http://www.sec.gov/Archives/edgar/data/946581/000110465910028475/a10-10145_1ex10d1.htm" TargetMode="External"/><Relationship Id="rId38" Type="http://schemas.openxmlformats.org/officeDocument/2006/relationships/hyperlink" Target="http://www.sec.gov/Archives/edgar/data/946581/000110465910053523/a10-19838_1ex10d1.htm" TargetMode="External"/><Relationship Id="rId39" Type="http://schemas.openxmlformats.org/officeDocument/2006/relationships/hyperlink" Target="http://www.sec.gov/Archives/edgar/data/946581/000104746912009896/a2211465zex-10_6.htm" TargetMode="External"/><Relationship Id="rId40" Type="http://schemas.openxmlformats.org/officeDocument/2006/relationships/hyperlink" Target="http://www.sec.gov/Archives/edgar/data/946581/000162828018010376/a063018ttwoex-10x2.htm" TargetMode="External"/><Relationship Id="rId42" Type="http://schemas.openxmlformats.org/officeDocument/2006/relationships/hyperlink" Target="http://www.sec.gov/Archives/edgar/data/946581/000114420408009931/v103944_ex10-3.htm" TargetMode="External"/><Relationship Id="rId43" Type="http://schemas.openxmlformats.org/officeDocument/2006/relationships/hyperlink" Target="http://www.sec.gov/Archives/edgar/data/946581/000104746915000639/a2222916zex-10_1.htm" TargetMode="External"/><Relationship Id="rId44" Type="http://schemas.openxmlformats.org/officeDocument/2006/relationships/hyperlink" Target="http://www.sec.gov/Archives/edgar/data/946581/000110465914018060/a14-7799_1ex10d1.htm" TargetMode="External"/><Relationship Id="rId45" Type="http://schemas.openxmlformats.org/officeDocument/2006/relationships/hyperlink" Target="http://www.sec.gov/Archives/edgar/data/946581/000110465915039690/a15-12266_2ex10d2.htm" TargetMode="External"/><Relationship Id="rId46" Type="http://schemas.openxmlformats.org/officeDocument/2006/relationships/hyperlink" Target="http://www.sec.gov/Archives/edgar/data/946581/000104746915006749/a2225573zex-10_1.htm" TargetMode="External"/><Relationship Id="rId47" Type="http://schemas.openxmlformats.org/officeDocument/2006/relationships/hyperlink" Target="http://www.sec.gov/Archives/edgar/data/946581/000104746916013278/a2228643zex-10_50.htm" TargetMode="External"/><Relationship Id="rId48" Type="http://schemas.openxmlformats.org/officeDocument/2006/relationships/hyperlink" Target="http://www.sec.gov/Archives/edgar/data/946581/000110465916122193/a16-11783_2ex10d2.htm" TargetMode="External"/><Relationship Id="rId49" Type="http://schemas.openxmlformats.org/officeDocument/2006/relationships/hyperlink" Target="http://www.sec.gov/Archives/edgar/data/946581/000104746917000578/a2230843zex-10_3.htm" TargetMode="External"/><Relationship Id="rId50" Type="http://schemas.openxmlformats.org/officeDocument/2006/relationships/hyperlink" Target="http://www.sec.gov/Archives/edgar/data/946581/000110465917035222/a17-14155_1ex10d2.htm" TargetMode="External"/><Relationship Id="rId51" Type="http://schemas.openxmlformats.org/officeDocument/2006/relationships/hyperlink" Target="http://www.sec.gov/Archives/edgar/data/946581/000162828018001226/ttwoex-10x4.htm" TargetMode="External"/><Relationship Id="rId52" Type="http://schemas.openxmlformats.org/officeDocument/2006/relationships/hyperlink" Target="http://www.sec.gov/Archives/edgar/data/946581/000110465917069999/a17-27361_1ex10d1.htm" TargetMode="External"/><Relationship Id="rId53" Type="http://schemas.openxmlformats.org/officeDocument/2006/relationships/hyperlink" Target="http://www.sec.gov/Archives/edgar/data/946581/000110465918023988/a18-9988_1ex10d2.htm" TargetMode="External"/><Relationship Id="rId54" Type="http://schemas.openxmlformats.org/officeDocument/2006/relationships/hyperlink" Target="http://www.sec.gov/Archives/edgar/data/946581/000110465919021367/a19-8263_1ex10d2.htm" TargetMode="External"/><Relationship Id="rId56" Type="http://schemas.openxmlformats.org/officeDocument/2006/relationships/hyperlink" Target="http://www.sec.gov/Archives/edgar/data/946581/000104746911009224/a2206110zex-10_3.htm" TargetMode="External"/><Relationship Id="rId57" Type="http://schemas.openxmlformats.org/officeDocument/2006/relationships/hyperlink" Target="http://www.sec.gov/Archives/edgar/data/946581/000104746909006187/a2193344zex-10_1.htm" TargetMode="External"/><Relationship Id="rId58" Type="http://schemas.openxmlformats.org/officeDocument/2006/relationships/hyperlink" Target="http://www.sec.gov/Archives/edgar/data/946581/000104746912000587/a2207032zex-10_1.htm" TargetMode="External"/><Relationship Id="rId59" Type="http://schemas.openxmlformats.org/officeDocument/2006/relationships/hyperlink" Target="http://www.sec.gov/Archives/edgar/data/946581/000104746913000681/a2212680zex-10_2.htm" TargetMode="External"/><Relationship Id="rId60" Type="http://schemas.openxmlformats.org/officeDocument/2006/relationships/hyperlink" Target="http://www.sec.gov/Archives/edgar/data/946581/000104746914000555/a2218068zex-10_2.htm" TargetMode="External"/><Relationship Id="rId61" Type="http://schemas.openxmlformats.org/officeDocument/2006/relationships/hyperlink" Target="http://www.sec.gov/Archives/edgar/data/946581/000104746914008670/a2221879zex-10_1.htm" TargetMode="External"/><Relationship Id="rId62" Type="http://schemas.openxmlformats.org/officeDocument/2006/relationships/hyperlink" Target="http://www.sec.gov/Archives/edgar/data/946581/000162828018001226/ttwoex-10x2.htm" TargetMode="External"/><Relationship Id="rId63" Type="http://schemas.openxmlformats.org/officeDocument/2006/relationships/hyperlink" Target="http://www.sec.gov/Archives/edgar/data/946581/000104746914000555/a2218068zex-10_1.htm" TargetMode="External"/><Relationship Id="rId64" Type="http://schemas.openxmlformats.org/officeDocument/2006/relationships/hyperlink" Target="http://www.sec.gov/Archives/edgar/data/946581/000104746914006667/a2220828zex-10_1.htm" TargetMode="External"/><Relationship Id="rId65" Type="http://schemas.openxmlformats.org/officeDocument/2006/relationships/hyperlink" Target="http://www.sec.gov/Archives/edgar/data/946581/000104746916013278/a2228643zex-10_48.htm" TargetMode="External"/><Relationship Id="rId66" Type="http://schemas.openxmlformats.org/officeDocument/2006/relationships/hyperlink" Target="http://www.sec.gov/Archives/edgar/data/946581/000104746916013278/a2228643zex-10_49.htm" TargetMode="External"/><Relationship Id="rId67" Type="http://schemas.openxmlformats.org/officeDocument/2006/relationships/hyperlink" Target="http://www.sec.gov/Archives/edgar/data/946581/000110465917034645/a17-14046_1ex10d2.htm" TargetMode="External"/><Relationship Id="rId68" Type="http://schemas.openxmlformats.org/officeDocument/2006/relationships/hyperlink" Target="http://www.sec.gov/Archives/edgar/data/946581/000162828018006877/ex-1055033118.htm" TargetMode="External"/><Relationship Id="rId70" Type="http://schemas.openxmlformats.org/officeDocument/2006/relationships/hyperlink" Target="http://www.sec.gov/Archives/edgar/data/946581/000162828017005833/ex10-48.htm" TargetMode="External"/><Relationship Id="rId71" Type="http://schemas.openxmlformats.org/officeDocument/2006/relationships/hyperlink" Target="http://www.sec.gov/Archives/edgar/data/946581/000112528202002712/b320194ex_10-2.txt" TargetMode="External"/><Relationship Id="rId72" Type="http://schemas.openxmlformats.org/officeDocument/2006/relationships/hyperlink" Target="http://www.sec.gov/Archives/edgar/data/946581/000104746912006226/a2209413zex-10_45.htm" TargetMode="External"/><Relationship Id="rId73" Type="http://schemas.openxmlformats.org/officeDocument/2006/relationships/hyperlink" Target="http://www.sec.gov/Archives/edgar/data/946581/000104746914004898/a2220044zex-10_39.htm" TargetMode="External"/><Relationship Id="rId74" Type="http://schemas.openxmlformats.org/officeDocument/2006/relationships/hyperlink" Target="http://www.sec.gov/Archives/edgar/data/946581/000104746916013278/a2228643zex-10_47.htm" TargetMode="External"/><Relationship Id="rId75" Type="http://schemas.openxmlformats.org/officeDocument/2006/relationships/hyperlink" Target="http://www.sec.gov/Archives/edgar/data/946581/000104746916010014/a2227207zex-10_1.htm" TargetMode="External"/><Relationship Id="rId76" Type="http://schemas.openxmlformats.org/officeDocument/2006/relationships/hyperlink" Target="http://www.sec.gov/Archives/edgar/data/946581/000104746917000578/a2230843zex-10_1.htm" TargetMode="External"/><Relationship Id="rId77" Type="http://schemas.openxmlformats.org/officeDocument/2006/relationships/hyperlink" Target="http://www.sec.gov/Archives/edgar/data/946581/000162828018013920/a093018ttwoex-10x1.htm" TargetMode="External"/><Relationship Id="rId78" Type="http://schemas.openxmlformats.org/officeDocument/2006/relationships/hyperlink" Target="http://www.sec.gov/Archives/edgar/data/946581/000110465917006472/a17-3563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2019-12-28T12:04:52Z</dcterms:created>
  <dcterms:modified xsi:type="dcterms:W3CDTF">2019-12-28T12:04:52Z</dcterms:modified>
</cp:coreProperties>
</file>