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40" w:type="dxa"/>
            <w:vAlign w:val="bottom"/>
            <w:gridSpan w:val="7"/>
          </w:tcPr>
          <w:p>
            <w:pPr>
              <w:spacing w:after="0"/>
              <w:rPr>
                <w:sz w:val="20"/>
                <w:szCs w:val="20"/>
                <w:color w:val="auto"/>
              </w:rPr>
            </w:pPr>
            <w:r>
              <w:rPr>
                <w:rFonts w:ascii="Arial" w:cs="Arial" w:eastAsia="Arial" w:hAnsi="Arial"/>
                <w:sz w:val="13"/>
                <w:szCs w:val="13"/>
                <w:color w:val="auto"/>
              </w:rPr>
              <w:t>5. Relationship of Reporting Person(s) to Issuer</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vMerge w:val="restart"/>
          </w:tcPr>
          <w:p>
            <w:pPr>
              <w:spacing w:after="0"/>
              <w:rPr>
                <w:rFonts w:ascii="Arial" w:cs="Arial" w:eastAsia="Arial" w:hAnsi="Arial"/>
                <w:sz w:val="21"/>
                <w:szCs w:val="21"/>
                <w:u w:val="single" w:color="auto"/>
                <w:color w:val="0000EE"/>
                <w:w w:val="97"/>
              </w:rPr>
            </w:pPr>
            <w:hyperlink r:id="rId13">
              <w:r>
                <w:rPr>
                  <w:rFonts w:ascii="Arial" w:cs="Arial" w:eastAsia="Arial" w:hAnsi="Arial"/>
                  <w:sz w:val="21"/>
                  <w:szCs w:val="21"/>
                  <w:u w:val="single" w:color="auto"/>
                  <w:color w:val="0000EE"/>
                  <w:w w:val="97"/>
                </w:rPr>
                <w:t>Viera Paul E</w:t>
              </w:r>
            </w:hyperlink>
          </w:p>
        </w:tc>
        <w:tc>
          <w:tcPr>
            <w:tcW w:w="8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5"/>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TAKE TWO INTERACTIVE</w:t>
              </w:r>
            </w:hyperlink>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3"/>
            <w:vMerge w:val="restart"/>
          </w:tcPr>
          <w:p>
            <w:pPr>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gridSpan w:val="2"/>
            <w:vMerge w:val="restart"/>
          </w:tcPr>
          <w:p>
            <w:pPr>
              <w:ind w:left="200"/>
              <w:spacing w:after="0"/>
              <w:rPr>
                <w:sz w:val="20"/>
                <w:szCs w:val="20"/>
                <w:color w:val="auto"/>
              </w:rPr>
            </w:pPr>
            <w:r>
              <w:rPr>
                <w:rFonts w:ascii="Arial" w:cs="Arial" w:eastAsia="Arial" w:hAnsi="Arial"/>
                <w:sz w:val="17"/>
                <w:szCs w:val="17"/>
                <w:color w:val="0000FF"/>
              </w:rPr>
              <w:t>X</w:t>
            </w:r>
          </w:p>
        </w:tc>
        <w:tc>
          <w:tcPr>
            <w:tcW w:w="9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2"/>
                <w:szCs w:val="2"/>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color w:val="auto"/>
              </w:rPr>
              <w:t>10% Owner</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5"/>
            <w:vMerge w:val="restart"/>
          </w:tcPr>
          <w:p>
            <w:pPr>
              <w:spacing w:after="0" w:line="220" w:lineRule="exact"/>
              <w:rPr>
                <w:rFonts w:ascii="Arial" w:cs="Arial" w:eastAsia="Arial" w:hAnsi="Arial"/>
                <w:sz w:val="21"/>
                <w:szCs w:val="21"/>
                <w:color w:val="0000EE"/>
              </w:rPr>
            </w:pPr>
            <w:hyperlink r:id="rId14">
              <w:r>
                <w:rPr>
                  <w:rFonts w:ascii="Arial" w:cs="Arial" w:eastAsia="Arial" w:hAnsi="Arial"/>
                  <w:sz w:val="21"/>
                  <w:szCs w:val="21"/>
                  <w:color w:val="0000EE"/>
                </w:rPr>
                <w:t xml:space="preserve">SOFTWARE 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TTWO</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20" w:type="dxa"/>
            <w:vAlign w:val="bottom"/>
            <w:gridSpan w:val="5"/>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20" w:type="dxa"/>
            <w:vAlign w:val="bottom"/>
            <w:gridSpan w:val="5"/>
            <w:vMerge w:val="continue"/>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62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color w:val="auto"/>
              </w:rPr>
              <w:t>Other (specify</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164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vMerge w:val="continue"/>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840" w:type="dxa"/>
            <w:vAlign w:val="bottom"/>
          </w:tcPr>
          <w:p>
            <w:pPr>
              <w:ind w:left="60"/>
              <w:spacing w:after="0" w:line="141" w:lineRule="exact"/>
              <w:rPr>
                <w:sz w:val="20"/>
                <w:szCs w:val="20"/>
                <w:color w:val="auto"/>
              </w:rPr>
            </w:pPr>
            <w:r>
              <w:rPr>
                <w:rFonts w:ascii="Arial" w:cs="Arial" w:eastAsia="Arial" w:hAnsi="Arial"/>
                <w:sz w:val="13"/>
                <w:szCs w:val="13"/>
                <w:color w:val="auto"/>
              </w:rPr>
              <w:t>(First)</w:t>
            </w:r>
          </w:p>
        </w:tc>
        <w:tc>
          <w:tcPr>
            <w:tcW w:w="17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14"/>
                <w:szCs w:val="14"/>
                <w:color w:val="auto"/>
              </w:rPr>
            </w:pPr>
          </w:p>
        </w:tc>
        <w:tc>
          <w:tcPr>
            <w:tcW w:w="13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ind w:left="1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1200" w:type="dxa"/>
            <w:vAlign w:val="bottom"/>
            <w:gridSpan w:val="3"/>
          </w:tcPr>
          <w:p>
            <w:pPr>
              <w:ind w:left="40"/>
              <w:spacing w:after="0" w:line="141" w:lineRule="exact"/>
              <w:rPr>
                <w:sz w:val="20"/>
                <w:szCs w:val="20"/>
                <w:color w:val="auto"/>
              </w:rPr>
            </w:pPr>
            <w:r>
              <w:rPr>
                <w:rFonts w:ascii="Arial" w:cs="Arial" w:eastAsia="Arial" w:hAnsi="Arial"/>
                <w:sz w:val="13"/>
                <w:szCs w:val="13"/>
                <w:color w:val="auto"/>
              </w:rPr>
              <w:t>below)</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gridSpan w:val="5"/>
          </w:tcPr>
          <w:p>
            <w:pPr>
              <w:spacing w:after="0"/>
              <w:rPr>
                <w:sz w:val="20"/>
                <w:szCs w:val="20"/>
                <w:color w:val="auto"/>
              </w:rPr>
            </w:pPr>
            <w:r>
              <w:rPr>
                <w:rFonts w:ascii="Arial" w:cs="Arial" w:eastAsia="Arial" w:hAnsi="Arial"/>
                <w:sz w:val="17"/>
                <w:szCs w:val="17"/>
                <w:color w:val="0000FF"/>
              </w:rPr>
              <w:t>C/O TAKE-TWO INTERACTIVE SOFTWARE,</w:t>
            </w:r>
          </w:p>
        </w:tc>
        <w:tc>
          <w:tcPr>
            <w:tcW w:w="292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7"/>
                <w:szCs w:val="17"/>
                <w:color w:val="0000FF"/>
              </w:rPr>
              <w:t>06/01/2020</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gridSpan w:val="2"/>
            <w:vMerge w:val="restart"/>
          </w:tcPr>
          <w:p>
            <w:pPr>
              <w:spacing w:after="0"/>
              <w:rPr>
                <w:sz w:val="20"/>
                <w:szCs w:val="20"/>
                <w:color w:val="auto"/>
              </w:rPr>
            </w:pPr>
            <w:r>
              <w:rPr>
                <w:rFonts w:ascii="Arial" w:cs="Arial" w:eastAsia="Arial" w:hAnsi="Arial"/>
                <w:sz w:val="17"/>
                <w:szCs w:val="17"/>
                <w:color w:val="0000FF"/>
                <w:w w:val="98"/>
              </w:rPr>
              <w:t>110 WEST 44TH STREET</w:t>
            </w: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gridSpan w:val="2"/>
            <w:vMerge w:val="continue"/>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40" w:type="dxa"/>
            <w:vAlign w:val="bottom"/>
            <w:gridSpan w:val="7"/>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6"/>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4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64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40" w:type="dxa"/>
            <w:vAlign w:val="bottom"/>
            <w:gridSpan w:val="7"/>
          </w:tcPr>
          <w:p>
            <w:pPr>
              <w:ind w:left="2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NEW YORK</w:t>
            </w:r>
          </w:p>
        </w:tc>
        <w:tc>
          <w:tcPr>
            <w:tcW w:w="840" w:type="dxa"/>
            <w:vAlign w:val="bottom"/>
          </w:tcPr>
          <w:p>
            <w:pPr>
              <w:ind w:left="60"/>
              <w:spacing w:after="0"/>
              <w:rPr>
                <w:sz w:val="20"/>
                <w:szCs w:val="20"/>
                <w:color w:val="auto"/>
              </w:rPr>
            </w:pPr>
            <w:r>
              <w:rPr>
                <w:rFonts w:ascii="Arial" w:cs="Arial" w:eastAsia="Arial" w:hAnsi="Arial"/>
                <w:sz w:val="17"/>
                <w:szCs w:val="17"/>
                <w:color w:val="0000FF"/>
              </w:rPr>
              <w:t>NY</w:t>
            </w:r>
          </w:p>
        </w:tc>
        <w:tc>
          <w:tcPr>
            <w:tcW w:w="1640" w:type="dxa"/>
            <w:vAlign w:val="bottom"/>
          </w:tcPr>
          <w:p>
            <w:pPr>
              <w:ind w:left="440"/>
              <w:spacing w:after="0"/>
              <w:rPr>
                <w:sz w:val="20"/>
                <w:szCs w:val="20"/>
                <w:color w:val="auto"/>
              </w:rPr>
            </w:pPr>
            <w:r>
              <w:rPr>
                <w:rFonts w:ascii="Arial" w:cs="Arial" w:eastAsia="Arial" w:hAnsi="Arial"/>
                <w:sz w:val="17"/>
                <w:szCs w:val="17"/>
                <w:color w:val="0000FF"/>
              </w:rPr>
              <w:t>10036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5"/>
          </w:tcPr>
          <w:p>
            <w:pPr>
              <w:ind w:left="100"/>
              <w:spacing w:after="0"/>
              <w:rPr>
                <w:sz w:val="20"/>
                <w:szCs w:val="20"/>
                <w:color w:val="auto"/>
              </w:rPr>
            </w:pPr>
            <w:r>
              <w:rPr>
                <w:rFonts w:ascii="Arial" w:cs="Arial" w:eastAsia="Arial" w:hAnsi="Arial"/>
                <w:sz w:val="13"/>
                <w:szCs w:val="13"/>
                <w:color w:val="auto"/>
              </w:rPr>
              <w:t>Form filed by More than One Reporting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40" w:type="dxa"/>
            <w:vAlign w:val="bottom"/>
          </w:tcPr>
          <w:p>
            <w:pPr>
              <w:ind w:left="60"/>
              <w:spacing w:after="0"/>
              <w:rPr>
                <w:sz w:val="20"/>
                <w:szCs w:val="20"/>
                <w:color w:val="auto"/>
              </w:rPr>
            </w:pPr>
            <w:r>
              <w:rPr>
                <w:rFonts w:ascii="Arial" w:cs="Arial" w:eastAsia="Arial" w:hAnsi="Arial"/>
                <w:sz w:val="13"/>
                <w:szCs w:val="13"/>
                <w:color w:val="auto"/>
              </w:rPr>
              <w:t>(State)</w:t>
            </w:r>
          </w:p>
        </w:tc>
        <w:tc>
          <w:tcPr>
            <w:tcW w:w="1800" w:type="dxa"/>
            <w:vAlign w:val="bottom"/>
            <w:gridSpan w:val="3"/>
          </w:tcPr>
          <w:p>
            <w:pPr>
              <w:ind w:left="440"/>
              <w:spacing w:after="0"/>
              <w:rPr>
                <w:sz w:val="20"/>
                <w:szCs w:val="20"/>
                <w:color w:val="auto"/>
              </w:rPr>
            </w:pPr>
            <w:r>
              <w:rPr>
                <w:rFonts w:ascii="Arial" w:cs="Arial" w:eastAsia="Arial" w:hAnsi="Arial"/>
                <w:sz w:val="13"/>
                <w:szCs w:val="13"/>
                <w:color w:val="auto"/>
              </w:rPr>
              <w:t>(Zip)</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gridSpan w:val="3"/>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6960" w:type="dxa"/>
            <w:vAlign w:val="bottom"/>
            <w:tcBorders>
              <w:top w:val="single" w:sz="8" w:color="2C2C2C"/>
            </w:tcBorders>
            <w:gridSpan w:val="14"/>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980"/>
              <w:spacing w:after="0"/>
              <w:rPr>
                <w:sz w:val="20"/>
                <w:szCs w:val="20"/>
                <w:color w:val="auto"/>
              </w:rPr>
            </w:pPr>
            <w:r>
              <w:rPr>
                <w:rFonts w:ascii="Arial" w:cs="Arial" w:eastAsia="Arial" w:hAnsi="Arial"/>
                <w:sz w:val="12"/>
                <w:szCs w:val="12"/>
                <w:b w:val="1"/>
                <w:bCs w:val="1"/>
                <w:color w:val="auto"/>
                <w:w w:val="98"/>
              </w:rPr>
              <w:t>2. Transaction</w:t>
            </w:r>
          </w:p>
        </w:tc>
        <w:tc>
          <w:tcPr>
            <w:tcW w:w="1360" w:type="dxa"/>
            <w:vAlign w:val="bottom"/>
          </w:tcPr>
          <w:p>
            <w:pPr>
              <w:ind w:left="30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300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or5. Amount of</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980"/>
              <w:spacing w:after="0" w:line="131" w:lineRule="exact"/>
              <w:rPr>
                <w:sz w:val="20"/>
                <w:szCs w:val="20"/>
                <w:color w:val="auto"/>
              </w:rPr>
            </w:pPr>
            <w:r>
              <w:rPr>
                <w:rFonts w:ascii="Arial" w:cs="Arial" w:eastAsia="Arial" w:hAnsi="Arial"/>
                <w:sz w:val="12"/>
                <w:szCs w:val="12"/>
                <w:b w:val="1"/>
                <w:bCs w:val="1"/>
                <w:color w:val="auto"/>
              </w:rPr>
              <w:t>Date</w:t>
            </w:r>
          </w:p>
        </w:tc>
        <w:tc>
          <w:tcPr>
            <w:tcW w:w="1360" w:type="dxa"/>
            <w:vAlign w:val="bottom"/>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6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200" w:type="dxa"/>
            <w:vAlign w:val="bottom"/>
          </w:tcPr>
          <w:p>
            <w:pPr>
              <w:spacing w:after="0"/>
              <w:rPr>
                <w:sz w:val="11"/>
                <w:szCs w:val="11"/>
                <w:color w:val="auto"/>
              </w:rPr>
            </w:pPr>
          </w:p>
        </w:tc>
        <w:tc>
          <w:tcPr>
            <w:tcW w:w="11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160" w:type="dxa"/>
            <w:vAlign w:val="bottom"/>
            <w:gridSpan w:val="4"/>
          </w:tcPr>
          <w:p>
            <w:pPr>
              <w:ind w:left="98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(I) (Instr. 4)</w:t>
            </w:r>
          </w:p>
        </w:tc>
        <w:tc>
          <w:tcPr>
            <w:tcW w:w="200" w:type="dxa"/>
            <w:vAlign w:val="bottom"/>
          </w:tcPr>
          <w:p>
            <w:pPr>
              <w:spacing w:after="0"/>
              <w:rPr>
                <w:sz w:val="11"/>
                <w:szCs w:val="11"/>
                <w:color w:val="auto"/>
              </w:rPr>
            </w:pP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1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3160" w:type="dxa"/>
            <w:vAlign w:val="bottom"/>
            <w:tcBorders>
              <w:bottom w:val="single" w:sz="8" w:color="2C2C2C"/>
            </w:tcBorders>
            <w:gridSpan w:val="4"/>
          </w:tcPr>
          <w:p>
            <w:pPr>
              <w:ind w:left="1080"/>
              <w:spacing w:after="0"/>
              <w:rPr>
                <w:sz w:val="20"/>
                <w:szCs w:val="20"/>
                <w:color w:val="auto"/>
              </w:rPr>
            </w:pPr>
            <w:r>
              <w:rPr>
                <w:rFonts w:ascii="Arial" w:cs="Arial" w:eastAsia="Arial" w:hAnsi="Arial"/>
                <w:sz w:val="17"/>
                <w:szCs w:val="17"/>
                <w:color w:val="0000FF"/>
              </w:rPr>
              <w:t>06/01/2020</w:t>
            </w:r>
          </w:p>
        </w:tc>
        <w:tc>
          <w:tcPr>
            <w:tcW w:w="800" w:type="dxa"/>
            <w:vAlign w:val="bottom"/>
            <w:tcBorders>
              <w:bottom w:val="single" w:sz="8" w:color="2C2C2C"/>
            </w:tcBorders>
            <w:gridSpan w:val="2"/>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rPr>
              <w:t>547</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40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jc w:val="center"/>
              <w:ind w:right="166"/>
              <w:spacing w:after="0"/>
              <w:rPr>
                <w:sz w:val="20"/>
                <w:szCs w:val="20"/>
                <w:color w:val="auto"/>
              </w:rPr>
            </w:pPr>
            <w:r>
              <w:rPr>
                <w:rFonts w:ascii="Arial" w:cs="Arial" w:eastAsia="Arial" w:hAnsi="Arial"/>
                <w:sz w:val="17"/>
                <w:szCs w:val="17"/>
                <w:color w:val="0000FF"/>
                <w:w w:val="93"/>
              </w:rPr>
              <w:t>5,378</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By Earnest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66"/>
              <w:spacing w:after="0"/>
              <w:rPr>
                <w:sz w:val="20"/>
                <w:szCs w:val="20"/>
                <w:color w:val="auto"/>
              </w:rPr>
            </w:pPr>
            <w:r>
              <w:rPr>
                <w:rFonts w:ascii="Arial" w:cs="Arial" w:eastAsia="Arial" w:hAnsi="Arial"/>
                <w:sz w:val="17"/>
                <w:szCs w:val="17"/>
                <w:color w:val="0000FF"/>
                <w:w w:val="84"/>
              </w:rPr>
              <w:t>74</w:t>
            </w:r>
          </w:p>
        </w:tc>
        <w:tc>
          <w:tcPr>
            <w:tcW w:w="700" w:type="dxa"/>
            <w:vAlign w:val="bottom"/>
          </w:tcPr>
          <w:p>
            <w:pPr>
              <w:ind w:left="420"/>
              <w:spacing w:after="0"/>
              <w:rPr>
                <w:sz w:val="20"/>
                <w:szCs w:val="20"/>
                <w:color w:val="auto"/>
              </w:rPr>
            </w:pPr>
            <w:r>
              <w:rPr>
                <w:rFonts w:ascii="Arial" w:cs="Arial" w:eastAsia="Arial" w:hAnsi="Arial"/>
                <w:sz w:val="17"/>
                <w:szCs w:val="17"/>
                <w:color w:val="0000FF"/>
              </w:rPr>
              <w:t>I</w:t>
            </w: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Institutional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By The</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PEV</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66"/>
              <w:spacing w:after="0"/>
              <w:rPr>
                <w:sz w:val="20"/>
                <w:szCs w:val="20"/>
                <w:color w:val="auto"/>
              </w:rPr>
            </w:pPr>
            <w:r>
              <w:rPr>
                <w:rFonts w:ascii="Arial" w:cs="Arial" w:eastAsia="Arial" w:hAnsi="Arial"/>
                <w:sz w:val="17"/>
                <w:szCs w:val="17"/>
                <w:color w:val="0000FF"/>
                <w:w w:val="92"/>
              </w:rPr>
              <w:t>75,000</w:t>
            </w:r>
          </w:p>
        </w:tc>
        <w:tc>
          <w:tcPr>
            <w:tcW w:w="700" w:type="dxa"/>
            <w:vAlign w:val="bottom"/>
          </w:tcPr>
          <w:p>
            <w:pPr>
              <w:ind w:left="420"/>
              <w:spacing w:after="0"/>
              <w:rPr>
                <w:sz w:val="20"/>
                <w:szCs w:val="20"/>
                <w:color w:val="auto"/>
              </w:rPr>
            </w:pPr>
            <w:r>
              <w:rPr>
                <w:rFonts w:ascii="Arial" w:cs="Arial" w:eastAsia="Arial" w:hAnsi="Arial"/>
                <w:sz w:val="17"/>
                <w:szCs w:val="17"/>
                <w:color w:val="0000FF"/>
              </w:rPr>
              <w:t>I</w:t>
            </w: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Revocable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Living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6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1360" w:type="dxa"/>
            <w:vAlign w:val="bottom"/>
            <w:tcBorders>
              <w:top w:val="single" w:sz="8" w:color="808080"/>
            </w:tcBorders>
            <w:shd w:val="clear" w:color="auto" w:fill="2C2C2C"/>
          </w:tcPr>
          <w:p>
            <w:pPr>
              <w:spacing w:after="0" w:line="20" w:lineRule="exact"/>
              <w:rPr>
                <w:sz w:val="1"/>
                <w:szCs w:val="1"/>
                <w:color w:val="auto"/>
              </w:rPr>
            </w:pPr>
          </w:p>
        </w:tc>
        <w:tc>
          <w:tcPr>
            <w:tcW w:w="18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3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-2393950</wp:posOffset>
            </wp:positionV>
            <wp:extent cx="7031355" cy="4171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171315"/>
                    </a:xfrm>
                    <a:prstGeom prst="rect">
                      <a:avLst/>
                    </a:prstGeom>
                    <a:noFill/>
                  </pic:spPr>
                </pic:pic>
              </a:graphicData>
            </a:graphic>
          </wp:anchor>
        </w:drawing>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acquisition of shares pursuant to a grant of restricted common stock pursuant to the Director compensation program (the "Program") and the Issuer's 2017 Stock Incentive Plan (the "Stock Plan"). Includes 392 shares of restricted stock that vest on the first anniversary of the Pricing Date (as defined below) and 155 shares of common stock granted in lieu of cash compensation at the election of the Reporting Person, which shares were fully vested upon grant. As provided by the terms of the Program and the Stock Plan, (i) the grant date was June 1, 2020; and (ii) the number of shares were determined based on the dollar value of the award and the average of the closing prices of the common stock on the ten trading days prior to June 1, 2020 (the "Pricing Date"), the fifth trading day following the filing of the Issuer's Annual Report on Form 10-K.</w:t>
      </w:r>
    </w:p>
    <w:p>
      <w:pPr>
        <w:spacing w:after="0" w:line="29" w:lineRule="exact"/>
        <w:rPr>
          <w:rFonts w:ascii="Arial" w:cs="Arial" w:eastAsia="Arial" w:hAnsi="Arial"/>
          <w:sz w:val="13"/>
          <w:szCs w:val="13"/>
          <w:color w:val="008000"/>
        </w:rPr>
      </w:pPr>
    </w:p>
    <w:p>
      <w:pPr>
        <w:ind w:left="40" w:right="24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74 shares of Common Stock held directly by Earnest Institutional LLC, an affiliate of Earnest Partners LLC, of which Mr. Viera is a partner and the Chief Executive Officer (such securities are not held individually by Mr. Viera). Mr. Viera disclaims beneficial ownership of the securities held by Earnest Institutional LLC except to the extent of his pecuniary interest therein.</w:t>
      </w: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75,000 shares of Common Stock held by The PEV Revocable Living Trust (such securities are indirectly held by Mr. Viera).</w:t>
      </w:r>
    </w:p>
    <w:p>
      <w:pPr>
        <w:spacing w:after="0" w:line="4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Aaron Diamond,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06/03/2020</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 for Mr. Paul Viera</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1087" TargetMode="External"/><Relationship Id="rId14"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2020-06-03T16:11:34Z</dcterms:created>
  <dcterms:modified xsi:type="dcterms:W3CDTF">2020-06-03T16:11:34Z</dcterms:modified>
</cp:coreProperties>
</file>