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204470</wp:posOffset>
            </wp:positionH>
            <wp:positionV relativeFrom="page">
              <wp:posOffset>217805</wp:posOffset>
            </wp:positionV>
            <wp:extent cx="714057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250190</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30"/>
          <w:szCs w:val="30"/>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170" w:lineRule="exact"/>
        <w:rPr>
          <w:sz w:val="24"/>
          <w:szCs w:val="24"/>
          <w:color w:val="auto"/>
        </w:rPr>
      </w:pPr>
    </w:p>
    <w:p>
      <w:pPr>
        <w:jc w:val="center"/>
        <w:ind w:right="-119"/>
        <w:spacing w:after="0"/>
        <w:rPr>
          <w:sz w:val="20"/>
          <w:szCs w:val="20"/>
          <w:color w:val="auto"/>
        </w:rPr>
      </w:pPr>
      <w:r>
        <w:rPr>
          <w:rFonts w:ascii="Arial" w:cs="Arial" w:eastAsia="Arial" w:hAnsi="Arial"/>
          <w:sz w:val="30"/>
          <w:szCs w:val="30"/>
          <w:b w:val="1"/>
          <w:bCs w:val="1"/>
          <w:color w:val="auto"/>
        </w:rPr>
        <w:t>FORM 8-K</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CURRENT REPORT</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July 30, 2021</w:t>
      </w:r>
    </w:p>
    <w:p>
      <w:pPr>
        <w:spacing w:after="0" w:line="188" w:lineRule="exact"/>
        <w:rPr>
          <w:sz w:val="24"/>
          <w:szCs w:val="24"/>
          <w:color w:val="auto"/>
        </w:rPr>
      </w:pPr>
    </w:p>
    <w:p>
      <w:pPr>
        <w:jc w:val="center"/>
        <w:ind w:right="-119"/>
        <w:spacing w:after="0"/>
        <w:rPr>
          <w:sz w:val="20"/>
          <w:szCs w:val="20"/>
          <w:color w:val="auto"/>
        </w:rPr>
      </w:pPr>
      <w:r>
        <w:rPr>
          <w:rFonts w:ascii="Arial" w:cs="Arial" w:eastAsia="Arial" w:hAnsi="Arial"/>
          <w:sz w:val="30"/>
          <w:szCs w:val="30"/>
          <w:b w:val="1"/>
          <w:bCs w:val="1"/>
          <w:color w:val="auto"/>
        </w:rPr>
        <w:t>TAKE-TWO INTERACTIVE SOFTWARE, INC.</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120"/>
          </w:cols>
          <w:pgMar w:left="320" w:top="621" w:right="459" w:bottom="1440" w:gutter="0" w:footer="0" w:header="0"/>
        </w:sectPr>
      </w:pPr>
    </w:p>
    <w:p>
      <w:pPr>
        <w:spacing w:after="0" w:line="218"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Delaware</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5"/>
          <w:szCs w:val="15"/>
          <w:color w:val="auto"/>
        </w:rPr>
        <w:t>(State or other jurisdiction</w:t>
      </w:r>
    </w:p>
    <w:p>
      <w:pPr>
        <w:spacing w:after="0" w:line="31" w:lineRule="exact"/>
        <w:rPr>
          <w:sz w:val="24"/>
          <w:szCs w:val="24"/>
          <w:color w:val="auto"/>
        </w:rPr>
      </w:pPr>
    </w:p>
    <w:p>
      <w:pPr>
        <w:ind w:left="128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960"/>
        <w:spacing w:after="0"/>
        <w:rPr>
          <w:sz w:val="20"/>
          <w:szCs w:val="20"/>
          <w:color w:val="auto"/>
        </w:rPr>
      </w:pPr>
      <w:r>
        <w:rPr>
          <w:rFonts w:ascii="Arial" w:cs="Arial" w:eastAsia="Arial" w:hAnsi="Arial"/>
          <w:sz w:val="17"/>
          <w:szCs w:val="17"/>
          <w:b w:val="1"/>
          <w:bCs w:val="1"/>
          <w:color w:val="auto"/>
        </w:rPr>
        <w:t>001-34003</w:t>
      </w:r>
    </w:p>
    <w:p>
      <w:pPr>
        <w:spacing w:after="0" w:line="23" w:lineRule="exact"/>
        <w:rPr>
          <w:sz w:val="24"/>
          <w:szCs w:val="24"/>
          <w:color w:val="auto"/>
        </w:rPr>
      </w:pPr>
    </w:p>
    <w:p>
      <w:pPr>
        <w:jc w:val="center"/>
        <w:ind w:right="1960"/>
        <w:spacing w:after="0"/>
        <w:rPr>
          <w:sz w:val="20"/>
          <w:szCs w:val="20"/>
          <w:color w:val="auto"/>
        </w:rPr>
      </w:pPr>
      <w:r>
        <w:rPr>
          <w:rFonts w:ascii="Arial" w:cs="Arial" w:eastAsia="Arial" w:hAnsi="Arial"/>
          <w:sz w:val="15"/>
          <w:szCs w:val="15"/>
          <w:color w:val="auto"/>
        </w:rPr>
        <w:t>(Commission</w:t>
      </w:r>
    </w:p>
    <w:p>
      <w:pPr>
        <w:spacing w:after="0" w:line="31" w:lineRule="exact"/>
        <w:rPr>
          <w:sz w:val="24"/>
          <w:szCs w:val="24"/>
          <w:color w:val="auto"/>
        </w:rPr>
      </w:pPr>
    </w:p>
    <w:p>
      <w:pPr>
        <w:jc w:val="center"/>
        <w:ind w:right="196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51-0350842</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(IRS Employer</w:t>
      </w:r>
    </w:p>
    <w:p>
      <w:pPr>
        <w:spacing w:after="0" w:line="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Identification No.)</w:t>
      </w:r>
    </w:p>
    <w:p>
      <w:pPr>
        <w:spacing w:after="0" w:line="206" w:lineRule="exact"/>
        <w:rPr>
          <w:sz w:val="24"/>
          <w:szCs w:val="24"/>
          <w:color w:val="auto"/>
        </w:rPr>
      </w:pPr>
    </w:p>
    <w:p>
      <w:pPr>
        <w:sectPr>
          <w:pgSz w:w="11900" w:h="16838" w:orient="portrait"/>
          <w:cols w:equalWidth="0" w:num="3">
            <w:col w:w="4460" w:space="720"/>
            <w:col w:w="2860" w:space="720"/>
            <w:col w:w="2360"/>
          </w:cols>
          <w:pgMar w:left="320" w:top="621" w:right="459" w:bottom="1440" w:gutter="0" w:footer="0" w:header="0"/>
          <w:type w:val="continuous"/>
        </w:sectPr>
      </w:pPr>
    </w:p>
    <w:p>
      <w:pPr>
        <w:jc w:val="center"/>
        <w:ind w:right="1660"/>
        <w:spacing w:after="0"/>
        <w:rPr>
          <w:sz w:val="20"/>
          <w:szCs w:val="20"/>
          <w:color w:val="auto"/>
        </w:rPr>
      </w:pPr>
      <w:r>
        <w:rPr>
          <w:rFonts w:ascii="Arial" w:cs="Arial" w:eastAsia="Arial" w:hAnsi="Arial"/>
          <w:sz w:val="15"/>
          <w:szCs w:val="15"/>
          <w:b w:val="1"/>
          <w:bCs w:val="1"/>
          <w:color w:val="auto"/>
        </w:rPr>
        <w:t>110 West 44th Street, New York, New York</w:t>
      </w:r>
    </w:p>
    <w:p>
      <w:pPr>
        <w:spacing w:after="0" w:line="46" w:lineRule="exact"/>
        <w:rPr>
          <w:sz w:val="24"/>
          <w:szCs w:val="24"/>
          <w:color w:val="auto"/>
        </w:rPr>
      </w:pPr>
    </w:p>
    <w:p>
      <w:pPr>
        <w:jc w:val="center"/>
        <w:ind w:right="166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7"/>
          <w:szCs w:val="17"/>
          <w:b w:val="1"/>
          <w:bCs w:val="1"/>
          <w:color w:val="auto"/>
        </w:rPr>
        <w:t>10036</w:t>
      </w:r>
    </w:p>
    <w:p>
      <w:pPr>
        <w:spacing w:after="0" w:line="23" w:lineRule="exact"/>
        <w:rPr>
          <w:sz w:val="24"/>
          <w:szCs w:val="24"/>
          <w:color w:val="auto"/>
        </w:rPr>
      </w:pPr>
    </w:p>
    <w:p>
      <w:pPr>
        <w:jc w:val="center"/>
        <w:ind w:right="2260"/>
        <w:spacing w:after="0"/>
        <w:rPr>
          <w:sz w:val="20"/>
          <w:szCs w:val="20"/>
          <w:color w:val="auto"/>
        </w:rPr>
      </w:pPr>
      <w:r>
        <w:rPr>
          <w:rFonts w:ascii="Arial" w:cs="Arial" w:eastAsia="Arial" w:hAnsi="Arial"/>
          <w:sz w:val="15"/>
          <w:szCs w:val="15"/>
          <w:color w:val="auto"/>
        </w:rPr>
        <w:t>(Zip Code)</w:t>
      </w:r>
    </w:p>
    <w:p>
      <w:pPr>
        <w:spacing w:after="0" w:line="217" w:lineRule="exact"/>
        <w:rPr>
          <w:sz w:val="24"/>
          <w:szCs w:val="24"/>
          <w:color w:val="auto"/>
        </w:rPr>
      </w:pPr>
    </w:p>
    <w:p>
      <w:pPr>
        <w:sectPr>
          <w:pgSz w:w="11900" w:h="16838" w:orient="portrait"/>
          <w:cols w:equalWidth="0" w:num="2">
            <w:col w:w="7400" w:space="720"/>
            <w:col w:w="3000"/>
          </w:cols>
          <w:pgMar w:left="320" w:top="621"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(646) 536-2842</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11" w:lineRule="exact"/>
        <w:rPr>
          <w:sz w:val="24"/>
          <w:szCs w:val="24"/>
          <w:color w:val="auto"/>
        </w:rPr>
      </w:pPr>
    </w:p>
    <w:p>
      <w:pPr>
        <w:ind w:right="500"/>
        <w:spacing w:after="0" w:line="27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66"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1" w:lineRule="exact"/>
        <w:rPr>
          <w:sz w:val="24"/>
          <w:szCs w:val="24"/>
          <w:color w:val="auto"/>
        </w:rPr>
      </w:pPr>
    </w:p>
    <w:p>
      <w:pPr>
        <w:ind w:left="200" w:hanging="198"/>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1" w:lineRule="exact"/>
        <w:rPr>
          <w:sz w:val="24"/>
          <w:szCs w:val="24"/>
          <w:color w:val="auto"/>
        </w:rPr>
      </w:pPr>
    </w:p>
    <w:p>
      <w:pPr>
        <w:ind w:left="200" w:hanging="198"/>
        <w:spacing w:after="0"/>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0" w:lineRule="exact"/>
        <w:rPr>
          <w:rFonts w:ascii="MS PGothic" w:cs="MS PGothic" w:eastAsia="MS PGothic" w:hAnsi="MS PGothic"/>
          <w:sz w:val="17"/>
          <w:szCs w:val="17"/>
          <w:color w:val="auto"/>
        </w:rPr>
      </w:pPr>
    </w:p>
    <w:p>
      <w:pPr>
        <w:ind w:right="3360" w:firstLine="2"/>
        <w:spacing w:after="0" w:line="496" w:lineRule="auto"/>
        <w:tabs>
          <w:tab w:leader="none" w:pos="195"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219"/>
        </w:trPr>
        <w:tc>
          <w:tcPr>
            <w:tcW w:w="34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Title of each class</w:t>
            </w:r>
          </w:p>
        </w:tc>
        <w:tc>
          <w:tcPr>
            <w:tcW w:w="33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Trading Symbol</w:t>
            </w:r>
          </w:p>
        </w:tc>
        <w:tc>
          <w:tcPr>
            <w:tcW w:w="3320" w:type="dxa"/>
            <w:vAlign w:val="bottom"/>
          </w:tcPr>
          <w:p>
            <w:pPr>
              <w:jc w:val="center"/>
              <w:spacing w:after="0"/>
              <w:rPr>
                <w:sz w:val="20"/>
                <w:szCs w:val="20"/>
                <w:color w:val="auto"/>
              </w:rPr>
            </w:pPr>
            <w:r>
              <w:rPr>
                <w:rFonts w:ascii="Arial" w:cs="Arial" w:eastAsia="Arial" w:hAnsi="Arial"/>
                <w:sz w:val="17"/>
                <w:szCs w:val="17"/>
                <w:b w:val="1"/>
                <w:bCs w:val="1"/>
                <w:color w:val="auto"/>
                <w:w w:val="87"/>
              </w:rPr>
              <w:t>Name of each exchange on which registered</w:t>
            </w:r>
          </w:p>
        </w:tc>
      </w:tr>
      <w:tr>
        <w:trPr>
          <w:trHeight w:val="208"/>
        </w:trPr>
        <w:tc>
          <w:tcPr>
            <w:tcW w:w="33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$.01 par value</w:t>
            </w:r>
          </w:p>
        </w:tc>
        <w:tc>
          <w:tcPr>
            <w:tcW w:w="10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TTWO</w:t>
            </w:r>
          </w:p>
        </w:tc>
        <w:tc>
          <w:tcPr>
            <w:tcW w:w="100" w:type="dxa"/>
            <w:vAlign w:val="bottom"/>
          </w:tcPr>
          <w:p>
            <w:pPr>
              <w:spacing w:after="0"/>
              <w:rPr>
                <w:sz w:val="18"/>
                <w:szCs w:val="18"/>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NASDAQ Global Select Market</w:t>
            </w:r>
          </w:p>
        </w:tc>
      </w:tr>
    </w:tbl>
    <w:p>
      <w:pPr>
        <w:spacing w:after="0" w:line="179" w:lineRule="exact"/>
        <w:rPr>
          <w:sz w:val="24"/>
          <w:szCs w:val="24"/>
          <w:color w:val="auto"/>
        </w:rPr>
      </w:pPr>
    </w:p>
    <w:p>
      <w:pPr>
        <w:ind w:right="260"/>
        <w:spacing w:after="0" w:line="272"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165735</wp:posOffset>
            </wp:positionV>
            <wp:extent cx="7140575"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241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464185</wp:posOffset>
            </wp:positionV>
            <wp:extent cx="7140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120"/>
          </w:cols>
          <w:pgMar w:left="320" w:top="621" w:right="45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15" w:lineRule="exact"/>
        <w:rPr>
          <w:sz w:val="20"/>
          <w:szCs w:val="20"/>
          <w:color w:val="auto"/>
        </w:rPr>
      </w:pPr>
    </w:p>
    <w:p>
      <w:pPr>
        <w:ind w:right="280" w:firstLine="609"/>
        <w:spacing w:after="0" w:line="261" w:lineRule="auto"/>
        <w:rPr>
          <w:sz w:val="20"/>
          <w:szCs w:val="20"/>
          <w:color w:val="auto"/>
        </w:rPr>
      </w:pPr>
      <w:r>
        <w:rPr>
          <w:rFonts w:ascii="Arial" w:cs="Arial" w:eastAsia="Arial" w:hAnsi="Arial"/>
          <w:sz w:val="17"/>
          <w:szCs w:val="17"/>
          <w:color w:val="auto"/>
        </w:rPr>
        <w:t>Effective July 30, 2021, senior management and certain members of the Board of Directors of Take-Two Interactive Software, Inc. (the “Company”) will begin using the materials included in Exhibit 99.1 to this report (the “Investor Presentation”) in connection with presentations to existing shareholders of the Company.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Investor Presentation is incorporated into this Item 8.01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5" w:lineRule="exact"/>
        <w:rPr>
          <w:sz w:val="20"/>
          <w:szCs w:val="20"/>
          <w:color w:val="auto"/>
        </w:rPr>
      </w:pPr>
    </w:p>
    <w:p>
      <w:pPr>
        <w:ind w:firstLine="609"/>
        <w:spacing w:after="0" w:line="286" w:lineRule="auto"/>
        <w:rPr>
          <w:sz w:val="20"/>
          <w:szCs w:val="20"/>
          <w:color w:val="auto"/>
        </w:rPr>
      </w:pPr>
      <w:r>
        <w:rPr>
          <w:rFonts w:ascii="Arial" w:cs="Arial" w:eastAsia="Arial" w:hAnsi="Arial"/>
          <w:sz w:val="15"/>
          <w:szCs w:val="15"/>
          <w:i w:val="1"/>
          <w:iCs w:val="1"/>
          <w:color w:val="auto"/>
        </w:rPr>
        <w:t>The statements contained in the Investor Presentation in Exhibit 99.1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 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including as the situation with the pandemic continues to evolve;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NBA 2K and Grand Theft Auto products and our ability to develop other hit titles; our ability to leverage opportunities on PlayStation 5 and Xbox Series X; the timely release and significant market acceptance of our games; the ability to maintain acceptable pricing levels on our games; and risks associated with international operations. Other important factors and information are contained in the Company’s most recent Annual Report on Form 10-K, including the risks summarized in the section entitled “Risk Factors,” and the Company’s other periodic filings with the SEC, which can be accessed at www.take2games.com. All forward-looking statements are qualified by these cautionary statements and apply only as of the date they are made. The Company undertakes no obligation to update any forward- looking statement, whether as a result of new information, future events or otherwise.</w:t>
      </w:r>
    </w:p>
    <w:p>
      <w:pPr>
        <w:spacing w:after="0" w:line="363"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5" w:lineRule="exact"/>
        <w:rPr>
          <w:sz w:val="20"/>
          <w:szCs w:val="20"/>
          <w:color w:val="auto"/>
        </w:rPr>
      </w:pPr>
    </w:p>
    <w:p>
      <w:pPr>
        <w:ind w:left="1240" w:hanging="62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Exhibits:</w:t>
      </w:r>
    </w:p>
    <w:p>
      <w:pPr>
        <w:spacing w:after="0" w:line="210" w:lineRule="exact"/>
        <w:rPr>
          <w:rFonts w:ascii="Arial" w:cs="Arial" w:eastAsia="Arial" w:hAnsi="Arial"/>
          <w:sz w:val="17"/>
          <w:szCs w:val="17"/>
          <w:color w:val="auto"/>
        </w:rPr>
      </w:pPr>
    </w:p>
    <w:p>
      <w:pPr>
        <w:ind w:left="1220"/>
        <w:spacing w:after="0"/>
        <w:rPr>
          <w:rFonts w:ascii="Arial" w:cs="Arial" w:eastAsia="Arial" w:hAnsi="Arial"/>
          <w:sz w:val="15"/>
          <w:szCs w:val="15"/>
          <w:u w:val="single" w:color="auto"/>
          <w:color w:val="0000EE"/>
        </w:rPr>
      </w:pPr>
      <w:hyperlink w:anchor="page4">
        <w:r>
          <w:rPr>
            <w:rFonts w:ascii="Arial" w:cs="Arial" w:eastAsia="Arial" w:hAnsi="Arial"/>
            <w:sz w:val="17"/>
            <w:szCs w:val="17"/>
            <w:u w:val="single" w:color="auto"/>
            <w:color w:val="0000EE"/>
          </w:rPr>
          <w:t>99.1</w:t>
        </w:r>
      </w:hyperlink>
      <w:hyperlink w:anchor="page4">
        <w:r>
          <w:rPr>
            <w:rFonts w:ascii="Arial" w:cs="Arial" w:eastAsia="Arial" w:hAnsi="Arial"/>
            <w:sz w:val="15"/>
            <w:szCs w:val="15"/>
            <w:u w:val="single" w:color="auto"/>
            <w:color w:val="0000EE"/>
          </w:rPr>
          <w:t>Investor presentation materials to be used beginning July 30, 2021.</w:t>
        </w:r>
      </w:hyperlink>
    </w:p>
    <w:p>
      <w:pPr>
        <w:spacing w:after="0" w:line="19" w:lineRule="exact"/>
        <w:rPr>
          <w:rFonts w:ascii="Arial" w:cs="Arial" w:eastAsia="Arial" w:hAnsi="Arial"/>
          <w:sz w:val="15"/>
          <w:szCs w:val="15"/>
          <w:u w:val="single" w:color="auto"/>
          <w:color w:val="0000EE"/>
        </w:rPr>
      </w:pPr>
    </w:p>
    <w:p>
      <w:pPr>
        <w:ind w:left="1220"/>
        <w:spacing w:after="0"/>
        <w:rPr>
          <w:rFonts w:ascii="Arial" w:cs="Arial" w:eastAsia="Arial" w:hAnsi="Arial"/>
          <w:sz w:val="15"/>
          <w:szCs w:val="15"/>
          <w:u w:val="single" w:color="auto"/>
          <w:color w:val="0000EE"/>
        </w:rPr>
      </w:pPr>
      <w:r>
        <w:rPr>
          <w:rFonts w:ascii="Arial" w:cs="Arial" w:eastAsia="Arial" w:hAnsi="Arial"/>
          <w:sz w:val="17"/>
          <w:szCs w:val="17"/>
          <w:color w:val="auto"/>
        </w:rPr>
        <w:t>104</w:t>
      </w:r>
      <w:r>
        <w:rPr>
          <w:rFonts w:ascii="Arial" w:cs="Arial" w:eastAsia="Arial" w:hAnsi="Arial"/>
          <w:sz w:val="15"/>
          <w:szCs w:val="15"/>
          <w:color w:val="auto"/>
        </w:rPr>
        <w:t>Cover Page Interactive Data File (embedded within the Inline XBRL document)</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7"/>
          <w:szCs w:val="17"/>
          <w:color w:val="auto"/>
        </w:rPr>
        <w:t>SIGNATURES</w:t>
      </w:r>
    </w:p>
    <w:p>
      <w:pPr>
        <w:spacing w:after="0" w:line="211" w:lineRule="exact"/>
        <w:rPr>
          <w:sz w:val="20"/>
          <w:szCs w:val="20"/>
          <w:color w:val="auto"/>
        </w:rPr>
      </w:pPr>
    </w:p>
    <w:p>
      <w:pPr>
        <w:ind w:firstLine="609"/>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TAKE-TWO INTERACTIVE SOFTWARE, INC.</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 /s/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12700</wp:posOffset>
            </wp:positionV>
            <wp:extent cx="335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2800"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Matthew Breitman</w:t>
      </w:r>
    </w:p>
    <w:p>
      <w:pPr>
        <w:spacing w:after="0" w:line="1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General Counsel Americas &amp; Corporate Secretary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Date: July 30, 2021</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140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3" w:name="page4"/>
    <w:bookmarkEnd w:id="3"/>
    <w:p>
      <w:pPr>
        <w:ind w:left="926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174625</wp:posOffset>
            </wp:positionV>
            <wp:extent cx="6890385" cy="5488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5488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0385" cy="5488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2021-07-30T16:28:04Z</dcterms:created>
  <dcterms:modified xsi:type="dcterms:W3CDTF">2021-07-30T16:28:04Z</dcterms:modified>
</cp:coreProperties>
</file>