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HERNANDEZ ROLAND A</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08/11/2020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08/11/2020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436</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2,281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Includes 318 shares of restricted stock that vest on the first anniversary of the Pricing Date (as defined below) and 118 shares of common stock granted in lieu of cash compensation at the election of the Reporting Person, which shares were fully vested upon grant. As provided by the terms of the Program and the Stock Plan, (i) the grant date was August 11, 2020; and (ii) the number of shares were determined based on the dollar value of the award and the average of the closing prices of the common stock on the ten trading days prior to August 11, 2020 (the "Pricing Date"), the fifth trading day following the filing of the Issuer's Quarterly Report on Form 10-Q.</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Mr. Roland A.</w:t>
      </w:r>
      <w:r>
        <w:rPr>
          <w:sz w:val="20"/>
          <w:szCs w:val="20"/>
          <w:color w:val="auto"/>
        </w:rPr>
        <w:tab/>
      </w:r>
      <w:r>
        <w:rPr>
          <w:rFonts w:ascii="Arial" w:cs="Arial" w:eastAsia="Arial" w:hAnsi="Arial"/>
          <w:sz w:val="15"/>
          <w:szCs w:val="15"/>
          <w:color w:val="0000FF"/>
        </w:rPr>
        <w:t>08/12/2020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4703"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2020-08-12T17:05:47Z</dcterms:created>
  <dcterms:modified xsi:type="dcterms:W3CDTF">2020-08-12T17:05:47Z</dcterms:modified>
</cp:coreProperties>
</file>