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18,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646" w:right="239" w:bottom="1440" w:gutter="0" w:footer="0" w:header="0"/>
        </w:sectPr>
      </w:pPr>
    </w:p>
    <w:p>
      <w:pPr>
        <w:spacing w:after="0" w:line="22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001-34003</w:t>
      </w:r>
    </w:p>
    <w:p>
      <w:pPr>
        <w:spacing w:after="0" w:line="3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51-0350842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2920" w:space="720"/>
            <w:col w:w="2540"/>
          </w:cols>
          <w:pgMar w:left="240" w:top="646" w:right="239" w:bottom="1440" w:gutter="0" w:footer="0" w:header="0"/>
          <w:type w:val="continuous"/>
        </w:sectPr>
      </w:pPr>
    </w:p>
    <w:p>
      <w:pPr>
        <w:spacing w:after="0" w:line="257"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110 West 44th Street New York, New York</w:t>
      </w:r>
    </w:p>
    <w:p>
      <w:pPr>
        <w:spacing w:after="0" w:line="4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646"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Former Name or Address, if changed since last report: </w:t>
      </w:r>
      <w:r>
        <w:rPr>
          <w:rFonts w:ascii="Times New Roman" w:cs="Times New Roman" w:eastAsia="Times New Roman" w:hAnsi="Times New Roman"/>
          <w:sz w:val="18"/>
          <w:szCs w:val="18"/>
          <w:b w:val="1"/>
          <w:bCs w:val="1"/>
          <w:color w:val="auto"/>
        </w:rPr>
        <w:t>N/A</w:t>
      </w:r>
    </w:p>
    <w:p>
      <w:pPr>
        <w:spacing w:after="0" w:line="22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60" w:firstLine="8"/>
        <w:spacing w:after="0" w:line="51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TTWO</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firstLine="495"/>
        <w:spacing w:after="0" w:line="261" w:lineRule="auto"/>
        <w:rPr>
          <w:sz w:val="20"/>
          <w:szCs w:val="20"/>
          <w:color w:val="auto"/>
        </w:rPr>
      </w:pPr>
      <w:r>
        <w:rPr>
          <w:rFonts w:ascii="Times New Roman" w:cs="Times New Roman" w:eastAsia="Times New Roman" w:hAnsi="Times New Roman"/>
          <w:sz w:val="18"/>
          <w:szCs w:val="18"/>
          <w:color w:val="auto"/>
        </w:rPr>
        <w:t>On September 18, 2019, Take-Two Interactive Software, Inc. (the “Company”) held its annual meeting of stockholders (the “Annual Meeting”) in New York, New York. As of the record date for the Annual Meeting, the Company had 113,178,028 shares of its common stock, par value $0.01 per share (the “Common Stock”), issued and outstanding. At the Annual Meeting, 99,429,547 shares of Common Stock were represented in person or by proxy. The following matters were submitted to a vote of the stockholders at the Annual Meeting.</w:t>
      </w:r>
    </w:p>
    <w:p>
      <w:pPr>
        <w:spacing w:after="0" w:line="180" w:lineRule="exact"/>
        <w:rPr>
          <w:sz w:val="20"/>
          <w:szCs w:val="20"/>
          <w:color w:val="auto"/>
        </w:rPr>
      </w:pPr>
    </w:p>
    <w:p>
      <w:pPr>
        <w:ind w:right="220" w:firstLine="503"/>
        <w:spacing w:after="0" w:line="282" w:lineRule="auto"/>
        <w:tabs>
          <w:tab w:leader="none" w:pos="1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regarding the election of the persons named below as directors for a term expiring at the annual meeting of stockholders in 2020 and until their respective successors have been duly elected and qualified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Strauss Zelnick</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87,014,463</w:t>
            </w:r>
          </w:p>
        </w:tc>
        <w:tc>
          <w:tcPr>
            <w:tcW w:w="220" w:type="dxa"/>
            <w:vAlign w:val="bottom"/>
          </w:tcPr>
          <w:p>
            <w:pPr>
              <w:spacing w:after="0"/>
              <w:rPr>
                <w:sz w:val="16"/>
                <w:szCs w:val="16"/>
                <w:color w:val="auto"/>
              </w:rPr>
            </w:pPr>
          </w:p>
        </w:tc>
        <w:tc>
          <w:tcPr>
            <w:tcW w:w="1840" w:type="dxa"/>
            <w:vAlign w:val="bottom"/>
            <w:tcBorders>
              <w:top w:val="single" w:sz="8" w:color="auto"/>
            </w:tcBorders>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4,177,822</w:t>
            </w:r>
          </w:p>
        </w:tc>
        <w:tc>
          <w:tcPr>
            <w:tcW w:w="2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67,184</w:t>
            </w:r>
          </w:p>
        </w:tc>
        <w:tc>
          <w:tcPr>
            <w:tcW w:w="2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Michael Dornemann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89,766,620</w:t>
            </w:r>
          </w:p>
        </w:tc>
        <w:tc>
          <w:tcPr>
            <w:tcW w:w="22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1,424,103</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68,746</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Roland Hernandez</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83,704,374</w:t>
            </w:r>
          </w:p>
        </w:tc>
        <w:tc>
          <w:tcPr>
            <w:tcW w:w="22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7,485,892</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69,203</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 Moses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89,451,239</w:t>
            </w:r>
          </w:p>
        </w:tc>
        <w:tc>
          <w:tcPr>
            <w:tcW w:w="22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1,739,226</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69,004</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Michael Sheresky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89,211,892</w:t>
            </w:r>
          </w:p>
        </w:tc>
        <w:tc>
          <w:tcPr>
            <w:tcW w:w="22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1,978,768</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68,809</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LaVerne Srinivasan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91,153,460</w:t>
            </w:r>
          </w:p>
        </w:tc>
        <w:tc>
          <w:tcPr>
            <w:tcW w:w="22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37,718</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68,291</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Susan Tolson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90,503,700</w:t>
            </w:r>
          </w:p>
        </w:tc>
        <w:tc>
          <w:tcPr>
            <w:tcW w:w="22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688,475</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67,294</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Paul Viera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91,115,467</w:t>
            </w:r>
          </w:p>
        </w:tc>
        <w:tc>
          <w:tcPr>
            <w:tcW w:w="220" w:type="dxa"/>
            <w:vAlign w:val="bottom"/>
          </w:tcPr>
          <w:p>
            <w:pPr>
              <w:spacing w:after="0"/>
              <w:rPr>
                <w:sz w:val="20"/>
                <w:szCs w:val="20"/>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75,058</w:t>
            </w:r>
          </w:p>
        </w:tc>
        <w:tc>
          <w:tcPr>
            <w:tcW w:w="2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68,944</w:t>
            </w:r>
          </w:p>
        </w:tc>
        <w:tc>
          <w:tcPr>
            <w:tcW w:w="2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8,170,078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495"/>
        <w:spacing w:after="0" w:line="261" w:lineRule="auto"/>
        <w:rPr>
          <w:sz w:val="20"/>
          <w:szCs w:val="20"/>
          <w:color w:val="auto"/>
        </w:rPr>
      </w:pPr>
      <w:r>
        <w:rPr>
          <w:rFonts w:ascii="Times New Roman" w:cs="Times New Roman" w:eastAsia="Times New Roman" w:hAnsi="Times New Roman"/>
          <w:sz w:val="18"/>
          <w:szCs w:val="18"/>
          <w:color w:val="auto"/>
        </w:rPr>
        <w:t>Based on the votes set forth above, the foregoing persons were duly elected to serve as directors, for a term expiring at the annual meeting of stockholders in 2020 and until their respective successors have been duly elected and qualified. In addition, the election of Mr. Roland Hernandez marks the beginning of his service on the Company’s Board of Directors. Following his election to the Board of Directors, also on September 18, 2019, the Company’s Board of Directors appointed Mr. Hernandez as a member of its Compensation Committee.</w:t>
      </w:r>
    </w:p>
    <w:p>
      <w:pPr>
        <w:spacing w:after="0" w:line="396" w:lineRule="exact"/>
        <w:rPr>
          <w:sz w:val="20"/>
          <w:szCs w:val="20"/>
          <w:color w:val="auto"/>
        </w:rPr>
      </w:pPr>
    </w:p>
    <w:p>
      <w:pPr>
        <w:ind w:left="1220" w:hanging="717"/>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votes regarding the approval of the compensation of the named executive officers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52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86,543,345</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4,600,536</w:t>
            </w:r>
          </w:p>
        </w:tc>
        <w:tc>
          <w:tcPr>
            <w:tcW w:w="220" w:type="dxa"/>
            <w:vAlign w:val="bottom"/>
          </w:tcPr>
          <w:p>
            <w:pPr>
              <w:spacing w:after="0"/>
              <w:rPr>
                <w:sz w:val="19"/>
                <w:szCs w:val="19"/>
                <w:color w:val="auto"/>
              </w:rPr>
            </w:pPr>
          </w:p>
        </w:tc>
        <w:tc>
          <w:tcPr>
            <w:tcW w:w="274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115,588</w:t>
            </w:r>
          </w:p>
        </w:tc>
        <w:tc>
          <w:tcPr>
            <w:tcW w:w="240" w:type="dxa"/>
            <w:vAlign w:val="bottom"/>
          </w:tcPr>
          <w:p>
            <w:pPr>
              <w:spacing w:after="0"/>
              <w:rPr>
                <w:sz w:val="19"/>
                <w:szCs w:val="19"/>
                <w:color w:val="auto"/>
              </w:rPr>
            </w:pPr>
          </w:p>
        </w:tc>
        <w:tc>
          <w:tcPr>
            <w:tcW w:w="27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8,170,078</w:t>
            </w:r>
          </w:p>
        </w:tc>
      </w:tr>
    </w:tbl>
    <w:p>
      <w:pPr>
        <w:spacing w:after="0" w:line="179" w:lineRule="exact"/>
        <w:rPr>
          <w:sz w:val="20"/>
          <w:szCs w:val="20"/>
          <w:color w:val="auto"/>
        </w:rPr>
      </w:pPr>
    </w:p>
    <w:p>
      <w:pPr>
        <w:ind w:right="600" w:firstLine="495"/>
        <w:spacing w:after="0" w:line="282" w:lineRule="auto"/>
        <w:rPr>
          <w:sz w:val="20"/>
          <w:szCs w:val="20"/>
          <w:color w:val="auto"/>
        </w:rPr>
      </w:pPr>
      <w:r>
        <w:rPr>
          <w:rFonts w:ascii="Times New Roman" w:cs="Times New Roman" w:eastAsia="Times New Roman" w:hAnsi="Times New Roman"/>
          <w:sz w:val="18"/>
          <w:szCs w:val="18"/>
          <w:color w:val="auto"/>
        </w:rPr>
        <w:t>Based on the advisory votes set forth above, the compensation of the named executive officers was duly approved, on an advisory basis, by our stockholders.</w:t>
      </w:r>
    </w:p>
    <w:p>
      <w:pPr>
        <w:spacing w:after="0" w:line="162" w:lineRule="exact"/>
        <w:rPr>
          <w:sz w:val="20"/>
          <w:szCs w:val="20"/>
          <w:color w:val="auto"/>
        </w:rPr>
      </w:pPr>
    </w:p>
    <w:p>
      <w:pPr>
        <w:ind w:right="280" w:firstLine="500"/>
        <w:spacing w:after="0" w:line="282" w:lineRule="auto"/>
        <w:tabs>
          <w:tab w:leader="none" w:pos="12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regarding ratification of the appointment of Ernst &amp; Young LLP as independent auditors of the Company to serve for the fiscal year ending March 31, 2020,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52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96,892,562</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2,438,377</w:t>
            </w:r>
          </w:p>
        </w:tc>
        <w:tc>
          <w:tcPr>
            <w:tcW w:w="220" w:type="dxa"/>
            <w:vAlign w:val="bottom"/>
          </w:tcPr>
          <w:p>
            <w:pPr>
              <w:spacing w:after="0"/>
              <w:rPr>
                <w:sz w:val="19"/>
                <w:szCs w:val="19"/>
                <w:color w:val="auto"/>
              </w:rPr>
            </w:pPr>
          </w:p>
        </w:tc>
        <w:tc>
          <w:tcPr>
            <w:tcW w:w="27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98,608</w:t>
            </w:r>
          </w:p>
        </w:tc>
        <w:tc>
          <w:tcPr>
            <w:tcW w:w="240" w:type="dxa"/>
            <w:vAlign w:val="bottom"/>
          </w:tcPr>
          <w:p>
            <w:pPr>
              <w:spacing w:after="0"/>
              <w:rPr>
                <w:sz w:val="19"/>
                <w:szCs w:val="19"/>
                <w:color w:val="auto"/>
              </w:rPr>
            </w:pPr>
          </w:p>
        </w:tc>
        <w:tc>
          <w:tcPr>
            <w:tcW w:w="272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100" w:firstLine="495"/>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appointment of Ernst &amp; Young LLP as independent auditors of the Company to serve for the fiscal year ending March 31, 2020 was duly ratified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Breitman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Senior Vice President, General Counsel Americas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20"/>
      </w:cols>
      <w:pgMar w:left="24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2019-12-05T00:44:11Z</dcterms:created>
  <dcterms:modified xsi:type="dcterms:W3CDTF">2019-12-05T00:44:11Z</dcterms:modified>
</cp:coreProperties>
</file>