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52" w:right="339" w:bottom="1440" w:gutter="0" w:footer="0" w:header="0"/>
          <w:type w:val="continuous"/>
        </w:sectPr>
      </w:pPr>
    </w:p>
    <w:p>
      <w:pPr>
        <w:spacing w:after="0" w:line="250"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On May 18, 2021, Take-Two Interactive Software, Inc. (the “Company”) issued a press release announcing the financial results of the Company for its fourth fiscal quarter and fiscal year ended March 31, 2021. A copy of the press release is attached to this Current Report as Exhibit 99.1 and is incorporated by reference herein.</w:t>
      </w:r>
    </w:p>
    <w:p>
      <w:pPr>
        <w:spacing w:after="0" w:line="18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60" w:hanging="648"/>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hyperlink w:anchor="page4">
        <w:r>
          <w:rPr>
            <w:rFonts w:ascii="Arial" w:cs="Arial" w:eastAsia="Arial" w:hAnsi="Arial"/>
            <w:sz w:val="18"/>
            <w:szCs w:val="18"/>
            <w:u w:val="single" w:color="auto"/>
            <w:color w:val="0000EE"/>
          </w:rPr>
          <w:t>Press Release dated May 18, 2021 relating to Take-Two Interactive Software, Inc.’s financial results for its fourth fiscal quarter</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and fiscal year ended March 31, 2021.</w:t>
        </w:r>
      </w:hyperlink>
    </w:p>
    <w:p>
      <w:pPr>
        <w:spacing w:after="0" w:line="170" w:lineRule="exact"/>
        <w:rPr>
          <w:rFonts w:ascii="Arial" w:cs="Arial" w:eastAsia="Arial" w:hAnsi="Arial"/>
          <w:sz w:val="18"/>
          <w:szCs w:val="18"/>
          <w:u w:val="single" w:color="auto"/>
          <w:color w:val="0000EE"/>
        </w:rPr>
      </w:pPr>
    </w:p>
    <w:p>
      <w:pPr>
        <w:ind w:left="1300"/>
        <w:spacing w:after="0"/>
        <w:rPr>
          <w:rFonts w:ascii="Arial" w:cs="Arial" w:eastAsia="Arial" w:hAnsi="Arial"/>
          <w:sz w:val="18"/>
          <w:szCs w:val="18"/>
          <w:u w:val="single" w:color="auto"/>
          <w:color w:val="0000EE"/>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Matthew Breitman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General Counsel Americas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&amp;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2021</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85875" cy="1019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3200" w:type="dxa"/>
            <w:vAlign w:val="bottom"/>
            <w:gridSpan w:val="2"/>
          </w:tcPr>
          <w:p>
            <w:pPr>
              <w:spacing w:after="0"/>
              <w:rPr>
                <w:sz w:val="20"/>
                <w:szCs w:val="20"/>
                <w:color w:val="auto"/>
              </w:rPr>
            </w:pPr>
            <w:r>
              <w:rPr>
                <w:rFonts w:ascii="Arial" w:cs="Arial" w:eastAsia="Arial" w:hAnsi="Arial"/>
                <w:sz w:val="18"/>
                <w:szCs w:val="18"/>
                <w:color w:val="auto"/>
              </w:rPr>
              <w:t>FOR IMMEDIATE RELEASE</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3200" w:type="dxa"/>
            <w:vAlign w:val="bottom"/>
            <w:gridSpan w:val="2"/>
          </w:tcPr>
          <w:p>
            <w:pPr>
              <w:spacing w:after="0"/>
              <w:rPr>
                <w:sz w:val="20"/>
                <w:szCs w:val="20"/>
                <w:color w:val="auto"/>
              </w:rPr>
            </w:pPr>
            <w:r>
              <w:rPr>
                <w:rFonts w:ascii="Arial" w:cs="Arial" w:eastAsia="Arial" w:hAnsi="Arial"/>
                <w:sz w:val="18"/>
                <w:szCs w:val="18"/>
                <w:color w:val="auto"/>
              </w:rPr>
              <w:t>(Corporate Press)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Nicole Shevins</w:t>
            </w:r>
          </w:p>
        </w:tc>
        <w:tc>
          <w:tcPr>
            <w:tcW w:w="3200" w:type="dxa"/>
            <w:vAlign w:val="bottom"/>
            <w:gridSpan w:val="2"/>
          </w:tcPr>
          <w:p>
            <w:pPr>
              <w:spacing w:after="0"/>
              <w:rPr>
                <w:sz w:val="20"/>
                <w:szCs w:val="20"/>
                <w:color w:val="auto"/>
              </w:rPr>
            </w:pPr>
            <w:r>
              <w:rPr>
                <w:rFonts w:ascii="Arial" w:cs="Arial" w:eastAsia="Arial" w:hAnsi="Arial"/>
                <w:sz w:val="18"/>
                <w:szCs w:val="18"/>
                <w:color w:val="auto"/>
              </w:rPr>
              <w:t>Alan Lewis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32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562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3200" w:type="dxa"/>
            <w:vAlign w:val="bottom"/>
            <w:gridSpan w:val="2"/>
          </w:tcPr>
          <w:p>
            <w:pPr>
              <w:spacing w:after="0"/>
              <w:rPr>
                <w:sz w:val="20"/>
                <w:szCs w:val="20"/>
                <w:color w:val="auto"/>
              </w:rPr>
            </w:pPr>
            <w:r>
              <w:rPr>
                <w:rFonts w:ascii="Arial" w:cs="Arial" w:eastAsia="Arial" w:hAnsi="Arial"/>
                <w:sz w:val="18"/>
                <w:szCs w:val="18"/>
                <w:color w:val="auto"/>
                <w:w w:val="93"/>
              </w:rPr>
              <w:t>Corporate Communications&amp; Public Affairs</w:t>
            </w: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Software,Inc.</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(646) 536-3005</w:t>
            </w:r>
          </w:p>
        </w:tc>
        <w:tc>
          <w:tcPr>
            <w:tcW w:w="314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(646) 536-2983</w:t>
            </w:r>
          </w:p>
        </w:tc>
        <w:tc>
          <w:tcPr>
            <w:tcW w:w="1000" w:type="dxa"/>
            <w:vAlign w:val="bottom"/>
          </w:tcPr>
          <w:p>
            <w:pPr>
              <w:spacing w:after="0"/>
              <w:rPr>
                <w:sz w:val="18"/>
                <w:szCs w:val="18"/>
                <w:color w:val="auto"/>
              </w:rPr>
            </w:pPr>
          </w:p>
        </w:tc>
      </w:tr>
      <w:tr>
        <w:trPr>
          <w:trHeight w:val="190"/>
        </w:trPr>
        <w:tc>
          <w:tcPr>
            <w:tcW w:w="2480" w:type="dxa"/>
            <w:vAlign w:val="bottom"/>
          </w:tcPr>
          <w:p>
            <w:pPr>
              <w:spacing w:after="0" w:line="190" w:lineRule="exact"/>
              <w:rPr>
                <w:sz w:val="20"/>
                <w:szCs w:val="20"/>
                <w:color w:val="auto"/>
              </w:rPr>
            </w:pPr>
            <w:r>
              <w:rPr>
                <w:rFonts w:ascii="Arial" w:cs="Arial" w:eastAsia="Arial" w:hAnsi="Arial"/>
                <w:sz w:val="18"/>
                <w:szCs w:val="18"/>
                <w:color w:val="auto"/>
                <w:w w:val="89"/>
              </w:rPr>
              <w:t>Nicole.Shevins@take2games.com</w:t>
            </w:r>
          </w:p>
        </w:tc>
        <w:tc>
          <w:tcPr>
            <w:tcW w:w="3140" w:type="dxa"/>
            <w:vAlign w:val="bottom"/>
          </w:tcPr>
          <w:p>
            <w:pPr>
              <w:spacing w:after="0"/>
              <w:rPr>
                <w:sz w:val="16"/>
                <w:szCs w:val="16"/>
                <w:color w:val="auto"/>
              </w:rPr>
            </w:pPr>
          </w:p>
        </w:tc>
        <w:tc>
          <w:tcPr>
            <w:tcW w:w="3200" w:type="dxa"/>
            <w:vAlign w:val="bottom"/>
            <w:gridSpan w:val="2"/>
          </w:tcPr>
          <w:p>
            <w:pPr>
              <w:spacing w:after="0" w:line="190" w:lineRule="exact"/>
              <w:rPr>
                <w:sz w:val="20"/>
                <w:szCs w:val="20"/>
                <w:color w:val="auto"/>
              </w:rPr>
            </w:pPr>
            <w:r>
              <w:rPr>
                <w:rFonts w:ascii="Arial" w:cs="Arial" w:eastAsia="Arial" w:hAnsi="Arial"/>
                <w:sz w:val="18"/>
                <w:szCs w:val="18"/>
                <w:color w:val="auto"/>
              </w:rPr>
              <w:t>Alan.Lewis@take2games.com</w:t>
            </w:r>
          </w:p>
        </w:tc>
      </w:tr>
      <w:tr>
        <w:trPr>
          <w:trHeight w:val="20"/>
        </w:trPr>
        <w:tc>
          <w:tcPr>
            <w:tcW w:w="24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Take-Two Interactive Software, Inc. Reports Strong Results for Fiscal Year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revenue grew 9% to $3.373 billion</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GAAP Net income increased 46% to $588.9 million or $5.09 per diluted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cash provided by operating activities was $912.3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Adjusted Unrestricted Operating Cash Flow (Non-GAAP) was $920.3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Bookings grew 19% to $3.553 billion</w:t>
      </w:r>
    </w:p>
    <w:p>
      <w:pPr>
        <w:spacing w:after="0" w:line="22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u w:val="single" w:color="auto"/>
          <w:color w:val="auto"/>
        </w:rPr>
        <w:t>New York, NY – May 18, 2021</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strong results for its fourth quarter and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2021, ended March 31, 2021, and provided its initial outlook for its fiscal year 2022, ending March 31, 2022 and fiscal first quarter 2022, ending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Fourth Quarter 2021 Financial Highlights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GAAP net revenue grew 10% to $839.4 million, as compared to $760.5 million in last year’s fiscal fourth quarter. Recurrent consumer spending (which is generated from ongoing consumer engagement and includes virtual currency, add-on content and in-game purchases) increased 38% and accounted for</w:t>
      </w:r>
    </w:p>
    <w:p>
      <w:pPr>
        <w:ind w:right="20"/>
        <w:spacing w:after="0" w:line="255" w:lineRule="auto"/>
        <w:rPr>
          <w:sz w:val="20"/>
          <w:szCs w:val="20"/>
          <w:color w:val="auto"/>
        </w:rPr>
      </w:pPr>
      <w:r>
        <w:rPr>
          <w:rFonts w:ascii="Arial" w:cs="Arial" w:eastAsia="Arial" w:hAnsi="Arial"/>
          <w:sz w:val="18"/>
          <w:szCs w:val="18"/>
          <w:color w:val="auto"/>
        </w:rPr>
        <w:t xml:space="preserve">67% of total GAAP net revenue. The largest contributors to GAAP net revenue in fiscal fourth quarter 2021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 Social Point’s mobile games,</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 </w:t>
      </w:r>
      <w:r>
        <w:rPr>
          <w:rFonts w:ascii="Arial" w:cs="Arial" w:eastAsia="Arial" w:hAnsi="Arial"/>
          <w:sz w:val="18"/>
          <w:szCs w:val="18"/>
          <w:color w:val="auto"/>
        </w:rPr>
        <w:t>and</w:t>
      </w:r>
      <w:r>
        <w:rPr>
          <w:rFonts w:ascii="Arial" w:cs="Arial" w:eastAsia="Arial" w:hAnsi="Arial"/>
          <w:sz w:val="18"/>
          <w:szCs w:val="18"/>
          <w:i w:val="1"/>
          <w:iCs w:val="1"/>
          <w:color w:val="auto"/>
        </w:rPr>
        <w:t xml:space="preserve"> NBA Online</w:t>
      </w:r>
      <w:r>
        <w:rPr>
          <w:rFonts w:ascii="Arial" w:cs="Arial" w:eastAsia="Arial" w:hAnsi="Arial"/>
          <w:sz w:val="18"/>
          <w:szCs w:val="18"/>
          <w:color w:val="auto"/>
        </w:rPr>
        <w:t>.</w:t>
      </w:r>
    </w:p>
    <w:p>
      <w:pPr>
        <w:spacing w:after="0" w:line="1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Digitally-delivered GAAP net revenue grew 19% to $753.3 million, as compared to $634.7 million in last year’s fiscal fourth quarter, and accounted for 90% of total GAAP net revenue. The largest contributors to digitally-delivered GAAP net revenue in fiscal fourth quarter 2021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w:t>
      </w:r>
      <w:r>
        <w:rPr>
          <w:rFonts w:ascii="Arial" w:cs="Arial" w:eastAsia="Arial" w:hAnsi="Arial"/>
          <w:sz w:val="18"/>
          <w:szCs w:val="18"/>
          <w:color w:val="auto"/>
        </w:rPr>
        <w:t xml:space="preserve"> </w:t>
      </w:r>
      <w:r>
        <w:rPr>
          <w:rFonts w:ascii="Arial" w:cs="Arial" w:eastAsia="Arial" w:hAnsi="Arial"/>
          <w:sz w:val="18"/>
          <w:szCs w:val="18"/>
          <w:i w:val="1"/>
          <w:iCs w:val="1"/>
          <w:color w:val="auto"/>
        </w:rPr>
        <w:t>2K20</w:t>
      </w:r>
      <w:r>
        <w:rPr>
          <w:rFonts w:ascii="Arial" w:cs="Arial" w:eastAsia="Arial" w:hAnsi="Arial"/>
          <w:sz w:val="18"/>
          <w:szCs w:val="18"/>
          <w:color w:val="auto"/>
        </w:rPr>
        <w:t>,</w:t>
      </w:r>
      <w:r>
        <w:rPr>
          <w:rFonts w:ascii="Arial" w:cs="Arial" w:eastAsia="Arial" w:hAnsi="Arial"/>
          <w:sz w:val="18"/>
          <w:szCs w:val="18"/>
          <w:i w:val="1"/>
          <w:iCs w:val="1"/>
          <w:color w:val="auto"/>
        </w:rPr>
        <w:t xml:space="preserve"> Grand 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 Social Point’s mobile games,</w:t>
      </w:r>
      <w:r>
        <w:rPr>
          <w:rFonts w:ascii="Arial" w:cs="Arial" w:eastAsia="Arial" w:hAnsi="Arial"/>
          <w:sz w:val="18"/>
          <w:szCs w:val="18"/>
          <w:i w:val="1"/>
          <w:iCs w:val="1"/>
          <w:color w:val="auto"/>
        </w:rPr>
        <w:t xml:space="preserve"> Sid Meier’s Civilization VI, Borderlands 3</w:t>
      </w:r>
      <w:r>
        <w:rPr>
          <w:rFonts w:ascii="Arial" w:cs="Arial" w:eastAsia="Arial" w:hAnsi="Arial"/>
          <w:sz w:val="18"/>
          <w:szCs w:val="18"/>
          <w:color w:val="auto"/>
        </w:rPr>
        <w:t>, and</w:t>
      </w:r>
      <w:r>
        <w:rPr>
          <w:rFonts w:ascii="Arial" w:cs="Arial" w:eastAsia="Arial" w:hAnsi="Arial"/>
          <w:sz w:val="18"/>
          <w:szCs w:val="18"/>
          <w:i w:val="1"/>
          <w:iCs w:val="1"/>
          <w:color w:val="auto"/>
        </w:rPr>
        <w:t xml:space="preserve"> NBA Online</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440"/>
        <w:spacing w:after="0" w:line="342" w:lineRule="auto"/>
        <w:rPr>
          <w:sz w:val="20"/>
          <w:szCs w:val="20"/>
          <w:color w:val="auto"/>
        </w:rPr>
      </w:pPr>
      <w:r>
        <w:rPr>
          <w:rFonts w:ascii="Arial" w:cs="Arial" w:eastAsia="Arial" w:hAnsi="Arial"/>
          <w:sz w:val="16"/>
          <w:szCs w:val="16"/>
          <w:color w:val="auto"/>
        </w:rPr>
        <w:t>GAAP net income grew 78% to $218.8 million, or $1.88 per diluted share, as compared to $122.7 million, or $1.07 per diluted share, for the year-ago period. GAAP net income included the reversal of expense of approximately $69.5 million related to forfeitures of previously granted stock awards.</w:t>
      </w:r>
    </w:p>
    <w:p>
      <w:pPr>
        <w:spacing w:after="0" w:line="12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following data, together with a management reporting tax rate of 16%,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10"/>
          </w:tcPr>
          <w:p>
            <w:pPr>
              <w:ind w:left="920"/>
              <w:spacing w:after="0"/>
              <w:rPr>
                <w:sz w:val="20"/>
                <w:szCs w:val="20"/>
                <w:color w:val="auto"/>
              </w:rPr>
            </w:pPr>
            <w:r>
              <w:rPr>
                <w:rFonts w:ascii="Arial" w:cs="Arial" w:eastAsia="Arial" w:hAnsi="Arial"/>
                <w:sz w:val="18"/>
                <w:szCs w:val="18"/>
                <w:b w:val="1"/>
                <w:bCs w:val="1"/>
                <w:color w:val="auto"/>
              </w:rPr>
              <w:t>Three Months Ended March 31, 2021</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5"/>
              </w:rPr>
              <w:t>Financial Data</w:t>
            </w: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40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Change in</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deferred net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revenue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&amp; impairment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Gain on long-</w:t>
            </w:r>
          </w:p>
        </w:tc>
      </w:t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Statement</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and related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Impact of</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acquired</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term</w:t>
            </w:r>
          </w:p>
        </w:tc>
      </w:tr>
      <w:tr>
        <w:trPr>
          <w:trHeight w:val="216"/>
        </w:trPr>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cost of</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Stock-based</w:t>
            </w:r>
          </w:p>
        </w:tc>
        <w:tc>
          <w:tcPr>
            <w:tcW w:w="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business</w:t>
            </w:r>
          </w:p>
        </w:tc>
        <w:tc>
          <w:tcPr>
            <w:tcW w:w="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Business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intangible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investments,</w:t>
            </w:r>
          </w:p>
        </w:tc>
      </w:tr>
      <w:tr>
        <w:trPr>
          <w:trHeight w:val="248"/>
        </w:trPr>
        <w:tc>
          <w:tcPr>
            <w:tcW w:w="27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0" w:type="dxa"/>
            <w:vAlign w:val="bottom"/>
          </w:tcPr>
          <w:p>
            <w:pPr>
              <w:spacing w:after="0"/>
              <w:rPr>
                <w:sz w:val="21"/>
                <w:szCs w:val="21"/>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operations</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goods sold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compensation</w:t>
            </w: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reorganization</w:t>
            </w:r>
          </w:p>
        </w:tc>
        <w:tc>
          <w:tcPr>
            <w:tcW w:w="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acquisition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78"/>
              </w:rPr>
              <w:t>assets</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net</w:t>
            </w: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839,431</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(54,899)</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279,647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(10,792)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52,821</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left="490"/>
              <w:spacing w:after="0"/>
              <w:rPr>
                <w:sz w:val="20"/>
                <w:szCs w:val="20"/>
                <w:color w:val="auto"/>
              </w:rPr>
            </w:pPr>
            <w:r>
              <w:rPr>
                <w:rFonts w:ascii="Arial" w:cs="Arial" w:eastAsia="Arial" w:hAnsi="Arial"/>
                <w:sz w:val="18"/>
                <w:szCs w:val="18"/>
                <w:color w:val="auto"/>
                <w:w w:val="94"/>
              </w:rPr>
              <w:t>(6,465)</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559,784</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(44,107)</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(52,821)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88"/>
              </w:rPr>
              <w:t>6,465</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7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303,967</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(23,459)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(1,378)</w:t>
            </w:r>
          </w:p>
        </w:tc>
        <w:tc>
          <w:tcPr>
            <w:tcW w:w="1320" w:type="dxa"/>
            <w:vAlign w:val="bottom"/>
            <w:gridSpan w:val="2"/>
          </w:tcPr>
          <w:p>
            <w:pPr>
              <w:jc w:val="center"/>
              <w:ind w:left="490"/>
              <w:spacing w:after="0"/>
              <w:rPr>
                <w:sz w:val="20"/>
                <w:szCs w:val="20"/>
                <w:color w:val="auto"/>
              </w:rPr>
            </w:pPr>
            <w:r>
              <w:rPr>
                <w:rFonts w:ascii="Arial" w:cs="Arial" w:eastAsia="Arial" w:hAnsi="Arial"/>
                <w:sz w:val="18"/>
                <w:szCs w:val="18"/>
                <w:color w:val="auto"/>
                <w:w w:val="94"/>
              </w:rPr>
              <w:t>(3,506)</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255,817</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(44,107)</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(29,362)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1,378</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88"/>
              </w:rPr>
              <w:t>9,971</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Interest and other, net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(3,226)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2,425</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499</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Gain on long-term investments, net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4"/>
              </w:rPr>
              <w:t>(1,000)</w:t>
            </w:r>
          </w:p>
        </w:tc>
      </w:tr>
      <w:tr>
        <w:trPr>
          <w:trHeight w:val="228"/>
        </w:trPr>
        <w:tc>
          <w:tcPr>
            <w:tcW w:w="27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253,591</w:t>
            </w: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(41,682)</w:t>
            </w:r>
          </w:p>
        </w:tc>
        <w:tc>
          <w:tcPr>
            <w:tcW w:w="1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1,877</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8"/>
              </w:rPr>
              <w:t>9,971</w:t>
            </w:r>
          </w:p>
        </w:tc>
        <w:tc>
          <w:tcPr>
            <w:tcW w:w="180" w:type="dxa"/>
            <w:vAlign w:val="bottom"/>
          </w:tcPr>
          <w:p>
            <w:pPr>
              <w:spacing w:after="0"/>
              <w:rPr>
                <w:sz w:val="19"/>
                <w:szCs w:val="19"/>
                <w:color w:val="auto"/>
              </w:rPr>
            </w:pPr>
          </w:p>
        </w:tc>
        <w:tc>
          <w:tcPr>
            <w:tcW w:w="1080" w:type="dxa"/>
            <w:vAlign w:val="bottom"/>
            <w:tcBorders>
              <w:top w:val="single" w:sz="8" w:color="auto"/>
            </w:tcBorders>
          </w:tcPr>
          <w:p>
            <w:pPr>
              <w:ind w:left="620"/>
              <w:spacing w:after="0"/>
              <w:rPr>
                <w:sz w:val="20"/>
                <w:szCs w:val="20"/>
                <w:color w:val="auto"/>
              </w:rPr>
            </w:pPr>
            <w:r>
              <w:rPr>
                <w:rFonts w:ascii="Arial" w:cs="Arial" w:eastAsia="Arial" w:hAnsi="Arial"/>
                <w:sz w:val="18"/>
                <w:szCs w:val="18"/>
                <w:b w:val="1"/>
                <w:bCs w:val="1"/>
                <w:color w:val="auto"/>
                <w:w w:val="77"/>
              </w:rPr>
              <w:t>(1,000)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order to calculate net income per diluted share for management reporting purposes, the Company uses its fully diluted share count of 116.3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Fourth Quarter Operational Metric – Net Bookings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Total Net Bookings grew 8% to $784.5 million, as compared to $729.4 million during last year’s fiscal fourth quarter. Net Bookings from recurrent consumer spending grew 17% year-over-year and accounted for 67% of total Net Bookings. The largest contributors to Net Bookings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Grand 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 Social Point’s mobile games,</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 Two Dots, NBA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SuperCard</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Catalog accounted for $514.7 million of Net Bookings led by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Sid Meier’s Civilization</w:t>
      </w:r>
      <w:r>
        <w:rPr>
          <w:rFonts w:ascii="Arial" w:cs="Arial" w:eastAsia="Arial" w:hAnsi="Arial"/>
          <w:sz w:val="18"/>
          <w:szCs w:val="18"/>
          <w:color w:val="auto"/>
        </w:rPr>
        <w: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Digitally-delivered Net Bookings grew 8% to $723.7 million, as compared to $672.1 million in last year’s fiscal fourth quarter, and accounted for 92% of total Net Bookings. The largest contributors to digitally-delivered Net Bookings in fiscal fourth quarter 2021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w:t>
      </w:r>
      <w:r>
        <w:rPr>
          <w:rFonts w:ascii="Arial" w:cs="Arial" w:eastAsia="Arial" w:hAnsi="Arial"/>
          <w:sz w:val="18"/>
          <w:szCs w:val="18"/>
          <w:i w:val="1"/>
          <w:iCs w:val="1"/>
          <w:color w:val="auto"/>
        </w:rPr>
        <w:t>Sid Meier’s Civilization VI,</w:t>
      </w:r>
      <w:r>
        <w:rPr>
          <w:rFonts w:ascii="Arial" w:cs="Arial" w:eastAsia="Arial" w:hAnsi="Arial"/>
          <w:sz w:val="18"/>
          <w:szCs w:val="18"/>
          <w:color w:val="auto"/>
        </w:rPr>
        <w:t xml:space="preserve"> Social Point’s mobile games,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NBA</w:t>
      </w:r>
      <w:r>
        <w:rPr>
          <w:rFonts w:ascii="Arial" w:cs="Arial" w:eastAsia="Arial" w:hAnsi="Arial"/>
          <w:sz w:val="18"/>
          <w:szCs w:val="18"/>
          <w:color w:val="auto"/>
        </w:rPr>
        <w:t xml:space="preserve"> </w:t>
      </w:r>
      <w:r>
        <w:rPr>
          <w:rFonts w:ascii="Arial" w:cs="Arial" w:eastAsia="Arial" w:hAnsi="Arial"/>
          <w:sz w:val="18"/>
          <w:szCs w:val="18"/>
          <w:i w:val="1"/>
          <w:iCs w:val="1"/>
          <w:color w:val="auto"/>
        </w:rPr>
        <w:t>Online</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Fiscal Year 2021 Financial Highlights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GAAP net revenue grew 9% to $3.373 billion, as compared to $3.089 billion in fiscal year 2020. Recurrent consumer spending increased 50% and accounted for 62% of total GAAP net revenue. The largest contributors to GAAP net revenue in fiscal year 2021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2K20, 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Theft Auto 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Borderlands 3, </w:t>
      </w:r>
      <w:r>
        <w:rPr>
          <w:rFonts w:ascii="Arial" w:cs="Arial" w:eastAsia="Arial" w:hAnsi="Arial"/>
          <w:sz w:val="18"/>
          <w:szCs w:val="18"/>
          <w:color w:val="auto"/>
        </w:rPr>
        <w:t>Social Point’s mobile games,</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and</w:t>
      </w:r>
      <w:r>
        <w:rPr>
          <w:rFonts w:ascii="Arial" w:cs="Arial" w:eastAsia="Arial" w:hAnsi="Arial"/>
          <w:sz w:val="18"/>
          <w:szCs w:val="18"/>
          <w:i w:val="1"/>
          <w:iCs w:val="1"/>
          <w:color w:val="auto"/>
        </w:rPr>
        <w:t xml:space="preserve"> PGA TOUR 2K21</w:t>
      </w:r>
      <w:r>
        <w:rPr>
          <w:rFonts w:ascii="Arial" w:cs="Arial" w:eastAsia="Arial" w:hAnsi="Arial"/>
          <w:sz w:val="18"/>
          <w:szCs w:val="18"/>
          <w:color w:val="auto"/>
        </w:rPr>
        <w: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Digitally-delivered GAAP net revenue grew 23% to $2.919 billion, as compared to $2.379 billion in fiscal year 2020, and accounted for 87% of total GAAP net revenue. The largest contributors to digitally-delivered GAAP net revenue in fiscal year 2021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2K20, 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Online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Theft Auto V,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 Borderlands 3, </w:t>
      </w:r>
      <w:r>
        <w:rPr>
          <w:rFonts w:ascii="Arial" w:cs="Arial" w:eastAsia="Arial" w:hAnsi="Arial"/>
          <w:sz w:val="18"/>
          <w:szCs w:val="18"/>
          <w:color w:val="auto"/>
        </w:rPr>
        <w:t>Social Point’s mobile games, and</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GAAP net income increased 46% to $588.9 million, or $5.09 per diluted share, as compared to $404.5 million, or $3.54 per diluted share, in fiscal year 2020. GAAP net income included the reversal of expense of approximately $69.8 million related to forfeitures of previously granted stock awards and a gain of approximately $40.6 million due to the sale of one of our long-term investments.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GAAP net cash provided by operating activities was $912.3 million, as compared to $685.7 million in fiscal year 2020. Adjusted Unrestricted Operating Cash Flow (Non-GAAP), which is defined as GAAP net cash from operating activities, adjusted for changes in restricted cash, was $920.3 million, as compared to $615.4 million last year (please see the section below titled “Non-GAAP Financial Measure” for additional information). As of March 31, 2021, the Company had cash and short-term investments of $2.732 billion.</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following data, together with a management reporting tax rate of 16%,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9"/>
          </w:tcPr>
          <w:p>
            <w:pPr>
              <w:jc w:val="right"/>
              <w:ind w:right="1140"/>
              <w:spacing w:after="0"/>
              <w:rPr>
                <w:sz w:val="20"/>
                <w:szCs w:val="20"/>
                <w:color w:val="auto"/>
              </w:rPr>
            </w:pPr>
            <w:r>
              <w:rPr>
                <w:rFonts w:ascii="Arial" w:cs="Arial" w:eastAsia="Arial" w:hAnsi="Arial"/>
                <w:sz w:val="18"/>
                <w:szCs w:val="18"/>
                <w:b w:val="1"/>
                <w:bCs w:val="1"/>
                <w:color w:val="auto"/>
              </w:rPr>
              <w:t>Twelve Months Ended March 31, 2021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Change in</w:t>
            </w:r>
          </w:p>
        </w:tc>
        <w:tc>
          <w:tcPr>
            <w:tcW w:w="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Financial Data</w:t>
            </w: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deferred net</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revenue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&amp; impairment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Gain on long-</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Statement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and related</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Impact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acquired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cost of</w:t>
            </w:r>
          </w:p>
        </w:tc>
        <w:tc>
          <w:tcPr>
            <w:tcW w:w="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Stock-based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Business</w:t>
            </w:r>
          </w:p>
        </w:tc>
        <w:tc>
          <w:tcPr>
            <w:tcW w:w="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business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intangible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goods sold</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compensation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acquisition</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reorganization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assets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net</w:t>
            </w: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3,372,772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179,825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1,535,085</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11,283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(8,707)</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(20,587)</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1,837,687</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168,542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8,707</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20,587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w w:val="95"/>
              </w:rPr>
              <w:t>Total operating expenses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1,208,303</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(101,765)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(7,317)</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272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(11,037)</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629,384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168,542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110,472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31,624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Arial" w:cs="Arial" w:eastAsia="Arial" w:hAnsi="Arial"/>
                <w:sz w:val="18"/>
                <w:szCs w:val="18"/>
                <w:color w:val="auto"/>
              </w:rPr>
              <w:t>Interest and other,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8,796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(2,874)</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on long-term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investments, net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39,636</w:t>
            </w: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(39,636)</w:t>
            </w:r>
          </w:p>
        </w:tc>
        <w:tc>
          <w:tcPr>
            <w:tcW w:w="0" w:type="dxa"/>
            <w:vAlign w:val="bottom"/>
          </w:tcPr>
          <w:p>
            <w:pPr>
              <w:spacing w:after="0"/>
              <w:rPr>
                <w:sz w:val="1"/>
                <w:szCs w:val="1"/>
                <w:color w:val="auto"/>
              </w:rPr>
            </w:pPr>
          </w:p>
        </w:tc>
      </w:tr>
      <w:tr>
        <w:trPr>
          <w:trHeight w:val="178"/>
        </w:trPr>
        <w:tc>
          <w:tcPr>
            <w:tcW w:w="2140" w:type="dxa"/>
            <w:vAlign w:val="bottom"/>
          </w:tcPr>
          <w:p>
            <w:pPr>
              <w:spacing w:after="0" w:line="177" w:lineRule="exact"/>
              <w:rPr>
                <w:sz w:val="20"/>
                <w:szCs w:val="20"/>
                <w:color w:val="auto"/>
              </w:rPr>
            </w:pPr>
            <w:r>
              <w:rPr>
                <w:rFonts w:ascii="Arial" w:cs="Arial" w:eastAsia="Arial" w:hAnsi="Arial"/>
                <w:sz w:val="18"/>
                <w:szCs w:val="18"/>
                <w:b w:val="1"/>
                <w:bCs w:val="1"/>
                <w:color w:val="auto"/>
              </w:rPr>
              <w:t>Income before income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677,816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165,668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110,472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7,816</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31,624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(39,636)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order to calculate net income per diluted share for management reporting purposes, the Company uses its fully diluted share count of 115.7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Fiscal Year 2021 Operational Metric – Net Bookings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Total Net Bookings grew 19% to $3.553 billion, as compared to $2.990 billion in fiscal year 2020. Net Bookings from recurrent consumer spending grew 48% and accounted for 63% of total Net Bookings. The largest contributors to Net Bookings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 Social Point’s mobile games,</w:t>
      </w:r>
      <w:r>
        <w:rPr>
          <w:rFonts w:ascii="Arial" w:cs="Arial" w:eastAsia="Arial" w:hAnsi="Arial"/>
          <w:sz w:val="18"/>
          <w:szCs w:val="18"/>
          <w:i w:val="1"/>
          <w:iCs w:val="1"/>
          <w:color w:val="auto"/>
        </w:rPr>
        <w:t xml:space="preserve"> Sid Meier’s Civilization VI, PGA TOUR 2K21,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Outer Worlds</w:t>
      </w:r>
      <w:r>
        <w:rPr>
          <w:rFonts w:ascii="Arial" w:cs="Arial" w:eastAsia="Arial" w:hAnsi="Arial"/>
          <w:sz w:val="18"/>
          <w:szCs w:val="18"/>
          <w:color w:val="auto"/>
        </w:rPr>
        <w: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Digitally-delivered Net Bookings grew 27% to $3.095 billion, as compared to $2.440 billion in fiscal year 2020, and accounted for 87% of total Net Bookings. The largest contributors to digitally-delivered Net Bookings in fiscal year 2021 were </w:t>
      </w:r>
      <w:r>
        <w:rPr>
          <w:rFonts w:ascii="Arial" w:cs="Arial" w:eastAsia="Arial" w:hAnsi="Arial"/>
          <w:sz w:val="18"/>
          <w:szCs w:val="18"/>
          <w:i w:val="1"/>
          <w:iCs w:val="1"/>
          <w:color w:val="auto"/>
        </w:rPr>
        <w:t>NBA 2K21</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2K20</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 Social Point’s mobile games,</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 and</w:t>
      </w:r>
      <w:r>
        <w:rPr>
          <w:rFonts w:ascii="Arial" w:cs="Arial" w:eastAsia="Arial" w:hAnsi="Arial"/>
          <w:sz w:val="18"/>
          <w:szCs w:val="18"/>
          <w:i w:val="1"/>
          <w:iCs w:val="1"/>
          <w:color w:val="auto"/>
        </w:rPr>
        <w:t xml:space="preserve"> WWE SuperCard</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strong fourth quarter results concluded an exceptional year for our organization,” said Strauss Zelnick, Chairman and CEO of Take-Two. “We delivered record operating results, including Net Bookings of approximately $3.6 billion and Adjusted Unrestricted Operating Cash Flow of $920 million. Throughout the year, we enhanced our organization for the long term by broadening our portfolio of offerings, capitalizing on diverse business models, enhancing our infrastructure, and most importantly, investing in our creative talent.”</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Fiscal 2022, we plan to deliver an exciting array of offerings, including four immersive core releases, of which two will be from new franchises. In addition, we expect Fiscal 2022 to be our second consecutive year of Net Bookings in excess of $3 billion. With the strongest pipeline in our Company’s history, including many new releases planned for Fiscal 2023 and Fiscal 2024, we will be making significant investments this year to enhance our enterprise in key areas such as creative talent, IT, and other infrastructure. As we continue to grow our business, we believe that we will achieve sequential growth in Fiscal 2023 and establish new record levels of operating results over the next few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Product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w:t>
      </w:r>
    </w:p>
    <w:p>
      <w:pPr>
        <w:spacing w:after="0" w:line="229" w:lineRule="exact"/>
        <w:rPr>
          <w:sz w:val="20"/>
          <w:szCs w:val="20"/>
          <w:color w:val="auto"/>
        </w:rPr>
      </w:pPr>
    </w:p>
    <w:p>
      <w:pPr>
        <w:ind w:left="340" w:right="16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Take-Two maintained its commitment to giving back to its communities. During fiscal year 2021, across our Company and labels, we donated nearly $20 million to provide support to approximately 200 organizations throughout the world, and we will continue these efforts. Our donations have supported charities dedicated to COVID-19 relief efforts, as well as initiatives to enhance diversity and inclusion within our industry and to help eradicate racial injustice within our communities.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Rockstar Games:</w:t>
      </w:r>
    </w:p>
    <w:p>
      <w:pPr>
        <w:spacing w:after="0" w:line="229" w:lineRule="exact"/>
        <w:rPr>
          <w:sz w:val="20"/>
          <w:szCs w:val="20"/>
          <w:color w:val="auto"/>
        </w:rPr>
      </w:pPr>
    </w:p>
    <w:p>
      <w:pPr>
        <w:jc w:val="both"/>
        <w:ind w:left="340" w:right="120" w:hanging="332"/>
        <w:spacing w:after="0" w:line="27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Released new free content updates for </w:t>
      </w:r>
      <w:r>
        <w:rPr>
          <w:rFonts w:ascii="Arial" w:cs="Arial" w:eastAsia="Arial" w:hAnsi="Arial"/>
          <w:sz w:val="17"/>
          <w:szCs w:val="17"/>
          <w:i w:val="1"/>
          <w:iCs w:val="1"/>
          <w:color w:val="auto"/>
        </w:rPr>
        <w:t>Grand Theft Auto Online</w:t>
      </w:r>
      <w:r>
        <w:rPr>
          <w:rFonts w:ascii="Arial" w:cs="Arial" w:eastAsia="Arial" w:hAnsi="Arial"/>
          <w:sz w:val="17"/>
          <w:szCs w:val="17"/>
          <w:color w:val="auto"/>
        </w:rPr>
        <w:t>, including casino story missions, new stunt races, and more. Additionally, many new exotic vehicles were introduced, including the BF Weevil car, the Maibatsu Manchez Scout motorcycle, the Vapid Slamtruck, the Vetir military truck, the Mammoth Squaddie truck, the Dinka Verus Off-Road vehicle, and the Nagasaki Weaponized Dinghy.</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including: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Debuted the first “A New Source of Employment” missions, available for solo players and delivered via telegram.</w:t>
      </w:r>
    </w:p>
    <w:p>
      <w:pPr>
        <w:spacing w:after="0" w:line="9" w:lineRule="exact"/>
        <w:rPr>
          <w:sz w:val="20"/>
          <w:szCs w:val="20"/>
          <w:color w:val="auto"/>
        </w:rPr>
      </w:pPr>
    </w:p>
    <w:p>
      <w:pPr>
        <w:ind w:left="980" w:right="280" w:hanging="324"/>
        <w:spacing w:after="0" w:line="250"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Introduced the Outlaw Pass No. 5 and its new rewards, which include clothing, emotes, camp items such as flags and a canine companion, Moonshine Shack décor, horse manes and mustaches, and photo studio backdrops. Additionally, new Wheeler, Rawson &amp; Co. Club Rank Rewards were introduced for all players to unlock, including clothing, weapon modifications, filters for the advanced camera, and a new emote.</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Throughout the fiscal year, Rockstar Games will continue to support both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with more content updates to keep new and returning players excited and engaged.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2K:</w:t>
      </w:r>
    </w:p>
    <w:p>
      <w:pPr>
        <w:spacing w:after="0" w:line="229" w:lineRule="exact"/>
        <w:rPr>
          <w:sz w:val="20"/>
          <w:szCs w:val="20"/>
          <w:color w:val="auto"/>
        </w:rPr>
      </w:pPr>
    </w:p>
    <w:p>
      <w:pPr>
        <w:ind w:left="340" w:right="560" w:hanging="332"/>
        <w:spacing w:after="0" w:line="29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Continued to expand the breadth of </w:t>
      </w:r>
      <w:r>
        <w:rPr>
          <w:rFonts w:ascii="Arial" w:cs="Arial" w:eastAsia="Arial" w:hAnsi="Arial"/>
          <w:sz w:val="16"/>
          <w:szCs w:val="16"/>
          <w:i w:val="1"/>
          <w:iCs w:val="1"/>
          <w:color w:val="auto"/>
        </w:rPr>
        <w:t>NBA 2K</w:t>
      </w:r>
      <w:r>
        <w:rPr>
          <w:rFonts w:ascii="Arial" w:cs="Arial" w:eastAsia="Arial" w:hAnsi="Arial"/>
          <w:sz w:val="16"/>
          <w:szCs w:val="16"/>
          <w:color w:val="auto"/>
        </w:rPr>
        <w:t xml:space="preserve"> offerings with the launch of the </w:t>
      </w:r>
      <w:r>
        <w:rPr>
          <w:rFonts w:ascii="Arial" w:cs="Arial" w:eastAsia="Arial" w:hAnsi="Arial"/>
          <w:sz w:val="16"/>
          <w:szCs w:val="16"/>
          <w:i w:val="1"/>
          <w:iCs w:val="1"/>
          <w:color w:val="auto"/>
        </w:rPr>
        <w:t>NBA 2K21 Arcade Edition</w:t>
      </w:r>
      <w:r>
        <w:rPr>
          <w:rFonts w:ascii="Arial" w:cs="Arial" w:eastAsia="Arial" w:hAnsi="Arial"/>
          <w:sz w:val="16"/>
          <w:szCs w:val="16"/>
          <w:color w:val="auto"/>
        </w:rPr>
        <w:t xml:space="preserve"> on Apple Arcade, delivering an all-new basketball simulation game experience to Apple’s video game subscription service, available on iPhone, iPad, Apple TV, and Mac devices.</w:t>
      </w:r>
    </w:p>
    <w:p>
      <w:pPr>
        <w:ind w:left="340" w:right="1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Acquired HookBang, LLC’s Austin-based video game division, which will become part of Visual Concepts, the distinguished, wholly-owned studio and developer of the iconic </w:t>
      </w:r>
      <w:r>
        <w:rPr>
          <w:rFonts w:ascii="Arial" w:cs="Arial" w:eastAsia="Arial" w:hAnsi="Arial"/>
          <w:sz w:val="18"/>
          <w:szCs w:val="18"/>
          <w:i w:val="1"/>
          <w:iCs w:val="1"/>
          <w:color w:val="auto"/>
        </w:rPr>
        <w:t>NBA 2K</w:t>
      </w:r>
      <w:r>
        <w:rPr>
          <w:rFonts w:ascii="Arial" w:cs="Arial" w:eastAsia="Arial" w:hAnsi="Arial"/>
          <w:sz w:val="18"/>
          <w:szCs w:val="18"/>
          <w:color w:val="auto"/>
        </w:rPr>
        <w:t xml:space="preserve"> video game franchise. The acquired team, under the new name of Visual Concepts Austin, will expand its efforts on the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including platform development and live services support.</w:t>
      </w:r>
    </w:p>
    <w:p>
      <w:pPr>
        <w:spacing w:after="0" w:line="1" w:lineRule="exact"/>
        <w:rPr>
          <w:rFonts w:ascii="Arial" w:cs="Arial" w:eastAsia="Arial" w:hAnsi="Arial"/>
          <w:sz w:val="18"/>
          <w:szCs w:val="18"/>
          <w:color w:val="auto"/>
        </w:rPr>
      </w:pPr>
    </w:p>
    <w:p>
      <w:pPr>
        <w:ind w:left="340" w:right="5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PGA TOUR 2K21 </w:t>
      </w:r>
      <w:r>
        <w:rPr>
          <w:rFonts w:ascii="Arial" w:cs="Arial" w:eastAsia="Arial" w:hAnsi="Arial"/>
          <w:sz w:val="18"/>
          <w:szCs w:val="18"/>
          <w:color w:val="auto"/>
        </w:rPr>
        <w:t>released the</w:t>
      </w:r>
      <w:r>
        <w:rPr>
          <w:rFonts w:ascii="Arial" w:cs="Arial" w:eastAsia="Arial" w:hAnsi="Arial"/>
          <w:sz w:val="18"/>
          <w:szCs w:val="18"/>
          <w:i w:val="1"/>
          <w:iCs w:val="1"/>
          <w:color w:val="auto"/>
        </w:rPr>
        <w:t xml:space="preserve"> Clubhouse Pass Season 2 </w:t>
      </w:r>
      <w:r>
        <w:rPr>
          <w:rFonts w:ascii="Arial" w:cs="Arial" w:eastAsia="Arial" w:hAnsi="Arial"/>
          <w:sz w:val="18"/>
          <w:szCs w:val="18"/>
          <w:color w:val="auto"/>
        </w:rPr>
        <w:t>and launched its newest game mode,</w:t>
      </w:r>
      <w:r>
        <w:rPr>
          <w:rFonts w:ascii="Arial" w:cs="Arial" w:eastAsia="Arial" w:hAnsi="Arial"/>
          <w:sz w:val="18"/>
          <w:szCs w:val="18"/>
          <w:i w:val="1"/>
          <w:iCs w:val="1"/>
          <w:color w:val="auto"/>
        </w:rPr>
        <w:t xml:space="preserve"> Divot Derby</w:t>
      </w:r>
      <w:r>
        <w:rPr>
          <w:rFonts w:ascii="Arial" w:cs="Arial" w:eastAsia="Arial" w:hAnsi="Arial"/>
          <w:sz w:val="18"/>
          <w:szCs w:val="18"/>
          <w:color w:val="auto"/>
        </w:rPr>
        <w:t>, which features a “battle golf” style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where players can compete with up to 20 other players.</w:t>
      </w:r>
    </w:p>
    <w:p>
      <w:pPr>
        <w:ind w:left="340" w:right="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To drive continued momentum in golf, 2K entered into an exclusive, long term partnership with Tiger Woods, one of the most iconic and celebrated figures in golf history. Woods’ partnership with 2K includes rights for his name and likeness to appear exclusively in the </w:t>
      </w:r>
      <w:r>
        <w:rPr>
          <w:rFonts w:ascii="Arial" w:cs="Arial" w:eastAsia="Arial" w:hAnsi="Arial"/>
          <w:sz w:val="17"/>
          <w:szCs w:val="17"/>
          <w:i w:val="1"/>
          <w:iCs w:val="1"/>
          <w:color w:val="auto"/>
        </w:rPr>
        <w:t>PGA TOUR 2K</w:t>
      </w:r>
      <w:r>
        <w:rPr>
          <w:rFonts w:ascii="Arial" w:cs="Arial" w:eastAsia="Arial" w:hAnsi="Arial"/>
          <w:sz w:val="17"/>
          <w:szCs w:val="17"/>
          <w:color w:val="auto"/>
        </w:rPr>
        <w:t xml:space="preserve"> franchise, as well as any other golf games published by 2K during the partnership term. Woods will play an active role in the video game landscape as an Executive Director and consultant with </w:t>
      </w:r>
      <w:r>
        <w:rPr>
          <w:rFonts w:ascii="Arial" w:cs="Arial" w:eastAsia="Arial" w:hAnsi="Arial"/>
          <w:sz w:val="17"/>
          <w:szCs w:val="17"/>
          <w:i w:val="1"/>
          <w:iCs w:val="1"/>
          <w:color w:val="auto"/>
        </w:rPr>
        <w:t>PGA TOUR 2K</w:t>
      </w:r>
      <w:r>
        <w:rPr>
          <w:rFonts w:ascii="Arial" w:cs="Arial" w:eastAsia="Arial" w:hAnsi="Arial"/>
          <w:sz w:val="17"/>
          <w:szCs w:val="17"/>
          <w:color w:val="auto"/>
        </w:rPr>
        <w:t>, while 2K will also partner with Woods’ TGR Foundation, which provides award-winning STEM curricula and college-access programs to offer underserved students the tools needed to thrive in school and beyond.</w:t>
      </w: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Acquired privately-held HB Studios Multimedia Ltd., developers of the critically acclaimed and commercially successful </w:t>
      </w:r>
      <w:r>
        <w:rPr>
          <w:rFonts w:ascii="Arial" w:cs="Arial" w:eastAsia="Arial" w:hAnsi="Arial"/>
          <w:sz w:val="18"/>
          <w:szCs w:val="18"/>
          <w:i w:val="1"/>
          <w:iCs w:val="1"/>
          <w:color w:val="auto"/>
        </w:rPr>
        <w:t>PGA TOUR 2K21</w:t>
      </w:r>
      <w:r>
        <w:rPr>
          <w:rFonts w:ascii="Arial" w:cs="Arial" w:eastAsia="Arial" w:hAnsi="Arial"/>
          <w:sz w:val="18"/>
          <w:szCs w:val="18"/>
          <w:color w:val="auto"/>
        </w:rPr>
        <w:t xml:space="preserve">, as well as </w:t>
      </w:r>
      <w:r>
        <w:rPr>
          <w:rFonts w:ascii="Arial" w:cs="Arial" w:eastAsia="Arial" w:hAnsi="Arial"/>
          <w:sz w:val="18"/>
          <w:szCs w:val="18"/>
          <w:i w:val="1"/>
          <w:iCs w:val="1"/>
          <w:color w:val="auto"/>
        </w:rPr>
        <w:t xml:space="preserve">The Golf Club </w:t>
      </w:r>
      <w:r>
        <w:rPr>
          <w:rFonts w:ascii="Arial" w:cs="Arial" w:eastAsia="Arial" w:hAnsi="Arial"/>
          <w:sz w:val="18"/>
          <w:szCs w:val="18"/>
          <w:color w:val="auto"/>
        </w:rPr>
        <w:t>franchise.</w:t>
      </w:r>
    </w:p>
    <w:p>
      <w:pPr>
        <w:ind w:left="340" w:right="10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WrestleMania 37 broadcast on April 10, 2021, 2K and Visual Concepts revealed the first teaser video for </w:t>
      </w:r>
      <w:r>
        <w:rPr>
          <w:rFonts w:ascii="Arial" w:cs="Arial" w:eastAsia="Arial" w:hAnsi="Arial"/>
          <w:sz w:val="18"/>
          <w:szCs w:val="18"/>
          <w:i w:val="1"/>
          <w:iCs w:val="1"/>
          <w:color w:val="auto"/>
        </w:rPr>
        <w:t>WWE 2K22</w:t>
      </w:r>
      <w:r>
        <w:rPr>
          <w:rFonts w:ascii="Arial" w:cs="Arial" w:eastAsia="Arial" w:hAnsi="Arial"/>
          <w:sz w:val="18"/>
          <w:szCs w:val="18"/>
          <w:color w:val="auto"/>
        </w:rPr>
        <w:t>, which will launch later this calendar year. The teaser video stars Rey Mysterio, a high-flying lucha libre legend and one of the most exciting and decorated Superstars in WWE history.</w:t>
      </w:r>
    </w:p>
    <w:p>
      <w:pPr>
        <w:spacing w:after="0" w:line="1" w:lineRule="exact"/>
        <w:rPr>
          <w:rFonts w:ascii="Arial" w:cs="Arial" w:eastAsia="Arial" w:hAnsi="Arial"/>
          <w:sz w:val="18"/>
          <w:szCs w:val="18"/>
          <w:color w:val="auto"/>
        </w:rPr>
      </w:pPr>
    </w:p>
    <w:p>
      <w:pPr>
        <w:ind w:left="340" w:right="7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WWE 2K Battlegrounds </w:t>
      </w:r>
      <w:r>
        <w:rPr>
          <w:rFonts w:ascii="Arial" w:cs="Arial" w:eastAsia="Arial" w:hAnsi="Arial"/>
          <w:sz w:val="18"/>
          <w:szCs w:val="18"/>
          <w:color w:val="auto"/>
        </w:rPr>
        <w:t>released its fifth and final roster update, which added legendary WWE names including Mr. McMahon, Paige, Ricky</w:t>
      </w:r>
      <w:r>
        <w:rPr>
          <w:rFonts w:ascii="Arial" w:cs="Arial" w:eastAsia="Arial" w:hAnsi="Arial"/>
          <w:sz w:val="18"/>
          <w:szCs w:val="18"/>
          <w:i w:val="1"/>
          <w:iCs w:val="1"/>
          <w:color w:val="auto"/>
        </w:rPr>
        <w:t xml:space="preserve"> </w:t>
      </w:r>
      <w:r>
        <w:rPr>
          <w:rFonts w:ascii="Arial" w:cs="Arial" w:eastAsia="Arial" w:hAnsi="Arial"/>
          <w:sz w:val="18"/>
          <w:szCs w:val="18"/>
          <w:color w:val="auto"/>
        </w:rPr>
        <w:t>Steamboat, British Bulldog, Mr. Perfect, Doink the Clown, Jim “The Anvil” Neidhart and Vader.</w:t>
      </w:r>
    </w:p>
    <w:p>
      <w:pPr>
        <w:ind w:left="340" w:right="80" w:hanging="332"/>
        <w:spacing w:after="0" w:line="22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Introduced exciting new content for </w:t>
      </w:r>
      <w:r>
        <w:rPr>
          <w:rFonts w:ascii="Arial" w:cs="Arial" w:eastAsia="Arial" w:hAnsi="Arial"/>
          <w:sz w:val="18"/>
          <w:szCs w:val="18"/>
          <w:i w:val="1"/>
          <w:iCs w:val="1"/>
          <w:color w:val="auto"/>
        </w:rPr>
        <w:t>Season 7</w:t>
      </w:r>
      <w:r>
        <w:rPr>
          <w:rFonts w:ascii="Arial" w:cs="Arial" w:eastAsia="Arial" w:hAnsi="Arial"/>
          <w:sz w:val="18"/>
          <w:szCs w:val="18"/>
          <w:color w:val="auto"/>
        </w:rPr>
        <w:t xml:space="preserve"> of </w:t>
      </w:r>
      <w:r>
        <w:rPr>
          <w:rFonts w:ascii="Arial" w:cs="Arial" w:eastAsia="Arial" w:hAnsi="Arial"/>
          <w:sz w:val="18"/>
          <w:szCs w:val="18"/>
          <w:i w:val="1"/>
          <w:iCs w:val="1"/>
          <w:color w:val="auto"/>
        </w:rPr>
        <w:t>WWE SuperCard</w:t>
      </w:r>
      <w:r>
        <w:rPr>
          <w:rFonts w:ascii="Arial" w:cs="Arial" w:eastAsia="Arial" w:hAnsi="Arial"/>
          <w:sz w:val="18"/>
          <w:szCs w:val="18"/>
          <w:color w:val="auto"/>
        </w:rPr>
        <w:t xml:space="preserve">, including the debut of the WrestleMania 37 card tier and new features to the game. </w:t>
      </w:r>
      <w:r>
        <w:rPr>
          <w:rFonts w:ascii="Arial" w:cs="Arial" w:eastAsia="Arial" w:hAnsi="Arial"/>
          <w:sz w:val="18"/>
          <w:szCs w:val="18"/>
          <w:i w:val="1"/>
          <w:iCs w:val="1"/>
          <w:color w:val="auto"/>
        </w:rPr>
        <w:t xml:space="preserve">WWE SuperCard </w:t>
      </w:r>
      <w:r>
        <w:rPr>
          <w:rFonts w:ascii="Arial" w:cs="Arial" w:eastAsia="Arial" w:hAnsi="Arial"/>
          <w:sz w:val="18"/>
          <w:szCs w:val="18"/>
          <w:color w:val="auto"/>
        </w:rPr>
        <w:t>also celebrated the 25</w:t>
      </w:r>
      <w:r>
        <w:rPr>
          <w:rFonts w:ascii="Arial" w:cs="Arial" w:eastAsia="Arial" w:hAnsi="Arial"/>
          <w:sz w:val="29"/>
          <w:szCs w:val="29"/>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“Stone Cold” Steve Austin’s WWE debut with new items and events, such as a brand- new</w:t>
      </w:r>
      <w:r>
        <w:rPr>
          <w:rFonts w:ascii="Arial" w:cs="Arial" w:eastAsia="Arial" w:hAnsi="Arial"/>
          <w:sz w:val="18"/>
          <w:szCs w:val="18"/>
          <w:i w:val="1"/>
          <w:iCs w:val="1"/>
          <w:color w:val="auto"/>
        </w:rPr>
        <w:t xml:space="preserve"> </w:t>
      </w:r>
      <w:r>
        <w:rPr>
          <w:rFonts w:ascii="Arial" w:cs="Arial" w:eastAsia="Arial" w:hAnsi="Arial"/>
          <w:sz w:val="18"/>
          <w:szCs w:val="18"/>
          <w:color w:val="auto"/>
        </w:rPr>
        <w:t>“Stone Cold” Steve Austin cardback, Austin’s iconic jean shorts and more.</w:t>
      </w:r>
    </w:p>
    <w:p>
      <w:pPr>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Released the </w:t>
      </w:r>
      <w:r>
        <w:rPr>
          <w:rFonts w:ascii="Arial" w:cs="Arial" w:eastAsia="Arial" w:hAnsi="Arial"/>
          <w:sz w:val="16"/>
          <w:szCs w:val="16"/>
          <w:i w:val="1"/>
          <w:iCs w:val="1"/>
          <w:color w:val="auto"/>
        </w:rPr>
        <w:t>Borderlands 3: Director’s Cut</w:t>
      </w:r>
      <w:r>
        <w:rPr>
          <w:rFonts w:ascii="Arial" w:cs="Arial" w:eastAsia="Arial" w:hAnsi="Arial"/>
          <w:sz w:val="16"/>
          <w:szCs w:val="16"/>
          <w:color w:val="auto"/>
        </w:rPr>
        <w:t xml:space="preserve"> add-on, which is available for purchase separately and available to download for owners of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Ultimate Edition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Season Pass 2</w:t>
      </w:r>
      <w:r>
        <w:rPr>
          <w:rFonts w:ascii="Arial" w:cs="Arial" w:eastAsia="Arial" w:hAnsi="Arial"/>
          <w:sz w:val="16"/>
          <w:szCs w:val="16"/>
          <w:color w:val="auto"/>
        </w:rPr>
        <w:t>. The</w:t>
      </w:r>
      <w:r>
        <w:rPr>
          <w:rFonts w:ascii="Arial" w:cs="Arial" w:eastAsia="Arial" w:hAnsi="Arial"/>
          <w:sz w:val="16"/>
          <w:szCs w:val="16"/>
          <w:i w:val="1"/>
          <w:iCs w:val="1"/>
          <w:color w:val="auto"/>
        </w:rPr>
        <w:t xml:space="preserve"> Director’s Cut </w:t>
      </w:r>
      <w:r>
        <w:rPr>
          <w:rFonts w:ascii="Arial" w:cs="Arial" w:eastAsia="Arial" w:hAnsi="Arial"/>
          <w:sz w:val="16"/>
          <w:szCs w:val="16"/>
          <w:color w:val="auto"/>
        </w:rPr>
        <w:t>add-on delivered a brand-new raid boss, story-driven murder mystery missions, daily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weekly challenges with unique themed rewards, and never-before-seen behind-the-scenes content. In addition, </w:t>
      </w:r>
      <w:r>
        <w:rPr>
          <w:rFonts w:ascii="Arial" w:cs="Arial" w:eastAsia="Arial" w:hAnsi="Arial"/>
          <w:sz w:val="16"/>
          <w:szCs w:val="16"/>
          <w:i w:val="1"/>
          <w:iCs w:val="1"/>
          <w:color w:val="auto"/>
        </w:rPr>
        <w:t>Tales from the Borderlands</w:t>
      </w:r>
      <w:r>
        <w:rPr>
          <w:rFonts w:ascii="Arial" w:cs="Arial" w:eastAsia="Arial" w:hAnsi="Arial"/>
          <w:sz w:val="16"/>
          <w:szCs w:val="16"/>
          <w:color w:val="auto"/>
        </w:rPr>
        <w:t xml:space="preserve"> – a critically acclaimed, narrative-driven adventure game set within the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universe – was officially re-released on consoles and PC, and was also released on Switch for the first time, bringing an essential chapter of the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narrative to new audiences.</w:t>
      </w:r>
    </w:p>
    <w:p>
      <w:pPr>
        <w:spacing w:after="0" w:line="2"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Launched the </w:t>
      </w:r>
      <w:r>
        <w:rPr>
          <w:rFonts w:ascii="Arial" w:cs="Arial" w:eastAsia="Arial" w:hAnsi="Arial"/>
          <w:sz w:val="18"/>
          <w:szCs w:val="18"/>
          <w:i w:val="1"/>
          <w:iCs w:val="1"/>
          <w:color w:val="auto"/>
        </w:rPr>
        <w:t>Vietnam &amp; Kublai Khan Pack</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Portugal Pack</w:t>
      </w:r>
      <w:r>
        <w:rPr>
          <w:rFonts w:ascii="Arial" w:cs="Arial" w:eastAsia="Arial" w:hAnsi="Arial"/>
          <w:sz w:val="18"/>
          <w:szCs w:val="18"/>
          <w:color w:val="auto"/>
        </w:rPr>
        <w:t xml:space="preserve"> for </w:t>
      </w:r>
      <w:r>
        <w:rPr>
          <w:rFonts w:ascii="Arial" w:cs="Arial" w:eastAsia="Arial" w:hAnsi="Arial"/>
          <w:sz w:val="18"/>
          <w:szCs w:val="18"/>
          <w:i w:val="1"/>
          <w:iCs w:val="1"/>
          <w:color w:val="auto"/>
        </w:rPr>
        <w:t>Sid Meier's Civilization VI</w:t>
      </w:r>
      <w:r>
        <w:rPr>
          <w:rFonts w:ascii="Arial" w:cs="Arial" w:eastAsia="Arial" w:hAnsi="Arial"/>
          <w:sz w:val="18"/>
          <w:szCs w:val="18"/>
          <w:color w:val="auto"/>
        </w:rPr>
        <w:t xml:space="preserve">, completing the full season of content from Firaxis Games’ </w:t>
      </w:r>
      <w:r>
        <w:rPr>
          <w:rFonts w:ascii="Arial" w:cs="Arial" w:eastAsia="Arial" w:hAnsi="Arial"/>
          <w:sz w:val="18"/>
          <w:szCs w:val="18"/>
          <w:i w:val="1"/>
          <w:iCs w:val="1"/>
          <w:color w:val="auto"/>
        </w:rPr>
        <w:t>New Frontier Pass.</w:t>
      </w:r>
      <w:r>
        <w:rPr>
          <w:rFonts w:ascii="Arial" w:cs="Arial" w:eastAsia="Arial" w:hAnsi="Arial"/>
          <w:sz w:val="18"/>
          <w:szCs w:val="18"/>
          <w:color w:val="auto"/>
        </w:rPr>
        <w:t xml:space="preserve"> The packs bring new leaders, civilizations, optional game modes and more to </w:t>
      </w:r>
      <w:r>
        <w:rPr>
          <w:rFonts w:ascii="Arial" w:cs="Arial" w:eastAsia="Arial" w:hAnsi="Arial"/>
          <w:sz w:val="18"/>
          <w:szCs w:val="18"/>
          <w:i w:val="1"/>
          <w:iCs w:val="1"/>
          <w:color w:val="auto"/>
        </w:rPr>
        <w:t>Civilization VI</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Division:</w:t>
      </w:r>
    </w:p>
    <w:p>
      <w:pPr>
        <w:spacing w:after="0" w:line="27" w:lineRule="exact"/>
        <w:rPr>
          <w:sz w:val="20"/>
          <w:szCs w:val="20"/>
          <w:color w:val="auto"/>
        </w:rPr>
      </w:pPr>
    </w:p>
    <w:p>
      <w:pPr>
        <w:ind w:left="340" w:right="80" w:hanging="332"/>
        <w:spacing w:after="0" w:line="2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On February 10, 2021, Private Division and Obsidian Entertainment released </w:t>
      </w:r>
      <w:r>
        <w:rPr>
          <w:rFonts w:ascii="Arial" w:cs="Arial" w:eastAsia="Arial" w:hAnsi="Arial"/>
          <w:sz w:val="16"/>
          <w:szCs w:val="16"/>
          <w:i w:val="1"/>
          <w:iCs w:val="1"/>
          <w:color w:val="auto"/>
        </w:rPr>
        <w:t>The Outer Worlds: Peril on Gorgon</w:t>
      </w:r>
      <w:r>
        <w:rPr>
          <w:rFonts w:ascii="Arial" w:cs="Arial" w:eastAsia="Arial" w:hAnsi="Arial"/>
          <w:sz w:val="16"/>
          <w:szCs w:val="16"/>
          <w:color w:val="auto"/>
        </w:rPr>
        <w:t xml:space="preserve">, the first narrative-led expansion for the critically acclaimed, darkly humorous sci-fi RPG for Switch. The expansion was released previously for PlayStation 4, Xbox One, and PC. The second and final expansion, </w:t>
      </w:r>
      <w:r>
        <w:rPr>
          <w:rFonts w:ascii="Arial" w:cs="Arial" w:eastAsia="Arial" w:hAnsi="Arial"/>
          <w:sz w:val="16"/>
          <w:szCs w:val="16"/>
          <w:i w:val="1"/>
          <w:iCs w:val="1"/>
          <w:color w:val="auto"/>
        </w:rPr>
        <w:t>The Outer Worlds: Murder on Eridanos</w:t>
      </w:r>
      <w:r>
        <w:rPr>
          <w:rFonts w:ascii="Arial" w:cs="Arial" w:eastAsia="Arial" w:hAnsi="Arial"/>
          <w:sz w:val="16"/>
          <w:szCs w:val="16"/>
          <w:color w:val="auto"/>
        </w:rPr>
        <w:t xml:space="preserve">, launched on March 17, 2021 on PlayStation 4, Xbox One, and PC, and will launch on Switch later in calendar 2021. Both expansions are available individually or at a discount as part of </w:t>
      </w:r>
      <w:r>
        <w:rPr>
          <w:rFonts w:ascii="Arial" w:cs="Arial" w:eastAsia="Arial" w:hAnsi="Arial"/>
          <w:sz w:val="16"/>
          <w:szCs w:val="16"/>
          <w:i w:val="1"/>
          <w:iCs w:val="1"/>
          <w:color w:val="auto"/>
        </w:rPr>
        <w:t>The Outer Worlds Expansion Pass</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340" w:hanging="332"/>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Private Division announced that it will launch </w:t>
      </w:r>
      <w:r>
        <w:rPr>
          <w:rFonts w:ascii="Arial" w:cs="Arial" w:eastAsia="Arial" w:hAnsi="Arial"/>
          <w:sz w:val="18"/>
          <w:szCs w:val="18"/>
          <w:i w:val="1"/>
          <w:iCs w:val="1"/>
          <w:color w:val="auto"/>
        </w:rPr>
        <w:t>OlliOlli World</w:t>
      </w:r>
      <w:r>
        <w:rPr>
          <w:rFonts w:ascii="Arial" w:cs="Arial" w:eastAsia="Arial" w:hAnsi="Arial"/>
          <w:sz w:val="18"/>
          <w:szCs w:val="18"/>
          <w:color w:val="auto"/>
        </w:rPr>
        <w:t xml:space="preserve"> this winter for Switch, Xbox Series X|S, Xbox One, PlayStation 4, PlayStation 5, and PC. Developed by Roll7, this skateboarding action-platformer marks a bold new direction for the critically acclaimed franchise. Roll7 is a BAFTA and multi-award-winning London based independent studio famous for re-defining genres and creating remarkable games including </w:t>
      </w:r>
      <w:r>
        <w:rPr>
          <w:rFonts w:ascii="Arial" w:cs="Arial" w:eastAsia="Arial" w:hAnsi="Arial"/>
          <w:sz w:val="18"/>
          <w:szCs w:val="18"/>
          <w:i w:val="1"/>
          <w:iCs w:val="1"/>
          <w:color w:val="auto"/>
        </w:rPr>
        <w:t>OlliOlli, OlliOlli 2:</w:t>
      </w:r>
      <w:r>
        <w:rPr>
          <w:rFonts w:ascii="Arial" w:cs="Arial" w:eastAsia="Arial" w:hAnsi="Arial"/>
          <w:sz w:val="18"/>
          <w:szCs w:val="18"/>
          <w:color w:val="auto"/>
        </w:rPr>
        <w:t xml:space="preserve"> </w:t>
      </w:r>
      <w:r>
        <w:rPr>
          <w:rFonts w:ascii="Arial" w:cs="Arial" w:eastAsia="Arial" w:hAnsi="Arial"/>
          <w:sz w:val="18"/>
          <w:szCs w:val="18"/>
          <w:i w:val="1"/>
          <w:iCs w:val="1"/>
          <w:color w:val="auto"/>
        </w:rPr>
        <w:t>Welcome to Olliwood, Laser League</w:t>
      </w:r>
      <w:r>
        <w:rPr>
          <w:rFonts w:ascii="Arial" w:cs="Arial" w:eastAsia="Arial" w:hAnsi="Arial"/>
          <w:sz w:val="18"/>
          <w:szCs w:val="18"/>
          <w:color w:val="auto"/>
        </w:rPr>
        <w:t>, and</w:t>
      </w:r>
      <w:r>
        <w:rPr>
          <w:rFonts w:ascii="Arial" w:cs="Arial" w:eastAsia="Arial" w:hAnsi="Arial"/>
          <w:sz w:val="18"/>
          <w:szCs w:val="18"/>
          <w:i w:val="1"/>
          <w:iCs w:val="1"/>
          <w:color w:val="auto"/>
        </w:rPr>
        <w:t xml:space="preserve"> NOT A HERO.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Social Point/Playdots:</w:t>
      </w:r>
    </w:p>
    <w:p>
      <w:pPr>
        <w:spacing w:after="0" w:line="229" w:lineRule="exact"/>
        <w:rPr>
          <w:sz w:val="20"/>
          <w:szCs w:val="20"/>
          <w:color w:val="auto"/>
        </w:rPr>
      </w:pPr>
    </w:p>
    <w:p>
      <w:pPr>
        <w:ind w:left="340" w:right="26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Across many of their mobile games, Social Points and Playdots launched new features, scavenger hunts, and marketing activations to drive player engagement. Both studios will continue to introduce new enhancements to their games in the coming year to further optimize the player experience.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 for Fiscal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Take-Two is providing its initial outlook for its fiscal year ending March 31, 2022 and its fiscal first quarter ending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Ending March 31, 2022</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revenue is expected to range from $3.14 to $3.24 billion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income is expected to range from $228 to $257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$1.95 to $2.20</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9"/>
        </w:numPr>
        <w:rPr>
          <w:rFonts w:ascii="Arial" w:cs="Arial" w:eastAsia="Arial" w:hAnsi="Arial"/>
          <w:sz w:val="28"/>
          <w:szCs w:val="28"/>
          <w:color w:val="auto"/>
          <w:vertAlign w:val="superscript"/>
        </w:rPr>
      </w:pPr>
      <w:r>
        <w:rPr>
          <w:rFonts w:ascii="Arial" w:cs="Arial" w:eastAsia="Arial" w:hAnsi="Arial"/>
          <w:sz w:val="15"/>
          <w:szCs w:val="15"/>
          <w:color w:val="auto"/>
        </w:rPr>
        <w:t xml:space="preserve">Share count used to calculate both GAAP and management reporting diluted net income per share is expected to be 116.8 million </w:t>
      </w:r>
      <w:r>
        <w:rPr>
          <w:rFonts w:ascii="Arial" w:cs="Arial" w:eastAsia="Arial" w:hAnsi="Arial"/>
          <w:sz w:val="23"/>
          <w:szCs w:val="23"/>
          <w:color w:val="auto"/>
          <w:vertAlign w:val="superscript"/>
        </w:rPr>
        <w:t>(1)</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$380 million</w:t>
      </w:r>
    </w:p>
    <w:p>
      <w:pPr>
        <w:spacing w:after="0" w:line="7"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9"/>
        </w:numPr>
        <w:rPr>
          <w:rFonts w:ascii="Arial" w:cs="Arial" w:eastAsia="Arial" w:hAnsi="Arial"/>
          <w:sz w:val="28"/>
          <w:szCs w:val="28"/>
          <w:color w:val="auto"/>
          <w:vertAlign w:val="superscript"/>
        </w:rPr>
      </w:pPr>
      <w:r>
        <w:rPr>
          <w:rFonts w:ascii="Arial" w:cs="Arial" w:eastAsia="Arial" w:hAnsi="Arial"/>
          <w:sz w:val="15"/>
          <w:szCs w:val="15"/>
          <w:color w:val="auto"/>
        </w:rPr>
        <w:t xml:space="preserve">Adjusted Unrestricted Operating Cash Flow (Non-GAAP) is expected to be over $400 million </w:t>
      </w:r>
      <w:r>
        <w:rPr>
          <w:rFonts w:ascii="Arial" w:cs="Arial" w:eastAsia="Arial" w:hAnsi="Arial"/>
          <w:sz w:val="23"/>
          <w:szCs w:val="23"/>
          <w:color w:val="auto"/>
          <w:vertAlign w:val="superscript"/>
        </w:rPr>
        <w:t>(2)</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$100 million</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$3.2 to $3.3 billion</w:t>
      </w:r>
    </w:p>
    <w:p>
      <w:pPr>
        <w:spacing w:after="0" w:line="21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9"/>
          </w:tcPr>
          <w:p>
            <w:pPr>
              <w:ind w:left="740"/>
              <w:spacing w:after="0"/>
              <w:rPr>
                <w:sz w:val="20"/>
                <w:szCs w:val="20"/>
                <w:color w:val="auto"/>
              </w:rPr>
            </w:pPr>
            <w:r>
              <w:rPr>
                <w:rFonts w:ascii="Arial" w:cs="Arial" w:eastAsia="Arial" w:hAnsi="Arial"/>
                <w:sz w:val="18"/>
                <w:szCs w:val="18"/>
                <w:b w:val="1"/>
                <w:bCs w:val="1"/>
                <w:color w:val="auto"/>
              </w:rPr>
              <w:t>Twelve Months Ending March 31, 2022</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Financial Data</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Change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net revenue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GAAP outlook</w:t>
            </w: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related cost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Stock-based</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of Intangible</w:t>
            </w: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Reorganization &amp;</w:t>
            </w:r>
          </w:p>
        </w:tc>
      </w:tr>
      <w:tr>
        <w:trPr>
          <w:trHeight w:val="234"/>
        </w:trPr>
        <w:tc>
          <w:tcPr>
            <w:tcW w:w="362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340" w:type="dxa"/>
            <w:vAlign w:val="bottom"/>
          </w:tcPr>
          <w:p>
            <w:pPr>
              <w:jc w:val="right"/>
              <w:ind w:right="492"/>
              <w:spacing w:after="0"/>
              <w:rPr>
                <w:sz w:val="20"/>
                <w:szCs w:val="20"/>
                <w:color w:val="auto"/>
              </w:rPr>
            </w:pPr>
            <w:r>
              <w:rPr>
                <w:rFonts w:ascii="Arial" w:cs="Arial" w:eastAsia="Arial" w:hAnsi="Arial"/>
                <w:sz w:val="15"/>
                <w:szCs w:val="15"/>
                <w:b w:val="1"/>
                <w:bCs w:val="1"/>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goods sold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compensation</w:t>
            </w:r>
          </w:p>
        </w:tc>
        <w:tc>
          <w:tcPr>
            <w:tcW w:w="12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Assets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Acquisition</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$3,140 to $3,240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color w:val="auto"/>
                <w:w w:val="79"/>
              </w:rPr>
              <w:t>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$1,411 to $1,456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$1,461 to $1,481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9"/>
              </w:rPr>
              <w:t>$270 to $305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Ending June 30, 2021</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net revenue is expected to range from $730 to $780 million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net income is expected to range from $116 to $129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$1.00 to $1.10</w:t>
      </w:r>
    </w:p>
    <w:p>
      <w:pPr>
        <w:spacing w:after="0" w:line="9" w:lineRule="exact"/>
        <w:rPr>
          <w:rFonts w:ascii="Arial" w:cs="Arial" w:eastAsia="Arial" w:hAnsi="Arial"/>
          <w:sz w:val="18"/>
          <w:szCs w:val="18"/>
          <w:color w:val="auto"/>
        </w:rPr>
      </w:pPr>
    </w:p>
    <w:p>
      <w:pPr>
        <w:ind w:left="340" w:hanging="332"/>
        <w:spacing w:after="0" w:line="192"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5"/>
          <w:szCs w:val="15"/>
          <w:color w:val="auto"/>
        </w:rPr>
        <w:t xml:space="preserve">Share count used to calculate both GAAP and management reporting diluted net income per share is expected to be 116.5 million </w:t>
      </w:r>
      <w:r>
        <w:rPr>
          <w:rFonts w:ascii="Arial" w:cs="Arial" w:eastAsia="Arial" w:hAnsi="Arial"/>
          <w:sz w:val="23"/>
          <w:szCs w:val="23"/>
          <w:color w:val="auto"/>
          <w:vertAlign w:val="superscript"/>
        </w:rPr>
        <w:t>(4)</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$625 to $675 million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jc w:val="both"/>
        <w:ind w:right="360"/>
        <w:spacing w:after="0" w:line="263" w:lineRule="auto"/>
        <w:rPr>
          <w:sz w:val="20"/>
          <w:szCs w:val="20"/>
          <w:color w:val="auto"/>
        </w:rPr>
      </w:pPr>
      <w:r>
        <w:rPr>
          <w:rFonts w:ascii="Arial" w:cs="Arial" w:eastAsia="Arial" w:hAnsi="Arial"/>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2"/>
              </w:rPr>
              <w:t>Three Months Ending June 30, 2021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3"/>
              </w:rPr>
              <w:t>Financial Data</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deferred net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revenue and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acquired</w:t>
            </w:r>
          </w:p>
        </w:tc>
        <w:tc>
          <w:tcPr>
            <w:tcW w:w="0" w:type="dxa"/>
            <w:vAlign w:val="bottom"/>
          </w:tcPr>
          <w:p>
            <w:pPr>
              <w:spacing w:after="0"/>
              <w:rPr>
                <w:sz w:val="1"/>
                <w:szCs w:val="1"/>
                <w:color w:val="auto"/>
              </w:rPr>
            </w:pPr>
          </w:p>
        </w:tc>
      </w:tr>
      <w:tr>
        <w:trPr>
          <w:trHeight w:val="216"/>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GAAP outlook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related cost of</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Stock-based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intangible</w:t>
            </w:r>
          </w:p>
        </w:tc>
        <w:tc>
          <w:tcPr>
            <w:tcW w:w="0" w:type="dxa"/>
            <w:vAlign w:val="bottom"/>
          </w:tcPr>
          <w:p>
            <w:pPr>
              <w:spacing w:after="0"/>
              <w:rPr>
                <w:sz w:val="1"/>
                <w:szCs w:val="1"/>
                <w:color w:val="auto"/>
              </w:rPr>
            </w:pPr>
          </w:p>
        </w:tc>
      </w:tr>
      <w:tr>
        <w:trPr>
          <w:trHeight w:val="234"/>
        </w:trPr>
        <w:tc>
          <w:tcPr>
            <w:tcW w:w="5520" w:type="dxa"/>
            <w:vAlign w:val="bottom"/>
            <w:vMerge w:val="continue"/>
          </w:tcPr>
          <w:p>
            <w:pPr>
              <w:spacing w:after="0"/>
              <w:rPr>
                <w:sz w:val="20"/>
                <w:szCs w:val="20"/>
                <w:color w:val="auto"/>
              </w:rPr>
            </w:pPr>
          </w:p>
        </w:tc>
        <w:tc>
          <w:tcPr>
            <w:tcW w:w="1360" w:type="dxa"/>
            <w:vAlign w:val="bottom"/>
          </w:tcPr>
          <w:p>
            <w:pPr>
              <w:jc w:val="right"/>
              <w:ind w:right="492"/>
              <w:spacing w:after="0"/>
              <w:rPr>
                <w:sz w:val="20"/>
                <w:szCs w:val="20"/>
                <w:color w:val="auto"/>
              </w:rPr>
            </w:pPr>
            <w:r>
              <w:rPr>
                <w:rFonts w:ascii="Arial" w:cs="Arial" w:eastAsia="Arial" w:hAnsi="Arial"/>
                <w:sz w:val="15"/>
                <w:szCs w:val="15"/>
                <w:b w:val="1"/>
                <w:bCs w:val="1"/>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goods sold</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compensation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8"/>
              </w:rPr>
              <w:t>assets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3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$730 to $780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$277 to $303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$316 to $326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other, net</w:t>
            </w:r>
          </w:p>
        </w:tc>
        <w:tc>
          <w:tcPr>
            <w:tcW w:w="136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$138 to $152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115.9 million basic shares and 0.9 million shares representing the potential dilution from unvested employee stock grants.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$20 million net decrease in restricted cash for fiscal 2022.</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individual components of the financial outlook may not foot to the totals, as the Company does not expect actual results for every component to be at the low end or high end of the outlook range simultaneously.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115.5 million basic shares and 1 million shares representing the potential dilution from unvested employee stock grants.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Key assumptions and dependencies underlying the Company’s outlook include: the timely delivery of the titles included in this financial outlook; a stable economic environment; continued consumer acceptance of Xbox One and PlayStation 4, as well as continued growth in the installed base of PlayStation 5 and Xbox Series X|S; the ability to develop and publish products that capture market share for these current generation systems while also leveraging opportunities on PC, mobile and other platforms; and stable foreign exchange rates. See also “Cautionary Note Regarding Forward Looking Statements”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titles were released since January 1, 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Label</w:t>
            </w:r>
          </w:p>
        </w:tc>
        <w:tc>
          <w:tcPr>
            <w:tcW w:w="54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c>
          <w:tcPr>
            <w:tcW w:w="26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Platforms</w:t>
            </w:r>
          </w:p>
        </w:tc>
        <w:tc>
          <w:tcPr>
            <w:tcW w:w="1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Release Date</w:t>
            </w: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WWE 2K Battlegrounds </w:t>
            </w:r>
            <w:r>
              <w:rPr>
                <w:rFonts w:ascii="Arial" w:cs="Arial" w:eastAsia="Arial" w:hAnsi="Arial"/>
                <w:sz w:val="18"/>
                <w:szCs w:val="18"/>
                <w:color w:val="auto"/>
              </w:rPr>
              <w:t>Roster Update #4 (DLC)</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PS4, Xbox One, Switch, PC, Stadia</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27, 2021</w:t>
            </w:r>
          </w:p>
        </w:tc>
      </w:tr>
      <w:tr>
        <w:trPr>
          <w:trHeight w:val="195"/>
        </w:trPr>
        <w:tc>
          <w:tcPr>
            <w:tcW w:w="16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2K</w:t>
            </w:r>
          </w:p>
        </w:tc>
        <w:tc>
          <w:tcPr>
            <w:tcW w:w="54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i w:val="1"/>
                <w:iCs w:val="1"/>
                <w:color w:val="auto"/>
                <w:w w:val="94"/>
              </w:rPr>
              <w:t>Sid Meier's Civilization VI – New Frontier Pass: Vietnam &amp; Kublai Khan</w:t>
            </w:r>
          </w:p>
        </w:tc>
        <w:tc>
          <w:tcPr>
            <w:tcW w:w="2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PS4, Xbox One, Switch, PC</w:t>
            </w:r>
          </w:p>
        </w:tc>
        <w:tc>
          <w:tcPr>
            <w:tcW w:w="15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January 28, 2021</w:t>
            </w:r>
          </w:p>
        </w:tc>
      </w:tr>
      <w:tr>
        <w:trPr>
          <w:trHeight w:val="230"/>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Pack </w:t>
            </w:r>
            <w:r>
              <w:rPr>
                <w:rFonts w:ascii="Arial" w:cs="Arial" w:eastAsia="Arial" w:hAnsi="Arial"/>
                <w:sz w:val="18"/>
                <w:szCs w:val="18"/>
                <w:color w:val="auto"/>
              </w:rPr>
              <w:t>(DLC)</w:t>
            </w:r>
          </w:p>
        </w:tc>
        <w:tc>
          <w:tcPr>
            <w:tcW w:w="26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Private Division</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Kerbal Space Program</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WeGame (China)</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2, 2021</w:t>
            </w: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WWE 2K Battlegrounds </w:t>
            </w:r>
            <w:r>
              <w:rPr>
                <w:rFonts w:ascii="Arial" w:cs="Arial" w:eastAsia="Arial" w:hAnsi="Arial"/>
                <w:sz w:val="18"/>
                <w:szCs w:val="18"/>
                <w:color w:val="auto"/>
              </w:rPr>
              <w:t>Roster Update #5 (DLC)</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PS4, Xbox One, Switch, PC, Stadia</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10, 2021</w:t>
            </w:r>
          </w:p>
        </w:tc>
      </w:tr>
      <w:tr>
        <w:trPr>
          <w:trHeight w:val="209"/>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Private Division</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The Outer Worlds: Peril on Gorgon </w:t>
            </w:r>
            <w:r>
              <w:rPr>
                <w:rFonts w:ascii="Arial" w:cs="Arial" w:eastAsia="Arial" w:hAnsi="Arial"/>
                <w:sz w:val="18"/>
                <w:szCs w:val="18"/>
                <w:color w:val="auto"/>
              </w:rPr>
              <w:t>(DLC)</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10, 2021</w:t>
            </w: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Tales from the Borderlands</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PS4, PC</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17, 2021</w:t>
            </w: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Private Division</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The Outer Worlds: Murder on Eridanos </w:t>
            </w:r>
            <w:r>
              <w:rPr>
                <w:rFonts w:ascii="Arial" w:cs="Arial" w:eastAsia="Arial" w:hAnsi="Arial"/>
                <w:sz w:val="18"/>
                <w:szCs w:val="18"/>
                <w:color w:val="auto"/>
              </w:rPr>
              <w:t>(DLC)</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PS4, Xbox One, PC</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17, 2021</w:t>
            </w: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Tales from the Borderlands</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24, 2021</w:t>
            </w:r>
          </w:p>
        </w:tc>
      </w:tr>
      <w:tr>
        <w:trPr>
          <w:trHeight w:val="209"/>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w w:val="98"/>
              </w:rPr>
              <w:t xml:space="preserve">Sid Meier's Civilization VI - New Frontier Pass: Portugal Pack </w:t>
            </w:r>
            <w:r>
              <w:rPr>
                <w:rFonts w:ascii="Arial" w:cs="Arial" w:eastAsia="Arial" w:hAnsi="Arial"/>
                <w:sz w:val="18"/>
                <w:szCs w:val="18"/>
                <w:color w:val="auto"/>
                <w:w w:val="98"/>
              </w:rPr>
              <w:t>(DLC)</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PS4, Xbox One, Switch, PC</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25, 2021</w:t>
            </w:r>
          </w:p>
        </w:tc>
      </w:tr>
      <w:tr>
        <w:trPr>
          <w:trHeight w:val="210"/>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NBA 2K21</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iOS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April 2, 2021</w:t>
            </w:r>
          </w:p>
        </w:tc>
      </w:tr>
      <w:tr>
        <w:trPr>
          <w:trHeight w:val="195"/>
        </w:trPr>
        <w:tc>
          <w:tcPr>
            <w:tcW w:w="16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2K</w:t>
            </w:r>
          </w:p>
        </w:tc>
        <w:tc>
          <w:tcPr>
            <w:tcW w:w="54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i w:val="1"/>
                <w:iCs w:val="1"/>
                <w:color w:val="auto"/>
              </w:rPr>
              <w:t xml:space="preserve">Borderlands 3 - Director's Cut </w:t>
            </w:r>
            <w:r>
              <w:rPr>
                <w:rFonts w:ascii="Arial" w:cs="Arial" w:eastAsia="Arial" w:hAnsi="Arial"/>
                <w:sz w:val="18"/>
                <w:szCs w:val="18"/>
                <w:color w:val="auto"/>
              </w:rPr>
              <w:t>(part of</w:t>
            </w:r>
            <w:r>
              <w:rPr>
                <w:rFonts w:ascii="Arial" w:cs="Arial" w:eastAsia="Arial" w:hAnsi="Arial"/>
                <w:sz w:val="18"/>
                <w:szCs w:val="18"/>
                <w:i w:val="1"/>
                <w:iCs w:val="1"/>
                <w:color w:val="auto"/>
              </w:rPr>
              <w:t xml:space="preserve"> Season Pass 2 </w:t>
            </w:r>
            <w:r>
              <w:rPr>
                <w:rFonts w:ascii="Arial" w:cs="Arial" w:eastAsia="Arial" w:hAnsi="Arial"/>
                <w:sz w:val="18"/>
                <w:szCs w:val="18"/>
                <w:color w:val="auto"/>
              </w:rPr>
              <w:t>DLC)</w:t>
            </w:r>
          </w:p>
        </w:tc>
        <w:tc>
          <w:tcPr>
            <w:tcW w:w="2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PS4, PS5, Xbox One, Xbox</w:t>
            </w:r>
          </w:p>
        </w:tc>
        <w:tc>
          <w:tcPr>
            <w:tcW w:w="15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April 8, 2021</w:t>
            </w:r>
          </w:p>
        </w:tc>
      </w:tr>
      <w:tr>
        <w:trPr>
          <w:trHeight w:val="230"/>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Series X|S, PC, Stadia</w:t>
            </w:r>
          </w:p>
        </w:tc>
        <w:tc>
          <w:tcPr>
            <w:tcW w:w="1560" w:type="dxa"/>
            <w:vAlign w:val="bottom"/>
            <w:tcBorders>
              <w:bottom w:val="single" w:sz="8" w:color="auto"/>
              <w:right w:val="single" w:sz="8" w:color="auto"/>
            </w:tcBorders>
          </w:tcPr>
          <w:p>
            <w:pPr>
              <w:spacing w:after="0"/>
              <w:rPr>
                <w:sz w:val="20"/>
                <w:szCs w:val="20"/>
                <w:color w:val="auto"/>
              </w:rPr>
            </w:pPr>
          </w:p>
        </w:tc>
      </w:tr>
      <w:tr>
        <w:trPr>
          <w:trHeight w:val="641"/>
        </w:trPr>
        <w:tc>
          <w:tcPr>
            <w:tcW w:w="16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7</w:t>
            </w:r>
          </w:p>
        </w:tc>
        <w:tc>
          <w:tcPr>
            <w:tcW w:w="2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Take-Two's lineup of future titles announced to-date includes: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0" w:type="dxa"/>
            <w:vAlign w:val="bottom"/>
            <w:tcBorders>
              <w:top w:val="single" w:sz="8" w:color="auto"/>
              <w:left w:val="single" w:sz="8" w:color="auto"/>
            </w:tcBorders>
          </w:tcPr>
          <w:p>
            <w:pPr>
              <w:spacing w:after="0"/>
              <w:rPr>
                <w:sz w:val="16"/>
                <w:szCs w:val="16"/>
                <w:color w:val="auto"/>
              </w:rPr>
            </w:pPr>
          </w:p>
        </w:tc>
        <w:tc>
          <w:tcPr>
            <w:tcW w:w="1540" w:type="dxa"/>
            <w:vAlign w:val="bottom"/>
            <w:tcBorders>
              <w:top w:val="single" w:sz="8" w:color="auto"/>
              <w:right w:val="single" w:sz="8" w:color="auto"/>
            </w:tcBorders>
            <w:gridSpan w:val="3"/>
          </w:tcPr>
          <w:p>
            <w:pPr>
              <w:spacing w:after="0" w:line="189" w:lineRule="exact"/>
              <w:rPr>
                <w:sz w:val="20"/>
                <w:szCs w:val="20"/>
                <w:color w:val="auto"/>
              </w:rPr>
            </w:pPr>
            <w:r>
              <w:rPr>
                <w:rFonts w:ascii="Arial" w:cs="Arial" w:eastAsia="Arial" w:hAnsi="Arial"/>
                <w:sz w:val="18"/>
                <w:szCs w:val="18"/>
                <w:b w:val="1"/>
                <w:bCs w:val="1"/>
                <w:color w:val="auto"/>
              </w:rPr>
              <w:t>Label</w:t>
            </w:r>
          </w:p>
        </w:tc>
        <w:tc>
          <w:tcPr>
            <w:tcW w:w="5400" w:type="dxa"/>
            <w:vAlign w:val="bottom"/>
            <w:tcBorders>
              <w:top w:val="single" w:sz="8" w:color="auto"/>
              <w:right w:val="single" w:sz="8" w:color="auto"/>
            </w:tcBorders>
            <w:gridSpan w:val="3"/>
          </w:tcPr>
          <w:p>
            <w:pPr>
              <w:ind w:left="40"/>
              <w:spacing w:after="0" w:line="189" w:lineRule="exact"/>
              <w:rPr>
                <w:sz w:val="20"/>
                <w:szCs w:val="20"/>
                <w:color w:val="auto"/>
              </w:rPr>
            </w:pPr>
            <w:r>
              <w:rPr>
                <w:rFonts w:ascii="Arial" w:cs="Arial" w:eastAsia="Arial" w:hAnsi="Arial"/>
                <w:sz w:val="18"/>
                <w:szCs w:val="18"/>
                <w:b w:val="1"/>
                <w:bCs w:val="1"/>
                <w:color w:val="auto"/>
              </w:rPr>
              <w:t>Title</w:t>
            </w:r>
          </w:p>
        </w:tc>
        <w:tc>
          <w:tcPr>
            <w:tcW w:w="20" w:type="dxa"/>
            <w:vAlign w:val="bottom"/>
            <w:tcBorders>
              <w:top w:val="single" w:sz="8" w:color="auto"/>
            </w:tcBorders>
          </w:tcPr>
          <w:p>
            <w:pPr>
              <w:spacing w:after="0"/>
              <w:rPr>
                <w:sz w:val="16"/>
                <w:szCs w:val="16"/>
                <w:color w:val="auto"/>
              </w:rPr>
            </w:pPr>
          </w:p>
        </w:tc>
        <w:tc>
          <w:tcPr>
            <w:tcW w:w="26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Platforms</w:t>
            </w:r>
          </w:p>
        </w:tc>
        <w:tc>
          <w:tcPr>
            <w:tcW w:w="1560" w:type="dxa"/>
            <w:vAlign w:val="bottom"/>
            <w:tcBorders>
              <w:top w:val="single" w:sz="8" w:color="auto"/>
              <w:right w:val="single" w:sz="8" w:color="auto"/>
            </w:tcBorders>
            <w:gridSpan w:val="3"/>
          </w:tcPr>
          <w:p>
            <w:pPr>
              <w:ind w:left="20"/>
              <w:spacing w:after="0" w:line="189" w:lineRule="exact"/>
              <w:rPr>
                <w:sz w:val="20"/>
                <w:szCs w:val="20"/>
                <w:color w:val="auto"/>
              </w:rPr>
            </w:pPr>
            <w:r>
              <w:rPr>
                <w:rFonts w:ascii="Arial" w:cs="Arial" w:eastAsia="Arial" w:hAnsi="Arial"/>
                <w:sz w:val="18"/>
                <w:szCs w:val="18"/>
                <w:b w:val="1"/>
                <w:bCs w:val="1"/>
                <w:color w:val="auto"/>
              </w:rPr>
              <w:t>Release Date</w:t>
            </w: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6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Rockstar Games</w:t>
            </w:r>
          </w:p>
        </w:tc>
        <w:tc>
          <w:tcPr>
            <w:tcW w:w="54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Grand Theft Auto V</w:t>
            </w: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PS5, Xbox Series X|S</w:t>
            </w:r>
          </w:p>
        </w:tc>
        <w:tc>
          <w:tcPr>
            <w:tcW w:w="15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November 11, 2021</w:t>
            </w:r>
          </w:p>
        </w:tc>
      </w:tr>
      <w:tr>
        <w:trPr>
          <w:trHeight w:val="209"/>
        </w:trPr>
        <w:tc>
          <w:tcPr>
            <w:tcW w:w="6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Rockstar Games</w:t>
            </w:r>
          </w:p>
        </w:tc>
        <w:tc>
          <w:tcPr>
            <w:tcW w:w="54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 xml:space="preserve">Grand Theft Auto Online – </w:t>
            </w:r>
            <w:r>
              <w:rPr>
                <w:rFonts w:ascii="Arial" w:cs="Arial" w:eastAsia="Arial" w:hAnsi="Arial"/>
                <w:sz w:val="18"/>
                <w:szCs w:val="18"/>
                <w:color w:val="auto"/>
              </w:rPr>
              <w:t>Standalone</w:t>
            </w: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PS5, Xbox Series X|S</w:t>
            </w:r>
          </w:p>
        </w:tc>
        <w:tc>
          <w:tcPr>
            <w:tcW w:w="15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November 11, 2021</w:t>
            </w:r>
          </w:p>
        </w:tc>
      </w:tr>
      <w:tr>
        <w:trPr>
          <w:trHeight w:val="195"/>
        </w:trPr>
        <w:tc>
          <w:tcPr>
            <w:tcW w:w="6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Private Division</w:t>
            </w:r>
          </w:p>
        </w:tc>
        <w:tc>
          <w:tcPr>
            <w:tcW w:w="540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i w:val="1"/>
                <w:iCs w:val="1"/>
                <w:color w:val="auto"/>
              </w:rPr>
              <w:t>OlliOlli World</w:t>
            </w:r>
          </w:p>
        </w:tc>
        <w:tc>
          <w:tcPr>
            <w:tcW w:w="20" w:type="dxa"/>
            <w:vAlign w:val="bottom"/>
          </w:tcPr>
          <w:p>
            <w:pPr>
              <w:spacing w:after="0"/>
              <w:rPr>
                <w:sz w:val="16"/>
                <w:szCs w:val="16"/>
                <w:color w:val="auto"/>
              </w:rPr>
            </w:pPr>
          </w:p>
        </w:tc>
        <w:tc>
          <w:tcPr>
            <w:tcW w:w="26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PS4, PS5, Xbox One, Xbox</w:t>
            </w:r>
          </w:p>
        </w:tc>
        <w:tc>
          <w:tcPr>
            <w:tcW w:w="1560" w:type="dxa"/>
            <w:vAlign w:val="bottom"/>
            <w:tcBorders>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Winter 2021</w:t>
            </w:r>
          </w:p>
        </w:tc>
      </w:tr>
      <w:tr>
        <w:trPr>
          <w:trHeight w:val="230"/>
        </w:trPr>
        <w:tc>
          <w:tcPr>
            <w:tcW w:w="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Series X|S, Switch (digital only)</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r>
      <w:tr>
        <w:trPr>
          <w:trHeight w:val="209"/>
        </w:trPr>
        <w:tc>
          <w:tcPr>
            <w:tcW w:w="6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Private Division</w:t>
            </w:r>
          </w:p>
        </w:tc>
        <w:tc>
          <w:tcPr>
            <w:tcW w:w="54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 xml:space="preserve">The Outer Worlds: Murder on Eridanos </w:t>
            </w:r>
            <w:r>
              <w:rPr>
                <w:rFonts w:ascii="Arial" w:cs="Arial" w:eastAsia="Arial" w:hAnsi="Arial"/>
                <w:sz w:val="18"/>
                <w:szCs w:val="18"/>
                <w:color w:val="auto"/>
              </w:rPr>
              <w:t>(DLC)</w:t>
            </w: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Switch</w:t>
            </w:r>
          </w:p>
        </w:tc>
        <w:tc>
          <w:tcPr>
            <w:tcW w:w="15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Calendar 2021</w:t>
            </w:r>
          </w:p>
        </w:tc>
      </w:tr>
      <w:tr>
        <w:trPr>
          <w:trHeight w:val="210"/>
        </w:trPr>
        <w:tc>
          <w:tcPr>
            <w:tcW w:w="6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NBA 2K22</w:t>
            </w: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TBA</w:t>
            </w:r>
          </w:p>
        </w:tc>
        <w:tc>
          <w:tcPr>
            <w:tcW w:w="15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Fiscal 2022</w:t>
            </w:r>
          </w:p>
        </w:tc>
      </w:tr>
      <w:tr>
        <w:trPr>
          <w:trHeight w:val="209"/>
        </w:trPr>
        <w:tc>
          <w:tcPr>
            <w:tcW w:w="60" w:type="dxa"/>
            <w:vAlign w:val="bottom"/>
            <w:tcBorders>
              <w:left w:val="single" w:sz="8" w:color="auto"/>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2K</w:t>
            </w:r>
          </w:p>
        </w:tc>
        <w:tc>
          <w:tcPr>
            <w:tcW w:w="540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WWE 2K22</w:t>
            </w:r>
          </w:p>
        </w:tc>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TBA</w:t>
            </w:r>
          </w:p>
        </w:tc>
        <w:tc>
          <w:tcPr>
            <w:tcW w:w="15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Fiscal 2022</w:t>
            </w:r>
          </w:p>
        </w:tc>
      </w:tr>
      <w:tr>
        <w:trPr>
          <w:trHeight w:val="195"/>
        </w:trPr>
        <w:tc>
          <w:tcPr>
            <w:tcW w:w="6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Private Division</w:t>
            </w:r>
          </w:p>
        </w:tc>
        <w:tc>
          <w:tcPr>
            <w:tcW w:w="540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i w:val="1"/>
                <w:iCs w:val="1"/>
                <w:color w:val="auto"/>
              </w:rPr>
              <w:t>Kerbal Space Program 2</w:t>
            </w:r>
          </w:p>
        </w:tc>
        <w:tc>
          <w:tcPr>
            <w:tcW w:w="20" w:type="dxa"/>
            <w:vAlign w:val="bottom"/>
          </w:tcPr>
          <w:p>
            <w:pPr>
              <w:spacing w:after="0"/>
              <w:rPr>
                <w:sz w:val="16"/>
                <w:szCs w:val="16"/>
                <w:color w:val="auto"/>
              </w:rPr>
            </w:pPr>
          </w:p>
        </w:tc>
        <w:tc>
          <w:tcPr>
            <w:tcW w:w="26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PS4, Xbox One,</w:t>
            </w:r>
          </w:p>
        </w:tc>
        <w:tc>
          <w:tcPr>
            <w:tcW w:w="1560" w:type="dxa"/>
            <w:vAlign w:val="bottom"/>
            <w:tcBorders>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Fiscal 2023</w:t>
            </w:r>
          </w:p>
        </w:tc>
      </w:tr>
      <w:tr>
        <w:trPr>
          <w:trHeight w:val="230"/>
        </w:trPr>
        <w:tc>
          <w:tcPr>
            <w:tcW w:w="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PC</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r>
      <w:tr>
        <w:trPr>
          <w:trHeight w:val="385"/>
        </w:trPr>
        <w:tc>
          <w:tcPr>
            <w:tcW w:w="1600" w:type="dxa"/>
            <w:vAlign w:val="bottom"/>
            <w:gridSpan w:val="4"/>
          </w:tcPr>
          <w:p>
            <w:pPr>
              <w:spacing w:after="0"/>
              <w:rPr>
                <w:sz w:val="20"/>
                <w:szCs w:val="20"/>
                <w:color w:val="auto"/>
              </w:rPr>
            </w:pPr>
            <w:r>
              <w:rPr>
                <w:rFonts w:ascii="Arial" w:cs="Arial" w:eastAsia="Arial" w:hAnsi="Arial"/>
                <w:sz w:val="18"/>
                <w:szCs w:val="18"/>
                <w:b w:val="1"/>
                <w:bCs w:val="1"/>
                <w:color w:val="auto"/>
              </w:rPr>
              <w:t>Conference Call</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Take-Two will host a conference call today at 4:30 p.m. Eastern Time to review these results and discuss other topics. The call can be accessed by dialing</w:t>
      </w:r>
    </w:p>
    <w:p>
      <w:pPr>
        <w:spacing w:after="0" w:line="46" w:lineRule="exact"/>
        <w:rPr>
          <w:sz w:val="20"/>
          <w:szCs w:val="20"/>
          <w:color w:val="auto"/>
        </w:rPr>
      </w:pPr>
    </w:p>
    <w:p>
      <w:pPr>
        <w:ind w:right="680" w:firstLine="8"/>
        <w:spacing w:after="0" w:line="260" w:lineRule="auto"/>
        <w:tabs>
          <w:tab w:leader="none" w:pos="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407-0984 or (201) 689-8577. A live listen-only webcast of the call will be available by visiting </w:t>
      </w:r>
      <w:r>
        <w:rPr>
          <w:rFonts w:ascii="Arial" w:cs="Arial" w:eastAsia="Arial" w:hAnsi="Arial"/>
          <w:sz w:val="18"/>
          <w:szCs w:val="18"/>
          <w:u w:val="single" w:color="auto"/>
          <w:color w:val="auto"/>
        </w:rPr>
        <w:t>http://ir.take2games.com</w:t>
      </w:r>
      <w:r>
        <w:rPr>
          <w:rFonts w:ascii="Arial" w:cs="Arial" w:eastAsia="Arial" w:hAnsi="Arial"/>
          <w:sz w:val="18"/>
          <w:szCs w:val="18"/>
          <w:color w:val="auto"/>
        </w:rPr>
        <w:t xml:space="preserve"> and a replay will be available following the call at the same location.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In addition to reporting financial results in accordance with U.S. generally accepted accounting principles (GAAP), the Company uses a Non-GAAP measure of financial performance: </w:t>
      </w:r>
      <w:r>
        <w:rPr>
          <w:rFonts w:ascii="Arial" w:cs="Arial" w:eastAsia="Arial" w:hAnsi="Arial"/>
          <w:sz w:val="17"/>
          <w:szCs w:val="17"/>
          <w:b w:val="1"/>
          <w:bCs w:val="1"/>
          <w:i w:val="1"/>
          <w:iCs w:val="1"/>
          <w:color w:val="auto"/>
        </w:rPr>
        <w:t>Adjusted Unrestricted Operating Cash Flow</w:t>
      </w:r>
      <w:r>
        <w:rPr>
          <w:rFonts w:ascii="Arial" w:cs="Arial" w:eastAsia="Arial" w:hAnsi="Arial"/>
          <w:sz w:val="17"/>
          <w:szCs w:val="17"/>
          <w:color w:val="auto"/>
        </w:rPr>
        <w:t>, which is defined as GAAP net cash from operating activities, adjusted for changes in restricted cash. The Company’s management believes it is important to consider Adjusted Unrestricted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w:t>
      </w:r>
    </w:p>
    <w:p>
      <w:pPr>
        <w:spacing w:after="0" w:line="1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Annual Report on Form 10−K for the period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Social Point, and Playdots.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products and our ability to develop other hit titles; our ability to leverage opportunities on PlayStation 5 and Xbox Series X|S; the timely release and significant market acceptance of our games; the ability to maintain acceptable pricing levels on our games; and risks associated with international operations.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Three months ended March 31,</w:t>
            </w:r>
          </w:p>
        </w:tc>
        <w:tc>
          <w:tcPr>
            <w:tcW w:w="100" w:type="dxa"/>
            <w:vAlign w:val="bottom"/>
          </w:tcPr>
          <w:p>
            <w:pPr>
              <w:spacing w:after="0"/>
              <w:rPr>
                <w:sz w:val="20"/>
                <w:szCs w:val="20"/>
                <w:color w:val="auto"/>
              </w:rPr>
            </w:pPr>
          </w:p>
        </w:tc>
        <w:tc>
          <w:tcPr>
            <w:tcW w:w="26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9"/>
              </w:rPr>
              <w:t>Twelve months ended March 31,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760,541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3,372,772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Internal royalties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158,128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144,385</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637,652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483,697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royalties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396,797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611,198</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Licenses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53,841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39,494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260,721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170,408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51,985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239,915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277,147</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6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279,647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395,640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1,535,085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1,542,450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Gross profit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559,784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364,901</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1,837,687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1,546,520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79,969</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444,985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458,424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390,683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318,235</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68,718</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317,311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296,398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55,596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48,113</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rPr>
              <w:t>Business reorganization</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303,967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255,817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629,384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Gain (loss) on long-term investments, net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39,636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253,591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677,816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88,930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53,980</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218,812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588,886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173,533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1.90</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113,394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114,602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113,096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115,744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114,136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Basic EPS: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218,812</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122,722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588,886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404,459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Weighted average shares outstanding - basic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113,394</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114,602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113,096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1.90</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Computation of Diluted EPS: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 for diluted EPS calculation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218,812</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588,886</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404,459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 basic</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113,394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114,602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113,096</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Add: dilutive effect of common stock equivalents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 - diluted</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75"/>
        </w:trPr>
        <w:tc>
          <w:tcPr>
            <w:tcW w:w="4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1,422,884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1,308,692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538,822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$350 and $443 at March 31, 2021 and 2020,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552,762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592,555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19,108</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Software development costs and licenses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43,443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40,316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cost of goods sold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320,646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273,503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4,220,515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3,493,351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149,364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164,763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and licenses, net of current portion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490,892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535,306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386,494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51,260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90,206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116,676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98,541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89,124</w:t>
            </w: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157,040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123,977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6,028,218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4,948,832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71,001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65,684</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1,204,090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928,029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777,784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31,595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2,234,715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37,302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159,671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152,059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Non-current software development royalties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110,127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154,511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2,696,326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 shares authorized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$.01 par value, 200,000 shares authorized; 137,584 and 135,927 shares issued and 115,163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1,376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113,506 outstanding at March 31, 2021 and 2020,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2,288,781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2,134,748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Treasury stock, at cost; 22,421 common shares at March 31, 2021 and, 2020,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(820,572)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(820,572)</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1,870,971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(58,376)</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3,331,892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6,028,218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9"/>
              </w:rPr>
              <w:t>Twelve months ended March 31,</w:t>
            </w:r>
          </w:p>
        </w:tc>
      </w:tr>
      <w:tr>
        <w:trPr>
          <w:trHeight w:val="223"/>
        </w:trPr>
        <w:tc>
          <w:tcPr>
            <w:tcW w:w="7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588,886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404,459</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144,263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167,925</w:t>
            </w:r>
          </w:p>
        </w:tc>
      </w:tr>
      <w:tr>
        <w:trPr>
          <w:trHeight w:val="216"/>
        </w:trPr>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56,309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47,628</w:t>
            </w: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Amortization of intellectual property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32,241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20,990</w:t>
            </w:r>
          </w:p>
        </w:tc>
      </w:tr>
      <w:tr>
        <w:trPr>
          <w:trHeight w:val="216"/>
        </w:trPr>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110,472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257,881</w:t>
            </w: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(3,486)</w:t>
            </w:r>
          </w:p>
        </w:tc>
      </w:tr>
      <w:tr>
        <w:trPr>
          <w:trHeight w:val="216"/>
        </w:trPr>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long-term investments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(41,588)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5,515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47,195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(195,484)</w:t>
            </w:r>
          </w:p>
        </w:tc>
      </w:tr>
      <w:tr>
        <w:trPr>
          <w:trHeight w:val="216"/>
        </w:trPr>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2,503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8,489</w:t>
            </w: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Software development costs and licenses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(221,279)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(48,434)</w:t>
            </w:r>
          </w:p>
        </w:tc>
      </w:tr>
      <w:tr>
        <w:trPr>
          <w:trHeight w:val="216"/>
        </w:trPr>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and other non-current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(58,737)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(259,817)</w:t>
            </w:r>
          </w:p>
        </w:tc>
      </w:tr>
      <w:tr>
        <w:trPr>
          <w:trHeight w:val="216"/>
        </w:trPr>
        <w:tc>
          <w:tcPr>
            <w:tcW w:w="722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152,466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(55,460)</w:t>
            </w:r>
          </w:p>
        </w:tc>
      </w:tr>
      <w:tr>
        <w:trPr>
          <w:trHeight w:val="216"/>
        </w:trPr>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cost of goods sold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4,768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32,180</w:t>
            </w:r>
          </w:p>
        </w:tc>
      </w:tr>
      <w:tr>
        <w:trPr>
          <w:trHeight w:val="230"/>
        </w:trPr>
        <w:tc>
          <w:tcPr>
            <w:tcW w:w="7220" w:type="dxa"/>
            <w:vAlign w:val="bottom"/>
          </w:tcPr>
          <w:p>
            <w:pPr>
              <w:ind w:left="400"/>
              <w:spacing w:after="0"/>
              <w:rPr>
                <w:sz w:val="20"/>
                <w:szCs w:val="20"/>
                <w:color w:val="auto"/>
              </w:rPr>
            </w:pPr>
            <w:r>
              <w:rPr>
                <w:rFonts w:ascii="Arial" w:cs="Arial" w:eastAsia="Arial" w:hAnsi="Arial"/>
                <w:sz w:val="18"/>
                <w:szCs w:val="18"/>
                <w:color w:val="auto"/>
              </w:rPr>
              <w:t>Accounts payable, accrued expenses and other liabilities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78,673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299,733</w:t>
            </w:r>
          </w:p>
        </w:tc>
      </w:tr>
      <w:tr>
        <w:trPr>
          <w:trHeight w:val="209"/>
        </w:trPr>
        <w:tc>
          <w:tcPr>
            <w:tcW w:w="7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912,318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Change in bank time deposits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(387,762)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196,720</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available-for-sale securities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546,287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400,635</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(824,477)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(499,991)</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(68,923)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(53,384)</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Proceeds from sale of long-term investments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47,472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(16,852)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(27,891)</w:t>
            </w:r>
          </w:p>
        </w:tc>
      </w:tr>
      <w:tr>
        <w:trPr>
          <w:trHeight w:val="229"/>
        </w:trPr>
        <w:tc>
          <w:tcPr>
            <w:tcW w:w="7220" w:type="dxa"/>
            <w:vAlign w:val="bottom"/>
          </w:tcPr>
          <w:p>
            <w:pPr>
              <w:ind w:left="180"/>
              <w:spacing w:after="0"/>
              <w:rPr>
                <w:sz w:val="20"/>
                <w:szCs w:val="20"/>
                <w:color w:val="auto"/>
              </w:rPr>
            </w:pPr>
            <w:r>
              <w:rPr>
                <w:rFonts w:ascii="Arial" w:cs="Arial" w:eastAsia="Arial" w:hAnsi="Arial"/>
                <w:sz w:val="18"/>
                <w:szCs w:val="18"/>
                <w:color w:val="auto"/>
              </w:rPr>
              <w:t>Business acquisitions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(102,469)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(12,040)</w:t>
            </w:r>
          </w:p>
        </w:tc>
      </w:tr>
      <w:tr>
        <w:trPr>
          <w:trHeight w:val="210"/>
        </w:trPr>
        <w:tc>
          <w:tcPr>
            <w:tcW w:w="7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(806,724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3140"/>
        <w:spacing w:after="0" w:line="250" w:lineRule="auto"/>
        <w:rPr>
          <w:sz w:val="20"/>
          <w:szCs w:val="20"/>
          <w:color w:val="auto"/>
        </w:rPr>
      </w:pPr>
      <w:r>
        <w:rPr>
          <w:rFonts w:ascii="Arial" w:cs="Arial" w:eastAsia="Arial" w:hAnsi="Arial"/>
          <w:sz w:val="18"/>
          <w:szCs w:val="18"/>
          <w:color w:val="auto"/>
        </w:rPr>
        <w:t>Tax payment related to net share settlements on restricted stock awards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b w:val="1"/>
          <w:bCs w:val="1"/>
          <w:color w:val="auto"/>
        </w:rPr>
        <w:t>(71,552)</w:t>
      </w:r>
      <w:r>
        <w:rPr>
          <w:sz w:val="20"/>
          <w:szCs w:val="20"/>
          <w:color w:val="auto"/>
        </w:rPr>
        <w:tab/>
      </w:r>
      <w:r>
        <w:rPr>
          <w:rFonts w:ascii="Arial" w:cs="Arial" w:eastAsia="Arial" w:hAnsi="Arial"/>
          <w:sz w:val="16"/>
          <w:szCs w:val="16"/>
          <w:color w:val="auto"/>
        </w:rPr>
        <w:t>(87,968)</w:t>
      </w:r>
    </w:p>
    <w:p>
      <w:pPr>
        <w:spacing w:after="0" w:line="50"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14,214</w:t>
      </w:r>
      <w:r>
        <w:rPr>
          <w:sz w:val="20"/>
          <w:szCs w:val="20"/>
          <w:color w:val="auto"/>
        </w:rPr>
        <w:tab/>
      </w:r>
      <w:r>
        <w:rPr>
          <w:rFonts w:ascii="Arial" w:cs="Arial" w:eastAsia="Arial" w:hAnsi="Arial"/>
          <w:sz w:val="18"/>
          <w:szCs w:val="18"/>
          <w:color w:val="auto"/>
        </w:rPr>
        <w:t>10,515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wp:posOffset>
            </wp:positionV>
            <wp:extent cx="170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(57,338)</w:t>
      </w:r>
      <w:r>
        <w:rPr>
          <w:sz w:val="20"/>
          <w:szCs w:val="20"/>
          <w:color w:val="auto"/>
        </w:rPr>
        <w:tab/>
      </w:r>
      <w:r>
        <w:rPr>
          <w:rFonts w:ascii="Arial" w:cs="Arial" w:eastAsia="Arial" w:hAnsi="Arial"/>
          <w:sz w:val="16"/>
          <w:szCs w:val="16"/>
          <w:color w:val="auto"/>
        </w:rPr>
        <w:t>(77,453)</w:t>
      </w:r>
    </w:p>
    <w:p>
      <w:pPr>
        <w:spacing w:after="0" w:line="23" w:lineRule="exact"/>
        <w:rPr>
          <w:sz w:val="20"/>
          <w:szCs w:val="20"/>
          <w:color w:val="auto"/>
        </w:rPr>
      </w:pPr>
    </w:p>
    <w:p>
      <w:pPr>
        <w:sectPr>
          <w:pgSz w:w="11900" w:h="16838" w:orient="portrait"/>
          <w:cols w:equalWidth="0" w:num="2">
            <w:col w:w="8420" w:space="720"/>
            <w:col w:w="21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w w:val="93"/>
              </w:rPr>
              <w:t>Effects of foreign currency exchange rates on cash, cash equivalents, and restricted cash and cash equivalents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18,599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(10,868)</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Net change in cash, cash equivalents, and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cash equivalents, and restricted cash and cash equivalents, beginning of year</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cash equivalents, and restricted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60"/>
        <w:spacing w:after="0"/>
        <w:tabs>
          <w:tab w:leader="none" w:pos="2080" w:val="left"/>
        </w:tabs>
        <w:rPr>
          <w:sz w:val="20"/>
          <w:szCs w:val="20"/>
          <w:color w:val="auto"/>
        </w:rPr>
      </w:pPr>
      <w:r>
        <w:rPr>
          <w:rFonts w:ascii="Arial" w:cs="Arial" w:eastAsia="Arial" w:hAnsi="Arial"/>
          <w:sz w:val="18"/>
          <w:szCs w:val="18"/>
          <w:b w:val="1"/>
          <w:bCs w:val="1"/>
          <w:color w:val="auto"/>
        </w:rPr>
        <w:t>66,855</w:t>
      </w:r>
      <w:r>
        <w:rPr>
          <w:sz w:val="20"/>
          <w:szCs w:val="20"/>
          <w:color w:val="auto"/>
        </w:rPr>
        <w:tab/>
      </w:r>
      <w:r>
        <w:rPr>
          <w:rFonts w:ascii="Arial" w:cs="Arial" w:eastAsia="Arial" w:hAnsi="Arial"/>
          <w:sz w:val="18"/>
          <w:szCs w:val="18"/>
          <w:color w:val="auto"/>
        </w:rPr>
        <w:t>601,406</w:t>
      </w:r>
    </w:p>
    <w:p>
      <w:pPr>
        <w:spacing w:after="0" w:line="9" w:lineRule="exact"/>
        <w:rPr>
          <w:sz w:val="20"/>
          <w:szCs w:val="20"/>
          <w:color w:val="auto"/>
        </w:rPr>
      </w:pPr>
    </w:p>
    <w:p>
      <w:pPr>
        <w:jc w:val="both"/>
        <w:ind w:left="520"/>
        <w:spacing w:after="0"/>
        <w:tabs>
          <w:tab w:leader="none" w:pos="1960" w:val="left"/>
        </w:tabs>
        <w:rPr>
          <w:sz w:val="20"/>
          <w:szCs w:val="20"/>
          <w:color w:val="auto"/>
        </w:rPr>
      </w:pPr>
      <w:r>
        <w:rPr>
          <w:rFonts w:ascii="Arial" w:cs="Arial" w:eastAsia="Arial" w:hAnsi="Arial"/>
          <w:sz w:val="18"/>
          <w:szCs w:val="18"/>
          <w:b w:val="1"/>
          <w:bCs w:val="1"/>
          <w:color w:val="auto"/>
        </w:rPr>
        <w:t>1,993,392</w:t>
      </w:r>
      <w:r>
        <w:rPr>
          <w:sz w:val="20"/>
          <w:szCs w:val="20"/>
          <w:color w:val="auto"/>
        </w:rPr>
        <w:tab/>
      </w:r>
      <w:r>
        <w:rPr>
          <w:rFonts w:ascii="Arial" w:cs="Arial" w:eastAsia="Arial" w:hAnsi="Arial"/>
          <w:sz w:val="18"/>
          <w:szCs w:val="18"/>
          <w:color w:val="auto"/>
        </w:rPr>
        <w:t>1,391,986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1" w:lineRule="exact"/>
        <w:rPr>
          <w:sz w:val="20"/>
          <w:szCs w:val="20"/>
          <w:color w:val="auto"/>
        </w:rPr>
      </w:pPr>
    </w:p>
    <w:p>
      <w:pPr>
        <w:spacing w:after="0"/>
        <w:tabs>
          <w:tab w:leader="none" w:pos="500" w:val="left"/>
          <w:tab w:leader="none" w:pos="1440" w:val="left"/>
          <w:tab w:leader="none" w:pos="19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2,060,247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1,993,392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ectPr>
          <w:pgSz w:w="11900" w:h="16838" w:orient="portrait"/>
          <w:cols w:equalWidth="0" w:num="2">
            <w:col w:w="7720" w:space="720"/>
            <w:col w:w="2800"/>
          </w:cols>
          <w:pgMar w:left="320" w:top="90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right="3900"/>
        <w:spacing w:after="0" w:line="260"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513,488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413,701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325,943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346,840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839,431</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760,541</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479,784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406,592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304,749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322,831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784,532</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729,423</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Digital online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753,257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634,687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Physical retail and 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86,174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125,854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839,431</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760,541</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Digital online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723,656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672,053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Physical retail and other</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60,876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57,370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784,532</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729,423</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Console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607,960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542,171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PC and 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231,471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218,370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839,431</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760,541</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Console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550,231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507,612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color w:val="auto"/>
              </w:rPr>
              <w:t>PC and other</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234,301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221,811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784,532</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729,423</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69"/>
        </w:trPr>
        <w:tc>
          <w:tcPr>
            <w:tcW w:w="54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right="3900"/>
        <w:spacing w:after="0" w:line="260"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9"/>
              </w:rPr>
              <w:t>Twelve Months Ended</w:t>
            </w:r>
          </w:p>
        </w:tc>
        <w:tc>
          <w:tcPr>
            <w:tcW w:w="200" w:type="dxa"/>
            <w:vAlign w:val="bottom"/>
          </w:tcPr>
          <w:p>
            <w:pPr>
              <w:spacing w:after="0"/>
              <w:rPr>
                <w:sz w:val="18"/>
                <w:szCs w:val="18"/>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Twelve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2,015,885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1,775,682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1,356,887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1,313,288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3,372,772</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3,088,970</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2,171,240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1,733,313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1,381,358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1,257,045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3,552,598</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2,990,358</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9"/>
              </w:rPr>
              <w:t>Twelve Months Ended</w:t>
            </w:r>
          </w:p>
        </w:tc>
        <w:tc>
          <w:tcPr>
            <w:tcW w:w="200" w:type="dxa"/>
            <w:vAlign w:val="bottom"/>
          </w:tcPr>
          <w:p>
            <w:pPr>
              <w:spacing w:after="0"/>
              <w:rPr>
                <w:sz w:val="24"/>
                <w:szCs w:val="24"/>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Twelve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Digital online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2,919,292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2,378,563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Physical retail and 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453,480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710,407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3,372,772</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3,088,970</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Digital online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3,094,962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2,440,435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Physical retail and other</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457,636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549,923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3,552,598</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2,990,358</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9"/>
              </w:rPr>
              <w:t>Twelve Months Ended</w:t>
            </w:r>
          </w:p>
        </w:tc>
        <w:tc>
          <w:tcPr>
            <w:tcW w:w="200" w:type="dxa"/>
            <w:vAlign w:val="bottom"/>
          </w:tcPr>
          <w:p>
            <w:pPr>
              <w:spacing w:after="0"/>
              <w:rPr>
                <w:sz w:val="24"/>
                <w:szCs w:val="24"/>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Twelve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2"/>
              </w:rPr>
              <w:t>March 31, 2021</w:t>
            </w:r>
          </w:p>
        </w:tc>
        <w:tc>
          <w:tcPr>
            <w:tcW w:w="200" w:type="dxa"/>
            <w:vAlign w:val="bottom"/>
          </w:tcPr>
          <w:p>
            <w:pPr>
              <w:spacing w:after="0"/>
              <w:rPr>
                <w:sz w:val="20"/>
                <w:szCs w:val="20"/>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Amount</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Console</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2,516,993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2,308,602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PC and 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855,779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780,368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3,372,772</w:t>
            </w:r>
          </w:p>
        </w:tc>
        <w:tc>
          <w:tcPr>
            <w:tcW w:w="220" w:type="dxa"/>
            <w:vAlign w:val="bottom"/>
            <w:vMerge w:val="continue"/>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3,088,970</w:t>
            </w:r>
          </w:p>
        </w:tc>
        <w:tc>
          <w:tcPr>
            <w:tcW w:w="20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40"/>
              <w:spacing w:after="0"/>
              <w:rPr>
                <w:sz w:val="20"/>
                <w:szCs w:val="20"/>
                <w:color w:val="auto"/>
              </w:rPr>
            </w:pPr>
            <w:r>
              <w:rPr>
                <w:rFonts w:ascii="Arial" w:cs="Arial" w:eastAsia="Arial" w:hAnsi="Arial"/>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Console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2,637,340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2,195,843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440" w:type="dxa"/>
            <w:vAlign w:val="bottom"/>
          </w:tcPr>
          <w:p>
            <w:pPr>
              <w:ind w:left="500"/>
              <w:spacing w:after="0"/>
              <w:rPr>
                <w:sz w:val="20"/>
                <w:szCs w:val="20"/>
                <w:color w:val="auto"/>
              </w:rPr>
            </w:pPr>
            <w:r>
              <w:rPr>
                <w:rFonts w:ascii="Arial" w:cs="Arial" w:eastAsia="Arial" w:hAnsi="Arial"/>
                <w:sz w:val="18"/>
                <w:szCs w:val="18"/>
                <w:color w:val="auto"/>
              </w:rPr>
              <w:t>PC and other</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915,258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794,515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3,552,598</w:t>
            </w:r>
          </w:p>
        </w:tc>
        <w:tc>
          <w:tcPr>
            <w:tcW w:w="2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2,990,358</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68"/>
        </w:trPr>
        <w:tc>
          <w:tcPr>
            <w:tcW w:w="54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8"/>
          </w:tcPr>
          <w:p>
            <w:pPr>
              <w:jc w:val="center"/>
              <w:ind w:right="160"/>
              <w:spacing w:after="0"/>
              <w:rPr>
                <w:sz w:val="20"/>
                <w:szCs w:val="20"/>
                <w:color w:val="auto"/>
              </w:rPr>
            </w:pPr>
            <w:r>
              <w:rPr>
                <w:rFonts w:ascii="Arial" w:cs="Arial" w:eastAsia="Arial" w:hAnsi="Arial"/>
                <w:sz w:val="16"/>
                <w:szCs w:val="16"/>
                <w:b w:val="1"/>
                <w:bCs w:val="1"/>
                <w:color w:val="auto"/>
                <w:w w:val="86"/>
              </w:rPr>
              <w:t>Cost of goods sold-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1"/>
              </w:rPr>
              <w:t>Software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8"/>
          </w:tcPr>
          <w:p>
            <w:pPr>
              <w:ind w:left="20"/>
              <w:spacing w:after="0"/>
              <w:rPr>
                <w:sz w:val="20"/>
                <w:szCs w:val="20"/>
                <w:color w:val="auto"/>
              </w:rPr>
            </w:pPr>
            <w:r>
              <w:rPr>
                <w:rFonts w:ascii="Arial" w:cs="Arial" w:eastAsia="Arial" w:hAnsi="Arial"/>
                <w:sz w:val="16"/>
                <w:szCs w:val="16"/>
                <w:b w:val="1"/>
                <w:bCs w:val="1"/>
                <w:color w:val="auto"/>
                <w:w w:val="97"/>
              </w:rPr>
              <w:t>Cost of goods sold-</w:t>
            </w:r>
          </w:p>
        </w:tc>
        <w:tc>
          <w:tcPr>
            <w:tcW w:w="1500" w:type="dxa"/>
            <w:vAlign w:val="bottom"/>
            <w:gridSpan w:val="8"/>
          </w:tcPr>
          <w:p>
            <w:pPr>
              <w:ind w:left="20"/>
              <w:spacing w:after="0"/>
              <w:rPr>
                <w:sz w:val="20"/>
                <w:szCs w:val="20"/>
                <w:color w:val="auto"/>
              </w:rPr>
            </w:pPr>
            <w:r>
              <w:rPr>
                <w:rFonts w:ascii="Arial" w:cs="Arial" w:eastAsia="Arial" w:hAnsi="Arial"/>
                <w:sz w:val="16"/>
                <w:szCs w:val="16"/>
                <w:b w:val="1"/>
                <w:bCs w:val="1"/>
                <w:color w:val="auto"/>
              </w:rPr>
              <w:t>development costs</w:t>
            </w:r>
          </w:p>
        </w:tc>
        <w:tc>
          <w:tcPr>
            <w:tcW w:w="1340" w:type="dxa"/>
            <w:vAlign w:val="bottom"/>
            <w:gridSpan w:val="4"/>
          </w:tcPr>
          <w:p>
            <w:pPr>
              <w:ind w:left="20"/>
              <w:spacing w:after="0"/>
              <w:rPr>
                <w:sz w:val="20"/>
                <w:szCs w:val="20"/>
                <w:color w:val="auto"/>
              </w:rPr>
            </w:pPr>
            <w:r>
              <w:rPr>
                <w:rFonts w:ascii="Arial" w:cs="Arial" w:eastAsia="Arial" w:hAnsi="Arial"/>
                <w:sz w:val="16"/>
                <w:szCs w:val="16"/>
                <w:b w:val="1"/>
                <w:bCs w:val="1"/>
                <w:color w:val="auto"/>
                <w:w w:val="86"/>
              </w:rPr>
              <w:t>Cost of goods sold-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6"/>
              </w:rPr>
              <w:t>Cost of goods sold-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Selling and</w:t>
            </w:r>
          </w:p>
        </w:tc>
      </w:tr>
      <w:tr>
        <w:trPr>
          <w:trHeight w:val="213"/>
        </w:trPr>
        <w:tc>
          <w:tcPr>
            <w:tcW w:w="3140" w:type="dxa"/>
            <w:vAlign w:val="bottom"/>
            <w:gridSpan w:val="4"/>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4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6"/>
                <w:szCs w:val="16"/>
                <w:b w:val="1"/>
                <w:bCs w:val="1"/>
                <w:color w:val="auto"/>
              </w:rPr>
              <w:t>Net revenue</w:t>
            </w:r>
          </w:p>
        </w:tc>
        <w:tc>
          <w:tcPr>
            <w:tcW w:w="60" w:type="dxa"/>
            <w:vAlign w:val="bottom"/>
          </w:tcPr>
          <w:p>
            <w:pPr>
              <w:spacing w:after="0"/>
              <w:rPr>
                <w:sz w:val="18"/>
                <w:szCs w:val="18"/>
                <w:color w:val="auto"/>
              </w:rPr>
            </w:pPr>
          </w:p>
        </w:tc>
        <w:tc>
          <w:tcPr>
            <w:tcW w:w="1440" w:type="dxa"/>
            <w:vAlign w:val="bottom"/>
            <w:gridSpan w:val="7"/>
          </w:tcPr>
          <w:p>
            <w:pPr>
              <w:spacing w:after="0"/>
              <w:rPr>
                <w:sz w:val="20"/>
                <w:szCs w:val="20"/>
                <w:color w:val="auto"/>
              </w:rPr>
            </w:pPr>
            <w:r>
              <w:rPr>
                <w:rFonts w:ascii="Arial" w:cs="Arial" w:eastAsia="Arial" w:hAnsi="Arial"/>
                <w:sz w:val="16"/>
                <w:szCs w:val="16"/>
                <w:b w:val="1"/>
                <w:bCs w:val="1"/>
                <w:color w:val="auto"/>
              </w:rPr>
              <w:t>Internal royalties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1"/>
              </w:rPr>
              <w:t>and royalties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Licenses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Product costs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marketing</w:t>
            </w:r>
          </w:p>
        </w:tc>
      </w:tr>
      <w:tr>
        <w:trPr>
          <w:trHeight w:val="199"/>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reported</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839,431</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158,128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5"/>
              </w:rPr>
              <w:t>22,465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53,841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45,213</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106,609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3"/>
              </w:rPr>
              <w:t>Net effect from deferrned net revenue and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related cost of goods sold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6"/>
                <w:szCs w:val="16"/>
                <w:color w:val="auto"/>
              </w:rPr>
              <w:t>(54,899)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6"/>
                <w:szCs w:val="16"/>
                <w:color w:val="auto"/>
                <w:w w:val="90"/>
              </w:rPr>
              <w:t>(5,836)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39"/>
              <w:spacing w:after="0"/>
              <w:rPr>
                <w:sz w:val="20"/>
                <w:szCs w:val="20"/>
                <w:color w:val="auto"/>
              </w:rPr>
            </w:pPr>
            <w:r>
              <w:rPr>
                <w:rFonts w:ascii="Arial" w:cs="Arial" w:eastAsia="Arial" w:hAnsi="Arial"/>
                <w:sz w:val="16"/>
                <w:szCs w:val="16"/>
                <w:color w:val="auto"/>
              </w:rPr>
              <w:t>(455)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5"/>
              </w:rPr>
              <w:t>52,821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(5,050)</w:t>
            </w: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6"/>
              </w:rPr>
              <w:t>Amortization and impairment of acquired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intangibles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6"/>
                <w:szCs w:val="16"/>
                <w:color w:val="auto"/>
                <w:w w:val="90"/>
              </w:rPr>
              <w:t>(6,465)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(1,550)</w:t>
            </w:r>
          </w:p>
        </w:tc>
      </w:tr>
      <w:tr>
        <w:trPr>
          <w:trHeight w:val="411"/>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89"/>
              </w:rPr>
              <w:t>Gain (loss) on</w:t>
            </w:r>
          </w:p>
        </w:tc>
      </w:t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General and</w:t>
            </w:r>
          </w:p>
        </w:tc>
        <w:tc>
          <w:tcPr>
            <w:tcW w:w="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Research and</w:t>
            </w:r>
          </w:p>
        </w:tc>
        <w:tc>
          <w:tcPr>
            <w:tcW w:w="1260" w:type="dxa"/>
            <w:vAlign w:val="bottom"/>
            <w:gridSpan w:val="8"/>
          </w:tcPr>
          <w:p>
            <w:pPr>
              <w:ind w:left="60"/>
              <w:spacing w:after="0"/>
              <w:rPr>
                <w:sz w:val="20"/>
                <w:szCs w:val="20"/>
                <w:color w:val="auto"/>
              </w:rPr>
            </w:pPr>
            <w:r>
              <w:rPr>
                <w:rFonts w:ascii="Arial" w:cs="Arial" w:eastAsia="Arial" w:hAnsi="Arial"/>
                <w:sz w:val="16"/>
                <w:szCs w:val="16"/>
                <w:b w:val="1"/>
                <w:bCs w:val="1"/>
                <w:color w:val="auto"/>
                <w:w w:val="90"/>
              </w:rPr>
              <w:t>Depreciation and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ind w:left="20"/>
              <w:spacing w:after="0"/>
              <w:rPr>
                <w:sz w:val="20"/>
                <w:szCs w:val="20"/>
                <w:color w:val="auto"/>
              </w:rPr>
            </w:pPr>
            <w:r>
              <w:rPr>
                <w:rFonts w:ascii="Arial" w:cs="Arial" w:eastAsia="Arial" w:hAnsi="Arial"/>
                <w:sz w:val="16"/>
                <w:szCs w:val="16"/>
                <w:b w:val="1"/>
                <w:bCs w:val="1"/>
                <w:color w:val="auto"/>
              </w:rPr>
              <w:t>Interest and other,</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2"/>
              </w:rPr>
              <w:t>long-term</w:t>
            </w:r>
          </w:p>
        </w:tc>
      </w:tr>
      <w:tr>
        <w:trPr>
          <w:trHeight w:val="213"/>
        </w:trPr>
        <w:tc>
          <w:tcPr>
            <w:tcW w:w="3140" w:type="dxa"/>
            <w:vAlign w:val="bottom"/>
            <w:gridSpan w:val="4"/>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080" w:type="dxa"/>
            <w:vAlign w:val="bottom"/>
            <w:gridSpan w:val="6"/>
          </w:tcPr>
          <w:p>
            <w:pPr>
              <w:spacing w:after="0"/>
              <w:rPr>
                <w:sz w:val="20"/>
                <w:szCs w:val="20"/>
                <w:color w:val="auto"/>
              </w:rPr>
            </w:pPr>
            <w:r>
              <w:rPr>
                <w:rFonts w:ascii="Arial" w:cs="Arial" w:eastAsia="Arial" w:hAnsi="Arial"/>
                <w:sz w:val="16"/>
                <w:szCs w:val="16"/>
                <w:b w:val="1"/>
                <w:bCs w:val="1"/>
                <w:color w:val="auto"/>
                <w:w w:val="97"/>
              </w:rPr>
              <w:t>administrative</w:t>
            </w:r>
          </w:p>
        </w:tc>
        <w:tc>
          <w:tcPr>
            <w:tcW w:w="6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b w:val="1"/>
                <w:bCs w:val="1"/>
                <w:color w:val="auto"/>
              </w:rPr>
              <w:t>development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6"/>
          </w:tcPr>
          <w:p>
            <w:pPr>
              <w:ind w:left="20"/>
              <w:spacing w:after="0"/>
              <w:rPr>
                <w:sz w:val="20"/>
                <w:szCs w:val="20"/>
                <w:color w:val="auto"/>
              </w:rPr>
            </w:pPr>
            <w:r>
              <w:rPr>
                <w:rFonts w:ascii="Arial" w:cs="Arial" w:eastAsia="Arial" w:hAnsi="Arial"/>
                <w:sz w:val="16"/>
                <w:szCs w:val="16"/>
                <w:b w:val="1"/>
                <w:bCs w:val="1"/>
                <w:color w:val="auto"/>
              </w:rPr>
              <w:t>amortization</w:t>
            </w:r>
          </w:p>
        </w:tc>
        <w:tc>
          <w:tcPr>
            <w:tcW w:w="1940" w:type="dxa"/>
            <w:vAlign w:val="bottom"/>
            <w:gridSpan w:val="8"/>
          </w:tcPr>
          <w:p>
            <w:pPr>
              <w:ind w:left="160"/>
              <w:spacing w:after="0"/>
              <w:rPr>
                <w:sz w:val="20"/>
                <w:szCs w:val="20"/>
                <w:color w:val="auto"/>
              </w:rPr>
            </w:pPr>
            <w:r>
              <w:rPr>
                <w:rFonts w:ascii="Arial" w:cs="Arial" w:eastAsia="Arial" w:hAnsi="Arial"/>
                <w:sz w:val="16"/>
                <w:szCs w:val="16"/>
                <w:b w:val="1"/>
                <w:bCs w:val="1"/>
                <w:color w:val="auto"/>
                <w:w w:val="94"/>
              </w:rPr>
              <w:t>Business reorganization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net</w:t>
            </w:r>
          </w:p>
        </w:tc>
        <w:tc>
          <w:tcPr>
            <w:tcW w:w="118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w w:val="87"/>
              </w:rPr>
              <w:t>investments, net</w:t>
            </w:r>
          </w:p>
        </w:tc>
      </w:tr>
      <w:tr>
        <w:trPr>
          <w:trHeight w:val="199"/>
        </w:trPr>
        <w:tc>
          <w:tcPr>
            <w:tcW w:w="3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reported</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98,453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83,559</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89"/>
              </w:rPr>
              <w:t>15,480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3"/>
              </w:rPr>
              <w:t>Net effect from deferrned net revenue and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related cost of goods sold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2,425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(14,262)</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(4,147)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6"/>
              </w:rPr>
              <w:t>Amortization and impairment of acquired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intangibles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9"/>
              <w:spacing w:after="0"/>
              <w:rPr>
                <w:sz w:val="20"/>
                <w:szCs w:val="20"/>
                <w:color w:val="auto"/>
              </w:rPr>
            </w:pPr>
            <w:r>
              <w:rPr>
                <w:rFonts w:ascii="Arial" w:cs="Arial" w:eastAsia="Arial" w:hAnsi="Arial"/>
                <w:sz w:val="16"/>
                <w:szCs w:val="16"/>
                <w:color w:val="auto"/>
              </w:rPr>
              <w:t>(238)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Impact of business reorganization</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Gain on long-term investments, net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(1,000)</w:t>
            </w:r>
          </w:p>
        </w:tc>
      </w:tr>
      <w:tr>
        <w:trPr>
          <w:trHeight w:val="203"/>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Acquisition related expenses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(1,378)</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Arial" w:cs="Arial" w:eastAsia="Arial" w:hAnsi="Arial"/>
                <w:sz w:val="16"/>
                <w:szCs w:val="16"/>
                <w:b w:val="1"/>
                <w:bCs w:val="1"/>
                <w:color w:val="auto"/>
                <w:w w:val="94"/>
              </w:rPr>
              <w:t>Cost of goods sold-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Software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7"/>
          </w:tcPr>
          <w:p>
            <w:pPr>
              <w:ind w:left="20"/>
              <w:spacing w:after="0"/>
              <w:rPr>
                <w:sz w:val="20"/>
                <w:szCs w:val="20"/>
                <w:color w:val="auto"/>
              </w:rPr>
            </w:pPr>
            <w:r>
              <w:rPr>
                <w:rFonts w:ascii="Arial" w:cs="Arial" w:eastAsia="Arial" w:hAnsi="Arial"/>
                <w:sz w:val="16"/>
                <w:szCs w:val="16"/>
                <w:b w:val="1"/>
                <w:bCs w:val="1"/>
                <w:color w:val="auto"/>
                <w:w w:val="93"/>
              </w:rPr>
              <w:t>Cost of goods sold-</w:t>
            </w:r>
          </w:p>
        </w:tc>
        <w:tc>
          <w:tcPr>
            <w:tcW w:w="60" w:type="dxa"/>
            <w:vAlign w:val="bottom"/>
          </w:tcPr>
          <w:p>
            <w:pPr>
              <w:spacing w:after="0"/>
              <w:rPr>
                <w:sz w:val="17"/>
                <w:szCs w:val="17"/>
                <w:color w:val="auto"/>
              </w:rPr>
            </w:pPr>
          </w:p>
        </w:tc>
        <w:tc>
          <w:tcPr>
            <w:tcW w:w="1440" w:type="dxa"/>
            <w:vAlign w:val="bottom"/>
            <w:gridSpan w:val="7"/>
          </w:tcPr>
          <w:p>
            <w:pPr>
              <w:spacing w:after="0"/>
              <w:rPr>
                <w:sz w:val="20"/>
                <w:szCs w:val="20"/>
                <w:color w:val="auto"/>
              </w:rPr>
            </w:pPr>
            <w:r>
              <w:rPr>
                <w:rFonts w:ascii="Arial" w:cs="Arial" w:eastAsia="Arial" w:hAnsi="Arial"/>
                <w:sz w:val="16"/>
                <w:szCs w:val="16"/>
                <w:b w:val="1"/>
                <w:bCs w:val="1"/>
                <w:color w:val="auto"/>
                <w:w w:val="97"/>
              </w:rPr>
              <w:t>development costs</w:t>
            </w:r>
          </w:p>
        </w:tc>
        <w:tc>
          <w:tcPr>
            <w:tcW w:w="1340" w:type="dxa"/>
            <w:vAlign w:val="bottom"/>
            <w:gridSpan w:val="4"/>
          </w:tcPr>
          <w:p>
            <w:pPr>
              <w:ind w:left="40"/>
              <w:spacing w:after="0"/>
              <w:rPr>
                <w:sz w:val="20"/>
                <w:szCs w:val="20"/>
                <w:color w:val="auto"/>
              </w:rPr>
            </w:pPr>
            <w:r>
              <w:rPr>
                <w:rFonts w:ascii="Arial" w:cs="Arial" w:eastAsia="Arial" w:hAnsi="Arial"/>
                <w:sz w:val="16"/>
                <w:szCs w:val="16"/>
                <w:b w:val="1"/>
                <w:bCs w:val="1"/>
                <w:color w:val="auto"/>
                <w:w w:val="85"/>
              </w:rPr>
              <w:t>Cost of goods sold-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6"/>
              </w:rPr>
              <w:t>Cost of goods sold-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Selling and</w:t>
            </w:r>
          </w:p>
        </w:tc>
      </w:tr>
      <w:tr>
        <w:trPr>
          <w:trHeight w:val="213"/>
        </w:trPr>
        <w:tc>
          <w:tcPr>
            <w:tcW w:w="3140" w:type="dxa"/>
            <w:vAlign w:val="bottom"/>
            <w:gridSpan w:val="4"/>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40" w:type="dxa"/>
            <w:vAlign w:val="bottom"/>
          </w:tcPr>
          <w:p>
            <w:pPr>
              <w:spacing w:after="0"/>
              <w:rPr>
                <w:sz w:val="18"/>
                <w:szCs w:val="18"/>
                <w:color w:val="auto"/>
              </w:rPr>
            </w:pPr>
          </w:p>
        </w:tc>
        <w:tc>
          <w:tcPr>
            <w:tcW w:w="10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Net revenue</w:t>
            </w:r>
          </w:p>
        </w:tc>
        <w:tc>
          <w:tcPr>
            <w:tcW w:w="60" w:type="dxa"/>
            <w:vAlign w:val="bottom"/>
          </w:tcPr>
          <w:p>
            <w:pPr>
              <w:spacing w:after="0"/>
              <w:rPr>
                <w:sz w:val="18"/>
                <w:szCs w:val="18"/>
                <w:color w:val="auto"/>
              </w:rPr>
            </w:pPr>
          </w:p>
        </w:tc>
        <w:tc>
          <w:tcPr>
            <w:tcW w:w="144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w w:val="98"/>
              </w:rPr>
              <w:t>Internal royalties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7"/>
              </w:rPr>
              <w:t>and royalties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Licenses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Product costs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marketing</w:t>
            </w:r>
          </w:p>
        </w:tc>
      </w:tr>
      <w:tr>
        <w:trPr>
          <w:trHeight w:val="199"/>
        </w:trPr>
        <w:tc>
          <w:tcPr>
            <w:tcW w:w="31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As reported</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760,541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144,385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159,776</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39,494</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51,985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79,969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3"/>
              </w:rPr>
              <w:t>Net effect from deferrned net revenue and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related cost of goods sold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6"/>
                <w:szCs w:val="16"/>
                <w:color w:val="auto"/>
              </w:rPr>
              <w:t>(31,119)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6"/>
                <w:szCs w:val="16"/>
                <w:color w:val="auto"/>
                <w:w w:val="98"/>
              </w:rPr>
              <w:t>(8,204)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6"/>
                <w:szCs w:val="16"/>
                <w:color w:val="auto"/>
              </w:rPr>
              <w:t>(12,755)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(62,353)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(4,347)</w:t>
            </w: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6"/>
              </w:rPr>
              <w:t>Amortization and impairment of acquired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intangibles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6"/>
                <w:szCs w:val="16"/>
                <w:color w:val="auto"/>
                <w:w w:val="98"/>
              </w:rPr>
              <w:t>(3,288)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89"/>
              </w:rPr>
              <w:t>Gain (loss) on</w:t>
            </w:r>
          </w:p>
        </w:tc>
      </w:tr>
      <w:tr>
        <w:trPr>
          <w:trHeight w:val="203"/>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General and</w:t>
            </w:r>
          </w:p>
        </w:tc>
        <w:tc>
          <w:tcPr>
            <w:tcW w:w="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Research and</w:t>
            </w:r>
          </w:p>
        </w:tc>
        <w:tc>
          <w:tcPr>
            <w:tcW w:w="1260" w:type="dxa"/>
            <w:vAlign w:val="bottom"/>
            <w:gridSpan w:val="8"/>
          </w:tcPr>
          <w:p>
            <w:pPr>
              <w:ind w:left="60"/>
              <w:spacing w:after="0"/>
              <w:rPr>
                <w:sz w:val="20"/>
                <w:szCs w:val="20"/>
                <w:color w:val="auto"/>
              </w:rPr>
            </w:pPr>
            <w:r>
              <w:rPr>
                <w:rFonts w:ascii="Arial" w:cs="Arial" w:eastAsia="Arial" w:hAnsi="Arial"/>
                <w:sz w:val="16"/>
                <w:szCs w:val="16"/>
                <w:b w:val="1"/>
                <w:bCs w:val="1"/>
                <w:color w:val="auto"/>
                <w:w w:val="90"/>
              </w:rPr>
              <w:t>Depreciation and</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ind w:left="20"/>
              <w:spacing w:after="0"/>
              <w:rPr>
                <w:sz w:val="20"/>
                <w:szCs w:val="20"/>
                <w:color w:val="auto"/>
              </w:rPr>
            </w:pPr>
            <w:r>
              <w:rPr>
                <w:rFonts w:ascii="Arial" w:cs="Arial" w:eastAsia="Arial" w:hAnsi="Arial"/>
                <w:sz w:val="16"/>
                <w:szCs w:val="16"/>
                <w:b w:val="1"/>
                <w:bCs w:val="1"/>
                <w:color w:val="auto"/>
              </w:rPr>
              <w:t>Interest and other,</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2"/>
              </w:rPr>
              <w:t>long-term</w:t>
            </w:r>
          </w:p>
        </w:tc>
      </w:tr>
      <w:tr>
        <w:trPr>
          <w:trHeight w:val="213"/>
        </w:trPr>
        <w:tc>
          <w:tcPr>
            <w:tcW w:w="3140" w:type="dxa"/>
            <w:vAlign w:val="bottom"/>
            <w:gridSpan w:val="4"/>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080" w:type="dxa"/>
            <w:vAlign w:val="bottom"/>
            <w:gridSpan w:val="6"/>
          </w:tcPr>
          <w:p>
            <w:pPr>
              <w:spacing w:after="0"/>
              <w:rPr>
                <w:sz w:val="20"/>
                <w:szCs w:val="20"/>
                <w:color w:val="auto"/>
              </w:rPr>
            </w:pPr>
            <w:r>
              <w:rPr>
                <w:rFonts w:ascii="Arial" w:cs="Arial" w:eastAsia="Arial" w:hAnsi="Arial"/>
                <w:sz w:val="16"/>
                <w:szCs w:val="16"/>
                <w:b w:val="1"/>
                <w:bCs w:val="1"/>
                <w:color w:val="auto"/>
                <w:w w:val="97"/>
              </w:rPr>
              <w:t>administrative</w:t>
            </w:r>
          </w:p>
        </w:tc>
        <w:tc>
          <w:tcPr>
            <w:tcW w:w="6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b w:val="1"/>
                <w:bCs w:val="1"/>
                <w:color w:val="auto"/>
              </w:rPr>
              <w:t>development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6"/>
          </w:tcPr>
          <w:p>
            <w:pPr>
              <w:ind w:left="20"/>
              <w:spacing w:after="0"/>
              <w:rPr>
                <w:sz w:val="20"/>
                <w:szCs w:val="20"/>
                <w:color w:val="auto"/>
              </w:rPr>
            </w:pPr>
            <w:r>
              <w:rPr>
                <w:rFonts w:ascii="Arial" w:cs="Arial" w:eastAsia="Arial" w:hAnsi="Arial"/>
                <w:sz w:val="16"/>
                <w:szCs w:val="16"/>
                <w:b w:val="1"/>
                <w:bCs w:val="1"/>
                <w:color w:val="auto"/>
              </w:rPr>
              <w:t>amortization</w:t>
            </w:r>
          </w:p>
        </w:tc>
        <w:tc>
          <w:tcPr>
            <w:tcW w:w="1940" w:type="dxa"/>
            <w:vAlign w:val="bottom"/>
            <w:gridSpan w:val="8"/>
          </w:tcPr>
          <w:p>
            <w:pPr>
              <w:ind w:left="160"/>
              <w:spacing w:after="0"/>
              <w:rPr>
                <w:sz w:val="20"/>
                <w:szCs w:val="20"/>
                <w:color w:val="auto"/>
              </w:rPr>
            </w:pPr>
            <w:r>
              <w:rPr>
                <w:rFonts w:ascii="Arial" w:cs="Arial" w:eastAsia="Arial" w:hAnsi="Arial"/>
                <w:sz w:val="16"/>
                <w:szCs w:val="16"/>
                <w:b w:val="1"/>
                <w:bCs w:val="1"/>
                <w:color w:val="auto"/>
                <w:w w:val="94"/>
              </w:rPr>
              <w:t>Business reorganization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net</w:t>
            </w:r>
          </w:p>
        </w:tc>
        <w:tc>
          <w:tcPr>
            <w:tcW w:w="118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w w:val="87"/>
              </w:rPr>
              <w:t>investments, net</w:t>
            </w:r>
          </w:p>
        </w:tc>
      </w:tr>
      <w:tr>
        <w:trPr>
          <w:trHeight w:val="199"/>
        </w:trPr>
        <w:tc>
          <w:tcPr>
            <w:tcW w:w="3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reported</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82,212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68,718</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89"/>
              </w:rPr>
              <w:t>12,502</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(5,333)</w:t>
            </w:r>
          </w:p>
        </w:tc>
        <w:tc>
          <w:tcPr>
            <w:tcW w:w="80" w:type="dxa"/>
            <w:vAlign w:val="bottom"/>
            <w:tcBorders>
              <w:top w:val="single" w:sz="8" w:color="CCEEFF"/>
            </w:tcBorders>
            <w:shd w:val="clear" w:color="auto" w:fill="CCEEFF"/>
          </w:tcPr>
          <w:p>
            <w:pPr>
              <w:spacing w:after="0"/>
              <w:rPr>
                <w:sz w:val="17"/>
                <w:szCs w:val="17"/>
                <w:color w:val="auto"/>
              </w:rPr>
            </w:pP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3"/>
              </w:rPr>
              <w:t>Net effect from deferrned net revenue and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related cost of goods sold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857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(11,553)</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(3,030)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3140" w:type="dxa"/>
            <w:vAlign w:val="bottom"/>
            <w:gridSpan w:val="4"/>
          </w:tcPr>
          <w:p>
            <w:pPr>
              <w:ind w:left="340"/>
              <w:spacing w:after="0"/>
              <w:rPr>
                <w:sz w:val="20"/>
                <w:szCs w:val="20"/>
                <w:color w:val="auto"/>
              </w:rPr>
            </w:pPr>
            <w:r>
              <w:rPr>
                <w:rFonts w:ascii="Arial" w:cs="Arial" w:eastAsia="Arial" w:hAnsi="Arial"/>
                <w:sz w:val="16"/>
                <w:szCs w:val="16"/>
                <w:color w:val="auto"/>
                <w:w w:val="96"/>
              </w:rPr>
              <w:t>Amortization and impairment of acquired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intangibles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(1,538)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9"/>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31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Impact of business reorganization</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3140" w:type="dxa"/>
            <w:vAlign w:val="bottom"/>
            <w:gridSpan w:val="4"/>
          </w:tcPr>
          <w:p>
            <w:pPr>
              <w:ind w:left="340"/>
              <w:spacing w:after="0"/>
              <w:rPr>
                <w:sz w:val="20"/>
                <w:szCs w:val="20"/>
                <w:color w:val="auto"/>
              </w:rPr>
            </w:pPr>
            <w:r>
              <w:rPr>
                <w:rFonts w:ascii="Arial" w:cs="Arial" w:eastAsia="Arial" w:hAnsi="Arial"/>
                <w:sz w:val="16"/>
                <w:szCs w:val="16"/>
                <w:color w:val="auto"/>
              </w:rPr>
              <w:t>Loss on long-term investments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5,333</w:t>
            </w:r>
          </w:p>
        </w:tc>
      </w:tr>
      <w:tr>
        <w:trPr>
          <w:trHeight w:val="671"/>
        </w:trPr>
        <w:tc>
          <w:tcPr>
            <w:tcW w:w="3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Cost of</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2"/>
              </w:rPr>
              <w:t>goods sold-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87"/>
              </w:rPr>
              <w:t>Cost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Software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Cost of</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6"/>
          </w:tcPr>
          <w:p>
            <w:pPr>
              <w:ind w:left="20"/>
              <w:spacing w:after="0"/>
              <w:rPr>
                <w:sz w:val="20"/>
                <w:szCs w:val="20"/>
                <w:color w:val="auto"/>
              </w:rPr>
            </w:pPr>
            <w:r>
              <w:rPr>
                <w:rFonts w:ascii="Arial" w:cs="Arial" w:eastAsia="Arial" w:hAnsi="Arial"/>
                <w:sz w:val="18"/>
                <w:szCs w:val="18"/>
                <w:b w:val="1"/>
                <w:bCs w:val="1"/>
                <w:color w:val="auto"/>
              </w:rPr>
              <w:t>goods sold-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5"/>
              </w:rPr>
              <w:t>development costs</w:t>
            </w:r>
          </w:p>
        </w:tc>
        <w:tc>
          <w:tcPr>
            <w:tcW w:w="10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4"/>
              </w:rPr>
              <w:t>goods sold-</w:t>
            </w:r>
          </w:p>
        </w:tc>
        <w:tc>
          <w:tcPr>
            <w:tcW w:w="140" w:type="dxa"/>
            <w:vAlign w:val="bottom"/>
          </w:tcPr>
          <w:p>
            <w:pPr>
              <w:spacing w:after="0"/>
              <w:rPr>
                <w:sz w:val="18"/>
                <w:szCs w:val="18"/>
                <w:color w:val="auto"/>
              </w:rPr>
            </w:pPr>
          </w:p>
        </w:tc>
        <w:tc>
          <w:tcPr>
            <w:tcW w:w="112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4"/>
              </w:rPr>
              <w:t>goods sold-</w:t>
            </w:r>
          </w:p>
        </w:tc>
        <w:tc>
          <w:tcPr>
            <w:tcW w:w="80" w:type="dxa"/>
            <w:vAlign w:val="bottom"/>
          </w:tcPr>
          <w:p>
            <w:pPr>
              <w:spacing w:after="0"/>
              <w:rPr>
                <w:sz w:val="18"/>
                <w:szCs w:val="18"/>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Selling and</w:t>
            </w:r>
          </w:p>
        </w:tc>
      </w:t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 March 31, 2021</w:t>
            </w:r>
          </w:p>
        </w:tc>
        <w:tc>
          <w:tcPr>
            <w:tcW w:w="20" w:type="dxa"/>
            <w:vAlign w:val="bottom"/>
          </w:tcPr>
          <w:p>
            <w:pPr>
              <w:spacing w:after="0"/>
              <w:rPr>
                <w:sz w:val="20"/>
                <w:szCs w:val="20"/>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7"/>
              </w:rPr>
              <w:t>Net revenue</w:t>
            </w:r>
          </w:p>
        </w:tc>
        <w:tc>
          <w:tcPr>
            <w:tcW w:w="1420" w:type="dxa"/>
            <w:vAlign w:val="bottom"/>
            <w:gridSpan w:val="10"/>
          </w:tcPr>
          <w:p>
            <w:pPr>
              <w:jc w:val="right"/>
              <w:ind w:right="80"/>
              <w:spacing w:after="0"/>
              <w:rPr>
                <w:sz w:val="20"/>
                <w:szCs w:val="20"/>
                <w:color w:val="auto"/>
              </w:rPr>
            </w:pPr>
            <w:r>
              <w:rPr>
                <w:rFonts w:ascii="Arial" w:cs="Arial" w:eastAsia="Arial" w:hAnsi="Arial"/>
                <w:sz w:val="18"/>
                <w:szCs w:val="18"/>
                <w:b w:val="1"/>
                <w:bCs w:val="1"/>
                <w:color w:val="auto"/>
                <w:w w:val="91"/>
              </w:rPr>
              <w:t>Internal royalties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and royalties</w:t>
            </w:r>
          </w:p>
        </w:tc>
        <w:tc>
          <w:tcPr>
            <w:tcW w:w="120" w:type="dxa"/>
            <w:vAlign w:val="bottom"/>
          </w:tcPr>
          <w:p>
            <w:pPr>
              <w:spacing w:after="0"/>
              <w:rPr>
                <w:sz w:val="20"/>
                <w:szCs w:val="20"/>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3"/>
              </w:rPr>
              <w:t>Licenses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4"/>
              </w:rPr>
              <w:t>Product costs</w:t>
            </w:r>
          </w:p>
        </w:tc>
        <w:tc>
          <w:tcPr>
            <w:tcW w:w="80" w:type="dxa"/>
            <w:vAlign w:val="bottom"/>
          </w:tcPr>
          <w:p>
            <w:pPr>
              <w:spacing w:after="0"/>
              <w:rPr>
                <w:sz w:val="20"/>
                <w:szCs w:val="20"/>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marketing</w:t>
            </w: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3,372,772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637,652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396,797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260,721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239,915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444,985</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Net effect from deferrned net revenue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related cost of goods sold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179,825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right"/>
              <w:ind w:right="180"/>
              <w:spacing w:after="0"/>
              <w:rPr>
                <w:sz w:val="20"/>
                <w:szCs w:val="20"/>
                <w:color w:val="auto"/>
              </w:rPr>
            </w:pPr>
            <w:r>
              <w:rPr>
                <w:rFonts w:ascii="Arial" w:cs="Arial" w:eastAsia="Arial" w:hAnsi="Arial"/>
                <w:sz w:val="18"/>
                <w:szCs w:val="18"/>
                <w:color w:val="auto"/>
              </w:rPr>
              <w:t>15,663</w:t>
            </w:r>
          </w:p>
        </w:tc>
        <w:tc>
          <w:tcPr>
            <w:tcW w:w="120" w:type="dxa"/>
            <w:vAlign w:val="bottom"/>
          </w:tcPr>
          <w:p>
            <w:pPr>
              <w:spacing w:after="0"/>
              <w:rPr>
                <w:sz w:val="20"/>
                <w:szCs w:val="20"/>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(8,707)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(18,348)</w:t>
            </w: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right"/>
              <w:ind w:right="120"/>
              <w:spacing w:after="0"/>
              <w:rPr>
                <w:sz w:val="20"/>
                <w:szCs w:val="20"/>
                <w:color w:val="auto"/>
              </w:rPr>
            </w:pPr>
            <w:r>
              <w:rPr>
                <w:rFonts w:ascii="Arial" w:cs="Arial" w:eastAsia="Arial" w:hAnsi="Arial"/>
                <w:sz w:val="18"/>
                <w:szCs w:val="18"/>
                <w:color w:val="auto"/>
              </w:rPr>
              <w:t>(20,587)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(3,617)</w:t>
            </w:r>
          </w:p>
        </w:tc>
      </w:tr>
      <w:tr>
        <w:trPr>
          <w:trHeight w:val="441"/>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8"/>
                <w:szCs w:val="18"/>
                <w:b w:val="1"/>
                <w:bCs w:val="1"/>
                <w:color w:val="auto"/>
              </w:rPr>
              <w:t>Depreciation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8"/>
              </w:rPr>
              <w:t>Gain (loss) on</w:t>
            </w: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General 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89"/>
              </w:rPr>
              <w:t>Research and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20" w:type="dxa"/>
            <w:vAlign w:val="bottom"/>
          </w:tcPr>
          <w:p>
            <w:pPr>
              <w:spacing w:after="0"/>
              <w:rPr>
                <w:sz w:val="18"/>
                <w:szCs w:val="18"/>
                <w:color w:val="auto"/>
              </w:rPr>
            </w:pPr>
          </w:p>
        </w:tc>
        <w:tc>
          <w:tcPr>
            <w:tcW w:w="1320" w:type="dxa"/>
            <w:vAlign w:val="bottom"/>
            <w:gridSpan w:val="6"/>
          </w:tcPr>
          <w:p>
            <w:pPr>
              <w:ind w:left="220"/>
              <w:spacing w:after="0"/>
              <w:rPr>
                <w:sz w:val="20"/>
                <w:szCs w:val="20"/>
                <w:color w:val="auto"/>
              </w:rPr>
            </w:pPr>
            <w:r>
              <w:rPr>
                <w:rFonts w:ascii="Arial" w:cs="Arial" w:eastAsia="Arial" w:hAnsi="Arial"/>
                <w:sz w:val="18"/>
                <w:szCs w:val="18"/>
                <w:b w:val="1"/>
                <w:bCs w:val="1"/>
                <w:color w:val="auto"/>
              </w:rPr>
              <w:t>Business</w:t>
            </w:r>
          </w:p>
        </w:tc>
        <w:tc>
          <w:tcPr>
            <w:tcW w:w="20" w:type="dxa"/>
            <w:vAlign w:val="bottom"/>
          </w:tcPr>
          <w:p>
            <w:pPr>
              <w:spacing w:after="0"/>
              <w:rPr>
                <w:sz w:val="18"/>
                <w:szCs w:val="18"/>
                <w:color w:val="auto"/>
              </w:rPr>
            </w:pPr>
          </w:p>
        </w:tc>
        <w:tc>
          <w:tcPr>
            <w:tcW w:w="110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2"/>
              </w:rPr>
              <w:t>Interest and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long-term</w:t>
            </w:r>
          </w:p>
        </w:tc>
      </w:t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 March 31, 2021</w:t>
            </w:r>
          </w:p>
        </w:tc>
        <w:tc>
          <w:tcPr>
            <w:tcW w:w="20" w:type="dxa"/>
            <w:vAlign w:val="bottom"/>
          </w:tcPr>
          <w:p>
            <w:pPr>
              <w:spacing w:after="0"/>
              <w:rPr>
                <w:sz w:val="20"/>
                <w:szCs w:val="20"/>
                <w:color w:val="auto"/>
              </w:rPr>
            </w:pPr>
          </w:p>
        </w:tc>
        <w:tc>
          <w:tcPr>
            <w:tcW w:w="132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1"/>
              </w:rPr>
              <w:t>administrative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development</w:t>
            </w:r>
          </w:p>
        </w:tc>
        <w:tc>
          <w:tcPr>
            <w:tcW w:w="60" w:type="dxa"/>
            <w:vAlign w:val="bottom"/>
          </w:tcPr>
          <w:p>
            <w:pPr>
              <w:spacing w:after="0"/>
              <w:rPr>
                <w:sz w:val="20"/>
                <w:szCs w:val="20"/>
                <w:color w:val="auto"/>
              </w:rPr>
            </w:pPr>
          </w:p>
        </w:tc>
        <w:tc>
          <w:tcPr>
            <w:tcW w:w="1200" w:type="dxa"/>
            <w:vAlign w:val="bottom"/>
            <w:gridSpan w:val="6"/>
          </w:tcPr>
          <w:p>
            <w:pPr>
              <w:spacing w:after="0"/>
              <w:rPr>
                <w:sz w:val="20"/>
                <w:szCs w:val="20"/>
                <w:color w:val="auto"/>
              </w:rPr>
            </w:pPr>
            <w:r>
              <w:rPr>
                <w:rFonts w:ascii="Arial" w:cs="Arial" w:eastAsia="Arial" w:hAnsi="Arial"/>
                <w:sz w:val="18"/>
                <w:szCs w:val="18"/>
                <w:b w:val="1"/>
                <w:bCs w:val="1"/>
                <w:color w:val="auto"/>
              </w:rPr>
              <w:t>amortization</w:t>
            </w:r>
          </w:p>
        </w:tc>
        <w:tc>
          <w:tcPr>
            <w:tcW w:w="1340" w:type="dxa"/>
            <w:vAlign w:val="bottom"/>
            <w:gridSpan w:val="7"/>
          </w:tcPr>
          <w:p>
            <w:pPr>
              <w:spacing w:after="0"/>
              <w:rPr>
                <w:sz w:val="20"/>
                <w:szCs w:val="20"/>
                <w:color w:val="auto"/>
              </w:rPr>
            </w:pPr>
            <w:r>
              <w:rPr>
                <w:rFonts w:ascii="Arial" w:cs="Arial" w:eastAsia="Arial" w:hAnsi="Arial"/>
                <w:sz w:val="18"/>
                <w:szCs w:val="18"/>
                <w:b w:val="1"/>
                <w:bCs w:val="1"/>
                <w:color w:val="auto"/>
              </w:rPr>
              <w:t>reorganization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other, net</w:t>
            </w:r>
          </w:p>
        </w:tc>
        <w:tc>
          <w:tcPr>
            <w:tcW w:w="60" w:type="dxa"/>
            <w:vAlign w:val="bottom"/>
          </w:tcPr>
          <w:p>
            <w:pPr>
              <w:spacing w:after="0"/>
              <w:rPr>
                <w:sz w:val="20"/>
                <w:szCs w:val="20"/>
                <w:color w:val="auto"/>
              </w:rPr>
            </w:pPr>
          </w:p>
        </w:tc>
        <w:tc>
          <w:tcPr>
            <w:tcW w:w="136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87"/>
              </w:rPr>
              <w:t>investments, net</w:t>
            </w:r>
          </w:p>
        </w:tc>
      </w:tr>
      <w:tr>
        <w:trPr>
          <w:trHeight w:val="209"/>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390,683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Net effect from deferrned net revenue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related cost of goods sold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(2,874)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(56,830)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(26,587)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(6,663)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of business reorganization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Gain on long-term investments,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(39,636)</w:t>
            </w: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(7,317)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41"/>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Cost of</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2"/>
              </w:rPr>
              <w:t>goods sold-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87"/>
              </w:rPr>
              <w:t>Cost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Software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6"/>
              </w:rPr>
              <w:t>Cost of</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6"/>
          </w:tcPr>
          <w:p>
            <w:pPr>
              <w:ind w:left="20"/>
              <w:spacing w:after="0"/>
              <w:rPr>
                <w:sz w:val="20"/>
                <w:szCs w:val="20"/>
                <w:color w:val="auto"/>
              </w:rPr>
            </w:pPr>
            <w:r>
              <w:rPr>
                <w:rFonts w:ascii="Arial" w:cs="Arial" w:eastAsia="Arial" w:hAnsi="Arial"/>
                <w:sz w:val="18"/>
                <w:szCs w:val="18"/>
                <w:b w:val="1"/>
                <w:bCs w:val="1"/>
                <w:color w:val="auto"/>
              </w:rPr>
              <w:t>goods sold-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5"/>
              </w:rPr>
              <w:t>development costs</w:t>
            </w:r>
          </w:p>
        </w:tc>
        <w:tc>
          <w:tcPr>
            <w:tcW w:w="10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4"/>
              </w:rPr>
              <w:t>goods sold-</w:t>
            </w:r>
          </w:p>
        </w:tc>
        <w:tc>
          <w:tcPr>
            <w:tcW w:w="140" w:type="dxa"/>
            <w:vAlign w:val="bottom"/>
          </w:tcPr>
          <w:p>
            <w:pPr>
              <w:spacing w:after="0"/>
              <w:rPr>
                <w:sz w:val="18"/>
                <w:szCs w:val="18"/>
                <w:color w:val="auto"/>
              </w:rPr>
            </w:pPr>
          </w:p>
        </w:tc>
        <w:tc>
          <w:tcPr>
            <w:tcW w:w="112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4"/>
              </w:rPr>
              <w:t>goods sold-</w:t>
            </w:r>
          </w:p>
        </w:tc>
        <w:tc>
          <w:tcPr>
            <w:tcW w:w="80" w:type="dxa"/>
            <w:vAlign w:val="bottom"/>
          </w:tcPr>
          <w:p>
            <w:pPr>
              <w:spacing w:after="0"/>
              <w:rPr>
                <w:sz w:val="18"/>
                <w:szCs w:val="18"/>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Selling and</w:t>
            </w:r>
          </w:p>
        </w:tc>
      </w:t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 March 31, 2020</w:t>
            </w:r>
          </w:p>
        </w:tc>
        <w:tc>
          <w:tcPr>
            <w:tcW w:w="20" w:type="dxa"/>
            <w:vAlign w:val="bottom"/>
          </w:tcPr>
          <w:p>
            <w:pPr>
              <w:spacing w:after="0"/>
              <w:rPr>
                <w:sz w:val="20"/>
                <w:szCs w:val="20"/>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7"/>
              </w:rPr>
              <w:t>Net revenue</w:t>
            </w:r>
          </w:p>
        </w:tc>
        <w:tc>
          <w:tcPr>
            <w:tcW w:w="1420" w:type="dxa"/>
            <w:vAlign w:val="bottom"/>
            <w:gridSpan w:val="10"/>
          </w:tcPr>
          <w:p>
            <w:pPr>
              <w:jc w:val="right"/>
              <w:ind w:right="80"/>
              <w:spacing w:after="0"/>
              <w:rPr>
                <w:sz w:val="20"/>
                <w:szCs w:val="20"/>
                <w:color w:val="auto"/>
              </w:rPr>
            </w:pPr>
            <w:r>
              <w:rPr>
                <w:rFonts w:ascii="Arial" w:cs="Arial" w:eastAsia="Arial" w:hAnsi="Arial"/>
                <w:sz w:val="18"/>
                <w:szCs w:val="18"/>
                <w:b w:val="1"/>
                <w:bCs w:val="1"/>
                <w:color w:val="auto"/>
                <w:w w:val="91"/>
              </w:rPr>
              <w:t>Internal royalties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and royalties</w:t>
            </w:r>
          </w:p>
        </w:tc>
        <w:tc>
          <w:tcPr>
            <w:tcW w:w="120" w:type="dxa"/>
            <w:vAlign w:val="bottom"/>
          </w:tcPr>
          <w:p>
            <w:pPr>
              <w:spacing w:after="0"/>
              <w:rPr>
                <w:sz w:val="20"/>
                <w:szCs w:val="20"/>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3"/>
              </w:rPr>
              <w:t>Licenses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4"/>
              </w:rPr>
              <w:t>Product costs</w:t>
            </w:r>
          </w:p>
        </w:tc>
        <w:tc>
          <w:tcPr>
            <w:tcW w:w="80" w:type="dxa"/>
            <w:vAlign w:val="bottom"/>
          </w:tcPr>
          <w:p>
            <w:pPr>
              <w:spacing w:after="0"/>
              <w:rPr>
                <w:sz w:val="20"/>
                <w:szCs w:val="20"/>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marketing</w:t>
            </w:r>
          </w:p>
        </w:tc>
      </w:tr>
      <w:tr>
        <w:trPr>
          <w:trHeight w:val="209"/>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3,088,970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483,697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611,198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170,408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277,147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458,424</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Net effect from deferrned net revenue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related cost of goods sold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(98,612)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right"/>
              <w:ind w:right="120"/>
              <w:spacing w:after="0"/>
              <w:rPr>
                <w:sz w:val="20"/>
                <w:szCs w:val="20"/>
                <w:color w:val="auto"/>
              </w:rPr>
            </w:pPr>
            <w:r>
              <w:rPr>
                <w:rFonts w:ascii="Arial" w:cs="Arial" w:eastAsia="Arial" w:hAnsi="Arial"/>
                <w:sz w:val="18"/>
                <w:szCs w:val="18"/>
                <w:color w:val="auto"/>
              </w:rPr>
              <w:t>(54,515)</w:t>
            </w:r>
          </w:p>
        </w:tc>
        <w:tc>
          <w:tcPr>
            <w:tcW w:w="120" w:type="dxa"/>
            <w:vAlign w:val="bottom"/>
          </w:tcPr>
          <w:p>
            <w:pPr>
              <w:spacing w:after="0"/>
              <w:rPr>
                <w:sz w:val="20"/>
                <w:szCs w:val="20"/>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(33,339)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(154,031)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(18,680)</w:t>
            </w: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right"/>
              <w:ind w:right="120"/>
              <w:spacing w:after="0"/>
              <w:rPr>
                <w:sz w:val="20"/>
                <w:szCs w:val="20"/>
                <w:color w:val="auto"/>
              </w:rPr>
            </w:pPr>
            <w:r>
              <w:rPr>
                <w:rFonts w:ascii="Arial" w:cs="Arial" w:eastAsia="Arial" w:hAnsi="Arial"/>
                <w:sz w:val="18"/>
                <w:szCs w:val="18"/>
                <w:color w:val="auto"/>
              </w:rPr>
              <w:t>(13,598)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8"/>
                <w:szCs w:val="18"/>
                <w:b w:val="1"/>
                <w:bCs w:val="1"/>
                <w:color w:val="auto"/>
              </w:rPr>
              <w:t>Depreciation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8"/>
              </w:rPr>
              <w:t>Gain (loss) on</w:t>
            </w: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General 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Research and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and</w:t>
            </w:r>
          </w:p>
        </w:tc>
        <w:tc>
          <w:tcPr>
            <w:tcW w:w="20" w:type="dxa"/>
            <w:vAlign w:val="bottom"/>
          </w:tcPr>
          <w:p>
            <w:pPr>
              <w:spacing w:after="0"/>
              <w:rPr>
                <w:sz w:val="18"/>
                <w:szCs w:val="18"/>
                <w:color w:val="auto"/>
              </w:rPr>
            </w:pPr>
          </w:p>
        </w:tc>
        <w:tc>
          <w:tcPr>
            <w:tcW w:w="1320" w:type="dxa"/>
            <w:vAlign w:val="bottom"/>
            <w:gridSpan w:val="6"/>
          </w:tcPr>
          <w:p>
            <w:pPr>
              <w:ind w:left="220"/>
              <w:spacing w:after="0"/>
              <w:rPr>
                <w:sz w:val="20"/>
                <w:szCs w:val="20"/>
                <w:color w:val="auto"/>
              </w:rPr>
            </w:pPr>
            <w:r>
              <w:rPr>
                <w:rFonts w:ascii="Arial" w:cs="Arial" w:eastAsia="Arial" w:hAnsi="Arial"/>
                <w:sz w:val="18"/>
                <w:szCs w:val="18"/>
                <w:b w:val="1"/>
                <w:bCs w:val="1"/>
                <w:color w:val="auto"/>
              </w:rPr>
              <w:t>Business</w:t>
            </w:r>
          </w:p>
        </w:tc>
        <w:tc>
          <w:tcPr>
            <w:tcW w:w="20" w:type="dxa"/>
            <w:vAlign w:val="bottom"/>
          </w:tcPr>
          <w:p>
            <w:pPr>
              <w:spacing w:after="0"/>
              <w:rPr>
                <w:sz w:val="18"/>
                <w:szCs w:val="18"/>
                <w:color w:val="auto"/>
              </w:rPr>
            </w:pPr>
          </w:p>
        </w:tc>
        <w:tc>
          <w:tcPr>
            <w:tcW w:w="11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Interest and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long-term</w:t>
            </w:r>
          </w:p>
        </w:tc>
      </w:t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 March 31,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administrative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88"/>
              </w:rPr>
              <w:t>development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5"/>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reorganization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7"/>
              </w:rPr>
              <w:t>other, net</w:t>
            </w:r>
          </w:p>
        </w:tc>
        <w:tc>
          <w:tcPr>
            <w:tcW w:w="60" w:type="dxa"/>
            <w:vAlign w:val="bottom"/>
          </w:tcPr>
          <w:p>
            <w:pPr>
              <w:spacing w:after="0"/>
              <w:rPr>
                <w:sz w:val="20"/>
                <w:szCs w:val="20"/>
                <w:color w:val="auto"/>
              </w:rPr>
            </w:pPr>
          </w:p>
        </w:tc>
        <w:tc>
          <w:tcPr>
            <w:tcW w:w="136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87"/>
              </w:rPr>
              <w:t>investments, net</w:t>
            </w:r>
          </w:p>
        </w:tc>
      </w:tr>
      <w:tr>
        <w:trPr>
          <w:trHeight w:val="209"/>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318,235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296,398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48,113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38,505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Net effect from deferrned net revenue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related cost of goods sold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(53,607)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(31,563)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Amortization and impairment of acquired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(6,180)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of business reorganization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Loss on long-term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5,333</w:t>
            </w:r>
          </w:p>
        </w:tc>
        <w:tc>
          <w:tcPr>
            <w:tcW w:w="8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675"/>
        </w:trPr>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MEASURE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9"/>
          </w:tcPr>
          <w:p>
            <w:pPr>
              <w:jc w:val="right"/>
              <w:ind w:right="200"/>
              <w:spacing w:after="0"/>
              <w:rPr>
                <w:sz w:val="20"/>
                <w:szCs w:val="20"/>
                <w:color w:val="auto"/>
              </w:rPr>
            </w:pPr>
            <w:r>
              <w:rPr>
                <w:rFonts w:ascii="Arial" w:cs="Arial" w:eastAsia="Arial" w:hAnsi="Arial"/>
                <w:sz w:val="18"/>
                <w:szCs w:val="18"/>
                <w:b w:val="1"/>
                <w:bCs w:val="1"/>
                <w:color w:val="auto"/>
                <w:w w:val="89"/>
              </w:rPr>
              <w:t>Twelve months ended March 31,</w:t>
            </w:r>
          </w:p>
        </w:tc>
      </w:tr>
      <w:tr>
        <w:trPr>
          <w:trHeight w:val="223"/>
        </w:trPr>
        <w:tc>
          <w:tcPr>
            <w:tcW w:w="84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912,318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0"/>
        </w:trPr>
        <w:tc>
          <w:tcPr>
            <w:tcW w:w="84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change in Restricted cash related to Operations </w:t>
            </w:r>
            <w:r>
              <w:rPr>
                <w:rFonts w:ascii="Arial" w:cs="Arial" w:eastAsia="Arial" w:hAnsi="Arial"/>
                <w:sz w:val="29"/>
                <w:szCs w:val="29"/>
                <w:color w:val="auto"/>
                <w:vertAlign w:val="superscript"/>
              </w:rPr>
              <w:t>(1)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7,965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(70,267)</w:t>
            </w:r>
          </w:p>
        </w:tc>
      </w:tr>
      <w:tr>
        <w:trPr>
          <w:trHeight w:val="223"/>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Unrestricted Operating Cash Flow</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920,283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9"/>
        </w:trPr>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FY 2021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FY 2020</w:t>
            </w:r>
          </w:p>
        </w:tc>
      </w:tr>
      <w:tr>
        <w:trPr>
          <w:trHeight w:val="209"/>
        </w:trPr>
        <w:tc>
          <w:tcPr>
            <w:tcW w:w="8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beginning of period (4/1)</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635,728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Less Restricted cash end of period (3/31)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637,363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635,728</w:t>
            </w:r>
          </w:p>
        </w:tc>
        <w:tc>
          <w:tcPr>
            <w:tcW w:w="80" w:type="dxa"/>
            <w:vAlign w:val="bottom"/>
          </w:tcPr>
          <w:p>
            <w:pPr>
              <w:spacing w:after="0"/>
              <w:rPr>
                <w:sz w:val="18"/>
                <w:szCs w:val="18"/>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Restricted cash related to acquisitions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400" w:type="dxa"/>
            <w:vAlign w:val="bottom"/>
          </w:tcPr>
          <w:p>
            <w:pPr>
              <w:ind w:left="180"/>
              <w:spacing w:after="0"/>
              <w:rPr>
                <w:sz w:val="20"/>
                <w:szCs w:val="20"/>
                <w:color w:val="auto"/>
              </w:rPr>
            </w:pPr>
            <w:r>
              <w:rPr>
                <w:rFonts w:ascii="Arial" w:cs="Arial" w:eastAsia="Arial" w:hAnsi="Arial"/>
                <w:sz w:val="18"/>
                <w:szCs w:val="18"/>
                <w:color w:val="auto"/>
              </w:rPr>
              <w:t>(1) Net change in Restricted cash related to Operations</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8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o"/>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2021-05-18T15:26:34Z</dcterms:created>
  <dcterms:modified xsi:type="dcterms:W3CDTF">2021-05-18T15:26:34Z</dcterms:modified>
</cp:coreProperties>
</file>