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Sheresky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line="141"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gridSpan w:val="6"/>
          </w:tcPr>
          <w:p>
            <w:pPr>
              <w:ind w:left="160"/>
              <w:spacing w:after="0"/>
              <w:rPr>
                <w:sz w:val="20"/>
                <w:szCs w:val="20"/>
                <w:color w:val="auto"/>
              </w:rPr>
            </w:pPr>
            <w:r>
              <w:rPr>
                <w:rFonts w:ascii="Arial" w:cs="Arial" w:eastAsia="Arial" w:hAnsi="Arial"/>
                <w:sz w:val="17"/>
                <w:szCs w:val="17"/>
                <w:color w:val="0000FF"/>
              </w:rPr>
              <w:t>02/16/2021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34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13"/>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226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199.06</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60,705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02/17/2021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93"/>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265</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60,970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entered into by the Reporting Person and was effected to satisfy the Reporting Person's tax obligations upon the vesting of previously granted shares of restricted stock.</w:t>
      </w:r>
    </w:p>
    <w:p>
      <w:pPr>
        <w:spacing w:after="0" w:line="15" w:lineRule="exact"/>
        <w:rPr>
          <w:rFonts w:ascii="Arial" w:cs="Arial" w:eastAsia="Arial" w:hAnsi="Arial"/>
          <w:sz w:val="13"/>
          <w:szCs w:val="13"/>
          <w:color w:val="008000"/>
        </w:rPr>
      </w:pPr>
    </w:p>
    <w:p>
      <w:pPr>
        <w:ind w:left="40" w:right="50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February 17, 2021; and (ii) the number of shares were determined based on the dollar value of the award and the average of the closing prices of the common stock on the ten trading days prior to February 17, 2021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Michael</w:t>
      </w:r>
      <w:r>
        <w:rPr>
          <w:sz w:val="20"/>
          <w:szCs w:val="20"/>
          <w:color w:val="auto"/>
        </w:rPr>
        <w:tab/>
      </w:r>
      <w:r>
        <w:rPr>
          <w:rFonts w:ascii="Arial" w:cs="Arial" w:eastAsia="Arial" w:hAnsi="Arial"/>
          <w:sz w:val="15"/>
          <w:szCs w:val="15"/>
          <w:color w:val="0000FF"/>
        </w:rPr>
        <w:t>02/18/2021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Sheresky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3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95208"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2021-02-18T15:44:22Z</dcterms:created>
  <dcterms:modified xsi:type="dcterms:W3CDTF">2021-02-18T15:44:22Z</dcterms:modified>
</cp:coreProperties>
</file>