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333-284748</w:t>
      </w:r>
    </w:p>
    <w:p>
      <w:pPr>
        <w:spacing w:after="0" w:line="13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(To Prospectus dated February 7, 2025)</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4,750,000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3017520</wp:posOffset>
            </wp:positionH>
            <wp:positionV relativeFrom="paragraph">
              <wp:posOffset>182245</wp:posOffset>
            </wp:positionV>
            <wp:extent cx="96012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1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Take-Two Interactive Software, Inc.</w:t>
      </w:r>
    </w:p>
    <w:p>
      <w:pPr>
        <w:spacing w:after="0" w:line="2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We are offering 4,750,000 shares of our common stock, par value $0.01 per share (“common stock”).</w:t>
      </w:r>
    </w:p>
    <w:p>
      <w:pPr>
        <w:spacing w:after="0" w:line="225" w:lineRule="exact"/>
        <w:rPr>
          <w:sz w:val="24"/>
          <w:szCs w:val="24"/>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“TTWO.” On May 19, 2025, the last reported sales price of our common stock was $234.66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4" w:right="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risks. Before making an investment decision, you should carefully consider the risks described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S-4 of this prospectus supplement, as well as in the documents incorporated by reference into this prospectus supplement and the accompanying prospectus.</w:t>
      </w:r>
    </w:p>
    <w:p>
      <w:pPr>
        <w:spacing w:after="0" w:line="201" w:lineRule="exact"/>
        <w:rPr>
          <w:sz w:val="24"/>
          <w:szCs w:val="24"/>
          <w:color w:val="auto"/>
        </w:rPr>
      </w:pPr>
    </w:p>
    <w:tbl>
      <w:tblPr>
        <w:tblLayout w:type="fixed"/>
        <w:tblInd w:w="1324"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5"/>
                <w:szCs w:val="15"/>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1,068,750,000.00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30,993,750.00</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218.475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1,037,756,250.00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a description of compensation payable to the underwriters.</w:t>
      </w:r>
    </w:p>
    <w:p>
      <w:pPr>
        <w:spacing w:after="0" w:line="225" w:lineRule="exact"/>
        <w:rPr>
          <w:sz w:val="24"/>
          <w:szCs w:val="24"/>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712,500 shares of our common stock. If the underwriters exercise their option in full, the total underwriting discounts and commissions payable by us will be $35,642,812.50, and the total proceeds to us, before expenses, will be $1,193,419,687.50.</w:t>
      </w:r>
    </w:p>
    <w:p>
      <w:pPr>
        <w:spacing w:after="0" w:line="172" w:lineRule="exact"/>
        <w:rPr>
          <w:sz w:val="24"/>
          <w:szCs w:val="24"/>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or any applicable prospectus supplement. Any representation to the contrary is a criminal offense.</w:t>
      </w:r>
    </w:p>
    <w:p>
      <w:pPr>
        <w:spacing w:after="0" w:line="175"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May 22, 2025.</w:t>
      </w:r>
    </w:p>
    <w:p>
      <w:pPr>
        <w:spacing w:after="0" w:line="21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i w:val="1"/>
          <w:iCs w:val="1"/>
          <w:color w:val="auto"/>
        </w:rPr>
        <w:t>Lead Bookrunning Managers</w:t>
      </w:r>
    </w:p>
    <w:p>
      <w:pPr>
        <w:sectPr>
          <w:pgSz w:w="11900" w:h="16838" w:orient="portrait"/>
          <w:cols w:equalWidth="0" w:num="1">
            <w:col w:w="11024"/>
          </w:cols>
          <w:pgMar w:left="436" w:top="225" w:right="439" w:bottom="1440" w:gutter="0" w:footer="0" w:header="0"/>
        </w:sectPr>
      </w:pPr>
    </w:p>
    <w:p>
      <w:pPr>
        <w:spacing w:after="0" w:line="235" w:lineRule="exact"/>
        <w:rPr>
          <w:sz w:val="24"/>
          <w:szCs w:val="24"/>
          <w:color w:val="auto"/>
        </w:rPr>
      </w:pPr>
    </w:p>
    <w:p>
      <w:pPr>
        <w:ind w:left="924"/>
        <w:spacing w:after="0"/>
        <w:rPr>
          <w:sz w:val="20"/>
          <w:szCs w:val="20"/>
          <w:color w:val="auto"/>
        </w:rPr>
      </w:pPr>
      <w:r>
        <w:rPr>
          <w:rFonts w:ascii="Times New Roman" w:cs="Times New Roman" w:eastAsia="Times New Roman" w:hAnsi="Times New Roman"/>
          <w:sz w:val="21"/>
          <w:szCs w:val="21"/>
          <w:b w:val="1"/>
          <w:bCs w:val="1"/>
          <w:color w:val="auto"/>
        </w:rPr>
        <w:t>J.P. Morgan</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200" w:lineRule="exact"/>
        <w:rPr>
          <w:sz w:val="24"/>
          <w:szCs w:val="24"/>
          <w:color w:val="auto"/>
        </w:rPr>
      </w:pPr>
    </w:p>
    <w:p>
      <w:pPr>
        <w:sectPr>
          <w:pgSz w:w="11900" w:h="16838" w:orient="portrait"/>
          <w:cols w:equalWidth="0" w:num="2">
            <w:col w:w="6604" w:space="720"/>
            <w:col w:w="3700"/>
          </w:cols>
          <w:pgMar w:left="436" w:top="225" w:right="439" w:bottom="1440" w:gutter="0" w:footer="0" w:header="0"/>
          <w:type w:val="continuous"/>
        </w:sectPr>
      </w:pPr>
    </w:p>
    <w:p>
      <w:pPr>
        <w:spacing w:after="0" w:line="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p>
      <w:pPr>
        <w:sectPr>
          <w:pgSz w:w="11900" w:h="16838" w:orient="portrait"/>
          <w:cols w:equalWidth="0" w:num="1">
            <w:col w:w="11024"/>
          </w:cols>
          <w:pgMar w:left="436" w:top="225" w:right="439" w:bottom="1440" w:gutter="0" w:footer="0" w:header="0"/>
          <w:type w:val="continuous"/>
        </w:sectPr>
      </w:pPr>
    </w:p>
    <w:p>
      <w:pPr>
        <w:spacing w:after="0" w:line="26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Wells Fargo Securities</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BofA Securities</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BNP PARIBAS</w:t>
      </w:r>
    </w:p>
    <w:p>
      <w:pPr>
        <w:spacing w:after="0" w:line="200" w:lineRule="exact"/>
        <w:rPr>
          <w:sz w:val="24"/>
          <w:szCs w:val="24"/>
          <w:color w:val="auto"/>
        </w:rPr>
      </w:pPr>
    </w:p>
    <w:p>
      <w:pPr>
        <w:sectPr>
          <w:pgSz w:w="11900" w:h="16838" w:orient="portrait"/>
          <w:cols w:equalWidth="0" w:num="3">
            <w:col w:w="4264" w:space="720"/>
            <w:col w:w="4140" w:space="720"/>
            <w:col w:w="1180"/>
          </w:cols>
          <w:pgMar w:left="436" w:top="225" w:right="439" w:bottom="1440" w:gutter="0" w:footer="0" w:header="0"/>
          <w:type w:val="continuous"/>
        </w:sectPr>
      </w:pP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May 20, 2025.</w:t>
      </w:r>
    </w:p>
    <w:p>
      <w:pPr>
        <w:sectPr>
          <w:pgSz w:w="11900" w:h="16838" w:orient="portrait"/>
          <w:cols w:equalWidth="0" w:num="1">
            <w:col w:w="11024"/>
          </w:cols>
          <w:pgMar w:left="436"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60" w:type="dxa"/>
            <w:vAlign w:val="bottom"/>
            <w:gridSpan w:val="5"/>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60" w:type="dxa"/>
            <w:vAlign w:val="bottom"/>
            <w:gridSpan w:val="5"/>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602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ON FORWARD-LOOKING STATEMENTS</w:t>
            </w:r>
          </w:p>
        </w:tc>
        <w:tc>
          <w:tcPr>
            <w:tcW w:w="4480" w:type="dxa"/>
            <w:vAlign w:val="bottom"/>
            <w:gridSpan w:val="4"/>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1"/>
          </w:tcPr>
          <w:p>
            <w:pPr>
              <w:spacing w:after="0"/>
              <w:rPr>
                <w:sz w:val="17"/>
                <w:szCs w:val="17"/>
                <w:color w:val="auto"/>
              </w:rPr>
            </w:pPr>
          </w:p>
        </w:tc>
        <w:tc>
          <w:tcPr>
            <w:tcW w:w="618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880" w:type="dxa"/>
            <w:vAlign w:val="bottom"/>
            <w:gridSpan w:val="14"/>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7880" w:type="dxa"/>
            <w:vAlign w:val="bottom"/>
            <w:gridSpan w:val="14"/>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7980" w:type="dxa"/>
            <w:vAlign w:val="bottom"/>
            <w:gridSpan w:val="15"/>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TO NON-U.S. HOLDERS</w:t>
            </w:r>
          </w:p>
        </w:tc>
        <w:tc>
          <w:tcPr>
            <w:tcW w:w="274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000" w:type="dxa"/>
            <w:vAlign w:val="bottom"/>
            <w:gridSpan w:val="16"/>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44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5060" w:type="dxa"/>
            <w:vAlign w:val="bottom"/>
            <w:gridSpan w:val="5"/>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S-22</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gridSpan w:val="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2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9460" w:type="dxa"/>
            <w:vAlign w:val="bottom"/>
            <w:gridSpan w:val="21"/>
            <w:vMerge w:val="continue"/>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312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8180" w:type="dxa"/>
            <w:vAlign w:val="bottom"/>
            <w:gridSpan w:val="18"/>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880" w:type="dxa"/>
            <w:vAlign w:val="bottom"/>
            <w:gridSpan w:val="14"/>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6560" w:type="dxa"/>
            <w:vAlign w:val="bottom"/>
            <w:gridSpan w:val="10"/>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440" w:type="dxa"/>
            <w:vAlign w:val="bottom"/>
            <w:gridSpan w:val="8"/>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6280" w:type="dxa"/>
            <w:vAlign w:val="bottom"/>
            <w:gridSpan w:val="1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 AND INFORMATION INCORPORATED BY REFERENCE</w:t>
            </w:r>
          </w:p>
        </w:tc>
        <w:tc>
          <w:tcPr>
            <w:tcW w:w="1140" w:type="dxa"/>
            <w:vAlign w:val="bottom"/>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000" w:type="dxa"/>
            <w:vAlign w:val="bottom"/>
            <w:gridSpan w:val="16"/>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THIS PROSPECTUS SUPPLEMENT</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the common stock we are offering and other matters relating to us. The second part is the accompanying prospectus, which provides more general information about the securities we may offer from time to time, some of which may not apply to this offering of common stock. The accompanying prospectus provides general information, some of which may not apply to this offering. The accompanying prospectus is part of an automatic shelf registration statement on Form S-3 (File No. 333-284748) that we filed with the Securities and Exchange Commission (“SEC”) as a “well-known seasoned issuer” as defined in Rule 405 under the Securities Act of 1933, as amended, utilizing a “shelf” registration process. You should read both this prospectus supplement and the accompanying prospectus, together with the documents incorporated by reference and the additional information described under the headings “Where You Can Find Additional Information” in this prospectus supplement and “Where You Can Find More Information and Information Incorporated by Reference” in the accompanying prospectus before making an investment decision.</w:t>
      </w:r>
    </w:p>
    <w:p>
      <w:pPr>
        <w:spacing w:after="0" w:line="188"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3"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We have not, and the underwriters have not, authorized any person to provide you with any information or to make any representation other than as contained in this prospectus supplement, the accompanying prospectus and any free writing prospectus to which we have referred you and the information incorporated by reference in such documents. We and the underwriters do not take any responsibility for, and can provide no assurance as to the reliability of, any information that others may provide you. The information appearing or incorporated by reference in this prospectus supplement, the accompanying prospectus and any free writing prospectus to which we have referred you is accurate only as of the date of this prospectus supplement, the accompanying prospectus or any such free writing prospectus or the date of the document in which incorporated information appears unless otherwise noted in such documents. Our business, financial condition, results of operations and prospects may have changed since those dates.</w:t>
      </w:r>
    </w:p>
    <w:p>
      <w:pPr>
        <w:spacing w:after="0" w:line="17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unless the context otherwise requires, all references in this prospectus supplement to “Take-Two,” the “Company,” “we,” “us,” and “our” refer to Take-Two Interactive Software, Inc. and its subsidiaries.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Some of the market and industry data contained or incorporated by reference in this prospectus supplement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or incorporated by reference in this prospectus supplement, and beliefs and estimates based on such data, may not be reliable.</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supplement, the accompanying prospectus and any free writing prospectus to which we have referred you and the offering of our common stock in certain jurisdictions may be restricted by law. We are not, and the underwriters are not, making an offer of our common stock in any jurisdiction where the offer or sale is not permitted. Persons who come into possession of this prospectus supplement, the accompanying prospectus and any free writing prospectus to which we have referred you should inform themselves about and observe any such restrictions. This prospectus supplement, the accompanying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0980"/>
          </w:cols>
          <w:pgMar w:left="440" w:top="266" w:right="47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00"/>
          </w:cols>
          <w:pgMar w:left="440" w:top="270" w:right="45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ON FORWARD-LOOKING STATEMENTS</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contain forward-looking statements. The statements contained herein and therein, which are not historical facts, including statements relating to our outlook,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w:t>
      </w:r>
    </w:p>
    <w:p>
      <w:pPr>
        <w:spacing w:after="0" w:line="189"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Actual outcomes and results may vary materially from these forward-looking statements based on a variety of risks and uncertainties including risks relating to the timely release and significant market acceptance of our games;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NBA 2K and Grand Theft Auto products and our ability to develop other hit titles; our ability to leverage opportunities on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and Xbox Series X|S; factors affecting our mobile business, such as player acquisition costs; the ability to maintain acceptable pricing levels on our games; and other risks included herein; as well as, but not limited to, the risks and uncertainties discussed under the heading “Risk Factors” beginning on page S-4 and contained in our Annual Report on Form 10-K for the fiscal year ended March 31, 2025 and our other subsequently filed periodic filings with the SEC, which can be accessed at www.sec.gov.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0920"/>
          </w:cols>
          <w:pgMar w:left="440" w:top="266" w:right="5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265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265420"/>
                    </a:xfrm>
                    <a:prstGeom prst="rect">
                      <a:avLst/>
                    </a:prstGeom>
                    <a:noFill/>
                  </pic:spPr>
                </pic:pic>
              </a:graphicData>
            </a:graphic>
          </wp:anchor>
        </w:drawing>
        <w:t>PROSPECTUS SUPPLEMENT SUMMARY</w:t>
      </w:r>
    </w:p>
    <w:p>
      <w:pPr>
        <w:spacing w:after="0" w:line="227" w:lineRule="exact"/>
        <w:rPr>
          <w:sz w:val="20"/>
          <w:szCs w:val="20"/>
          <w:color w:val="auto"/>
        </w:rPr>
      </w:pPr>
    </w:p>
    <w:p>
      <w:pPr>
        <w:ind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below is a summary of the more detailed information included elsewhere or incorporated by reference in this prospectus supplement and the accompanying prospectus. You should read carefully the following summary together with the more detailed information contained in this prospectus supplement, including the “Risk Factors” section beginning on page S-4 of this prospectus supplement, the accompanying prospectus and the information incorporated by reference herein and therein, including the “Risk Factors” sections in our periodic reports that we file with the SEC. This summary is not complete and does not contain all of the information you should consider before purchasing shares of our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120" w:firstLine="426"/>
        <w:spacing w:after="0" w:line="236"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operate, and publish products principally through Rockstar Games, 2K, and Zynga. In October 2024, we sold our Private Division label, including our rights to substantially all of the label’s titles. Our products are designed for console gaming systems, including, but not limited to, the Sony Computer Entertainment, Inc.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PlayStation5, the Microsoft Corporation Xbox One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Xbox Series X|S, and the Nintendo Switch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as well as mobile, including smartphones and tablets, and personal computers. We deliver our products through physical retail, digital download, online platforms, and cloud streaming services.</w:t>
      </w:r>
    </w:p>
    <w:p>
      <w:pPr>
        <w:spacing w:after="0" w:line="200" w:lineRule="exact"/>
        <w:rPr>
          <w:sz w:val="20"/>
          <w:szCs w:val="20"/>
          <w:color w:val="auto"/>
        </w:rPr>
      </w:pPr>
    </w:p>
    <w:p>
      <w:pPr>
        <w:ind w:right="40" w:firstLine="426"/>
        <w:spacing w:after="0" w:line="258" w:lineRule="auto"/>
        <w:rPr>
          <w:sz w:val="20"/>
          <w:szCs w:val="20"/>
          <w:color w:val="auto"/>
        </w:rPr>
      </w:pPr>
      <w:r>
        <w:rPr>
          <w:rFonts w:ascii="Times New Roman" w:cs="Times New Roman" w:eastAsia="Times New Roman" w:hAnsi="Times New Roman"/>
          <w:sz w:val="18"/>
          <w:szCs w:val="18"/>
          <w:color w:val="auto"/>
        </w:rPr>
        <w:t>Our strategy is to create hit entertainment experiences, delivered on every platform relevant to our audience through a variety of sound business models. Our pillars - creativity, innovation, and efficiency - guide us as we strive to create the highest quality, most captivating experiences for our consumers. We believe that our player-first approach and commitment to creativity and innovation are distinguishing strengths, enabling us to differentiate our products in the marketplace by combining advanced technology with compelling storylines and characters that provide unique, deeply engaging gameplay experiences.</w:t>
      </w:r>
    </w:p>
    <w:p>
      <w:pPr>
        <w:spacing w:after="0" w:line="183" w:lineRule="exact"/>
        <w:rPr>
          <w:sz w:val="20"/>
          <w:szCs w:val="20"/>
          <w:color w:val="auto"/>
        </w:rPr>
      </w:pPr>
    </w:p>
    <w:p>
      <w:pPr>
        <w:ind w:firstLine="426"/>
        <w:spacing w:after="0" w:line="255" w:lineRule="auto"/>
        <w:rPr>
          <w:sz w:val="20"/>
          <w:szCs w:val="20"/>
          <w:color w:val="auto"/>
        </w:rPr>
      </w:pPr>
      <w:r>
        <w:rPr>
          <w:rFonts w:ascii="Times New Roman" w:cs="Times New Roman" w:eastAsia="Times New Roman" w:hAnsi="Times New Roman"/>
          <w:sz w:val="18"/>
          <w:szCs w:val="18"/>
          <w:color w:val="auto"/>
        </w:rPr>
        <w:t>Our teams have established a portfolio of proprietary software content for the major hardware and mobile platforms, and we aim to be at the forefront of technological innovation. We have a diverse portfolio that spans all key platforms and numerous genres, including action, adventure, family, casual, hyper-casual, role-playing, shooter, social casino, sports, and strategy. This enables us to appeal to a wide array of consumers and demographic groups worldwide, ranging from game enthusiasts to casual gamers. Most of our intellectual property is internally owned and developed, which we believe best positions us financially and competitively. In addition, we license selectively some highly recognizable renowned brands, especially in sports entertainment. We support our products with innovative marketing programs created by our internal global marketing teams.</w:t>
      </w:r>
    </w:p>
    <w:p>
      <w:pPr>
        <w:spacing w:after="0" w:line="189" w:lineRule="exact"/>
        <w:rPr>
          <w:sz w:val="20"/>
          <w:szCs w:val="20"/>
          <w:color w:val="auto"/>
        </w:rPr>
      </w:pPr>
    </w:p>
    <w:p>
      <w:pPr>
        <w:ind w:right="160" w:firstLine="426"/>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1993 and are headquartered at 110 West 44th Street, New York, New York 10036. Our telephone number is (646) 536-2842 and our website address is www.take2games.com. Our website and the information contained therein or connected thereto are not intended to be incorporated into this prospectus.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640"/>
          </w:cols>
          <w:pgMar w:left="620" w:top="455" w:right="6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88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88660"/>
                    </a:xfrm>
                    <a:prstGeom prst="rect">
                      <a:avLst/>
                    </a:prstGeom>
                    <a:noFill/>
                  </pic:spPr>
                </pic:pic>
              </a:graphicData>
            </a:graphic>
          </wp:anchor>
        </w:drawing>
        <w:t>THE OFFERING</w:t>
      </w:r>
    </w:p>
    <w:p>
      <w:pPr>
        <w:sectPr>
          <w:pgSz w:w="11900" w:h="16838" w:orient="portrait"/>
          <w:cols w:equalWidth="0" w:num="1">
            <w:col w:w="10620"/>
          </w:cols>
          <w:pgMar w:left="620" w:top="455" w:right="65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Take-Two Interactive Software, Inc.</w:t>
      </w:r>
    </w:p>
    <w:p>
      <w:pPr>
        <w:spacing w:after="0" w:line="128" w:lineRule="exact"/>
        <w:rPr>
          <w:sz w:val="20"/>
          <w:szCs w:val="20"/>
          <w:color w:val="auto"/>
        </w:rPr>
      </w:pPr>
    </w:p>
    <w:p>
      <w:pPr>
        <w:sectPr>
          <w:pgSz w:w="11900" w:h="16838" w:orient="portrait"/>
          <w:cols w:equalWidth="0" w:num="2">
            <w:col w:w="4920" w:space="720"/>
            <w:col w:w="4980"/>
          </w:cols>
          <w:pgMar w:left="620" w:top="455"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4,750,000 shares of our common stock (or 5,462,500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assuming the underwriters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option to purchase additional shares as described below).</w:t>
      </w:r>
    </w:p>
    <w:p>
      <w:pPr>
        <w:spacing w:after="0" w:line="112" w:lineRule="exact"/>
        <w:rPr>
          <w:sz w:val="20"/>
          <w:szCs w:val="20"/>
          <w:color w:val="auto"/>
        </w:rPr>
      </w:pPr>
    </w:p>
    <w:p>
      <w:pPr>
        <w:sectPr>
          <w:pgSz w:w="11900" w:h="16838" w:orient="portrait"/>
          <w:cols w:equalWidth="0" w:num="2">
            <w:col w:w="4920" w:space="720"/>
            <w:col w:w="4980"/>
          </w:cols>
          <w:pgMar w:left="620" w:top="455"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Option to purchase additional shares</w:t>
      </w:r>
    </w:p>
    <w:p>
      <w:pPr>
        <w:spacing w:after="0" w:line="20" w:lineRule="exact"/>
        <w:rPr>
          <w:sz w:val="20"/>
          <w:szCs w:val="20"/>
          <w:color w:val="auto"/>
        </w:rPr>
      </w:pPr>
      <w:r>
        <w:rPr>
          <w:sz w:val="20"/>
          <w:szCs w:val="20"/>
          <w:color w:val="auto"/>
        </w:rPr>
        <w:br w:type="column"/>
      </w: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an additional 712,500 shares of our common stock. The underwriters may exercise their option at any time within 30 days from the date of this prospectus supplement.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sectPr>
          <w:pgSz w:w="11900" w:h="16838" w:orient="portrait"/>
          <w:cols w:equalWidth="0" w:num="2">
            <w:col w:w="4920" w:space="720"/>
            <w:col w:w="4980"/>
          </w:cols>
          <w:pgMar w:left="620" w:top="455"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Common stock outstanding after giving effect to this offering</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181,894,416 shares of our common stock (or 182,606,916 shares of our common stock if the underwriters exercise their option to purchase additional shares in full).</w:t>
      </w:r>
    </w:p>
    <w:p>
      <w:pPr>
        <w:spacing w:after="0" w:line="68" w:lineRule="exact"/>
        <w:rPr>
          <w:sz w:val="20"/>
          <w:szCs w:val="20"/>
          <w:color w:val="auto"/>
        </w:rPr>
      </w:pPr>
    </w:p>
    <w:p>
      <w:pPr>
        <w:sectPr>
          <w:pgSz w:w="11900" w:h="16838" w:orient="portrait"/>
          <w:cols w:equalWidth="0" w:num="2">
            <w:col w:w="4920" w:space="720"/>
            <w:col w:w="4980"/>
          </w:cols>
          <w:pgMar w:left="620" w:top="455"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Exchange 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“TTWO.”</w:t>
      </w:r>
    </w:p>
    <w:p>
      <w:pPr>
        <w:spacing w:after="0" w:line="117" w:lineRule="exact"/>
        <w:rPr>
          <w:sz w:val="20"/>
          <w:szCs w:val="20"/>
          <w:color w:val="auto"/>
        </w:rPr>
      </w:pPr>
    </w:p>
    <w:p>
      <w:pPr>
        <w:sectPr>
          <w:pgSz w:w="11900" w:h="16838" w:orient="portrait"/>
          <w:cols w:equalWidth="0" w:num="2">
            <w:col w:w="4920" w:space="720"/>
            <w:col w:w="4980"/>
          </w:cols>
          <w:pgMar w:left="620" w:top="455"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the repayment of outstanding debt and future acquisitions.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ectPr>
          <w:pgSz w:w="11900" w:h="16838" w:orient="portrait"/>
          <w:cols w:equalWidth="0" w:num="2">
            <w:col w:w="4920" w:space="720"/>
            <w:col w:w="4980"/>
          </w:cols>
          <w:pgMar w:left="620" w:top="455"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beginning on page S-4 of this prospectus supplement, as well as in the documents incorporated by reference into this prospectus supplement and the accompanying prospectus, before making a decision to purchase the common shares offered hereby.</w:t>
      </w:r>
    </w:p>
    <w:p>
      <w:pPr>
        <w:spacing w:after="0" w:line="75" w:lineRule="exact"/>
        <w:rPr>
          <w:sz w:val="20"/>
          <w:szCs w:val="20"/>
          <w:color w:val="auto"/>
        </w:rPr>
      </w:pPr>
    </w:p>
    <w:p>
      <w:pPr>
        <w:sectPr>
          <w:pgSz w:w="11900" w:h="16838" w:orient="portrait"/>
          <w:cols w:equalWidth="0" w:num="2">
            <w:col w:w="4920" w:space="720"/>
            <w:col w:w="4980"/>
          </w:cols>
          <w:pgMar w:left="620" w:top="455"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 w:lineRule="exact"/>
        <w:rPr>
          <w:sz w:val="20"/>
          <w:szCs w:val="20"/>
          <w:color w:val="auto"/>
        </w:rPr>
      </w:pPr>
      <w:r>
        <w:rPr>
          <w:sz w:val="20"/>
          <w:szCs w:val="20"/>
          <w:color w:val="auto"/>
        </w:rPr>
        <w:br w:type="column"/>
      </w:r>
    </w:p>
    <w:p>
      <w:pPr>
        <w:ind w:right="200"/>
        <w:spacing w:after="0" w:line="273" w:lineRule="auto"/>
        <w:rPr>
          <w:sz w:val="20"/>
          <w:szCs w:val="20"/>
          <w:color w:val="auto"/>
        </w:rPr>
      </w:pPr>
      <w:r>
        <w:rPr>
          <w:rFonts w:ascii="Times New Roman" w:cs="Times New Roman" w:eastAsia="Times New Roman" w:hAnsi="Times New Roman"/>
          <w:sz w:val="17"/>
          <w:szCs w:val="17"/>
          <w:color w:val="auto"/>
        </w:rPr>
        <w:t>We have never declared or paid cash dividends. We currently anticipate that all future earnings will be retained to finance the growth of our business and pay down our outstanding debt. We do not expect to declare or pay any cash dividends in the foreseeable future. The payment of dividends in the future is within the discretion of our board of directors and will depend upon future earnings, capital requirements and other relevant factors.</w:t>
      </w:r>
    </w:p>
    <w:p>
      <w:pPr>
        <w:spacing w:after="0" w:line="171" w:lineRule="exact"/>
        <w:rPr>
          <w:sz w:val="20"/>
          <w:szCs w:val="20"/>
          <w:color w:val="auto"/>
        </w:rPr>
      </w:pPr>
    </w:p>
    <w:p>
      <w:pPr>
        <w:sectPr>
          <w:pgSz w:w="11900" w:h="16838" w:orient="portrait"/>
          <w:cols w:equalWidth="0" w:num="2">
            <w:col w:w="4920" w:space="720"/>
            <w:col w:w="4980"/>
          </w:cols>
          <w:pgMar w:left="620" w:top="455" w:right="659" w:bottom="1440" w:gutter="0" w:footer="0" w:header="0"/>
          <w:type w:val="continuous"/>
        </w:sectPr>
      </w:pPr>
    </w:p>
    <w:p>
      <w:pPr>
        <w:ind w:right="80" w:firstLine="426"/>
        <w:spacing w:after="0" w:line="282" w:lineRule="auto"/>
        <w:rPr>
          <w:sz w:val="20"/>
          <w:szCs w:val="20"/>
          <w:color w:val="auto"/>
        </w:rPr>
      </w:pPr>
      <w:r>
        <w:rPr>
          <w:rFonts w:ascii="Times New Roman" w:cs="Times New Roman" w:eastAsia="Times New Roman" w:hAnsi="Times New Roman"/>
          <w:sz w:val="18"/>
          <w:szCs w:val="18"/>
          <w:color w:val="auto"/>
        </w:rPr>
        <w:t>Except as otherwise stated in this prospectus supplement, the number of shares of our common stock to be outstanding immediately after the closing of this offering is based on 177,144,416 shares of common stock outstanding as of March 31, 2025, and excludes as of that date:</w:t>
      </w:r>
    </w:p>
    <w:p>
      <w:pPr>
        <w:spacing w:after="0" w:line="67" w:lineRule="exact"/>
        <w:rPr>
          <w:sz w:val="20"/>
          <w:szCs w:val="20"/>
          <w:color w:val="auto"/>
        </w:rPr>
      </w:pPr>
    </w:p>
    <w:p>
      <w:pPr>
        <w:ind w:left="940" w:hanging="415"/>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8,446,053 shares of our common stock issuable upon the vesting of restricted stock units (“RSUs”) outstanding as of March 31, 2025;</w:t>
      </w:r>
    </w:p>
    <w:p>
      <w:pPr>
        <w:spacing w:after="0" w:line="142" w:lineRule="exact"/>
        <w:rPr>
          <w:rFonts w:ascii="Times New Roman" w:cs="Times New Roman" w:eastAsia="Times New Roman" w:hAnsi="Times New Roman"/>
          <w:sz w:val="17"/>
          <w:szCs w:val="17"/>
          <w:color w:val="auto"/>
        </w:rPr>
      </w:pPr>
    </w:p>
    <w:p>
      <w:pPr>
        <w:ind w:left="940" w:right="440" w:hanging="415"/>
        <w:spacing w:after="0" w:line="282"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 shares of our common stock issuable upon the exercise of options to purchase shares of our common stock outstanding as of March 31, 2025, with a weighted-average exercise price of $33.62 per share;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620"/>
          </w:cols>
          <w:pgMar w:left="620" w:top="455" w:right="659" w:bottom="1440" w:gutter="0" w:footer="0" w:header="0"/>
          <w:type w:val="continuous"/>
        </w:sectPr>
      </w:pPr>
    </w:p>
    <w:bookmarkStart w:id="7" w:name="page8"/>
    <w:bookmarkEnd w:id="7"/>
    <w:p>
      <w:pPr>
        <w:ind w:left="520" w:hanging="415"/>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656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1656715"/>
                    </a:xfrm>
                    <a:prstGeom prst="rect">
                      <a:avLst/>
                    </a:prstGeom>
                    <a:noFill/>
                  </pic:spPr>
                </pic:pic>
              </a:graphicData>
            </a:graphic>
          </wp:anchor>
        </w:drawing>
        <w:t>8,285,538 shares of our common stock reserved for future issuance under our Amended and Restated Take-Two Interactive Software, Inc. 2017 Stock Incentive Plan (“Stock Incentive Plan”) as of March 31, 2025; and</w:t>
      </w:r>
    </w:p>
    <w:p>
      <w:pPr>
        <w:spacing w:after="0" w:line="67" w:lineRule="exact"/>
        <w:rPr>
          <w:rFonts w:ascii="Times New Roman" w:cs="Times New Roman" w:eastAsia="Times New Roman" w:hAnsi="Times New Roman"/>
          <w:sz w:val="18"/>
          <w:szCs w:val="18"/>
          <w:color w:val="auto"/>
        </w:rPr>
      </w:pPr>
    </w:p>
    <w:p>
      <w:pPr>
        <w:ind w:left="520" w:right="40" w:hanging="415"/>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7,547,459 shares of our common stock reserved for future issuance under our 2017 Second Amended and Restated Global Employee Stock Purchase Plan (“ESPP”) as of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w:t>
      </w:r>
    </w:p>
    <w:p>
      <w:pPr>
        <w:spacing w:after="0" w:line="131" w:lineRule="exact"/>
        <w:rPr>
          <w:sz w:val="20"/>
          <w:szCs w:val="20"/>
          <w:color w:val="auto"/>
        </w:rPr>
      </w:pPr>
    </w:p>
    <w:p>
      <w:pPr>
        <w:ind w:left="520" w:hanging="415"/>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settlement of outstanding RSUs or exercise of outstanding options subsequent to March 31, 2025; and</w:t>
      </w:r>
    </w:p>
    <w:p>
      <w:pPr>
        <w:spacing w:after="0" w:line="130" w:lineRule="exact"/>
        <w:rPr>
          <w:rFonts w:ascii="Times New Roman" w:cs="Times New Roman" w:eastAsia="Times New Roman" w:hAnsi="Times New Roman"/>
          <w:sz w:val="18"/>
          <w:szCs w:val="18"/>
          <w:color w:val="auto"/>
        </w:rPr>
      </w:pPr>
    </w:p>
    <w:p>
      <w:pPr>
        <w:ind w:left="520" w:hanging="415"/>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common stock from us.</w:t>
      </w:r>
    </w:p>
    <w:p>
      <w:pPr>
        <w:spacing w:after="0" w:line="3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120"/>
          </w:cols>
          <w:pgMar w:left="1040" w:top="459" w:right="7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 FACTORS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common stock involves certain risks. In addition to the other information contained in, or incorporated by reference into, this prospectus supplement and the accompanying prospectus, you should carefully consider the risk factors described in our Annual Report on Form 10-K for the fiscal year ended March 31, 2025, which is incorporated by reference herein, as those risk factors are amended or supplemented by the other reports and documents we file with the SEC after the date of this prospectus supplement, and the following discussion of risks, before deciding whether an investment in our common stock is suitable for you.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Please also carefully read the section entitled “Cautionary Note on Forward-Looking Statements” included in this prospectus supplement, in our most recent Annual Report on Form 10-K and any subsequent Quarterly Reports on Form 10-Q or Current Reports on Form 8-K.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experienced, and may continue to experience, price volatility, which could result in substantial losses for investors in our common stock.</w:t>
      </w:r>
    </w:p>
    <w:p>
      <w:pPr>
        <w:spacing w:after="0" w:line="5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common stock has at times experienced substantial price volatility as a result of many factors, including the general volatility of stock market prices and volumes, changes in securities analysts’ estimates of our financial performance, variations between our actual and anticipated financial results, fluctuations in consumer demand for our products, or uncertainty about current global economic conditions. For these reasons, among others, the price of our common stock may continue to fluctuate. In addition, if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be a distraction to management.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eligible for future sale may adversely affect our common stock price.</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Sales of our common stock or other securities in the public or private market, or the perception that these sales may occur, could cause the market price of our common stock to decline. This could also impair our ability to raise additional capital through the sale of our equity securities. Under our certificate of incorporation, we are authorized to issue up to 300,000,000 shares of common stock. We cannot predict the size of future issuances of our common stock or other securities or the effect, if any, that future sales and issuances of our common stock and other securities would have on the market price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right="480" w:firstLine="440"/>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this offering, for general corporate purposes, including the repayment of outstanding debt and future acquisitions, and we may spend or invest these proceeds in a way with which our stockholders disagree. Because of the number and variability of factors that will determine our use of the net proceeds from this offering, their ultimate use may vary substantially from their currently intended use.</w:t>
      </w:r>
    </w:p>
    <w:p>
      <w:pPr>
        <w:spacing w:after="0" w:line="18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failure by our management to apply these funds effectively could harm our business. Pending their use, we may invest such proceeds in a manner that does not produce income or that loses value, which may negatively impact the market price of our common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00"/>
          </w:cols>
          <w:pgMar w:left="440" w:top="266" w:right="4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our sale of the shares of common stock in this offering will be approximately $1.04 billion, or approximately $1.19 billion, if the underwriters’ option to purchase additional shares from us is exercised in full, after deducting underwriting discounts and commissions and offering expenses.</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the repayment of outstanding debt and future acquisitions.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expected use of net proceeds of this offering represents our current intentions based upon our present plans and business conditions. We cannot specify with certainty all of the particular uses for the net proceeds to be received upon the closing of this offering. Pending such uses, we plan to invest the net proceeds of this offering in money market funds, short-term, investment grade, interest-bearing deposits or securities, such as direct or guaranteed obligations of the U.S. government.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80"/>
          </w:cols>
          <w:pgMar w:left="440" w:top="266" w:right="47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 POLICY</w:t>
      </w:r>
    </w:p>
    <w:p>
      <w:pPr>
        <w:spacing w:after="0" w:line="229"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We have never declared or paid cash dividends. We currently anticipate that all future earnings will be retained to finance the growth of our business and pay down our outstanding debt. We do not expect to declare or pay any cash dividends in the foreseeable future. The payment of dividends in the future is within the discretion of our board of directors and will depend upon future earnings, capital requirements and other relevant factors.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440" w:top="266" w:right="51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summarizes our unaudited capitalization as of March 31, 2025:</w:t>
      </w:r>
    </w:p>
    <w:p>
      <w:pPr>
        <w:spacing w:after="0" w:line="131" w:lineRule="exact"/>
        <w:rPr>
          <w:sz w:val="20"/>
          <w:szCs w:val="20"/>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964" w:right="160" w:hanging="424"/>
        <w:spacing w:after="0" w:line="266" w:lineRule="auto"/>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reflect (i) the issuance and sale of the common stock in this offering, after deducting the underwriting discounts and commissions, and the estimated offering expenses payable by us (assuming no exercise of the underwriters’ option) and (ii) the repayment of our 3.550% Senior Notes due 2025, which we repaid on April 14, 2025 in the principal amount of $600.0 million.</w:t>
      </w:r>
    </w:p>
    <w:p>
      <w:pPr>
        <w:spacing w:after="0" w:line="176"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information in this table together with our consolidated financial statements and related notes to those statements, as well as the section titled “Management’s Discussion and Analysis of Financial Condition and Results of Operations,” incorporated by reference in this prospectus supplement and the accompanying prospectus.</w:t>
      </w:r>
    </w:p>
    <w:p>
      <w:pPr>
        <w:spacing w:after="0" w:line="196" w:lineRule="exact"/>
        <w:rPr>
          <w:sz w:val="20"/>
          <w:szCs w:val="20"/>
          <w:color w:val="auto"/>
        </w:rPr>
      </w:pPr>
    </w:p>
    <w:tbl>
      <w:tblPr>
        <w:tblLayout w:type="fixed"/>
        <w:tblInd w:w="1324" w:type="dxa"/>
        <w:tblCellMar>
          <w:top w:w="0" w:type="dxa"/>
          <w:left w:w="0" w:type="dxa"/>
          <w:bottom w:w="0" w:type="dxa"/>
          <w:right w:w="0" w:type="dxa"/>
        </w:tblCellMar>
      </w:tblPr>
      <w:tr>
        <w:trPr>
          <w:trHeight w:val="193"/>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03"/>
        </w:trPr>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1,456.1</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1,893.2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
        </w:trPr>
        <w:tc>
          <w:tcPr>
            <w:tcW w:w="6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6"/>
                <w:szCs w:val="26"/>
                <w:color w:val="auto"/>
                <w:vertAlign w:val="superscript"/>
              </w:rPr>
              <w:t>(1)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412.3</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412.3</w:t>
            </w:r>
          </w:p>
        </w:tc>
      </w:tr>
      <w:tr>
        <w:trPr>
          <w:trHeight w:val="27"/>
        </w:trPr>
        <w:tc>
          <w:tcPr>
            <w:tcW w:w="7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and other long-term liabilities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4,073.4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3,473.4</w:t>
            </w: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62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$0.01 par value per share; 5.0 shares authorized; no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at March 31, 2025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2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300.0 shares authorized; 200.8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shares issued and 177.1 shares outstanding as of March 31, 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10,312.0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11,349.1</w:t>
            </w:r>
          </w:p>
        </w:tc>
      </w:tr>
      <w:tr>
        <w:trPr>
          <w:trHeight w:val="216"/>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stock, at cost; 23.7 common shares at March 31, 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(1,020.6)</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(1,020.6)</w:t>
            </w:r>
          </w:p>
        </w:tc>
      </w:tr>
      <w:tr>
        <w:trPr>
          <w:trHeight w:val="216"/>
        </w:trPr>
        <w:tc>
          <w:tcPr>
            <w:tcW w:w="6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 / 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(7,058.8)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(7,058.8)</w:t>
            </w:r>
          </w:p>
        </w:tc>
      </w:tr>
      <w:tr>
        <w:trPr>
          <w:trHeight w:val="216"/>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w:t>
            </w:r>
          </w:p>
        </w:tc>
      </w:tr>
      <w:tr>
        <w:trPr>
          <w:trHeight w:val="27"/>
        </w:trPr>
        <w:tc>
          <w:tcPr>
            <w:tcW w:w="7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2,137.7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3,174.8</w:t>
            </w:r>
          </w:p>
        </w:tc>
      </w:tr>
      <w:tr>
        <w:trPr>
          <w:trHeight w:val="223"/>
        </w:trPr>
        <w:tc>
          <w:tcPr>
            <w:tcW w:w="624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Total capitalization</w:t>
            </w:r>
            <w:r>
              <w:rPr>
                <w:rFonts w:ascii="Times New Roman" w:cs="Times New Roman" w:eastAsia="Times New Roman" w:hAnsi="Times New Roman"/>
                <w:sz w:val="25"/>
                <w:szCs w:val="25"/>
                <w:color w:val="auto"/>
                <w:vertAlign w:val="superscript"/>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6,211.1</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6,648.2</w:t>
            </w:r>
          </w:p>
        </w:tc>
        <w:tc>
          <w:tcPr>
            <w:tcW w:w="10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$259.6 million of deferred tax liabilities, net.</w:t>
      </w:r>
    </w:p>
    <w:p>
      <w:pPr>
        <w:spacing w:after="0" w:line="27" w:lineRule="exact"/>
        <w:rPr>
          <w:rFonts w:ascii="Times New Roman" w:cs="Times New Roman" w:eastAsia="Times New Roman" w:hAnsi="Times New Roman"/>
          <w:sz w:val="18"/>
          <w:szCs w:val="18"/>
          <w:color w:val="auto"/>
        </w:rPr>
      </w:pPr>
    </w:p>
    <w:p>
      <w:pPr>
        <w:ind w:left="424" w:right="260" w:hanging="424"/>
        <w:spacing w:after="0" w:line="26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capitalization represents the sum of total debt and other long-term liabilities (including deferred tax liabilities, net) and total stockholders’ equity.</w:t>
      </w:r>
    </w:p>
    <w:p>
      <w:pPr>
        <w:spacing w:after="0" w:line="181"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is based on 177,144,416 shares of common stock outstanding as of March 31, 2025, which excludes the following:</w:t>
      </w:r>
    </w:p>
    <w:p>
      <w:pPr>
        <w:spacing w:after="0" w:line="67" w:lineRule="exact"/>
        <w:rPr>
          <w:sz w:val="20"/>
          <w:szCs w:val="20"/>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8,446,053 shares of our common stock issuable upon the vesting of RSUs outstanding as of March 31, 2025;</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 shares of our common stock issuable upon the exercise of options to purchase shares of our common stock outstanding as of March 31, 2025, with a weighted-average exercise price of $33.62 per share;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8,285,538 shares of our common stock reserved for future issuance under our Stock Incentive Plan as of March 31, 2025;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7,547,459 shares of our common stock reserved for future issuance under our ESPP as of March 31, 2025.</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24"/>
          </w:cols>
          <w:pgMar w:left="436" w:top="266" w:right="4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U.S. FEDERAL INCOME TAX CONSEQUENCES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NON-U.S. HOLDERS</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Internal Revenue Code of 1986, as amended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8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non-U.S., state or local jurisdiction, under U.S. federal gift and estate tax rules or under any applicable tax treaty. In addition, this discussion does not address any potential application of the Medicare contribution tax on net investment income or any tax considerations applicable to an investor’s particular circumstances or to investors that may be subject to special tax rules, including, without limitation:</w:t>
      </w:r>
    </w:p>
    <w:p>
      <w:pPr>
        <w:spacing w:after="0" w:line="85"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accounts;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30"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 (except to the extent specifically set forth below);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other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such for U.S. federal income tax purposes), other pass-through entities, and investors therein;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“straddle,” “conversion transaction” or other risk reduction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property held for investment);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60"/>
          </w:cols>
          <w:pgMar w:left="440" w:top="266" w:right="499" w:bottom="1440" w:gutter="0" w:footer="0" w:header="0"/>
        </w:sectPr>
      </w:pPr>
    </w:p>
    <w:bookmarkStart w:id="13" w:name="page14"/>
    <w:bookmarkEnd w:id="13"/>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if a partnership, entity or arrangement classified as a partnership or flow-through entity for U.S. federal income tax purposes holds our common stock, the tax treatment of a partner or beneficial owner generally will depend on the status of the partner or beneficial owner, the activities of the partnership or other entity, and certain determinations made at the partner or beneficial owner level. A partner or beneficial owner in a partnership or other such entity that will hold our common stock should consult his, her or its own tax advisor regarding the tax consequences of the purchase, ownership and disposition of our common stock through a partnership or other such entity, as applicable.</w:t>
      </w:r>
    </w:p>
    <w:p>
      <w:pPr>
        <w:spacing w:after="0" w:line="179"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that, for U.S. federal income tax purposes, is not a partnership (including any entity or arrangement treated as a partnership and the beneficial owners thereof) or:</w:t>
      </w:r>
    </w:p>
    <w:p>
      <w:pPr>
        <w:spacing w:after="0" w:line="67"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(or treated as created in or organized under) the law of the United States or any political subdivision thereof;</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that has one or more “United States persons” (within the meaning of Section 7701(a)(30) the Code) who have the authority to control all substantial decisions of the trust or (2) that has made a valid election under applicable Treasury Regulations to be treated as a United States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right="180" w:firstLine="440"/>
        <w:spacing w:after="0" w:line="274" w:lineRule="auto"/>
        <w:rPr>
          <w:sz w:val="20"/>
          <w:szCs w:val="20"/>
          <w:color w:val="auto"/>
        </w:rPr>
      </w:pPr>
      <w:r>
        <w:rPr>
          <w:rFonts w:ascii="Times New Roman" w:cs="Times New Roman" w:eastAsia="Times New Roman" w:hAnsi="Times New Roman"/>
          <w:sz w:val="17"/>
          <w:szCs w:val="17"/>
          <w:color w:val="auto"/>
        </w:rPr>
        <w:t>As described in “Dividend Policy,” we have never declared or paid any cash dividends on our capital stock, and we do not expect to pay any dividends in the foreseeable future. However, if we do make distributions on our common stock, such distributions will generally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adjusted tax basis in our common stock (determined separately with respect to each share of our common stock), but not below zero, and then will be treated as capital gain from the sale of stock as described below in “— Gain on Disposition of Common Stock.”</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and in “— Backup Withholding and Information Reporting” and “—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withholding agent) with a properly executed IRS</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Form W-8BEN or W-8BEN-E or other appropriate version of IRS Form W-8 certifying qualification for the reduced rate. Under applicable Treasury Regulations, we may withhold up to 30% of the gross amount of the entire distribution even if the amount constituting a dividend, as described above, is less than the gross amount. If you are eligible for a reduced rate of U.S. federal withholding tax pursuant to an income tax treaty and do not timely provide us with such documentation, you may obtain 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00"/>
          </w:cols>
          <w:pgMar w:left="440" w:top="270" w:right="459" w:bottom="1440" w:gutter="0" w:footer="0" w:header="0"/>
        </w:sectPr>
      </w:pPr>
    </w:p>
    <w:bookmarkStart w:id="14" w:name="page15"/>
    <w:bookmarkEnd w:id="1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refund of any excess amounts withheld by timely filing an appropriate claim for refund with the IRS. If you hold our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176" w:lineRule="exact"/>
        <w:rPr>
          <w:sz w:val="20"/>
          <w:szCs w:val="20"/>
          <w:color w:val="auto"/>
        </w:rPr>
      </w:pPr>
    </w:p>
    <w:p>
      <w:pPr>
        <w:ind w:right="20" w:firstLine="440"/>
        <w:spacing w:after="0" w:line="276" w:lineRule="auto"/>
        <w:rPr>
          <w:sz w:val="20"/>
          <w:szCs w:val="20"/>
          <w:color w:val="auto"/>
        </w:rPr>
      </w:pPr>
      <w:r>
        <w:rPr>
          <w:rFonts w:ascii="Times New Roman" w:cs="Times New Roman" w:eastAsia="Times New Roman" w:hAnsi="Times New Roman"/>
          <w:sz w:val="17"/>
          <w:szCs w:val="17"/>
          <w:color w:val="auto"/>
        </w:rPr>
        <w:t>Dividends received by you that are treated as effectively connected with your conduct of a U.S. trade or business (and, if required by an applicable income tax treaty, are attributable to a permanent establishment or fixed base maintained by you in the United States) are generally exempt from the</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30% U.S. federal withholding tax, subject to the discussion below in “— Backup Withholding and Information Reporting” and “— Foreign Account Tax Compliance Act (FATCA).” In order to obtain this exemption, you must provide us with a properly executed IRS Form W-8ECI or other appropriate form properly certifying such exemption. Such effectively connected dividends, although not subject to U.S. federal withholding tax, are taxed at the same graduated rates applicable to United States persons, net of certain deductions and credits, subject to an applicable income tax treaty providing otherwise. In addition, if you are a corporate non-U.S. holder, dividends you receive that are effectively connected with your conduct of a U.S. trade or business (and, if an income tax treaty applies, are attributable to a permanent establishment or fixed base maintained by you in the United States)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in “— Backup Withholding and Information Reporting,” you generally will not be required to pay U.S. federal income tax on any gain realized upon the sale or other taxable disposition of our common stock unless:</w:t>
      </w:r>
    </w:p>
    <w:p>
      <w:pPr>
        <w:spacing w:after="0" w:line="67" w:lineRule="exact"/>
        <w:rPr>
          <w:sz w:val="20"/>
          <w:szCs w:val="20"/>
          <w:color w:val="auto"/>
        </w:rPr>
      </w:pPr>
    </w:p>
    <w:p>
      <w:pPr>
        <w:ind w:left="960" w:right="4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taxable year in which the sale or disposition occurs and certain other conditions are met; or</w:t>
      </w:r>
    </w:p>
    <w:p>
      <w:pPr>
        <w:spacing w:after="0" w:line="67" w:lineRule="exact"/>
        <w:rPr>
          <w:rFonts w:ascii="Times New Roman" w:cs="Times New Roman" w:eastAsia="Times New Roman" w:hAnsi="Times New Roman"/>
          <w:sz w:val="18"/>
          <w:szCs w:val="18"/>
          <w:color w:val="auto"/>
        </w:rPr>
      </w:pPr>
    </w:p>
    <w:p>
      <w:pPr>
        <w:ind w:left="960" w:right="360" w:hanging="424"/>
        <w:spacing w:after="0" w:line="258"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U.S. federal income tax purposes at any time within the shorter of the five-year period preceding your disposition of, or your holding period for, our common stock, unless our common stock is regularly traded on an established securities market and you hold no more than 5% of our outstanding common stock, directly, indirectly and constructively, at all times, during the shorter of the five-year period ending on the date of the taxable disposition or your holding period for our common stock.</w:t>
      </w:r>
    </w:p>
    <w:p>
      <w:pPr>
        <w:spacing w:after="0" w:line="183"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U.S. and worldwide real property plus our other business assets, there can be no assurance that we will not become a USRPHC in the future. You are encouraged to consult your own tax advisors regarding the possible consequences to you if we are, or were to become, a USRPHC.</w:t>
      </w:r>
    </w:p>
    <w:p>
      <w:pPr>
        <w:spacing w:after="0" w:line="164"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will be required to pay tax on the gain derived from the sale (net of certain deductions and credits) under regular graduated U.S. federal income tax rates applicable to United States persons, and a corporate non-U.S. holder described in the first bullet above also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20"/>
          </w:cols>
          <w:pgMar w:left="440" w:top="270" w:right="439" w:bottom="1440" w:gutter="0" w:footer="0" w:header="0"/>
        </w:sectPr>
      </w:pPr>
    </w:p>
    <w:bookmarkStart w:id="15" w:name="page16"/>
    <w:bookmarkEnd w:id="1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be subject to the branch profits tax at a 30% rate, or such lower rate as may be specified by an applicable income tax treaty. If you are an individual non-U.S. holder described in the second bullet above, you will be subject to tax on such gain at a rate of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distributions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common stock made to you may also be subject to backup withholding at a current rate of 24% and information reporting unless you establish an exemption, for example, by properly certifying your non-U.S. status on a properly completed IRS Form W-8BEN or W-8BEN-E or another appropriate version of IRS Form W-8. Notwithstanding the foregoing, backup withholding may apply if either we or our paying agent has actual knowledge, or reason to know, that you are a United States person.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you are a United States person or you otherwise establish an exemption. Proceeds of a disposition of our common stock conducted through a non-U.S. office of a non-U.S. broker generally will not be subject to backup withholding or information reporting.</w:t>
      </w:r>
    </w:p>
    <w:p>
      <w:pPr>
        <w:spacing w:after="0" w:line="19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 (FATCA)</w:t>
      </w:r>
    </w:p>
    <w:p>
      <w:pPr>
        <w:spacing w:after="0" w:line="121"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The Foreign Account Tax Compliance Act, Treasury Regulations issued thereunder and official IRS guidance, collectively “FATCA,” generally impose a U.S. federal withholding tax of 30% on dividends on, and, subject to the discussion of certain proposed Treasury Regulations below,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should consult with their own tax advisors regarding the application of FATCA withholding to their investment in, and ownership and disposition of, our common stock.</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00"/>
          </w:cols>
          <w:pgMar w:left="440" w:top="270" w:right="459" w:bottom="1440" w:gutter="0" w:footer="0" w:header="0"/>
        </w:sectPr>
      </w:pPr>
    </w:p>
    <w:bookmarkStart w:id="16" w:name="page17"/>
    <w:bookmarkEnd w:id="16"/>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Proposed Treasury Regulations, if finalized in their present form, would eliminate withholding under FATCA with respect to payments of gross proceeds from a sale or other disposition of our common stock. Taxpayers may generally rely on the proposed Treasury Regulations until final regulations are issued.</w:t>
      </w:r>
    </w:p>
    <w:p>
      <w:pPr>
        <w:spacing w:after="0" w:line="172"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00"/>
          </w:cols>
          <w:pgMar w:left="440" w:top="270" w:right="4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UNDERWRITING</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are offering the shares of our common stock described in this prospectus supplement through a number of underwriters. J.P. Morgan Securities LLC and Goldman Sachs &amp; Co. LLC are acting as lead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our common stock listed next to its name in the following table:</w:t>
      </w:r>
    </w:p>
    <w:p>
      <w:pPr>
        <w:spacing w:after="0" w:line="19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440" w:type="dxa"/>
            <w:vAlign w:val="bottom"/>
            <w:gridSpan w:val="2"/>
            <w:vMerge w:val="continue"/>
          </w:tcPr>
          <w:p>
            <w:pPr>
              <w:spacing w:after="0"/>
              <w:rPr>
                <w:sz w:val="13"/>
                <w:szCs w:val="13"/>
                <w:color w:val="auto"/>
              </w:rPr>
            </w:pPr>
          </w:p>
        </w:tc>
        <w:tc>
          <w:tcPr>
            <w:tcW w:w="104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1,662,500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of the shares of our common stock offered by us if they purchase any shares.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the shares of our common stock directly to the public at the public offering price set forth on the cover page of this prospectus supplement and to certain dealers at that price less a concession not in excess of $3.915 per share. After the offering of the shares to the public, the offering price and other selling terms may be changed by the underwriters. The offering of the shares by the underwriters is subject to receipt and acceptance and subject to the underwriters’ right to reject any order in whole or in part. Sales of shares made outside of the United States may be made by affiliates of the underwriters.</w:t>
      </w:r>
    </w:p>
    <w:p>
      <w:pPr>
        <w:spacing w:after="0" w:line="183" w:lineRule="exact"/>
        <w:rPr>
          <w:sz w:val="20"/>
          <w:szCs w:val="20"/>
          <w:color w:val="auto"/>
        </w:rPr>
      </w:pPr>
    </w:p>
    <w:p>
      <w:pPr>
        <w:ind w:right="260" w:firstLine="440"/>
        <w:spacing w:after="0" w:line="281" w:lineRule="auto"/>
        <w:rPr>
          <w:sz w:val="20"/>
          <w:szCs w:val="20"/>
          <w:color w:val="auto"/>
        </w:rPr>
      </w:pPr>
      <w:r>
        <w:rPr>
          <w:rFonts w:ascii="Times New Roman" w:cs="Times New Roman" w:eastAsia="Times New Roman" w:hAnsi="Times New Roman"/>
          <w:sz w:val="17"/>
          <w:szCs w:val="17"/>
          <w:color w:val="auto"/>
        </w:rPr>
        <w:t>The underwriters have an option to buy up to 712,500 additional shares of our common stock from us.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our common stock are purchased, the underwriters will offer the additional shares on the same terms as those on which the shares are being offered.</w:t>
      </w:r>
    </w:p>
    <w:p>
      <w:pPr>
        <w:spacing w:after="0" w:line="16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our common stock less the amount paid by the underwriters to us per share of our common stock. The underwriting fee is $6.525 per share of our common stock. The following table shows the per share and total underwriting discounts and commissions to be paid to the underwriters assuming both no exercise and full exercise of the underwriters’ option to purchase additional shares.</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3"/>
                <w:szCs w:val="13"/>
                <w:color w:val="auto"/>
              </w:rPr>
              <w:t>Without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jc w:val="center"/>
              <w:ind w:right="120"/>
              <w:spacing w:after="0" w:line="119" w:lineRule="exact"/>
              <w:rPr>
                <w:sz w:val="20"/>
                <w:szCs w:val="20"/>
                <w:color w:val="auto"/>
              </w:rPr>
            </w:pPr>
            <w:r>
              <w:rPr>
                <w:rFonts w:ascii="Times New Roman" w:cs="Times New Roman" w:eastAsia="Times New Roman" w:hAnsi="Times New Roman"/>
                <w:sz w:val="13"/>
                <w:szCs w:val="13"/>
                <w:color w:val="auto"/>
              </w:rPr>
              <w:t>With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Per Share</w:t>
            </w:r>
          </w:p>
        </w:tc>
        <w:tc>
          <w:tcPr>
            <w:tcW w:w="18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Option to Purchase</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Option to Purchase</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 Shares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Additional Shares</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1,068,750,000.00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1,229,062,500.00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30,993,750.00</w:t>
            </w:r>
          </w:p>
        </w:tc>
        <w:tc>
          <w:tcPr>
            <w:tcW w:w="5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35,642,812.50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218.475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1,037,756,250.00</w:t>
            </w:r>
          </w:p>
        </w:tc>
        <w:tc>
          <w:tcPr>
            <w:tcW w:w="5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1,193,419,687.50</w:t>
            </w: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4"/>
                <w:szCs w:val="24"/>
                <w:color w:val="auto"/>
              </w:rPr>
            </w:pPr>
          </w:p>
        </w:tc>
        <w:tc>
          <w:tcPr>
            <w:tcW w:w="1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S-13</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66" w:right="479" w:bottom="1440" w:gutter="0" w:footer="0" w:header="0"/>
        </w:sectPr>
      </w:pPr>
    </w:p>
    <w:bookmarkStart w:id="18" w:name="page19"/>
    <w:bookmarkEnd w:id="18"/>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estimate that the total expenses of this offering, including registration, filing and listing fees, printing fees and legal and accounting expenses, but excluding the underwriting discounts and commissions, will be approximately $633,000. The underwriters have agreed to reimburse us for certain expenses incurred in connection with this offering.</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we will not, for a period of 75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any securities convertible into or exercisable or exchangeable for our common stock, or publicly disclose the intention to undertake any of the foregoing provided, however, that the Company may file a registration statement on Form S-3 in connection with the grants of restricted units to ZMC Advisors, L.P., consistent with past practice, or (ii) enter into any swap or other agreement that transfers, in whole or in part, any of the economic consequences of ownership of our common stock or any such other securities, whether any such transaction described in clause (i) or (ii) above is to be settled by delivery of our common stock or such other securities, in cash or otherwise, without the prior written consent of J.P. Morgan Securities LLC and Goldman Sachs &amp; Co. LLC, other than the shares of our common stock to be sold hereunder.</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restrictions described above do not apply to (i) the issuance of shares of our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or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the Prospectus.</w:t>
      </w:r>
    </w:p>
    <w:p>
      <w:pPr>
        <w:spacing w:after="0" w:line="189"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(such persons, the “lock-up parties”) have entered into lock-up agreements with the underwriters prior to the commencement of this offering pursuant to which each lock-up party, with limited exceptions, for a period of 75 days after the date of this prospectus (such period, the “restricted period”), may not (and may not cause any of their controlled affiliates to), without the prior written consent of J.P. Morgan Securities LLC and Goldman Sachs &amp; Co.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or such other securities which may be deemed to be beneficially owned by such lock-up parties in accordance with the rules and regulations of the SEC and securities which may be issued upon exercise of a stock option or warrant (collectively with the our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provided that the Company may file a registration statement on Form S-3 in connection with grants of restricted units to ZMC Advisors, L.P., consistent with past practice,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00"/>
          </w:cols>
          <w:pgMar w:left="440" w:top="270" w:right="459" w:bottom="1440" w:gutter="0" w:footer="0" w:header="0"/>
        </w:sectPr>
      </w:pPr>
    </w:p>
    <w:bookmarkStart w:id="19" w:name="page20"/>
    <w:bookmarkEnd w:id="19"/>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83"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distribution, or otherwise disposal (as the case may be) of lock-up securities: (i) as bona fide gift or gifts, or for bona fide estate planning purposes, (ii) by will, other testamentary document or intestacy, (iii) to any trust for the direct or indirect benefit of the lock-up party or any immediate family member, or if the lock-up securities are held by a trust, to a trustor or beneficiary of the trust or to the estate of a beneficiary of such trust, (iv) to a corporation, partnership, limited liability company or other entity of which the lock-up party and its immediate family members are the legal and beneficial owner of all of the outstanding equity securities or similar interests, (v) to a nominee or custodian of a person or entity to whom a distribution, transfer or other disposition would be permissible under clauses (i) through (iv), (vi) if the lock-up securities are held by a corporation, partnership, limited liability company, trust or other business entity (the “Holder”), (A) to another corporation, partnership, limited liability company, trust or other business entity that is an affiliate of the Holder, or to any investment fund or other entity controlling, controlled by, managing or managed by or under common control with the Holder or its affiliates or (B) as part of a distribution to members, partners, shareholders or other equityholders of the Holder; (vii) by operation of law, such as pursuant to a qualified domestic order, divorce settlement, divorce decree, separation agreement or other court order,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equity or equity-based awards or rights with respect or to purchase shares of our common stock (including, in each case, by way of “net” or “cashless” exercise, “net settlement” or otherwise) (collectively, “Equity-Based Awards”), including for the payment of exercise price and tax and remittance payments due as a result of the vesting, settlement, or exercise of such Equity-Based Awards, (xi) pursuant to trading plans or instructions (including “sell to cover” elections) pursuant to Rule 10b5-1 under the Exchange Act for the transfer of shares of lock-up securities; provided that such plan or instruction was established prior to the execution of such lock-up agreement by the lock-up party; provided further that any filing under Section 16(a) of the Exchange Act that is made in connection with any such sales during the restricted period shall state that such sales have been executed under a Rule 10b5-1 trading plan and shall also state the date such 10b5-1 trading plan was adopted, or (xii)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w:t>
      </w:r>
    </w:p>
    <w:p>
      <w:pPr>
        <w:spacing w:after="0" w:line="202" w:lineRule="exact"/>
        <w:rPr>
          <w:sz w:val="20"/>
          <w:szCs w:val="20"/>
          <w:color w:val="auto"/>
        </w:rPr>
      </w:pPr>
    </w:p>
    <w:p>
      <w:pPr>
        <w:ind w:left="4" w:hanging="4"/>
        <w:spacing w:after="0" w:line="251"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outstanding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of our common stock or warrant received upon such conversion would be subject to restrictions similar to those in the immediately preceding paragraph; and (d) the establishment of trading plans pursuant to Rule 10b5-1 under the Exchange Act for the transfer of shares of lock-up securities; provided that (1) such plans do not provide for the transfer of lock-up securities during the restricted period and (2) no filing by any party under the Exchange Act or other public announcement shall be made voluntarily (whether by or on behalf of the lock-up party, us or any other party) and that any public announcement or filing under the Exchange Act legally required to be made by any person or us during the restricted period in connection with the establishment of such trading plan shall include a statement that the lock-up party is not permitted to transfer, sell or otherwise dispose of securities under such plan during the restricted period in contravention of the restrictions in the immediately preceding paragraph).</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0984"/>
          </w:cols>
          <w:pgMar w:left="436" w:top="270" w:right="479" w:bottom="1440" w:gutter="0" w:footer="0" w:header="0"/>
        </w:sectPr>
      </w:pPr>
    </w:p>
    <w:bookmarkStart w:id="20" w:name="page21"/>
    <w:bookmarkEnd w:id="20"/>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 Morgan Securities LLC and Goldman Sachs &amp; Co. LLC, in their sole discretion, may release the securities subject to any of the lock-up agreements with the underwriters described above, in whole or in part at any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“TTWO.”</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our common stock in the open market for the purpose of preventing or retarding a decline in the market price of our common stock while this offering is in progress. These stabilizing transactions may include making short sales of our common stock, which involves the sale by the underwriters of a greater number of shares of our common stock than they are required to purchase in this offering, and purchasing shares of our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our common stock in the open market that could adversely affect investors who purchase in this offering. To the extent that the underwriters create a naked short position, they will purchase shares in the open market to cover the position.</w:t>
      </w:r>
    </w:p>
    <w:p>
      <w:pPr>
        <w:spacing w:after="0" w:line="19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of 1933, they may also engage in other activities that stabilize, maintain or otherwise affect the price of our common stock, including the imposition of penalty bids. This means that if the representatives of the underwriters purchase our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this offering certain of the underwriters (and selling group members)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our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00"/>
          </w:cols>
          <w:pgMar w:left="440" w:top="270" w:right="459" w:bottom="1440" w:gutter="0" w:footer="0" w:header="0"/>
        </w:sectPr>
      </w:pPr>
    </w:p>
    <w:bookmarkStart w:id="21" w:name="page22"/>
    <w:bookmarkEnd w:id="21"/>
    <w:p>
      <w:pPr>
        <w:jc w:val="both"/>
        <w:ind w:right="3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services for us and such affiliates in the ordinary course of their business, for which they have received and may continue to receive customary fees and commissions. J.P. Morgan Securities LLC and Wells Fargo, Securities LLC served as a lead book-running managers in connection with our $2.7 billion offering of senior notes in April 2022, our $1.0 billion offering of senior notes in April 2023 and $600 million offering of senior notes in June 2024. J.P. Morgan Securities LLC also served as lead bookrunner in connection with our $350 million offering of senior notes in January 2024.</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Goldman Sachs &amp; Co. LLC, BNP Paribas Securities Corp. and BofA Securities, Inc. served as a joint passive bookrunners in connection with our $600 million offering of senior notes in June 2024. Goldman Sachs &amp; Co. LLC served as sole underwriter in connection with an offering by one of our selling stockholders of 2.8 million shares in June 2024. An affiliate of J.P. Morgan Securities LLC is the administrative agent and a lender, under our senior unsecured credit agreement, and affiliates of certain of the other underwriters, including an affiliate of Goldman Sachs &amp; Co. LLC and an affiliate of Wells Fargo Securities, LLC, are lenders under our senior unsecured credit agreement, for which these affiliates have and will be paid customary fees. In addition, J.P. Morgan Securities LLC and/or one of its affiliates was engaged as a financial advisor to the Company in connection with our acquisition of Zynga Inc. and as lead dealer manager in connection with our tender offer in May 2023 for our certain of our senior notes, for which it has been paid customary fees and expenses.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European Economic Area</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our common stock have been offered or will be offered pursuant to the this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our common stock may be made to the public in that Relevant State at any time under the following exemptions under the Prospectus Regulation:</w:t>
      </w:r>
    </w:p>
    <w:p>
      <w:pPr>
        <w:spacing w:after="0" w:line="89" w:lineRule="exact"/>
        <w:rPr>
          <w:sz w:val="20"/>
          <w:szCs w:val="20"/>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00"/>
          </w:cols>
          <w:pgMar w:left="440" w:top="270" w:right="459" w:bottom="1440" w:gutter="0" w:footer="0" w:header="0"/>
        </w:sectPr>
      </w:pPr>
    </w:p>
    <w:bookmarkStart w:id="22" w:name="page23"/>
    <w:bookmarkEnd w:id="22"/>
    <w:p>
      <w:pPr>
        <w:ind w:left="960" w:hanging="53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other circumstances falling within Article 1(4) of the Prospectus Regulation,</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provided that no such offer of shares of our common stock shall require us or any underwriter to publish a prospectus pursuant to Article 3 of the Prospectus Regulation or supplement a prospectus pursuant to Article 23 of the Prospectus Regulation. and each person who initially acquires any shares of our common stock or to whom any offer is made will be deemed to have represented, acknowledged and agreed to and with each of the underwriters and the Company that it is a “qualified investor” within the meaning of Article 2(e) of the Prospectus Regulation. In the case of any shares of our common stock being offered to a financial intermediary as that term is used in the Prospectus Regulation, each such financial intermediary will be deemed to have represented, acknowledged and agreed that the shares of our common stock acquired by it in the offer have not been acquired on a non-discretionary basis on behalf of, nor have they been acquired with a view to their offer or resale to, persons in circumstances which may give rise to an offer of any shares of our common stock to the public other than their offer or resale in a Relevant State to qualified investors as so defined or in circumstances in which the prior consent of the underwriters have been obtained to each such proposed offer or resale.</w:t>
      </w:r>
    </w:p>
    <w:p>
      <w:pPr>
        <w:spacing w:after="0" w:line="188"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of our common stock in any Relevant State means the communication in any form and by any means of sufficient information on the terms of the offer and any shares of our common stock to be offered so as to enable an investor to decide to purchase or subscribe for any shares of our common stock, and the expression “Prospectus Regulation” means Regulation (EU) 2017/1129.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United Kingdom</w:t>
      </w:r>
    </w:p>
    <w:p>
      <w:pPr>
        <w:spacing w:after="0" w:line="11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our common stock have been offered or will be offered pursuant to the this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1"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underwriters for any such offer;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3"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our common stock in the United Kingdom within the meaning of the Financial Services and Markets Act 2000.</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00"/>
          </w:cols>
          <w:pgMar w:left="440" w:top="270" w:right="459" w:bottom="1440" w:gutter="0" w:footer="0" w:header="0"/>
        </w:sectPr>
      </w:pPr>
    </w:p>
    <w:bookmarkStart w:id="23" w:name="page24"/>
    <w:bookmarkEnd w:id="23"/>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119"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This prospectus does not constitute an offer to the public or a solicitation to purchase or invest in any shares of our common stock. No shares of our common stock have been offered or will be offered to the public in Switzerland, except that offers of shares of our common stock may be made to the public in Switzerland at any time under the following exemptions under the Swiss Financial Services Act (“FinSA”):</w:t>
      </w:r>
    </w:p>
    <w:p>
      <w:pPr>
        <w:spacing w:after="0" w:line="81" w:lineRule="exact"/>
        <w:rPr>
          <w:sz w:val="20"/>
          <w:szCs w:val="20"/>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of our common stock shall require the Company or any underwriter to publish a prospectus pursuant to Article 35 FinSA.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shares of our common stock have not been and will not be listed or admitted to trading on a trading venue in Switzerland.</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shares of our common stock constitutes a prospectus as such term is understood pursuant to the FinSA and neither this document nor any other offering or marketing material relating to the shares of our common stock may be publicly distributed or otherwise made publicly available in Switzerland.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shares of our common stock have not been and will not be registered pursuant to Article 4, Paragraph 1 of the Financial Instruments and Exchange Act. Accordingly, none of the shares of our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shares of our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our common stock which are or are intended to be disposed of only to persons outside Hong Kong or only to “professional investors” as defined in the SFO and any rules made thereunder.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00"/>
          </w:cols>
          <w:pgMar w:left="440" w:top="270"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Prospective Investors in Singapore</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Each representative has acknowledged that this prospectus has not been registered as a prospectus with the Monetary Authority of Singapore. Accordingly, each representative has represented and agreed that it has not offered or sold any shares of our common stock or caused the shares of our common stock to be made the subject of an invitation for subscription or purchase and will not offer or sell any shares of our common stock or cause the shares of our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our common stock, whether directly or indirectly, to any person in Singapore other than:</w:t>
      </w:r>
    </w:p>
    <w:p>
      <w:pPr>
        <w:spacing w:after="0" w:line="93" w:lineRule="exact"/>
        <w:rPr>
          <w:sz w:val="20"/>
          <w:szCs w:val="20"/>
          <w:color w:val="auto"/>
        </w:rPr>
      </w:pPr>
    </w:p>
    <w:p>
      <w:pPr>
        <w:ind w:left="960" w:hanging="53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960" w:right="880" w:hanging="53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shares of our common stock are subscribed or purchased under Section 275 of the SFA by a relevant person which is:</w:t>
      </w:r>
    </w:p>
    <w:p>
      <w:pPr>
        <w:spacing w:after="0" w:line="131" w:lineRule="exact"/>
        <w:rPr>
          <w:sz w:val="20"/>
          <w:szCs w:val="20"/>
          <w:color w:val="auto"/>
        </w:rPr>
      </w:pPr>
    </w:p>
    <w:p>
      <w:pPr>
        <w:ind w:left="960" w:right="8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81" w:lineRule="exact"/>
        <w:rPr>
          <w:sz w:val="20"/>
          <w:szCs w:val="20"/>
          <w:color w:val="auto"/>
        </w:rPr>
      </w:pPr>
    </w:p>
    <w:p>
      <w:pPr>
        <w:ind w:left="960" w:right="160" w:hanging="53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 (c)(ii) of the SFA;</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960" w:right="740" w:hanging="53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0980"/>
          </w:cols>
          <w:pgMar w:left="440" w:top="268" w:right="4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MATTERS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shares of common stock offered hereby will be passed upon for us by Willkie Farr &amp; Gallagher LLP, New York, New York. Certain legal matters will be passed upon for the underwriters by Latham &amp; Watkins LLP, New York, New York.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Take-Two Interactive Software, Inc. appearing in Take-Two Interactive Software, Inc.’s Annual Report (Form 10-K) for the year ended March 31, 2025, and the effectiveness of Take-Two Interactive Software, Inc.’s internal control over financial reporting as of March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www.sec.gov from which interested persons can electronically access our SEC filings. Our website address is www.take2games.com. The information and other content contained on, or accessible through, our website are not incorporated by reference into this prospectus supplement or the accompanying prospectus. We have included our website address in this prospectus supplement only as a textual reference and do not intend it to be an active link to our website.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20"/>
          </w:cols>
          <w:pgMar w:left="440" w:top="266" w:right="4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BY REFERENCE</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contained in documents that we file with them, which means that we can disclose important information to you by referring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this information. We incorporate by reference the documents listed below and any filings we will make with the SEC under Sections 13(a), 13(c), 14 or 15(d) of the Exchange Act after the date of this prospectus supplement and prior to the termination of the offering of securities hereby. Unless specifically stated to the contrary, none of the information that we disclose under Items 2.02 or 7.01 of any Current Report on Form 8-K that we have furnished or may from time to time furnish with the SEC is or will be incorporated by reference in, or otherwise included in, this prospectus.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filed with the SEC are incorporated by reference in this prospectus supplement:</w:t>
      </w:r>
    </w:p>
    <w:p>
      <w:pPr>
        <w:spacing w:after="0" w:line="131" w:lineRule="exact"/>
        <w:rPr>
          <w:sz w:val="20"/>
          <w:szCs w:val="20"/>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2025 filed with the SEC on May 20, 2025;</w:t>
      </w:r>
    </w:p>
    <w:p>
      <w:pPr>
        <w:spacing w:after="0" w:line="130"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Definitive Proxy Statement on </w:t>
      </w:r>
      <w:hyperlink r:id="rId4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2024 annual meeting of stockholders, filed with the SEC on July 25, 2024, specifically incorporated by reference into our Annual Report on Form 10-K for the fiscal year ended March 31, 2024, as supplemented by the Definitive Additional Materials filed with the SEC on </w:t>
      </w:r>
      <w:hyperlink r:id="rId41">
        <w:r>
          <w:rPr>
            <w:rFonts w:ascii="Times New Roman" w:cs="Times New Roman" w:eastAsia="Times New Roman" w:hAnsi="Times New Roman"/>
            <w:sz w:val="18"/>
            <w:szCs w:val="18"/>
            <w:u w:val="single" w:color="auto"/>
            <w:color w:val="0000EE"/>
          </w:rPr>
          <w:t>August 1, 2024</w:t>
        </w:r>
      </w:hyperlink>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as updated by </w:t>
      </w:r>
      <w:hyperlink r:id="rId4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March 31, 2024, together with any subsequent amendment or any report filed with the SEC for the purpose of updating such description.</w:t>
      </w:r>
    </w:p>
    <w:p>
      <w:pPr>
        <w:spacing w:after="0" w:line="176" w:lineRule="exact"/>
        <w:rPr>
          <w:rFonts w:ascii="Times New Roman" w:cs="Times New Roman" w:eastAsia="Times New Roman" w:hAnsi="Times New Roman"/>
          <w:sz w:val="18"/>
          <w:szCs w:val="18"/>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herein any further filings we make with the SEC under Section 13(a), 13(c), 14 or 15(d) of the Exchange Act after the date of this prospectus supplement and until we terminate the offering of the notes. Our subsequent filings with the SEC will automatically update and supersede information in this prospectus.</w:t>
      </w:r>
    </w:p>
    <w:p>
      <w:pPr>
        <w:spacing w:after="0" w:line="176" w:lineRule="exact"/>
        <w:rPr>
          <w:rFonts w:ascii="Times New Roman" w:cs="Times New Roman" w:eastAsia="Times New Roman" w:hAnsi="Times New Roman"/>
          <w:sz w:val="18"/>
          <w:szCs w:val="18"/>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The documents listed above (excluding the exhibits attached thereto unless those exhibits are specifically incorporated by reference into those documents) may be obtained free of charge by each person to whom a copy of this prospectus is delivered, upon written or oral request, by contacting us at Take-Two Interactive Software, Inc., 110 West 44th Street, New York, New York 10036, Attention: Corporate Secretary, telephone number (646)</w:t>
      </w:r>
    </w:p>
    <w:p>
      <w:pPr>
        <w:spacing w:after="0" w:line="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536-2842.</w:t>
      </w:r>
    </w:p>
    <w:p>
      <w:pPr>
        <w:spacing w:after="0" w:line="13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00"/>
          </w:cols>
          <w:pgMar w:left="440" w:top="266"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173990</wp:posOffset>
            </wp:positionV>
            <wp:extent cx="737235" cy="625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372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Take-Two Interactive Software, Inc.</w:t>
      </w:r>
    </w:p>
    <w:p>
      <w:pPr>
        <w:spacing w:after="0" w:line="2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1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this prospectus, we may offer and sell from time to time our common stock, par value $.01 per share, and debt securities (which may be convertible into our common stock). We will determine when we sell securities, the amounts and types of securities we will sell and the prices and other terms on which we will sell them. We may sell securities to or through underwriters, dealers or agents or directly to purchasers.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describe in a prospectus supplement, which we will deliver with this prospectus, the terms of particular securities which we offer in the future. We may describe the terms of those securities in a term sheet or other offering materials which will precede the prospectus supplement. The prospectus supplement or term sheet or other offering materials may also add, update or change information contained in this prospectus. You should read this prospectus, any prospectus supplement, any free writing prospectus and any term sheet or other offering materials carefully before you invest in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prospectus supplement or related term sheet or other offering materials, if any, we will include the following information:</w:t>
      </w:r>
    </w:p>
    <w:p>
      <w:pPr>
        <w:spacing w:after="0" w:line="131" w:lineRule="exact"/>
        <w:rPr>
          <w:sz w:val="20"/>
          <w:szCs w:val="20"/>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dealers or agents, if any, through which we will sell the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amounts of securities, if any, which the underwriters will purchase;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if any, of those underwriters, dealers or agents;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 risk factors associated with the securities offered;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if there is one;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securities exchanges or automated quotation systems on which the securities will be listed or traded;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information about the offering and sale of 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“TTWO.”</w:t>
      </w:r>
    </w:p>
    <w:p>
      <w:pPr>
        <w:spacing w:after="0" w:line="212"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carefully consider the risks described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xml:space="preserve"> ” beginning on page 2 of this prospectus, as well as in the applicable prospectus supplement, any related free writing prospectus and other information contained or incorporated by reference in this prospectus and the applicable prospectus supplement, before making a decision to invest in our securities.</w:t>
      </w:r>
    </w:p>
    <w:p>
      <w:pPr>
        <w:spacing w:after="0" w:line="18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 securities we may be offering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offered securities unless accompanied by a prospectus supplement.</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6, 2025.</w:t>
      </w:r>
    </w:p>
    <w:p>
      <w:pPr>
        <w:sectPr>
          <w:pgSz w:w="11900" w:h="16838" w:orient="portrait"/>
          <w:cols w:equalWidth="0" w:num="1">
            <w:col w:w="10880"/>
          </w:cols>
          <w:pgMar w:left="440" w:top="266" w:right="579" w:bottom="1440" w:gutter="0" w:footer="0" w:header="0"/>
        </w:sectPr>
      </w:pPr>
    </w:p>
    <w:bookmarkStart w:id="28" w:name="page29"/>
    <w:bookmarkEnd w:id="28"/>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Nobody has been authorized to give any information or to make any representations, other than those contained or incorporated in this prospectus or the applicable prospectus supplement. If given or made, that information or those representations may not be relied upon as having been authorized by us.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appearing in this prospectus and the documents incorporated herein by reference are accurate only as of their respective dates. Our business, financial condition, results of operations and prospects may have changed since those dates.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660" w:type="dxa"/>
            <w:vAlign w:val="bottom"/>
            <w:gridSpan w:val="13"/>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3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3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77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8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 AND INFORMATION INCORPORATED BY REFERENCE</w:t>
            </w:r>
          </w:p>
        </w:tc>
        <w:tc>
          <w:tcPr>
            <w:tcW w:w="2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2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THIS PROSPECTUS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We may use it to sell any of the securities, or a combination of the securities, described in this prospectus from time to time in one or more offerings. This prospectus contains only a general description of the types of securities we may offer. Each time we propose to sell securities, we will file with the SEC a prospectus supplement that describes the specific securities that are being offered and the terms on which they are being offered. The prospectus supplement may also update or change information that is in this prospectus. Before purchasing our securities, you should read this prospectus and the prospectus supplement relating to the specific securities, as well as the information described under the heading “Where You Can Find More Information and Information Incorporated by Reference.”</w:t>
      </w:r>
    </w:p>
    <w:p>
      <w:pPr>
        <w:spacing w:after="0" w:line="18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Nobody has been authorized to give any information or to make any representations, other than those contained or incorporated in this prospectus or the applicable prospectus supplement. If given or made, that information or those representations may not be relied upon as having been authorized by us. This prospectus does not constitute an offer to or solicitation of any person in any jurisdiction in which such an offer or solicitation would be unlawful.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Industry and market data contained or incorporated by reference in this prospectus were obtained through company research, surveys and studies conducted by third parties and industry and general publications or based on our experience in the industry. We have not independently verified market and industry data from third-party sources. While we believe internal company surveys and assumptions are reliable and market definitions are appropriate, neither these surveys and assumptions nor these definitions have been verified by any independent sources and we cannot assure that they are accurate.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 xml:space="preserve">TAKE-TWO INTERACTIVE and our T2 logo are among our key trademarks. This prospectus contains references to our trademarks, trade names and service marks and to those belonging to other entities. Solely for convenience, trademarks and trade names referred to in this prospectus, including any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that we will not assert our rights or the rights of the applicable licensor to these trademarks and trade names.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00"/>
          </w:cols>
          <w:pgMar w:left="440" w:top="266" w:right="4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STATEMENT REGARDING FORWARD-LOOKING STATEMENTS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contain statements which are not historical facts, including statements relating to Take-Two’s outlook, that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w:t>
      </w:r>
    </w:p>
    <w:p>
      <w:pPr>
        <w:spacing w:after="0" w:line="18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Actual outcomes and results may vary materially from these forward-looking statements based on a variety of risks and uncertainties including risks relating to our combination with Zynga Inc. (“Zynga”);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NBA 2K and Grand Theft Auto products and our ability to develop other hit titles; our ability to leverage opportunities on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and Xbox Series X|S; factors affecting our mobile business, such as player acquisition costs; the timely release and significant market acceptance of our games; the ability to maintain acceptable pricing levels on our games; and other risks included herein; as well as, but not limited to, the risks and uncertainties discussed under the heading “Risk Factors” beginning on page 2 of this prospectus and contained in the Company’s Annual Report on Form 10-K for the fiscal year ended March 31, 2024 and the Company’s other periodic filings with the SEC, which are incorporated herein by reference.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00"/>
          </w:cols>
          <w:pgMar w:left="440" w:top="266" w:right="4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w:t>
      </w:r>
    </w:p>
    <w:p>
      <w:pPr>
        <w:spacing w:after="0" w:line="229"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We are a leading developer, publisher, and marketer of interactive entertainment for consumers around the globe. We develop, operate, and publish products principally through Rockstar Games, 2K, and Zynga. Our products are currently designed for console gaming systems, PC, and mobile, including smartphones and tablets. We deliver our products through physical retail, digital download, online platforms, and cloud streaming services.</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strategy is to be the most creative, innovative, and efficient company in the evolving interactive entertainment industry. With our diverse portfolio that spans all key platforms and numerous genres, we strive to create the highest quality, most engaging interactive entertainment franchises that captivate our global audience. Most of our intellectual property is internally owned and developed, which we believe best positions us financially and competitively. We have established a portfolio of proprietary software content for the major hardware and mobile platforms in a wide range of genres, including action, adventure, family/casual, hyper-casual, role-playing, shooter, social casino, sports, and strategy, which we distribute worldwide. We believe that our player-first approach and commitment to creativity and innovation are distinguishing strengths, enabling us to differentiate our products in the marketplace by combining advanced technology with compelling storylines and characters that provide unique gameplay experiences.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1993 and are headquartered at 110 West 44th Street, New York, New York 10036. Our telephone number is (646) 536-2842.</w:t>
      </w:r>
    </w:p>
    <w:p>
      <w:pPr>
        <w:spacing w:after="0" w:line="162" w:lineRule="exact"/>
        <w:rPr>
          <w:sz w:val="20"/>
          <w:szCs w:val="20"/>
          <w:color w:val="auto"/>
        </w:rPr>
      </w:pPr>
    </w:p>
    <w:p>
      <w:pPr>
        <w:jc w:val="center"/>
        <w:ind w:right="460"/>
        <w:spacing w:after="0" w:line="454" w:lineRule="auto"/>
        <w:rPr>
          <w:sz w:val="20"/>
          <w:szCs w:val="20"/>
          <w:color w:val="auto"/>
        </w:rPr>
      </w:pPr>
      <w:r>
        <w:rPr>
          <w:rFonts w:ascii="Times New Roman" w:cs="Times New Roman" w:eastAsia="Times New Roman" w:hAnsi="Times New Roman"/>
          <w:sz w:val="18"/>
          <w:szCs w:val="18"/>
          <w:color w:val="auto"/>
        </w:rPr>
        <w:t>In this prospectus, unless otherwise specified, “Take-Two,” “we,” “us” and “our” refer to Take-Two Interactive Software, Inc. and its subsidiaries. 1</w:t>
      </w:r>
    </w:p>
    <w:p>
      <w:pPr>
        <w:sectPr>
          <w:pgSz w:w="11900" w:h="16838" w:orient="portrait"/>
          <w:cols w:equalWidth="0" w:num="1">
            <w:col w:w="10960"/>
          </w:cols>
          <w:pgMar w:left="440" w:top="266" w:right="49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carefully consider the risks described in Part I, Item 1A, Risk Factors, in our Annual Report on Form 10-K for the fiscal year ended</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March 31, 2024 and subsequently filed Quarterly Reports on Form 10-Q, together with the other information set forth in this prospectus and in the other documents that we include or incorporate by reference into this prospectus and any prospectus supplement we will provide in connection with our offering of securities described in this prospectus, which could materially affect our business, financial condition and future results. The risks described in our Annual Report on Form 10-K for the fiscal year ended March 31, 2024 and subsequently filed Quarterly Reports on Form 10-Q are not the only risks facing our company. Risks and uncertainties not currently known to us or that we currently deem to be immaterial also may materially adversely affect our business, financial condition and operating results. If any of the risks and uncertainties that are not yet identified or that we currently think are not material, actually occur, our business, financial condition and results of operations could be materially and adversely affected. In that event, the value of our securities could decline, and you may lose part or all of any investment in our securities.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risks that may affect our business, operating results and financial condition include, but are not necessarily limited to: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135"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achieving market acceptance, delays or disruptions for our products may have an adverse effect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development risks and must adapt to changes in software technologies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artificial intelligence into our products may present operational and reputational risks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of mobile devices for gaming will drive future growth of mobile gaming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retailer support could increase expenses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successful products for current video game platforms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approval of hardware licensors to publish titles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complex information technology systems and networks and potential adverse impact of security breaches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 of inadequate consumer data protection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and product development personnel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managing, and retaining our talent is critical to our success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Offensive consumer-created content can harm our results of operations or reputation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software development arrangements with third parties</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distributors, development, and licensing partners or other third parties being unable to honor their commitments or otherwise putting our brand at risk</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importance of digital sales and free-to-play games exposes us to the risks of that business model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compete for advertisements and offers that are incorporated into our free-to-play games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33" w:name="page34"/>
    <w:bookmarkEnd w:id="33"/>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acquisitions and investments may not have the anticipated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risks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server capacity, lack of sufficient bandwidth, or connectivity issues could cause our business to suffer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open-source software exposes us to risks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is susceptible to errors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ability to acquire and maintain license to intellectual property is key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fluctuations in the recurring portion of our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timing of our product releases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future success of our Grand Theft Auto products and other “hit” titles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price protection and returns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customers account for a significant portion of our sales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policies could negatively affect sales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Software Rating Board ratings for our products could negatively affect our ability to distribute and sell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position and value of our products could be adversely affected by unprotected intellectual property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amount of outstanding debt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virtual items is highly dependent on how we manage the economies in our games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potential for unauthorized or fraudulent transactions of accounts and virtual items outside of our games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or regulatory compliance</w:t>
      </w:r>
    </w:p>
    <w:p>
      <w:pPr>
        <w:spacing w:after="0" w:line="135" w:lineRule="exact"/>
        <w:rPr>
          <w:sz w:val="20"/>
          <w:szCs w:val="20"/>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the internet can affect our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could subject us to claims or otherwise harm our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including data privacy, could harm our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of alleged or actual infringement on the intellectual property rights of third parties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and economic condition</w:t>
      </w:r>
    </w:p>
    <w:p>
      <w:pPr>
        <w:spacing w:after="0" w:line="135" w:lineRule="exact"/>
        <w:rPr>
          <w:sz w:val="20"/>
          <w:szCs w:val="20"/>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debt agreements may impede or discourage a takeover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changes in tax rates and additional tax liabilities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and uncertainties of international trade, including foreign currency fluctuations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existing or future accounting standards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declines in consumer spending and changes in the economy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35" w:lineRule="exact"/>
        <w:rPr>
          <w:sz w:val="20"/>
          <w:szCs w:val="20"/>
          <w:color w:val="auto"/>
        </w:rPr>
      </w:pPr>
    </w:p>
    <w:p>
      <w:pPr>
        <w:ind w:left="5460" w:right="599" w:hanging="4924"/>
        <w:spacing w:after="0" w:line="454" w:lineRule="auto"/>
        <w:tabs>
          <w:tab w:leader="none" w:pos="9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issuances of equity securities would cause dilution and could affect the market price of our common stock 3</w:t>
      </w:r>
    </w:p>
    <w:p>
      <w:pPr>
        <w:sectPr>
          <w:pgSz w:w="11900" w:h="16838" w:orient="portrait"/>
          <w:cols w:equalWidth="0" w:num="1">
            <w:col w:w="10019"/>
          </w:cols>
          <w:pgMar w:left="440" w:top="270" w:right="1440" w:bottom="1440" w:gutter="0" w:footer="0" w:header="0"/>
        </w:sectPr>
      </w:pPr>
    </w:p>
    <w:bookmarkStart w:id="34" w:name="page35"/>
    <w:bookmarkEnd w:id="34"/>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subject to risks related to corporate and social responsibility and reputation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and climate change may have a long-term impact on our business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effects of inflation</w:t>
      </w:r>
    </w:p>
    <w:p>
      <w:pPr>
        <w:spacing w:after="0" w:line="130" w:lineRule="exact"/>
        <w:rPr>
          <w:rFonts w:ascii="Times New Roman" w:cs="Times New Roman" w:eastAsia="Times New Roman" w:hAnsi="Times New Roman"/>
          <w:sz w:val="18"/>
          <w:szCs w:val="18"/>
          <w:color w:val="auto"/>
        </w:rPr>
      </w:pPr>
    </w:p>
    <w:p>
      <w:pPr>
        <w:ind w:left="4924" w:right="2499" w:hanging="4924"/>
        <w:spacing w:after="0" w:line="454" w:lineRule="auto"/>
        <w:tabs>
          <w:tab w:leader="none" w:pos="4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become involved in legal proceedings that may result in adverse outcomes 4</w:t>
      </w:r>
    </w:p>
    <w:p>
      <w:pPr>
        <w:sectPr>
          <w:pgSz w:w="11900" w:h="16838" w:orient="portrait"/>
          <w:cols w:equalWidth="0" w:num="1">
            <w:col w:w="9483"/>
          </w:cols>
          <w:pgMar w:left="976" w:top="270" w:right="1440" w:bottom="1440" w:gutter="0" w:footer="0" w:header="0"/>
        </w:sectPr>
      </w:pPr>
    </w:p>
    <w:bookmarkStart w:id="35" w:name="page36"/>
    <w:bookmarkEnd w:id="3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we offer particular securities, we will describe in the prospectus supplement relating to the securities how we intend to use the proceeds of the sale of those securities.</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440" w:top="266" w:right="759" w:bottom="1440" w:gutter="0" w:footer="0" w:header="0"/>
        </w:sectPr>
      </w:pPr>
    </w:p>
    <w:bookmarkStart w:id="36" w:name="page37"/>
    <w:bookmarkEnd w:id="36"/>
    <w:p>
      <w:pPr>
        <w:ind w:left="3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THE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from time to time, in one or more offerings, the following securities:</w:t>
      </w:r>
    </w:p>
    <w:p>
      <w:pPr>
        <w:spacing w:after="0" w:line="131" w:lineRule="exact"/>
        <w:rPr>
          <w:sz w:val="20"/>
          <w:szCs w:val="20"/>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senior or subordinated, and which may be convertible into our common stock or be non-convertible.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and/or free writing prospectus a description of the common stock and debt securities that may be offered under this prospectus. The terms of the offering of securities, the initial offering price and the net proceeds to us will be contained in the prospectus supplement, and other offering material, relating to such offer.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40" w:top="266" w:right="5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COMMON STOCK</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describes our common stock and the material provisions of our Restated Certificate of Incorporation, as amended (our “Certificate of Incorporation”) and our Fourth Amended and Restated By-Laws (our “By-Laws”). Because the following is only a summary, it does not contain all of the information that may be important to you, and is qualified in its entirety by the full text of our Certificate of Incorporation and By-Laws, copies of which are on file with the SEC and incorporated herein by reference. You should refer to the text of these documents for a complete description. Our authorized capital stock consists of 305,000,000 shares, with a par value of $0.01 per share, of which:</w:t>
      </w:r>
    </w:p>
    <w:p>
      <w:pPr>
        <w:spacing w:after="0" w:line="89" w:lineRule="exact"/>
        <w:rPr>
          <w:sz w:val="20"/>
          <w:szCs w:val="20"/>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are designated as common stock;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are designated as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January 27, 2025 we had outstanding 176,495,706 shares of common stock and no shares of preferred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Unless otherwise provided for in our Certificate of Incorporation, each stockholder shall at every meeting of stockholders be entitled to one vote in person or by proxy for each share of common stock held by such stockholder.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Subject to the preferential rights of the preferred stock, if any, the holders of shares of common stock shall be entitled to receive, when and if declared by our board of directors, out of the assets of the Company which are by law available therefor, dividends payable either in cash, in property or in shares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event of any dissolution, liquidation or winding-up of the affairs of the Company, after payment or provision for payment of the debts and other liabilities of the Company, and of the amounts to which the holders of preferred stock are entitled, if any, the holders of all outstanding shares of common stock shall be entitled to share ratably in the remaining net assets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Redemption or Conversion Rights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common stock is not subject to redemption or retirement, is not subject to sinking fund provisions, does not have any conversion rights and is not subject to call. The common stock does not have preemptive or other rights to subscribe for additional shares of any class of our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for the Election of Directors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board of directors is not classified. Our Certificate of Incorporation and By-Laws provide that our board of directors may consist of any number of directors, not less than one and not more than ten.</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 director shall be elected if the number of votes which are cast “for” his or her election by holders of the stock present in person or represented by proxy entitled to vote on the election of directors exceed the number of votes “against” his or her election by such holders; provided that, if the chairman of the meeting determines that the number of persons properly nominated to serve as directors of the corporation exceeds the number of directors 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elected, the directors shall be elected by a plurality of the stock present in person or represented by proxy entitled to vote on the election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does not provide for cumulative voting in the election of directors.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board has the ability to fill vacancies on our board.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unless sooner displaced.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 Special Stockholder Meetings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By-Laws provide for the right of stockholders to act by written consent without a meeting. In addition, our By-Laws provide that special meetings of the stockholders may be called by the executive chairman, non-executive chairman, chief executive officer or president and shall be called by the executive chairman, non-executive chairman, chief executive officer, president or secretary at the request in writing of a majority of the board of directors or at the request in writing of stockholders owning a majority in amount of the entire capital stock of the corporation issued and outstanding and entitled to vote.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Stockholders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terms of Section 203 of the Delaware General Corporation Law (the “DGCL”) apply to us since we are a Delaware corporation. Pursuant to Section 203 of the DGCL, with certain exceptions, a Delaware corporation may not engage in any of a broad range of business combinations, such as mergers, consolidations and sales of assets, with an “interested stockholder,” as defined below, for a period of three years from the date that such person became an interested stockholder unless:</w:t>
      </w:r>
    </w:p>
    <w:p>
      <w:pPr>
        <w:spacing w:after="0" w:line="85" w:lineRule="exact"/>
        <w:rPr>
          <w:sz w:val="20"/>
          <w:szCs w:val="20"/>
          <w:color w:val="auto"/>
        </w:rPr>
      </w:pPr>
    </w:p>
    <w:p>
      <w:pPr>
        <w:ind w:left="960" w:right="50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results in a person’s becoming an interested stockholder or the business combination is approved by the board of directors of the corporation before the person becomes an interested stockholder;</w:t>
      </w:r>
    </w:p>
    <w:p>
      <w:pPr>
        <w:spacing w:after="0" w:line="67" w:lineRule="exact"/>
        <w:rPr>
          <w:rFonts w:ascii="Times New Roman" w:cs="Times New Roman" w:eastAsia="Times New Roman" w:hAnsi="Times New Roman"/>
          <w:sz w:val="18"/>
          <w:szCs w:val="18"/>
          <w:color w:val="auto"/>
        </w:rPr>
      </w:pPr>
    </w:p>
    <w:p>
      <w:pPr>
        <w:ind w:left="960" w:right="180" w:hanging="424"/>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results in the stockholder becoming an interested stockholder, the interested stockholder owns 85% or more of the voting stock of the corporation outstanding at the time the transaction commenced, excluding shares owned by persons who are directors and also officers and shares owned by certain employee stock plans; or</w:t>
      </w:r>
    </w:p>
    <w:p>
      <w:pPr>
        <w:spacing w:after="0" w:line="81" w:lineRule="exact"/>
        <w:rPr>
          <w:rFonts w:ascii="Times New Roman" w:cs="Times New Roman" w:eastAsia="Times New Roman" w:hAnsi="Times New Roman"/>
          <w:sz w:val="18"/>
          <w:szCs w:val="18"/>
          <w:color w:val="auto"/>
        </w:rPr>
      </w:pPr>
    </w:p>
    <w:p>
      <w:pPr>
        <w:jc w:val="both"/>
        <w:ind w:left="960" w:right="420" w:hanging="424"/>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time the person becomes an interested stockholder, the business combination is approved by the corporation’s board of directors and by holders of at least two-thirds of the corporation’s outstanding voting stock, excluding shares owned by the interested stockholder, at a meeting of stockholders.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Under Section 203 of the DGCL, an “interested stockholder” is defined as any person, other than the corporation and any direct or indirect majority-owned subsidiary, that is:</w:t>
      </w:r>
    </w:p>
    <w:p>
      <w:pPr>
        <w:spacing w:after="0" w:line="67" w:lineRule="exact"/>
        <w:rPr>
          <w:sz w:val="20"/>
          <w:szCs w:val="20"/>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15% or more of the outstanding voting stock of the corporation or</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Section 203 of the DGCL does not apply to a corporation that so provides in an amendment to its certificate of incorporation or by-laws passed by a majority of its outstanding shares at any time. Such stockholder action does not become effective for 12 months following its adoption and would not apply to persons who were already interested stockholders at the time of the amendment. Our Certificate of Incorporation does not exclude us from the restrictions imposed under Section 203 of the DGCL.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9" w:name="page40"/>
    <w:bookmarkEnd w:id="3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certain circumstances, Section 203 of the DGCL makes it more difficult for a person who would be an interested stockholder to effect various business combinations with a corporation for a three-year period, although the stockholders may elect to exclude a corporation from the restrictions imposed thereunder. The provisions of Section 203 of the DGCL may encourage companies interested in acquiring us to negotiate in advance with the Board, because the stockholder approval requirement would be avoided if a majority of the directors then in office approve either the business combination or the transaction which results in the stockholder becoming an interested stockholder. These provisions also may have the effect of preventing changes in our management. It is further possible that such provisions could make it more difficult to accomplish transactions that stockholders may otherwise deem to be in their best interest.</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440" w:top="270" w:right="6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DEBT SECURITIES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and the indenture to which this prospectus and any prospectus supplement may relate. The applicable prospectus supplement will describe the specific terms of the debt securities to be sold by us. Unless otherwise stated, any senior debt securities and any subordinated debt securities are together referred to as “debt securities.”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Debt securities will be issued under the indenture dated as of April 14, 2022 by and between us and The Bank of New York Mellon, as trustee (the “indenture”), as may be further supplemented from time to time, or a form of indenture entered into later by and between us and The Bank of New York Mellon, as trustee, as may be further supplemented from time to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from time to time one or more series of debt securities under the indenture.</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direct, unsecured obligations. The senior debt securities will rank equally with all of our other senior debt. The indenture does not limit the amount of debt securities that we may issue.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description of the debt securities is not complete and is subject to, and qualified in its entirety by, the detailed provisions of the indenture. The indenture is included as an exhibit to the registration statement of which this prospectus is a part. Whenever particular provisions of the indenture or terms defined in the indenture are referred to, those provisions or definitions are incorporated by reference. We urge you to read the indenture because the indenture defines your rights as a holder of debt securities, and describes in detail the terms of the debt securities summarized below. If any particular terms of the debt securities described in the applicable prospectus supplement differ from the terms described in this prospectus, then the terms described in the applicable prospectus supplement will amend, supplement or supersede the terms described in this prospectus. The terms of our debt securities will include those set forth in the indenture and those made a part of the indenture by the Trust Indenture Act of 1939, as amended.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Applicable to Debt Securities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prospectus supplement for a particular series of debt securities will contain the specific terms of the series of debt securities, which may include the following:</w:t>
      </w:r>
    </w:p>
    <w:p>
      <w:pPr>
        <w:spacing w:after="0" w:line="67" w:lineRule="exact"/>
        <w:rPr>
          <w:sz w:val="20"/>
          <w:szCs w:val="20"/>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as senior or subordinated debt securities and, if applicable, the subordination provisions that will apply;</w:t>
      </w:r>
    </w:p>
    <w:p>
      <w:pPr>
        <w:spacing w:after="0" w:line="130"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the aggregate principal amount, the purchase price and the authorized denominations, if other than $2,000 and integral multiples of $1,000 thereafter;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will be 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payments on the debt securities will be payable;</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remaining outstanding principal amount, the principal amount of the debt securities that we will pay upon acceleration of their maturity;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each security registrar and/or paying agent;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if any, or the method of determination of such rate or rates;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interest shall be payable;</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premium or discount with which such debt securities will be issued or the method of determination of such premium or discount;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41" w:name="page42"/>
    <w:bookmarkEnd w:id="41"/>
    <w:p>
      <w:pPr>
        <w:ind w:left="960" w:right="32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or dates from which the interest, if any, shall accrue, the dates on which the interest, if any, will be payable and the method of determining holders to whom any of the interest shall be payable;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if any, at which, and the dates at or after which, we may or must repay, repurchase or redeem the debt securities;</w:t>
      </w:r>
    </w:p>
    <w:p>
      <w:pPr>
        <w:spacing w:after="0" w:line="130"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requirement to convert the debt securities into, or exchange the debt securities for, shares of our common stock or other securities or property and the factors considered in determining the conversion price or prices;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obligation with respect to the debt securities;</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a transaction registered under the Securities Act and any restriction or condition on the transferability of the debt securities;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issuable as global securities or definitive certificates and, in such case, the identity of the depositary;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exchanges or securities associations, if any, on which the debt securities may be listed or quoted;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covenants or defeasance provisions in the indenture;</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way in which rights in respect of the debt securities are materially limited or qualified by the rights of any other authorized class of securities;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material United States federal income tax consequences;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 consistent with the provisions of the indenture.</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compute interest payments on the basis of a 360-day year consisting of twelve 30-day months.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Some of the debt securities may be issued as discounted debt securities, which are debt securities sold at a substantial discount below their stated principal amount. The prospectus supplement relating to any discounted series of debt securities will describe any special consequences applicable to discounted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does not contain any provisions that:</w:t>
      </w:r>
    </w:p>
    <w:p>
      <w:pPr>
        <w:spacing w:after="0" w:line="131" w:lineRule="exact"/>
        <w:rPr>
          <w:sz w:val="20"/>
          <w:szCs w:val="20"/>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or issue any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declare dividends or require the maintenance of any asset ratios or the creation or maintenance of reserves; or</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protection in the event we choose to engage in a highly leveraged transaction, reorganization, restructuring, merger or similar transaction.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issue debt securities that are convertible into or exchangeable for our common stock, property or cash, or a combination of any of them. The terms, if any, on which debt securities of any series will be convertible or exchangeable will be summarized in the prospectus supplement relating to those debt securities. Those terms may include provisions, as applicable, for conversion or exchange on a mandatory basis, at your option, or at our option, in which case the number of shares of our common stock, property or cash, to be received upon the conversion or exchange of those debt securities would be calculated according to the factors and at such time as summarized in the related prospectus supplement. The applicable prospectus supplement will include a discussion of any material United States federal income tax consequences applicable to any such convertible or exchangeable debt securities.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40" w:top="270"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Reopening of Issue</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may, from time to time, reopen an issue of debt securities and issue additional debt securities with the same terms (including maturity date and interest rate) as debt securities issued on an earlier date. After such additional debt securities are issued, they will be fungible with the debt securities issued on the earlier date to the extent specified in the applicable prospectus supplement.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unsecured, and will rank equal in right of payment with all of our existing and future unsecured and unsubordinated indebtedness. The ranking of the subordinated debt securities will be described in the applicable prospectus supplement.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debt securities protection in the event we have a change of control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indenture provides that for so long as any debt securities remain outstanding under the indenture, or any amount remains unpaid on any of the debt securities outstanding under the indenture, we will comply with the applicable terms of the covenants contained in the indenture and, with respect to a series of debt securities, such other covenants as may be provided in the terms of that series of debt securities and described in the applicable prospectus supplement. The indenture includes the following covenants: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Securities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will duly and punctually pay the principal of, premium, if any, and interest on the debt securities in accordance with the terms of the debt securities and the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Reports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reporting requirements of Sections 13 and 15(d) under the Securities Exchange Act of 1934, as amended (the “Exchange Act”), and, in accordance with those requirements, we file certain reports and other information with the SEC. See “Where You Can Find More Information and Information Incorporated by Reference” below. If Sections 13 and 15(d) cease to apply to us, so that we no longer file those reports or other information with the SEC, we will instead provide copies of the reports and information that would have been required under Sections 13 and 15(d) of the Exchange Act to the trustee. Delivery of such reports, information and documents to the trustee will be for informational purposes only and the trustee’s receipt of such will not constitute constructive or actual notice or knowledge of any information contained therein or determinable from information contained therein, including our compliance with any of our covenants under the indenture.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will not consolidate with or merge with or into or, directly or indirectly, sell, assign, convey, lease, transfer or otherwise dispose of all or substantially all of our properties and assets to any person or group of affiliated persons in a single transaction or series of related transactions, unless:</w:t>
      </w:r>
    </w:p>
    <w:p>
      <w:pPr>
        <w:spacing w:after="0" w:line="45" w:lineRule="exact"/>
        <w:rPr>
          <w:sz w:val="20"/>
          <w:szCs w:val="20"/>
          <w:color w:val="auto"/>
        </w:rPr>
      </w:pPr>
    </w:p>
    <w:p>
      <w:pPr>
        <w:ind w:left="960" w:hanging="42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if we are not the surviving entity, the surviving entity is a corporation organized and existing under the laws of the United States, any state or the District of Columbia;</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43" w:name="page44"/>
    <w:bookmarkEnd w:id="43"/>
    <w:p>
      <w:pPr>
        <w:ind w:left="960" w:right="300" w:hanging="42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surviving entity expressly assumes our obligations under the indenture and each outstanding series of debt securities and executes a supplemental indenture which is delivered, and is in form and substance reasonably satisfactory, to the trustee;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960" w:right="20" w:hanging="424"/>
        <w:spacing w:after="0" w:line="261"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deliver to the trustee an officers’ certificate and an opinion of counsel, each in form reasonably satisfactory to the trustee, stating that the transaction or series of transactions and the supplemental indenture, if any, complies with the applicable provisions of the indenture, that all conditions precedent provided for in the indenture have been complied with and that such supplemental indenture is the legal, valid and binding obligation of the surviving entity enforceable in accordance with its terms.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properties and assets occurs in accordance with the indenture, the surviving entity (if other than us) will succeed to, and be substituted for, and may exercise every right and power we have under the indenture with the same effect as if such surviving entity had originally been named in the indenture and, except for any lease, we will be discharged from all obligations and covenants under the indenture and the debt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will constitute “events of default” under the indenture with respect to a series of debt securities:</w:t>
      </w:r>
    </w:p>
    <w:p>
      <w:pPr>
        <w:spacing w:after="0" w:line="131" w:lineRule="exact"/>
        <w:rPr>
          <w:sz w:val="20"/>
          <w:szCs w:val="20"/>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installment due and payable on any debt securities of such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principal when due and payable on the debt securities of such series;</w:t>
      </w:r>
    </w:p>
    <w:p>
      <w:pPr>
        <w:spacing w:after="0" w:line="130"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default in our performance of any other covenant or agreement in respect of the debt securities of such series for 90 days after written notice has been given either to us by the trustee, or to us and the trustee by the holders of at least 25% in principal amount of the debt securities of such series then outstanding;</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bankruptcy, insolvency and reorganization specified in the indenture;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An event of default under one series of debt securities may, but will not necessarily, constitute an event of default under any other series of debt securities.</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indenture provides that if an event of default (other than an event of default resulting from certain events of bankruptcy, insolvency or reorganization) occurs and is continuing with respect to any series of debt securities, either the trustee or the registered holders of at least 25% in aggregate principal amount of that series of debt securities may, by notice in writing to us and the trustee if given by the registered holders, declare the principal amount of those debt securities, any premium and any accrued and unpaid interest on those debt securities to be due and payable immediately. In the case of an event of default resulting from certain events of bankruptcy, insolvency or reorganization, the principal of, any premium and any accrued and unpaid interest on all outstanding debt securities will become and be immediately due and payable without any declaration or other act on the part of the trustee or any registered holder of outstanding debt securities. At any time after a declaration of acceleration, but before a judgment or decree for payment of money has been obtained, if all events of default with respect to those debt securities have been cured or waived (other than the nonpayment of principal of such debt securities which has become due solely by reason of the declaration of acceleration) then the acceleration and its consequences shall be automatically annulled and rescinded.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requires that we file annually with the trustee a compliance certificate describing any default by us in the performance of any conditions or covenants that has occurred under the indenture and the status of any such default. The trustee will be entitled under the indenture to be indemnified before proceeding to exercise any right or power under the indenture at the direction of the registered holders of the debt securities or which requires the trustee to expend or risk its own funds or otherwise incur any financial liability. The indenture also provides that the registered holders of a majority in principal amount of the outstanding debt securities of any series issued under the indenture may direct the time, method and place of conducting any proceeding for any remedy available to the trustee or exercising any trust or power conferred on the trustee with respect to that series of debt securities. The trustee, however, may refuse to follow any such direction that conflicts with law or the indenture, is unduly prejudicial to the rights of other registered holders of that series of debt securities, or would involve the trustee in personal liability.</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indenture provides that while the trustee generally must deliver notice of a default or an event of default to the registered holders of the debt securities of any series issued under the indenture within 90 days of the trustee’s knowledge of its occurrence (as provided in the indenture), the trustee may withhold notice of any default or event of default (except with respect to a default in payment on the debt securities) if and so long as a committee of its responsible officers in good faith determines that the withholding of such notice is in the interest of the registered holders of that series of debt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and the trustee may amend or supplement the indenture with respect to one or more series of debt securities if the holders of a majority in principal amount of the outstanding debt securities of each such series consent to it, except that no amendment or supplement may, without the consent of each affected registered holder of that series:</w:t>
      </w:r>
    </w:p>
    <w:p>
      <w:pPr>
        <w:spacing w:after="0" w:line="81" w:lineRule="exact"/>
        <w:rPr>
          <w:sz w:val="20"/>
          <w:szCs w:val="20"/>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we must repay or change the date of maturity;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change the time of payment of interest;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of payment;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redemption or repurchase right to the detriment of the holder;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aggregate principal amount of debt securities needed to consent to an amendment, supplement or waiver; or</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the indenture relating to waiver of past defaults, rights of registered holders of the debt securities to receive payments or amendments of the indenture that require the consent of registered holders of each affected series.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of the debt securities of such series waive any past default under the indenture with respect to that series and its consequences, except a default in the payment of the principal, any premium or any interest on any debt security of that series or a default in respect of any provision that may not be amended without the consent of each affected registered holder of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aggregate principal amount of the then outstanding debt securities of any series may rescind an acceleration and its consequences, including any related payment default that resulted from the acceleration.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Actions by Holders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 holder of debt securities of a series may not pursue any remedy with respect to the indenture or such series (except a registered holder of debt securities of such series may bring an action for payment of overdue principal, premium, if any, or interest on its debt securities), unless:</w:t>
      </w:r>
    </w:p>
    <w:p>
      <w:pPr>
        <w:spacing w:after="0" w:line="67" w:lineRule="exact"/>
        <w:rPr>
          <w:sz w:val="20"/>
          <w:szCs w:val="20"/>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has given notice to the trustee of such series of a continuing event of default;</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at least 25% in principal amount of that series of debt securities have made a written request to the trustee of such series to pursue such remedy;</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registered holder or holders have offered the trustee of such series security or indemnity satisfactory to the trustee against any loss, liability or expense;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of such series has not complied with such request within 60 days of such notice, request and offer; and</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a majority in principal amount of that series of debt securities have not given the trustee of such series a direction inconsistent with the request during that 60-day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Discharge and Termination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Defeasance and Discharge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terms of the particular series of debt securities and described in the applicable prospectus supplement, the indenture provides that we may discharge any and all of our obligations in respect of a series of debt securities, and, except with respect to certain provisions, the provisions of the indenture will no longer be in effect with respect to that series of debt securities on the 91st day after the date of the deposit with the trustee or paying agent, in trust, of money or U.S. Government Obligations in an amount sufficient to pay the principal, premium, if any, and interest on that series of debt securities, when due. Such discharge may only occur if, among other things:</w:t>
      </w:r>
    </w:p>
    <w:p>
      <w:pPr>
        <w:spacing w:after="0" w:line="89" w:lineRule="exact"/>
        <w:rPr>
          <w:sz w:val="20"/>
          <w:szCs w:val="20"/>
          <w:color w:val="auto"/>
        </w:rPr>
      </w:pPr>
    </w:p>
    <w:p>
      <w:pPr>
        <w:ind w:left="960" w:hanging="424"/>
        <w:spacing w:after="0" w:line="258"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either: (a) a ruling from the Internal Revenue Service (the “IRS”) to the effect that registered holders will not recognize income, gain or loss for U.S. federal income tax purposes as a result of the deposit, defeasance and discharge and will be subject to U.S. federal income tax on the same amount and in the same manner and at the same times as would have been the case if such deposit, defeasance and discharge had not occurred or (b) an opinion of outside counsel to the same effect as clause (a) accompanied by a ruling to that effect published by the IRS;</w:t>
      </w:r>
    </w:p>
    <w:p>
      <w:pPr>
        <w:spacing w:after="0" w:line="88"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 or during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shall not result in or constitute a default or result in a breach or violation of, or constitute a default under, any other agreement or instrument to which we are a party or by which we are bound;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“U.S. Government Obligations” is defined under the indenture as securities that are (x) direct obligations of the United States for the payment of which its full faith and credit is pledged or (y) obligations of a person controlled or supervised by and acting as an agency or instrumentality of the United States, the payment of which is unconditionally guaranteed as a full faith and credit obligation by the United States and which, in either case, are not callable or redeemable before their maturity.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Obligations in Certain Circumstances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indenture provides that we may at any time terminate any and all obligations in respect of a series of debt securities and, except with respect to certain provisions, the provisions of the indenture will no longer be in effect with respect to that series of debt securities if that series of debt securities matures or is redeemable within one year of such time and we deposit with the trustee or paying agent, in trust, money or U.S. Government Obligations in an amount sufficient to pay the principal of, premium, if any, and accrued interest on that series of debt securities when due. Such obligations may only be terminated if, among other things:</w:t>
      </w:r>
    </w:p>
    <w:p>
      <w:pPr>
        <w:spacing w:after="0" w:line="89" w:lineRule="exact"/>
        <w:rPr>
          <w:sz w:val="20"/>
          <w:szCs w:val="20"/>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will not result in or constitute a default or result in a breach or violation of, or constitute a default under, any other agreement or instrument to which we are a party or by which we are bound;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terminate our obligations in respect of a series of debt securities pursuant to this provision, we are not required to deliver an opinion of counsel to the effect that registered holders or beneficial owners of that series will not recognize income, gain or loss for U.S. federal income tax purposes as a result of such deposit and termination, and there is no assurance that registered holders or beneficial owners of that series would not recognize income, gain or loss for U.S. federal income tax purposes as a result thereof or that they would be subject to U.S. federal income tax on the same amount and in the same manner and at the same times as would have been the case if such deposit and termination had not occurred.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Defeasance of Covenants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terms of a series of debt securities may provide that we may omit to comply with certain provisions or covenants established with respect to that series of debt securities, and non-compliance with any such provision or covenant will not be deemed an event of default, on the 91st day following the deposit with the trustee or paying agent, in trust, of money or U.S. Government Obligations in an amount sufficient to pay the principal, premium, if any, and interest on that series of debt securities, when due. Our exercise of this option is subject to conditions specified in the indenture, which will include, among other things:</w:t>
      </w:r>
    </w:p>
    <w:p>
      <w:pPr>
        <w:spacing w:after="0" w:line="89" w:lineRule="exact"/>
        <w:rPr>
          <w:sz w:val="20"/>
          <w:szCs w:val="20"/>
          <w:color w:val="auto"/>
        </w:rPr>
      </w:pPr>
    </w:p>
    <w:p>
      <w:pPr>
        <w:ind w:left="960" w:hanging="424"/>
        <w:spacing w:after="0" w:line="261"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opinion of outside counsel with respect to certain tax matters as described in the indenture, including that registered holders of that series will not recognize income, gain or loss for U.S. federal income tax purposes as a result of the exercise of our option under this section and will be subject to U.S. federal income tax on the same amount and in the same manner and at the same times as would have been the case if we had not exercised such option;</w:t>
      </w:r>
    </w:p>
    <w:p>
      <w:pPr>
        <w:spacing w:after="0" w:line="85"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 or during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shall not result in or constitute a default or result in a breach or violation of, or constitute a default under, any other agreement or instrument to which we are a party or by which we are bound;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that series of debt securities will describe the provisions, covenants and related events of default with respect to that series which may be defeased pursuant to this provision.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Unclaimed Money</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Subject to any applicable abandoned property law, the indenture provides that the trustee will pay to us upon request any money held by the trustee for the payment of principal, premium, if any, or interest that remains unclaimed for two years. After payment to us, registered holders of debt securities entitled to such money must look to us for payment as general creditors.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 and Paying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will initially act as trustee and paying agent for the debt securities.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any material business and other relationships (including additional trusteeships) other than ordinary banking relationships and the trusteeship under the indenture, between us and any of our affiliates, on the one hand, and each trustee and paying agent under the indenture, on the other hand.</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direct the time, method and place of conducting any proceeding for exercising any remedy available to the trustee with respect to that series, subject to exceptions described in the indenture. If an event of default occurs and is not cured, the trustee will be required, in the exercise of its power, to use the degree of care and skill a prudent person would exercise or use under the circumstances in the conduct of his own affairs. The trustee will be under no obligation to exercise any of its rights or powers under the indenture at the request of any holder of debt securities, unless such holder shall have offered to the trustee security and indemnity satisfactory to the trustee against any loss, liability or expense and then only to the extent required by the terms of the indenture.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the state of New York will govern the indenture and will govern each series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deposited with or on behalf of The Depository Trust Company, as Depositary (the “Depositary”), and registered in the name of the Depositary’s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such debt security and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summarized below of the Depositary or its nominee for the related global debt security and, if such person is not a direct participant of the Depositary, on the procedures of the indirect participant of the Depositary through which such person owns its interest, to exercise any rights of a holder under the indenture.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6"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Certificated Debt Securities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The Depositary</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Depositary’s nominee. The Depositary is a:</w:t>
      </w:r>
    </w:p>
    <w:p>
      <w:pPr>
        <w:spacing w:after="0" w:line="67" w:lineRule="exact"/>
        <w:rPr>
          <w:sz w:val="20"/>
          <w:szCs w:val="20"/>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organization” under the New York Banking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Federal Reserve System;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“clearing corporation” under the New York Uniform Commercial Code;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“clearing agency” registered under the provisions of Section 17A of the Exchange Act.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Depositary holds securities that its direct participants (each, a “direct participant”) deposit with the Depositary. Direct participants of the Depositary include securities brokers and dealers, banks, trust companies, clearing corporations and certain other organizations. Indirect participants of the Depositary (each, an “indirect participant”), such as securities brokers and dealers, banks and trust companies, can also access the Depositary’s system if they maintain a custodial relationship with a direct participant.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has indicated it intends to follow the following procedures with respect to book-entry debt securities: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Purchases of book-entry debt securities under the Depositary’s system must be made by or through direct participants, which will receive a credit for the book-entry debt securities on the Depositary’s records. The ownership interest of each beneficial owner is in turn to be recorded on the records of direct participants and indirect participants.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book-entry debt securities are to be accomplished by entries made on the books of participants acting on behalf of beneficial owners. Beneficial owners will not receive certificates representing their ownership interests in book-entry debt securities, except as provided below.</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Book-Entry Format</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the book-entry format, the paying agent will pay interest or principal payments to the nominee of the Depositary. The Depositary’s practice is to credit the account of its direct participants, who will then forward the payment to the indirect participants or to you as the beneficial owner.</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Depositary is required to make book-entry transfers allowed in accordance with the indenture and the debt securities represented by the global securities on behalf of its direct participants and is required to receive and transmit payments of principal, premium, if any, and interest on the book-entry debt securities. Any direct participant or indirect participant with which you have an account is similarly required to make book-entry transfers and to receive and transmit payments with respect to the book-entry debt securities on your behalf. We and the trustee have no responsibility for any aspect of the actions and/or inactions of the Depositary or any of its direct or indirect participants.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 long as the Depositary’s nominee is the registered owner of the global securities representing the debt securities, the trustee will not recognize you as a holder under the indenture, and you can only exercise the rights of a holder indirectly through the Depositary and its direct participants. We understand that, under industry practice, in the event owners of beneficial interests in debt securities wish to take any action that the Depositary or its nominee is entitled to take, the Depositary would authorize the applicable participants to take such action, and that such participants would authorize beneficial owners owning through such participants to take such action.</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Depositary can only act on behalf of its direct participants. Your ability to pledge book-entry debt securities to non-direct participants, and to take other actions, may be limited because you will not possess a physical certificate that represents your book-entry debt securities.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Neither the Depositary nor its nominee will consent or vote with respect to the book-entry debt securities unless authorized by a direct participant in accordance with the Depositary’s procedures. Under its usual procedures, the Depositary will mail an omnibus proxy to us as soon as possible after the record date. The omnibus proxy assigns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Depositary has agreed to the foregoing procedures in order to facilitate transfers of the book-entry debt securities among participants of the Depositary. However, they are under no obligation to perform or continue to perform those procedures, and they may discontinue those procedures at any time.</w:t>
      </w:r>
    </w:p>
    <w:p>
      <w:pPr>
        <w:spacing w:after="0" w:line="176"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will issue certificated debt securities of any series if an event of default has occurred and is continuing with respect to such series. We may also at any time and in our sole discretion determine not to have the book-entry debt securities of any series represented by one or more global debt securities and, in that event, will issue certificated debt securities in exchange for the global debt securities of that series.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1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have obtained the foregoing information concerning the Depositary and the Depositary’s book-entry systems and procedures from sources we believe to be reliable, but we take no responsibility for the accuracy of this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avoidance of doubt, none of us, the trustee nor any agent under the indenture will have any liability for any actions of the Depositary.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8" w:right="4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OF DISTRIBUTION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sell our securities in any one or more of the following ways from time to time: (1) through agents; (2) to or through underwriters; (3) through brokers or dealers; (4) directly by us to purchasers, including through a specific bidding, auction or other process; or (5) through a combination of any of these methods of sale. The applicable prospectus supplement and/or other offering materials will contain the terms of the transaction, the name or names of any underwriters, dealers, agents and the respective amounts of securities underwritten or purchased by them, the initial public offering price of the securities, and the applicable agent’s commission, dealer’s purchase price or underwriter’s discount. Any dealers and agents participating in the distribution of the securities may be deemed to be underwriters, and compensation received by them on resale of the securities may be deemed to be underwriting discounts.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initial offering price, dealer purchase price, discount or commission may be changed from time to time.</w:t>
      </w:r>
    </w:p>
    <w:p>
      <w:pPr>
        <w:spacing w:after="0" w:line="225"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The securities may be distributed from time to time in one or more transactions, at negotiated prices, at a fixed price or fixed prices (that may be subject to change), at market prices prevailing at the time of sale, at various prices determined at the time of sale or at prices related to prevailing market prices.</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or by agents designated by us from time to time. Any such agent may be deemed to be an underwriter, as that term is defined in the Securities Act, of the securities so offered and sold.</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underwriters are utilized in the sale of any securities in respect of which this prospectus is being delivered, such securities will be acquired by the underwriters for their own account and may be resold from time to time in one or more transactions, including negotiated transactions, at fixed public offering prices or at varying prices determined by the underwriters at the time of sale. Securities may be offered to the public either through underwriting syndicates represented by managing underwriters or directly by one or more underwriters. If any underwriter or underwriters are utilized in the sale of securities, unless otherwise indicated in the applicable prospectus supplement and/or other offering material, the obligations of the underwriters are subject to certain conditions precedent, and the underwriters will be obligated to purchase all such securities if they purchase any of them.</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Transactions through brokers or dealers may include block trades in which brokers or dealers will attempt to sell shares as agent but may position and resell as principal to facilitate the transaction or in cross trades, in which the same broker or dealer acts as agent on both sides of the trade. Any such dealer may be deemed to be an underwriter, as such term is defined in the Securities Act, of the securities so offered and sold.</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so indicated in the applicable prospectus supplement and/or other offering material, we may authorize agents and underwriters to solicit offers by certain institutions to purchase securities from us at the public offering price set forth in the applicable prospectus supplement and/or other offering material pursuant to delayed delivery contracts providing for payment and delivery on the date or dates stated in the applicable prospectus supplement and/or other offering material. Such delayed delivery contracts will be subject only to those conditions set forth in the applicable prospectus supplement and/or other offering material.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51" w:name="page52"/>
    <w:bookmarkEnd w:id="51"/>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underwriters and dealers may be entitled under relevant agreements with us to indemnification by us against certain liabilities, including liabilities under the Securities Act, or to contribution with respect to payments which such agents, underwriters and dealers may be required to make in respect thereof. The terms and conditions of any indemnification or contribution will be described in the applicable prospectus supplement and/or other offering material.</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may also sell shares of our common stock through various arrangements involving mandatorily or optionally exchangeable securities, and this prospectus may be delivered in connection with those sales.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enter into derivative, sale or forward sale transactions with third parties, or sell securities not covered by this prospectus to third parties in privately negotiated transactions. If the applicable prospectus supplement and/or other offering material indicates, in connection with those transactions, the third parties may sell securities covered by this prospectus and the applicable prospectus supplement and/or other offering material, including in short sale transactions and by issuing securities not covered by this prospectus but convertible into, exchangeable for or representing beneficial interests in securities covered by this prospectus, or the return of which is derived in whole or in part from the value of such securities. The third parties may use securities received under derivative, sale or forward sale transactions or securities pledged by us or borrowed from us or others to settle those sales or to close out any related open borrowings of stock, and may use securities received from us in settlement of those transactions to close out any related open borrowings of stock. The third party in such sale transactions will be an underwriter and will be identified in the applicable prospectus supplement (or a post-effective amendment) and/or other offering material.</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Underwriters, broker-dealers or agents may receive compensation in the form of commissions, discounts or concessions from us. Underwriters, broker-dealers or agents may also receive compensation from the purchasers of shares for whom they act as agents or to whom they sell as principals, or both. Compensation as to a particular underwriter, broker-dealer or agent will be in amounts to be negotiated in connection with transactions involving shares and might be in excess of customary commissions. In effecting sales, broker-dealers engaged by us may arrange for other broker-dealers to participate in the resales.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Any securities offered other than common stock will be a new issue and, other than the common stock, which is listed on The NASDAQ Global Select Market, will have no established trading market. We may elect to list any series of securities on an exchange, and in the case of the common stock, on any additional exchange, but, unless otherwise specified in the applicable prospectus supplement and/or other offering material, we shall not be obligated to do so. No assurance can be given as to the liquidity of the trading market for any of the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underwriters and dealers may engage in transactions with, or perform services for, us or our subsidiaries in the ordinary course of business.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 An underwriter may carry out these transactions on The NASDAQ Global Select Market, in the over-the-counter market or otherwise.</w:t>
      </w:r>
    </w:p>
    <w:p>
      <w:pPr>
        <w:spacing w:after="0" w:line="1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place and time of delivery for securities will be set forth in the accompanying prospectus supplement and/or other offering material for such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YOU CAN FIND MORE INFORMATION AND INFORMATION INCORPORATED BY REFERENCE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this offering.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Our SEC filings are available at the SEC’s website at www.sec.gov.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“TTWO”.</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information in documents that we file later with the SEC will automatically update and supersede information in this prospectus, and any future filings made by us with the SEC under Section 13(a), 13(c), 14 or 15(d) of the Exchange Act. Unless specifically stated to the contrary, none of the information that we disclose under Items 2.02 or 7.01 of any Current Report on Form 8-K that we have furnished or may from time to time furnish with the SEC is or will be incorporated by reference in, or otherwise included in, this prospectus. The documents we incorporate by reference herein are:</w:t>
      </w:r>
    </w:p>
    <w:p>
      <w:pPr>
        <w:spacing w:after="0" w:line="93" w:lineRule="exact"/>
        <w:rPr>
          <w:sz w:val="20"/>
          <w:szCs w:val="20"/>
          <w:color w:val="auto"/>
        </w:rPr>
      </w:pPr>
    </w:p>
    <w:p>
      <w:pPr>
        <w:ind w:left="960" w:hanging="42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72">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73">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EE"/>
          </w:rPr>
          <w:t>September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December 31, 2024;</w:t>
      </w:r>
    </w:p>
    <w:p>
      <w:pPr>
        <w:spacing w:after="0" w:line="130" w:lineRule="exact"/>
        <w:rPr>
          <w:rFonts w:ascii="Times New Roman" w:cs="Times New Roman" w:eastAsia="Times New Roman" w:hAnsi="Times New Roman"/>
          <w:sz w:val="18"/>
          <w:szCs w:val="18"/>
          <w:color w:val="auto"/>
        </w:rPr>
      </w:pPr>
    </w:p>
    <w:p>
      <w:pPr>
        <w:ind w:left="960" w:right="860" w:hanging="424"/>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75">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2024 annual meeting of stockholders, filed on July 25, 2024, specifically incorporated by reference into our Annual Report on Form 10-K for the fiscal year ended March 31, 2024;</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3"/>
        </w:numPr>
        <w:rPr>
          <w:rFonts w:ascii="Times New Roman" w:cs="Times New Roman" w:eastAsia="Times New Roman" w:hAnsi="Times New Roman"/>
          <w:sz w:val="18"/>
          <w:szCs w:val="18"/>
          <w:color w:val="auto"/>
        </w:rPr>
      </w:pPr>
      <w:hyperlink r:id="rId76">
        <w:r>
          <w:rPr>
            <w:rFonts w:ascii="Times New Roman" w:cs="Times New Roman" w:eastAsia="Times New Roman" w:hAnsi="Times New Roman"/>
            <w:sz w:val="18"/>
            <w:szCs w:val="18"/>
            <w:color w:val="auto"/>
          </w:rPr>
          <w:t xml:space="preserve">our Current Reports on Form 8-K (in all cases other than information furnished rather than filed pursuant to any Form 8-K) filed </w:t>
        </w:r>
        <w:r>
          <w:rPr>
            <w:rFonts w:ascii="Times New Roman" w:cs="Times New Roman" w:eastAsia="Times New Roman" w:hAnsi="Times New Roman"/>
            <w:sz w:val="18"/>
            <w:szCs w:val="18"/>
            <w:u w:val="single" w:color="auto"/>
            <w:color w:val="0000EE"/>
          </w:rPr>
          <w:t>April 1,</w:t>
        </w:r>
      </w:hyperlink>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7">
        <w:r>
          <w:rPr>
            <w:rFonts w:ascii="Times New Roman" w:cs="Times New Roman" w:eastAsia="Times New Roman" w:hAnsi="Times New Roman"/>
            <w:sz w:val="18"/>
            <w:szCs w:val="18"/>
            <w:u w:val="single" w:color="auto"/>
            <w:color w:val="0000EE"/>
          </w:rPr>
          <w:t>April 16, 2024</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8">
        <w:r>
          <w:rPr>
            <w:rFonts w:ascii="Times New Roman" w:cs="Times New Roman" w:eastAsia="Times New Roman" w:hAnsi="Times New Roman"/>
            <w:sz w:val="18"/>
            <w:szCs w:val="18"/>
            <w:u w:val="single" w:color="auto"/>
            <w:color w:val="0000EE"/>
          </w:rPr>
          <w:t>June 11, 2024</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9">
        <w:r>
          <w:rPr>
            <w:rFonts w:ascii="Times New Roman" w:cs="Times New Roman" w:eastAsia="Times New Roman" w:hAnsi="Times New Roman"/>
            <w:sz w:val="18"/>
            <w:szCs w:val="18"/>
            <w:u w:val="single" w:color="auto"/>
            <w:color w:val="0000EE"/>
          </w:rPr>
          <w:t>June 12, 2024</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0">
        <w:r>
          <w:rPr>
            <w:rFonts w:ascii="Times New Roman" w:cs="Times New Roman" w:eastAsia="Times New Roman" w:hAnsi="Times New Roman"/>
            <w:sz w:val="18"/>
            <w:szCs w:val="18"/>
            <w:u w:val="single" w:color="auto"/>
            <w:color w:val="0000EE"/>
          </w:rPr>
          <w:t>June 14, 2024</w:t>
        </w:r>
      </w:hyperlink>
      <w:hyperlink r:id="rId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1">
        <w:r>
          <w:rPr>
            <w:rFonts w:ascii="Times New Roman" w:cs="Times New Roman" w:eastAsia="Times New Roman" w:hAnsi="Times New Roman"/>
            <w:sz w:val="18"/>
            <w:szCs w:val="18"/>
            <w:u w:val="single" w:color="auto"/>
            <w:color w:val="0000EE"/>
          </w:rPr>
          <w:t>September 16, 2024</w:t>
        </w:r>
      </w:hyperlink>
      <w:hyperlink r:id="rId76">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82">
        <w:r>
          <w:rPr>
            <w:rFonts w:ascii="Times New Roman" w:cs="Times New Roman" w:eastAsia="Times New Roman" w:hAnsi="Times New Roman"/>
            <w:sz w:val="18"/>
            <w:szCs w:val="18"/>
            <w:u w:val="single" w:color="auto"/>
            <w:color w:val="0000EE"/>
          </w:rPr>
          <w:t>September 23, 2024</w:t>
        </w:r>
      </w:hyperlink>
      <w:hyperlink r:id="rId76">
        <w:r>
          <w:rPr>
            <w:rFonts w:ascii="Times New Roman" w:cs="Times New Roman" w:eastAsia="Times New Roman" w:hAnsi="Times New Roman"/>
            <w:sz w:val="18"/>
            <w:szCs w:val="18"/>
            <w:color w:val="000000"/>
          </w:rPr>
          <w:t>; and</w:t>
        </w:r>
      </w:hyperlink>
    </w:p>
    <w:p>
      <w:pPr>
        <w:spacing w:after="0" w:line="112" w:lineRule="exact"/>
        <w:rPr>
          <w:rFonts w:ascii="Times New Roman" w:cs="Times New Roman" w:eastAsia="Times New Roman" w:hAnsi="Times New Roman"/>
          <w:sz w:val="18"/>
          <w:szCs w:val="18"/>
          <w:color w:val="0000EE"/>
        </w:rPr>
      </w:pPr>
    </w:p>
    <w:p>
      <w:pPr>
        <w:ind w:left="960" w:right="140" w:hanging="424"/>
        <w:spacing w:after="0" w:line="266"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our </w:t>
      </w:r>
      <w:hyperlink r:id="rId83">
        <w:r>
          <w:rPr>
            <w:rFonts w:ascii="Times New Roman" w:cs="Times New Roman" w:eastAsia="Times New Roman" w:hAnsi="Times New Roman"/>
            <w:sz w:val="18"/>
            <w:szCs w:val="18"/>
            <w:u w:val="single" w:color="auto"/>
            <w:color w:val="0000EE"/>
          </w:rPr>
          <w:t>Registration Statement on Form 8-A</w:t>
        </w:r>
      </w:hyperlink>
      <w:r>
        <w:rPr>
          <w:rFonts w:ascii="Times New Roman" w:cs="Times New Roman" w:eastAsia="Times New Roman" w:hAnsi="Times New Roman"/>
          <w:sz w:val="18"/>
          <w:szCs w:val="18"/>
          <w:color w:val="auto"/>
        </w:rPr>
        <w:t xml:space="preserve">, as updated by </w:t>
      </w:r>
      <w:hyperlink r:id="rId4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March 31, 2024, together with any subsequent amendment or report filed with the SEC for the purpose of updating this description.</w:t>
      </w:r>
    </w:p>
    <w:p>
      <w:pPr>
        <w:spacing w:after="0" w:line="176"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herein any further filings we make with the SEC under Section 13(a), 13(c), 14 or 15(d) of the Exchange Act after the date of the filing of the registration statement to which this prospectus relates and until we terminate the offering of securities pursuant to this prospectus. Our subsequent filings with the SEC will automatically update and supersede information in this prospectus.</w:t>
      </w:r>
    </w:p>
    <w:p>
      <w:pPr>
        <w:spacing w:after="0" w:line="176"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documents listed above (excluding the exhibits attached thereto unless those exhibits are specifically incorporated by reference into those documents) may be obtained free of charge by each person to whom a copy of this prospectus is delivered, upon written or oral request, by contacting us at Take-Two Interactive Software, Inc., 110 West 44th Street, New York, New York 10036, Attention: Chief Legal Officer, telephone number (646) 536-2842.</w:t>
      </w:r>
    </w:p>
    <w:p>
      <w:pPr>
        <w:spacing w:after="0" w:line="11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6" w:right="479" w:bottom="1440" w:gutter="0" w:footer="0" w:header="0"/>
        </w:sectPr>
      </w:pPr>
    </w:p>
    <w:bookmarkStart w:id="53" w:name="page54"/>
    <w:bookmarkEnd w:id="5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Willkie Farr &amp; Gallagher LLP, New York, New York will pass upon the validity of any securities we offer by this prospectus. If the validity of any securities is also passed upon by counsel for the underwriters of an offering of those securities, that counsel will be named in the prospectus supplement relating to that offering.</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Take-Two Interactive Software, Inc. appearing in Take-Two Interactive Software, Inc.’s Annual Report (Form 10-K) for the year ended March 31, 2024, and the effectiveness of Take-Two Interactive Software, Inc.’s internal control over financial reporting as of March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66" w:right="5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t>4,750,000 Shares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Take-Two Interactive Software, Inc.</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1833245</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178435</wp:posOffset>
            </wp:positionV>
            <wp:extent cx="960120" cy="8058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9601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245110</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Lead Bookrunning Managers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247015</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431165</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499745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ind w:left="3584"/>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p>
      <w:pPr>
        <w:spacing w:after="0" w:line="31" w:lineRule="exact"/>
        <w:rPr>
          <w:sz w:val="20"/>
          <w:szCs w:val="20"/>
          <w:color w:val="auto"/>
        </w:rPr>
      </w:pPr>
    </w:p>
    <w:p>
      <w:pPr>
        <w:ind w:left="356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ind w:left="280"/>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10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12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0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080" w:type="dxa"/>
            <w:vAlign w:val="bottom"/>
            <w:tcBorders>
              <w:right w:val="single" w:sz="8" w:color="auto"/>
            </w:tcBorders>
          </w:tcPr>
          <w:p>
            <w:pPr>
              <w:jc w:val="right"/>
              <w:ind w:right="237"/>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65"/>
        </w:trPr>
        <w:tc>
          <w:tcPr>
            <w:tcW w:w="980" w:type="dxa"/>
            <w:vAlign w:val="bottom"/>
            <w:tcBorders>
              <w:left w:val="single" w:sz="8" w:color="auto"/>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Type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80" w:type="dxa"/>
            <w:vAlign w:val="bottom"/>
            <w:tcBorders>
              <w:bottom w:val="single" w:sz="8" w:color="auto"/>
              <w:right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Registered</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Fee(2)</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Number </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33"/>
        </w:trPr>
        <w:tc>
          <w:tcPr>
            <w:tcW w:w="98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center"/>
              <w:ind w:left="737"/>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7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 Take-Two</w:t>
            </w:r>
          </w:p>
        </w:tc>
        <w:tc>
          <w:tcPr>
            <w:tcW w:w="7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Interactive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Fees to Be</w:t>
            </w: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Software, Inc.,</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Borders>
              <w:left w:val="single" w:sz="8" w:color="auto"/>
              <w:right w:val="single" w:sz="8" w:color="auto"/>
            </w:tcBorders>
            <w:vMerge w:val="continue"/>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par value</w:t>
            </w:r>
          </w:p>
        </w:tc>
        <w:tc>
          <w:tcPr>
            <w:tcW w:w="7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w:t>
            </w:r>
          </w:p>
        </w:tc>
        <w:tc>
          <w:tcPr>
            <w:tcW w:w="10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9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Equity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 per share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457(r)</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5,462,500(1)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$225.00 </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$1,229,062,500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0.0001531 </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$188,169.47 </w:t>
            </w:r>
          </w:p>
        </w:tc>
        <w:tc>
          <w:tcPr>
            <w:tcW w:w="56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9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Fees</w:t>
            </w: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Previously</w:t>
            </w: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tcBorders>
              <w:bottom w:val="single" w:sz="8" w:color="auto"/>
              <w:right w:val="single" w:sz="8" w:color="auto"/>
            </w:tcBorders>
          </w:tcPr>
          <w:p>
            <w:pPr>
              <w:jc w:val="right"/>
              <w:ind w:right="357"/>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8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center"/>
              <w:ind w:left="757"/>
              <w:spacing w:after="0"/>
              <w:rPr>
                <w:sz w:val="20"/>
                <w:szCs w:val="20"/>
                <w:color w:val="auto"/>
              </w:rPr>
            </w:pPr>
            <w:r>
              <w:rPr>
                <w:rFonts w:ascii="Times New Roman" w:cs="Times New Roman" w:eastAsia="Times New Roman" w:hAnsi="Times New Roman"/>
                <w:sz w:val="18"/>
                <w:szCs w:val="18"/>
                <w:color w:val="auto"/>
                <w:w w:val="99"/>
              </w:rPr>
              <w:t>Carry Forward Securities</w:t>
            </w:r>
          </w:p>
        </w:tc>
        <w:tc>
          <w:tcPr>
            <w:tcW w:w="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Carry</w:t>
            </w: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Forward</w:t>
            </w:r>
          </w:p>
        </w:tc>
        <w:tc>
          <w:tcPr>
            <w:tcW w:w="6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Securities</w:t>
            </w:r>
          </w:p>
        </w:tc>
        <w:tc>
          <w:tcPr>
            <w:tcW w:w="6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tcBorders>
              <w:bottom w:val="single" w:sz="8" w:color="auto"/>
              <w:right w:val="single" w:sz="8" w:color="auto"/>
            </w:tcBorders>
          </w:tcPr>
          <w:p>
            <w:pPr>
              <w:jc w:val="right"/>
              <w:ind w:right="357"/>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auto"/>
              <w:right w:val="single" w:sz="8" w:color="auto"/>
            </w:tcBorders>
          </w:tcPr>
          <w:p>
            <w:pPr>
              <w:spacing w:after="0"/>
              <w:rPr>
                <w:sz w:val="22"/>
                <w:szCs w:val="22"/>
                <w:color w:val="auto"/>
              </w:rPr>
            </w:pPr>
          </w:p>
        </w:tc>
        <w:tc>
          <w:tcPr>
            <w:tcW w:w="1060" w:type="dxa"/>
            <w:vAlign w:val="bottom"/>
            <w:tcBorders>
              <w:bottom w:val="single" w:sz="8" w:color="auto"/>
              <w:right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7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$188,169.47 </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7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w:t>
            </w:r>
          </w:p>
        </w:tc>
        <w:tc>
          <w:tcPr>
            <w:tcW w:w="7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7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$188,169.47 </w:t>
            </w:r>
          </w:p>
        </w:tc>
        <w:tc>
          <w:tcPr>
            <w:tcW w:w="5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20" w:hanging="424"/>
        <w:spacing w:after="0" w:line="261"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712,500 shares of common stock of the registrant issuable upon exercise of the underwriters’ option to purchase additional shares of common stock.</w:t>
      </w:r>
    </w:p>
    <w:p>
      <w:pPr>
        <w:ind w:left="424" w:right="100" w:hanging="424"/>
        <w:spacing w:after="0" w:line="290" w:lineRule="auto"/>
        <w:tabs>
          <w:tab w:leader="none" w:pos="42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fee is calculated in accordance with 457(r) of the Securities Act of 1933, as amended. In accordance with Rule 456(b) and 457(r) of the Act, the registrant initially deferred payment of all of the registration fee for Registration Statement No. 333-284748 filed on February 7, 2025.</w:t>
      </w:r>
    </w:p>
    <w:p>
      <w:pPr>
        <w:spacing w:after="0" w:line="157"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This registration fee table shall be deemed to update the “Calculation of Registration Fee Tables” in the Company’s Registration Statement on Form S-3 (File No. 333-284748) in accordance with Rules 456(b) and 457(r) under the Securities Act of 1933, as amended.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- 1 -</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Letter"/>
      <w:start w:val="2"/>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3"/>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jpe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jpe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39" Type="http://schemas.openxmlformats.org/officeDocument/2006/relationships/hyperlink" Target="http://www.sec.gov/ix?doc=/Archives/edgar/data/946581/000162828025026694/ttwo-20250331.htm" TargetMode="External"/><Relationship Id="rId40" Type="http://schemas.openxmlformats.org/officeDocument/2006/relationships/hyperlink" Target="http://www.sec.gov/ix?doc=/Archives/edgar/data/0000946581/000130817924000655/lttwo2024_def14a.htm" TargetMode="External"/><Relationship Id="rId41" Type="http://schemas.openxmlformats.org/officeDocument/2006/relationships/hyperlink" Target="http://www.sec.gov/Archives/edgar/data/946581/000130817924000662/lttwo2024_defa14a.htm" TargetMode="External"/><Relationship Id="rId42" Type="http://schemas.openxmlformats.org/officeDocument/2006/relationships/hyperlink" Target="http://www.sec.gov/Archives/edgar/data/946581/000162828024024623/ex-41xdescriptionofregistr.htm" TargetMode="External"/><Relationship Id="rId72" Type="http://schemas.openxmlformats.org/officeDocument/2006/relationships/hyperlink" Target="http://www.sec.gov/ix?doc=/Archives/edgar/data/946581/000162828024024623/ttwo-20240331.htm" TargetMode="External"/><Relationship Id="rId73" Type="http://schemas.openxmlformats.org/officeDocument/2006/relationships/hyperlink" Target="http://www.sec.gov/ix?doc=/Archives/edgar/data/946581/000162828024036273/ttwo-20240630.htm" TargetMode="External"/><Relationship Id="rId74" Type="http://schemas.openxmlformats.org/officeDocument/2006/relationships/hyperlink" Target="http://www.sec.gov/ix?doc=/Archives/edgar/data/946581/000162828024045867/ttwo-20240930.htm" TargetMode="External"/><Relationship Id="rId75" Type="http://schemas.openxmlformats.org/officeDocument/2006/relationships/hyperlink" Target="http://www.sec.gov/ix?doc=/Archives/edgar/data/946581/000130817924000655/lttwo2024_def14a.htm" TargetMode="External"/><Relationship Id="rId76" Type="http://schemas.openxmlformats.org/officeDocument/2006/relationships/hyperlink" Target="http://www.sec.gov/ix?doc=/Archives/edgar/data/946581/000119312524083524/d817256d8k.htm" TargetMode="External"/><Relationship Id="rId77" Type="http://schemas.openxmlformats.org/officeDocument/2006/relationships/hyperlink" Target="http://www.sec.gov/ix?doc=/Archives/edgar/data/946581/000162828024016440/ttwo-20240416.htm" TargetMode="External"/><Relationship Id="rId78" Type="http://schemas.openxmlformats.org/officeDocument/2006/relationships/hyperlink" Target="http://www.sec.gov/ix?doc=/Archives/edgar/data/946581/000119312524159129/d791210d8ka.htm" TargetMode="External"/><Relationship Id="rId79" Type="http://schemas.openxmlformats.org/officeDocument/2006/relationships/hyperlink" Target="http://www.sec.gov/ix?doc=/Archives/edgar/data/946581/000119312524159952/d818250d8k.htm" TargetMode="External"/><Relationship Id="rId80" Type="http://schemas.openxmlformats.org/officeDocument/2006/relationships/hyperlink" Target="http://www.sec.gov/ix?doc=/Archives/edgar/data/946581/000119312524161599/d829315d8k.htm" TargetMode="External"/><Relationship Id="rId81" Type="http://schemas.openxmlformats.org/officeDocument/2006/relationships/hyperlink" Target="http://www.sec.gov/ix?doc=/Archives/edgar/data/946581/000119312524219235/d893212d8k.htm" TargetMode="External"/><Relationship Id="rId82" Type="http://schemas.openxmlformats.org/officeDocument/2006/relationships/hyperlink" Target="http://www.sec.gov/ix?doc=/Archives/edgar/data/946581/000162828024041114/ttwo-20240918.htm" TargetMode="External"/><Relationship Id="rId83" Type="http://schemas.openxmlformats.org/officeDocument/2006/relationships/hyperlink" Target="http://www.sec.gov/Archives/edgar/data/0000946581/000110465908019702/a08-9031_2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2025-05-22T07:41:53Z</dcterms:created>
  <dcterms:modified xsi:type="dcterms:W3CDTF">2025-05-22T07:41:53Z</dcterms:modified>
</cp:coreProperties>
</file>