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14, 2021</w:t>
      </w:r>
    </w:p>
    <w:p>
      <w:pPr>
        <w:spacing w:after="0" w:line="20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TAKE-TWO INTERACTIVE SOFTWARE, INC.</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652" w:right="499" w:bottom="1440" w:gutter="0" w:footer="0" w:header="0"/>
        </w:sectPr>
      </w:pPr>
    </w:p>
    <w:p>
      <w:pPr>
        <w:spacing w:after="0" w:line="232"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20"/>
        <w:spacing w:after="0"/>
        <w:rPr>
          <w:sz w:val="20"/>
          <w:szCs w:val="20"/>
          <w:color w:val="auto"/>
        </w:rPr>
      </w:pPr>
      <w:r>
        <w:rPr>
          <w:rFonts w:ascii="Arial" w:cs="Arial" w:eastAsia="Arial" w:hAnsi="Arial"/>
          <w:sz w:val="18"/>
          <w:szCs w:val="18"/>
          <w:color w:val="auto"/>
        </w:rPr>
        <w:t>(State or other jurisdiction</w:t>
      </w:r>
    </w:p>
    <w:p>
      <w:pPr>
        <w:spacing w:after="0" w:line="9" w:lineRule="exact"/>
        <w:rPr>
          <w:sz w:val="24"/>
          <w:szCs w:val="24"/>
          <w:color w:val="auto"/>
        </w:rPr>
      </w:pPr>
    </w:p>
    <w:p>
      <w:pPr>
        <w:ind w:left="68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001-34003</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51-0350842</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20" w:space="720"/>
            <w:col w:w="2860" w:space="720"/>
            <w:col w:w="2360"/>
          </w:cols>
          <w:pgMar w:left="320" w:top="652" w:right="499" w:bottom="1440" w:gutter="0" w:footer="0" w:header="0"/>
          <w:type w:val="continuous"/>
        </w:sectPr>
      </w:pPr>
    </w:p>
    <w:p>
      <w:pPr>
        <w:spacing w:after="0" w:line="18" w:lineRule="exact"/>
        <w:rPr>
          <w:sz w:val="24"/>
          <w:szCs w:val="24"/>
          <w:color w:val="auto"/>
        </w:rPr>
      </w:pPr>
    </w:p>
    <w:p>
      <w:pPr>
        <w:jc w:val="center"/>
        <w:ind w:right="1640"/>
        <w:spacing w:after="0"/>
        <w:rPr>
          <w:sz w:val="20"/>
          <w:szCs w:val="20"/>
          <w:color w:val="auto"/>
        </w:rPr>
      </w:pPr>
      <w:r>
        <w:rPr>
          <w:rFonts w:ascii="Arial" w:cs="Arial" w:eastAsia="Arial" w:hAnsi="Arial"/>
          <w:sz w:val="18"/>
          <w:szCs w:val="18"/>
          <w:b w:val="1"/>
          <w:bCs w:val="1"/>
          <w:color w:val="auto"/>
        </w:rPr>
        <w:t>110 West 44th Street</w:t>
      </w:r>
    </w:p>
    <w:p>
      <w:pPr>
        <w:spacing w:after="0" w:line="27" w:lineRule="exact"/>
        <w:rPr>
          <w:sz w:val="24"/>
          <w:szCs w:val="24"/>
          <w:color w:val="auto"/>
        </w:rPr>
      </w:pPr>
    </w:p>
    <w:p>
      <w:pPr>
        <w:jc w:val="center"/>
        <w:ind w:right="164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6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10036</w:t>
      </w:r>
    </w:p>
    <w:p>
      <w:pPr>
        <w:spacing w:after="0" w:line="27" w:lineRule="exact"/>
        <w:rPr>
          <w:sz w:val="24"/>
          <w:szCs w:val="24"/>
          <w:color w:val="auto"/>
        </w:rPr>
      </w:pPr>
    </w:p>
    <w:p>
      <w:pPr>
        <w:jc w:val="center"/>
        <w:ind w:right="21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2980"/>
          </w:cols>
          <w:pgMar w:left="320" w:top="652" w:right="499" w:bottom="1440" w:gutter="0" w:footer="0" w:header="0"/>
          <w:type w:val="continuous"/>
        </w:sectPr>
      </w:pP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536-2842</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Former Name or Address, if changed since last report: </w:t>
      </w:r>
      <w:r>
        <w:rPr>
          <w:rFonts w:ascii="Arial" w:cs="Arial" w:eastAsia="Arial" w:hAnsi="Arial"/>
          <w:sz w:val="18"/>
          <w:szCs w:val="18"/>
          <w:b w:val="1"/>
          <w:bCs w:val="1"/>
          <w:color w:val="auto"/>
        </w:rPr>
        <w:t>N/A</w:t>
      </w:r>
    </w:p>
    <w:p>
      <w:pPr>
        <w:spacing w:after="0" w:line="22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498"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3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Trading Symbol</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$.01 par value</w:t>
            </w:r>
          </w:p>
        </w:tc>
        <w:tc>
          <w:tcPr>
            <w:tcW w:w="100" w:type="dxa"/>
            <w:vAlign w:val="bottom"/>
          </w:tcPr>
          <w:p>
            <w:pPr>
              <w:spacing w:after="0"/>
              <w:rPr>
                <w:sz w:val="19"/>
                <w:szCs w:val="19"/>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TTWO</w:t>
            </w:r>
          </w:p>
        </w:tc>
        <w:tc>
          <w:tcPr>
            <w:tcW w:w="8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187"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652" w:right="499" w:bottom="1440" w:gutter="0" w:footer="0" w:header="0"/>
          <w:type w:val="continuous"/>
        </w:sectPr>
      </w:pPr>
    </w:p>
    <w:bookmarkStart w:id="1" w:name="page2"/>
    <w:bookmarkEnd w:id="1"/>
    <w:p>
      <w:pPr>
        <w:ind w:right="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120" w:firstLine="495"/>
        <w:spacing w:after="0" w:line="259" w:lineRule="auto"/>
        <w:rPr>
          <w:sz w:val="20"/>
          <w:szCs w:val="20"/>
          <w:color w:val="auto"/>
        </w:rPr>
      </w:pPr>
      <w:r>
        <w:rPr>
          <w:rFonts w:ascii="Arial" w:cs="Arial" w:eastAsia="Arial" w:hAnsi="Arial"/>
          <w:sz w:val="18"/>
          <w:szCs w:val="18"/>
          <w:color w:val="auto"/>
        </w:rPr>
        <w:t>On September 14, 2021, the stockholders of Take-Two Interactive Software, Inc. (the “Company”) approved and adopted an amendment to the Amended and Restated Take-Two Interactive Software, Inc. 2017 Stock Incentive Plan (the “Amended and Restated 2017 Plan”) at the Company’s annual meeting of stockholders (the “Annual Meeting”). Additional information regarding the results of the Company’s Annual Meeting is set forth below in this Report under Item 5.07.</w:t>
      </w:r>
    </w:p>
    <w:p>
      <w:pPr>
        <w:spacing w:after="0" w:line="187" w:lineRule="exact"/>
        <w:rPr>
          <w:sz w:val="20"/>
          <w:szCs w:val="20"/>
          <w:color w:val="auto"/>
        </w:rPr>
      </w:pPr>
    </w:p>
    <w:p>
      <w:pPr>
        <w:ind w:right="180" w:firstLine="495"/>
        <w:spacing w:after="0" w:line="277" w:lineRule="auto"/>
        <w:rPr>
          <w:sz w:val="20"/>
          <w:szCs w:val="20"/>
          <w:color w:val="auto"/>
        </w:rPr>
      </w:pPr>
      <w:r>
        <w:rPr>
          <w:rFonts w:ascii="Arial" w:cs="Arial" w:eastAsia="Arial" w:hAnsi="Arial"/>
          <w:sz w:val="18"/>
          <w:szCs w:val="18"/>
          <w:color w:val="auto"/>
        </w:rPr>
        <w:t>The amendment to the Amended and Restated 2017 Plan increases the available shares reserved thereunder by 4,300,000 shares. No other changes were made to the Amended and Restated 2017 Plan.</w:t>
      </w:r>
    </w:p>
    <w:p>
      <w:pPr>
        <w:spacing w:after="0" w:line="170" w:lineRule="exact"/>
        <w:rPr>
          <w:sz w:val="20"/>
          <w:szCs w:val="20"/>
          <w:color w:val="auto"/>
        </w:rPr>
      </w:pPr>
    </w:p>
    <w:p>
      <w:pPr>
        <w:jc w:val="both"/>
        <w:ind w:right="80" w:firstLine="495"/>
        <w:spacing w:after="0" w:line="263" w:lineRule="auto"/>
        <w:rPr>
          <w:rFonts w:ascii="Arial" w:cs="Arial" w:eastAsia="Arial" w:hAnsi="Arial"/>
          <w:sz w:val="18"/>
          <w:szCs w:val="18"/>
          <w:color w:val="0000EE"/>
        </w:rPr>
      </w:pPr>
      <w:r>
        <w:rPr>
          <w:rFonts w:ascii="Arial" w:cs="Arial" w:eastAsia="Arial" w:hAnsi="Arial"/>
          <w:sz w:val="18"/>
          <w:szCs w:val="18"/>
          <w:color w:val="auto"/>
        </w:rPr>
        <w:t xml:space="preserve">The foregoing description of the amendment to the Amended and Restated 2017 Plan is qualified in its entirety by the full text of the Amended and </w:t>
      </w:r>
      <w:hyperlink r:id="rId13">
        <w:r>
          <w:rPr>
            <w:rFonts w:ascii="Arial" w:cs="Arial" w:eastAsia="Arial" w:hAnsi="Arial"/>
            <w:sz w:val="18"/>
            <w:szCs w:val="18"/>
            <w:color w:val="auto"/>
          </w:rPr>
          <w:t xml:space="preserve">Restated 2017 Plan, as amended, which is attached as </w:t>
        </w:r>
        <w:r>
          <w:rPr>
            <w:rFonts w:ascii="Arial" w:cs="Arial" w:eastAsia="Arial" w:hAnsi="Arial"/>
            <w:sz w:val="18"/>
            <w:szCs w:val="18"/>
            <w:u w:val="single" w:color="auto"/>
            <w:color w:val="0000EE"/>
          </w:rPr>
          <w:t>Annex B to the Company’s definitive proxy statement on Schedule 14A filed with the Securities and</w:t>
        </w:r>
      </w:hyperlink>
      <w:r>
        <w:rPr>
          <w:rFonts w:ascii="Arial" w:cs="Arial" w:eastAsia="Arial" w:hAnsi="Arial"/>
          <w:sz w:val="18"/>
          <w:szCs w:val="18"/>
          <w:color w:val="auto"/>
        </w:rPr>
        <w:t xml:space="preserve"> </w:t>
      </w:r>
      <w:hyperlink r:id="rId13">
        <w:r>
          <w:rPr>
            <w:rFonts w:ascii="Arial" w:cs="Arial" w:eastAsia="Arial" w:hAnsi="Arial"/>
            <w:sz w:val="18"/>
            <w:szCs w:val="18"/>
            <w:u w:val="single" w:color="auto"/>
            <w:color w:val="0000EE"/>
          </w:rPr>
          <w:t>Exchange Commission on July 27, 2021</w:t>
        </w:r>
        <w:r>
          <w:rPr>
            <w:rFonts w:ascii="Arial" w:cs="Arial" w:eastAsia="Arial" w:hAnsi="Arial"/>
            <w:sz w:val="18"/>
            <w:szCs w:val="18"/>
            <w:color w:val="000000"/>
          </w:rPr>
          <w:t>, and is incorporated by reference herein as Exhibit 10.1.</w:t>
        </w:r>
      </w:hyperlink>
    </w:p>
    <w:p>
      <w:pPr>
        <w:spacing w:after="0" w:line="1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100" w:firstLine="495"/>
        <w:spacing w:after="0" w:line="259" w:lineRule="auto"/>
        <w:rPr>
          <w:sz w:val="20"/>
          <w:szCs w:val="20"/>
          <w:color w:val="auto"/>
        </w:rPr>
      </w:pPr>
      <w:r>
        <w:rPr>
          <w:rFonts w:ascii="Arial" w:cs="Arial" w:eastAsia="Arial" w:hAnsi="Arial"/>
          <w:sz w:val="18"/>
          <w:szCs w:val="18"/>
          <w:color w:val="auto"/>
        </w:rPr>
        <w:t>On September 14, 2021, the Company held its Annual Meeting virtually via live audio-only webcast. As of the record date for the Annual Meeting, the Company had 116,518,257 shares of its common stock, par value $0.01 per share (the “Common Stock”), issued and outstanding. At the Annual Meeting, 90,475,588 shares of Common Stock were represented in person or by proxy. The following matters were submitted to a vote of the stockholders at the Annual Meeting.</w:t>
      </w:r>
    </w:p>
    <w:p>
      <w:pPr>
        <w:spacing w:after="0" w:line="187" w:lineRule="exact"/>
        <w:rPr>
          <w:sz w:val="20"/>
          <w:szCs w:val="20"/>
          <w:color w:val="auto"/>
        </w:rPr>
      </w:pPr>
    </w:p>
    <w:p>
      <w:pPr>
        <w:ind w:right="40" w:firstLine="503"/>
        <w:spacing w:after="0" w:line="277" w:lineRule="auto"/>
        <w:tabs>
          <w:tab w:leader="none" w:pos="1214" w:val="left"/>
        </w:tabs>
        <w:numPr>
          <w:ilvl w:val="0"/>
          <w:numId w:val="2"/>
        </w:numPr>
        <w:rPr>
          <w:rFonts w:ascii="Arial" w:cs="Arial" w:eastAsia="Arial" w:hAnsi="Arial"/>
          <w:sz w:val="18"/>
          <w:szCs w:val="18"/>
          <w:color w:val="auto"/>
        </w:rPr>
      </w:pPr>
      <w:r>
        <w:rPr>
          <w:rFonts w:ascii="Arial" w:cs="Arial" w:eastAsia="Arial" w:hAnsi="Arial"/>
          <w:sz w:val="18"/>
          <w:szCs w:val="18"/>
          <w:color w:val="auto"/>
        </w:rPr>
        <w:t>Votes regarding the election of the persons named below as directors for a term expiring at the annual meeting of stockholders in 2022 and until their respective successors have been duly elected and qualified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2160" w:type="dxa"/>
            <w:vAlign w:val="bottom"/>
            <w:gridSpan w:val="2"/>
          </w:tcPr>
          <w:p>
            <w:pPr>
              <w:ind w:left="840"/>
              <w:spacing w:after="0"/>
              <w:rPr>
                <w:sz w:val="20"/>
                <w:szCs w:val="20"/>
                <w:color w:val="auto"/>
              </w:rPr>
            </w:pPr>
            <w:r>
              <w:rPr>
                <w:rFonts w:ascii="Arial" w:cs="Arial" w:eastAsia="Arial" w:hAnsi="Arial"/>
                <w:sz w:val="18"/>
                <w:szCs w:val="18"/>
                <w:b w:val="1"/>
                <w:bCs w:val="1"/>
                <w:color w:val="auto"/>
              </w:rPr>
              <w:t>For</w:t>
            </w:r>
          </w:p>
        </w:tc>
        <w:tc>
          <w:tcPr>
            <w:tcW w:w="2120" w:type="dxa"/>
            <w:vAlign w:val="bottom"/>
            <w:gridSpan w:val="2"/>
          </w:tcPr>
          <w:p>
            <w:pPr>
              <w:ind w:left="660"/>
              <w:spacing w:after="0"/>
              <w:rPr>
                <w:sz w:val="20"/>
                <w:szCs w:val="20"/>
                <w:color w:val="auto"/>
              </w:rPr>
            </w:pPr>
            <w:r>
              <w:rPr>
                <w:rFonts w:ascii="Arial" w:cs="Arial" w:eastAsia="Arial" w:hAnsi="Arial"/>
                <w:sz w:val="18"/>
                <w:szCs w:val="18"/>
                <w:b w:val="1"/>
                <w:bCs w:val="1"/>
                <w:color w:val="auto"/>
              </w:rPr>
              <w:t>Against</w:t>
            </w:r>
          </w:p>
        </w:tc>
        <w:tc>
          <w:tcPr>
            <w:tcW w:w="2120" w:type="dxa"/>
            <w:vAlign w:val="bottom"/>
            <w:gridSpan w:val="2"/>
          </w:tcPr>
          <w:p>
            <w:pPr>
              <w:ind w:left="660"/>
              <w:spacing w:after="0"/>
              <w:rPr>
                <w:sz w:val="20"/>
                <w:szCs w:val="20"/>
                <w:color w:val="auto"/>
              </w:rPr>
            </w:pPr>
            <w:r>
              <w:rPr>
                <w:rFonts w:ascii="Arial" w:cs="Arial" w:eastAsia="Arial" w:hAnsi="Arial"/>
                <w:sz w:val="18"/>
                <w:szCs w:val="18"/>
                <w:b w:val="1"/>
                <w:bCs w:val="1"/>
                <w:color w:val="auto"/>
              </w:rPr>
              <w:t>Abstain</w:t>
            </w:r>
          </w:p>
        </w:tc>
        <w:tc>
          <w:tcPr>
            <w:tcW w:w="2020" w:type="dxa"/>
            <w:vAlign w:val="bottom"/>
            <w:gridSpan w:val="2"/>
          </w:tcPr>
          <w:p>
            <w:pPr>
              <w:ind w:left="260"/>
              <w:spacing w:after="0"/>
              <w:rPr>
                <w:sz w:val="20"/>
                <w:szCs w:val="20"/>
                <w:color w:val="auto"/>
              </w:rPr>
            </w:pPr>
            <w:r>
              <w:rPr>
                <w:rFonts w:ascii="Arial" w:cs="Arial" w:eastAsia="Arial" w:hAnsi="Arial"/>
                <w:sz w:val="18"/>
                <w:szCs w:val="18"/>
                <w:b w:val="1"/>
                <w:bCs w:val="1"/>
                <w:color w:val="auto"/>
              </w:rPr>
              <w:t>Broker Non-Votes</w:t>
            </w:r>
          </w:p>
        </w:tc>
      </w:tr>
      <w:tr>
        <w:trPr>
          <w:trHeight w:val="209"/>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Strauss Zelnick</w:t>
            </w:r>
          </w:p>
        </w:tc>
        <w:tc>
          <w:tcPr>
            <w:tcW w:w="194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75,556,913</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6,642,419</w:t>
            </w:r>
          </w:p>
        </w:tc>
        <w:tc>
          <w:tcPr>
            <w:tcW w:w="2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1,128,571</w:t>
            </w:r>
          </w:p>
        </w:tc>
        <w:tc>
          <w:tcPr>
            <w:tcW w:w="2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7,147,685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Michael Dornemann</w:t>
            </w:r>
          </w:p>
        </w:tc>
        <w:tc>
          <w:tcPr>
            <w:tcW w:w="1940" w:type="dxa"/>
            <w:vAlign w:val="bottom"/>
          </w:tcPr>
          <w:p>
            <w:pPr>
              <w:jc w:val="right"/>
              <w:ind w:right="550"/>
              <w:spacing w:after="0"/>
              <w:rPr>
                <w:sz w:val="20"/>
                <w:szCs w:val="20"/>
                <w:color w:val="auto"/>
              </w:rPr>
            </w:pPr>
            <w:r>
              <w:rPr>
                <w:rFonts w:ascii="Arial" w:cs="Arial" w:eastAsia="Arial" w:hAnsi="Arial"/>
                <w:sz w:val="18"/>
                <w:szCs w:val="18"/>
                <w:color w:val="auto"/>
              </w:rPr>
              <w:t>76,465,818</w:t>
            </w:r>
          </w:p>
        </w:tc>
        <w:tc>
          <w:tcPr>
            <w:tcW w:w="220" w:type="dxa"/>
            <w:vAlign w:val="bottom"/>
          </w:tcPr>
          <w:p>
            <w:pPr>
              <w:spacing w:after="0"/>
              <w:rPr>
                <w:sz w:val="18"/>
                <w:szCs w:val="18"/>
                <w:color w:val="auto"/>
              </w:rPr>
            </w:pP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6,824,489</w:t>
            </w:r>
          </w:p>
        </w:tc>
        <w:tc>
          <w:tcPr>
            <w:tcW w:w="200" w:type="dxa"/>
            <w:vAlign w:val="bottom"/>
          </w:tcPr>
          <w:p>
            <w:pPr>
              <w:spacing w:after="0"/>
              <w:rPr>
                <w:sz w:val="18"/>
                <w:szCs w:val="18"/>
                <w:color w:val="auto"/>
              </w:rPr>
            </w:pP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37,596</w:t>
            </w:r>
          </w:p>
        </w:tc>
        <w:tc>
          <w:tcPr>
            <w:tcW w:w="200" w:type="dxa"/>
            <w:vAlign w:val="bottom"/>
          </w:tcPr>
          <w:p>
            <w:pPr>
              <w:spacing w:after="0"/>
              <w:rPr>
                <w:sz w:val="18"/>
                <w:szCs w:val="18"/>
                <w:color w:val="auto"/>
              </w:rPr>
            </w:pP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7,147,685</w:t>
            </w: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Roland Hernandez</w:t>
            </w:r>
          </w:p>
        </w:tc>
        <w:tc>
          <w:tcPr>
            <w:tcW w:w="19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82,682,365</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560,850</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84,688</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7,147,685</w:t>
            </w: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J Moses</w:t>
            </w:r>
          </w:p>
        </w:tc>
        <w:tc>
          <w:tcPr>
            <w:tcW w:w="1940" w:type="dxa"/>
            <w:vAlign w:val="bottom"/>
          </w:tcPr>
          <w:p>
            <w:pPr>
              <w:jc w:val="right"/>
              <w:ind w:right="550"/>
              <w:spacing w:after="0"/>
              <w:rPr>
                <w:sz w:val="20"/>
                <w:szCs w:val="20"/>
                <w:color w:val="auto"/>
              </w:rPr>
            </w:pPr>
            <w:r>
              <w:rPr>
                <w:rFonts w:ascii="Arial" w:cs="Arial" w:eastAsia="Arial" w:hAnsi="Arial"/>
                <w:sz w:val="18"/>
                <w:szCs w:val="18"/>
                <w:color w:val="auto"/>
              </w:rPr>
              <w:t>75,269,108</w:t>
            </w:r>
          </w:p>
        </w:tc>
        <w:tc>
          <w:tcPr>
            <w:tcW w:w="220" w:type="dxa"/>
            <w:vAlign w:val="bottom"/>
          </w:tcPr>
          <w:p>
            <w:pPr>
              <w:spacing w:after="0"/>
              <w:rPr>
                <w:sz w:val="18"/>
                <w:szCs w:val="18"/>
                <w:color w:val="auto"/>
              </w:rPr>
            </w:pP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8,020,935</w:t>
            </w:r>
          </w:p>
        </w:tc>
        <w:tc>
          <w:tcPr>
            <w:tcW w:w="200" w:type="dxa"/>
            <w:vAlign w:val="bottom"/>
          </w:tcPr>
          <w:p>
            <w:pPr>
              <w:spacing w:after="0"/>
              <w:rPr>
                <w:sz w:val="18"/>
                <w:szCs w:val="18"/>
                <w:color w:val="auto"/>
              </w:rPr>
            </w:pP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37,860</w:t>
            </w:r>
          </w:p>
        </w:tc>
        <w:tc>
          <w:tcPr>
            <w:tcW w:w="200" w:type="dxa"/>
            <w:vAlign w:val="bottom"/>
          </w:tcPr>
          <w:p>
            <w:pPr>
              <w:spacing w:after="0"/>
              <w:rPr>
                <w:sz w:val="18"/>
                <w:szCs w:val="18"/>
                <w:color w:val="auto"/>
              </w:rPr>
            </w:pP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7,147,685</w:t>
            </w: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Michael Sheresky</w:t>
            </w:r>
          </w:p>
        </w:tc>
        <w:tc>
          <w:tcPr>
            <w:tcW w:w="19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75,522,020</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7,767,957</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37,926</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7,147,685</w:t>
            </w: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LaVerne Srinivasan</w:t>
            </w:r>
          </w:p>
        </w:tc>
        <w:tc>
          <w:tcPr>
            <w:tcW w:w="1940" w:type="dxa"/>
            <w:vAlign w:val="bottom"/>
          </w:tcPr>
          <w:p>
            <w:pPr>
              <w:jc w:val="right"/>
              <w:ind w:right="550"/>
              <w:spacing w:after="0"/>
              <w:rPr>
                <w:sz w:val="20"/>
                <w:szCs w:val="20"/>
                <w:color w:val="auto"/>
              </w:rPr>
            </w:pPr>
            <w:r>
              <w:rPr>
                <w:rFonts w:ascii="Arial" w:cs="Arial" w:eastAsia="Arial" w:hAnsi="Arial"/>
                <w:sz w:val="18"/>
                <w:szCs w:val="18"/>
                <w:color w:val="auto"/>
              </w:rPr>
              <w:t>80,867,523</w:t>
            </w:r>
          </w:p>
        </w:tc>
        <w:tc>
          <w:tcPr>
            <w:tcW w:w="220" w:type="dxa"/>
            <w:vAlign w:val="bottom"/>
          </w:tcPr>
          <w:p>
            <w:pPr>
              <w:spacing w:after="0"/>
              <w:rPr>
                <w:sz w:val="18"/>
                <w:szCs w:val="18"/>
                <w:color w:val="auto"/>
              </w:rPr>
            </w:pP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2,427,287</w:t>
            </w:r>
          </w:p>
        </w:tc>
        <w:tc>
          <w:tcPr>
            <w:tcW w:w="200" w:type="dxa"/>
            <w:vAlign w:val="bottom"/>
          </w:tcPr>
          <w:p>
            <w:pPr>
              <w:spacing w:after="0"/>
              <w:rPr>
                <w:sz w:val="18"/>
                <w:szCs w:val="18"/>
                <w:color w:val="auto"/>
              </w:rPr>
            </w:pP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33,093</w:t>
            </w:r>
          </w:p>
        </w:tc>
        <w:tc>
          <w:tcPr>
            <w:tcW w:w="200" w:type="dxa"/>
            <w:vAlign w:val="bottom"/>
          </w:tcPr>
          <w:p>
            <w:pPr>
              <w:spacing w:after="0"/>
              <w:rPr>
                <w:sz w:val="18"/>
                <w:szCs w:val="18"/>
                <w:color w:val="auto"/>
              </w:rPr>
            </w:pP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7,147,685</w:t>
            </w: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Susan Tolson</w:t>
            </w:r>
          </w:p>
        </w:tc>
        <w:tc>
          <w:tcPr>
            <w:tcW w:w="19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77,139,339</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6,157,082</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31,482</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7,147,685</w:t>
            </w:r>
          </w:p>
        </w:tc>
        <w:tc>
          <w:tcPr>
            <w:tcW w:w="100" w:type="dxa"/>
            <w:vAlign w:val="bottom"/>
            <w:shd w:val="clear" w:color="auto" w:fill="CCEEFF"/>
          </w:tcPr>
          <w:p>
            <w:pPr>
              <w:spacing w:after="0"/>
              <w:rPr>
                <w:sz w:val="18"/>
                <w:szCs w:val="18"/>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Paul Viera</w:t>
            </w:r>
          </w:p>
        </w:tc>
        <w:tc>
          <w:tcPr>
            <w:tcW w:w="1940" w:type="dxa"/>
            <w:vAlign w:val="bottom"/>
          </w:tcPr>
          <w:p>
            <w:pPr>
              <w:jc w:val="right"/>
              <w:ind w:right="550"/>
              <w:spacing w:after="0"/>
              <w:rPr>
                <w:sz w:val="20"/>
                <w:szCs w:val="20"/>
                <w:color w:val="auto"/>
              </w:rPr>
            </w:pPr>
            <w:r>
              <w:rPr>
                <w:rFonts w:ascii="Arial" w:cs="Arial" w:eastAsia="Arial" w:hAnsi="Arial"/>
                <w:sz w:val="18"/>
                <w:szCs w:val="18"/>
                <w:color w:val="auto"/>
              </w:rPr>
              <w:t>83,109,747</w:t>
            </w:r>
          </w:p>
        </w:tc>
        <w:tc>
          <w:tcPr>
            <w:tcW w:w="220" w:type="dxa"/>
            <w:vAlign w:val="bottom"/>
          </w:tcPr>
          <w:p>
            <w:pPr>
              <w:spacing w:after="0"/>
              <w:rPr>
                <w:sz w:val="20"/>
                <w:szCs w:val="20"/>
                <w:color w:val="auto"/>
              </w:rPr>
            </w:pP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133,399</w:t>
            </w:r>
          </w:p>
        </w:tc>
        <w:tc>
          <w:tcPr>
            <w:tcW w:w="200" w:type="dxa"/>
            <w:vAlign w:val="bottom"/>
          </w:tcPr>
          <w:p>
            <w:pPr>
              <w:spacing w:after="0"/>
              <w:rPr>
                <w:sz w:val="20"/>
                <w:szCs w:val="20"/>
                <w:color w:val="auto"/>
              </w:rPr>
            </w:pP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84,757</w:t>
            </w:r>
          </w:p>
        </w:tc>
        <w:tc>
          <w:tcPr>
            <w:tcW w:w="200" w:type="dxa"/>
            <w:vAlign w:val="bottom"/>
          </w:tcPr>
          <w:p>
            <w:pPr>
              <w:spacing w:after="0"/>
              <w:rPr>
                <w:sz w:val="20"/>
                <w:szCs w:val="20"/>
                <w:color w:val="auto"/>
              </w:rPr>
            </w:pP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7,147,685</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600" w:firstLine="495"/>
        <w:spacing w:after="0" w:line="277" w:lineRule="auto"/>
        <w:rPr>
          <w:sz w:val="20"/>
          <w:szCs w:val="20"/>
          <w:color w:val="auto"/>
        </w:rPr>
      </w:pPr>
      <w:r>
        <w:rPr>
          <w:rFonts w:ascii="Arial" w:cs="Arial" w:eastAsia="Arial" w:hAnsi="Arial"/>
          <w:sz w:val="18"/>
          <w:szCs w:val="18"/>
          <w:color w:val="auto"/>
        </w:rPr>
        <w:t>Based on the votes set forth above, the foregoing persons were duly elected to serve as directors, for a term expiring at the annual meeting of stockholders in 2022 and until their respective successors have been duly elected and qualified.</w:t>
      </w:r>
    </w:p>
    <w:p>
      <w:pPr>
        <w:spacing w:after="0" w:line="170" w:lineRule="exact"/>
        <w:rPr>
          <w:sz w:val="20"/>
          <w:szCs w:val="20"/>
          <w:color w:val="auto"/>
        </w:rPr>
      </w:pPr>
    </w:p>
    <w:p>
      <w:pPr>
        <w:ind w:left="1220" w:hanging="717"/>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Advisory votes regarding the approval of the compensation of the named executive officers were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660" w:type="dxa"/>
            <w:vAlign w:val="bottom"/>
            <w:gridSpan w:val="2"/>
          </w:tcPr>
          <w:p>
            <w:pPr>
              <w:ind w:left="1080"/>
              <w:spacing w:after="0"/>
              <w:rPr>
                <w:sz w:val="20"/>
                <w:szCs w:val="20"/>
                <w:color w:val="auto"/>
              </w:rPr>
            </w:pPr>
            <w:r>
              <w:rPr>
                <w:rFonts w:ascii="Arial" w:cs="Arial" w:eastAsia="Arial" w:hAnsi="Arial"/>
                <w:sz w:val="18"/>
                <w:szCs w:val="18"/>
                <w:b w:val="1"/>
                <w:bCs w:val="1"/>
                <w:color w:val="auto"/>
              </w:rPr>
              <w:t>For</w:t>
            </w:r>
          </w:p>
        </w:tc>
        <w:tc>
          <w:tcPr>
            <w:tcW w:w="2540" w:type="dxa"/>
            <w:vAlign w:val="bottom"/>
            <w:gridSpan w:val="2"/>
          </w:tcPr>
          <w:p>
            <w:pPr>
              <w:ind w:left="860"/>
              <w:spacing w:after="0"/>
              <w:rPr>
                <w:sz w:val="20"/>
                <w:szCs w:val="20"/>
                <w:color w:val="auto"/>
              </w:rPr>
            </w:pPr>
            <w:r>
              <w:rPr>
                <w:rFonts w:ascii="Arial" w:cs="Arial" w:eastAsia="Arial" w:hAnsi="Arial"/>
                <w:sz w:val="18"/>
                <w:szCs w:val="18"/>
                <w:b w:val="1"/>
                <w:bCs w:val="1"/>
                <w:color w:val="auto"/>
              </w:rPr>
              <w:t>Against</w:t>
            </w:r>
          </w:p>
        </w:tc>
        <w:tc>
          <w:tcPr>
            <w:tcW w:w="2480" w:type="dxa"/>
            <w:vAlign w:val="bottom"/>
            <w:gridSpan w:val="2"/>
          </w:tcPr>
          <w:p>
            <w:pPr>
              <w:ind w:left="840"/>
              <w:spacing w:after="0"/>
              <w:rPr>
                <w:sz w:val="20"/>
                <w:szCs w:val="20"/>
                <w:color w:val="auto"/>
              </w:rPr>
            </w:pPr>
            <w:r>
              <w:rPr>
                <w:rFonts w:ascii="Arial" w:cs="Arial" w:eastAsia="Arial" w:hAnsi="Arial"/>
                <w:sz w:val="18"/>
                <w:szCs w:val="18"/>
                <w:b w:val="1"/>
                <w:bCs w:val="1"/>
                <w:color w:val="auto"/>
              </w:rPr>
              <w:t>Abstain</w:t>
            </w:r>
          </w:p>
        </w:tc>
        <w:tc>
          <w:tcPr>
            <w:tcW w:w="2420" w:type="dxa"/>
            <w:vAlign w:val="bottom"/>
            <w:gridSpan w:val="2"/>
          </w:tcPr>
          <w:p>
            <w:pPr>
              <w:ind w:left="480"/>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244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73,677,809</w:t>
            </w:r>
          </w:p>
        </w:tc>
        <w:tc>
          <w:tcPr>
            <w:tcW w:w="22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6,041,976</w:t>
            </w:r>
          </w:p>
        </w:tc>
        <w:tc>
          <w:tcPr>
            <w:tcW w:w="2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3,608,118</w:t>
            </w:r>
          </w:p>
        </w:tc>
        <w:tc>
          <w:tcPr>
            <w:tcW w:w="18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7,147,685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420" w:firstLine="495"/>
        <w:spacing w:after="0" w:line="277" w:lineRule="auto"/>
        <w:rPr>
          <w:sz w:val="20"/>
          <w:szCs w:val="20"/>
          <w:color w:val="auto"/>
        </w:rPr>
      </w:pPr>
      <w:r>
        <w:rPr>
          <w:rFonts w:ascii="Arial" w:cs="Arial" w:eastAsia="Arial" w:hAnsi="Arial"/>
          <w:sz w:val="18"/>
          <w:szCs w:val="18"/>
          <w:color w:val="auto"/>
        </w:rPr>
        <w:t>Based on the advisory votes set forth above, the compensation of the named executive officers was duly approved, on an advisory basis, by our stockholders.</w:t>
      </w:r>
    </w:p>
    <w:p>
      <w:pPr>
        <w:spacing w:after="0" w:line="170" w:lineRule="exact"/>
        <w:rPr>
          <w:sz w:val="20"/>
          <w:szCs w:val="20"/>
          <w:color w:val="auto"/>
        </w:rPr>
      </w:pPr>
    </w:p>
    <w:p>
      <w:pPr>
        <w:ind w:left="1220" w:hanging="720"/>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Votes regarding the approval of the adoption of the amendment to the Amended and Restated 2017 Plan were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660" w:type="dxa"/>
            <w:vAlign w:val="bottom"/>
            <w:gridSpan w:val="2"/>
          </w:tcPr>
          <w:p>
            <w:pPr>
              <w:ind w:left="1080"/>
              <w:spacing w:after="0"/>
              <w:rPr>
                <w:sz w:val="20"/>
                <w:szCs w:val="20"/>
                <w:color w:val="auto"/>
              </w:rPr>
            </w:pPr>
            <w:r>
              <w:rPr>
                <w:rFonts w:ascii="Arial" w:cs="Arial" w:eastAsia="Arial" w:hAnsi="Arial"/>
                <w:sz w:val="18"/>
                <w:szCs w:val="18"/>
                <w:b w:val="1"/>
                <w:bCs w:val="1"/>
                <w:color w:val="auto"/>
              </w:rPr>
              <w:t>For</w:t>
            </w:r>
          </w:p>
        </w:tc>
        <w:tc>
          <w:tcPr>
            <w:tcW w:w="2540" w:type="dxa"/>
            <w:vAlign w:val="bottom"/>
            <w:gridSpan w:val="2"/>
          </w:tcPr>
          <w:p>
            <w:pPr>
              <w:ind w:left="860"/>
              <w:spacing w:after="0"/>
              <w:rPr>
                <w:sz w:val="20"/>
                <w:szCs w:val="20"/>
                <w:color w:val="auto"/>
              </w:rPr>
            </w:pPr>
            <w:r>
              <w:rPr>
                <w:rFonts w:ascii="Arial" w:cs="Arial" w:eastAsia="Arial" w:hAnsi="Arial"/>
                <w:sz w:val="18"/>
                <w:szCs w:val="18"/>
                <w:b w:val="1"/>
                <w:bCs w:val="1"/>
                <w:color w:val="auto"/>
              </w:rPr>
              <w:t>Against</w:t>
            </w:r>
          </w:p>
        </w:tc>
        <w:tc>
          <w:tcPr>
            <w:tcW w:w="2480" w:type="dxa"/>
            <w:vAlign w:val="bottom"/>
            <w:gridSpan w:val="2"/>
          </w:tcPr>
          <w:p>
            <w:pPr>
              <w:jc w:val="right"/>
              <w:ind w:right="1040"/>
              <w:spacing w:after="0"/>
              <w:rPr>
                <w:sz w:val="20"/>
                <w:szCs w:val="20"/>
                <w:color w:val="auto"/>
              </w:rPr>
            </w:pPr>
            <w:r>
              <w:rPr>
                <w:rFonts w:ascii="Arial" w:cs="Arial" w:eastAsia="Arial" w:hAnsi="Arial"/>
                <w:sz w:val="18"/>
                <w:szCs w:val="18"/>
                <w:b w:val="1"/>
                <w:bCs w:val="1"/>
                <w:color w:val="auto"/>
              </w:rPr>
              <w:t>Abstain</w:t>
            </w:r>
          </w:p>
        </w:tc>
        <w:tc>
          <w:tcPr>
            <w:tcW w:w="2420" w:type="dxa"/>
            <w:vAlign w:val="bottom"/>
            <w:gridSpan w:val="2"/>
          </w:tcPr>
          <w:p>
            <w:pPr>
              <w:ind w:left="480"/>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244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78,453,210</w:t>
            </w:r>
          </w:p>
        </w:tc>
        <w:tc>
          <w:tcPr>
            <w:tcW w:w="22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4,818,325</w:t>
            </w:r>
          </w:p>
        </w:tc>
        <w:tc>
          <w:tcPr>
            <w:tcW w:w="2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56,368</w:t>
            </w:r>
          </w:p>
        </w:tc>
        <w:tc>
          <w:tcPr>
            <w:tcW w:w="18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7,147,685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Based on the votes set forth above, the amendment to the Amended and Restated 2017 Plan was duly approved and adopted by our stockholders.</w:t>
      </w:r>
    </w:p>
    <w:p>
      <w:pPr>
        <w:spacing w:after="0" w:line="248" w:lineRule="exact"/>
        <w:rPr>
          <w:sz w:val="20"/>
          <w:szCs w:val="20"/>
          <w:color w:val="auto"/>
        </w:rPr>
      </w:pPr>
    </w:p>
    <w:p>
      <w:pPr>
        <w:ind w:right="100" w:firstLine="500"/>
        <w:spacing w:after="0" w:line="277" w:lineRule="auto"/>
        <w:tabs>
          <w:tab w:leader="none" w:pos="1212"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Votes regarding ratification of the appointment of Ernst &amp; Young LLP as independent auditors of the Company to serve for the fiscal year ending March 31, 2022,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2660" w:type="dxa"/>
            <w:vAlign w:val="bottom"/>
            <w:gridSpan w:val="2"/>
          </w:tcPr>
          <w:p>
            <w:pPr>
              <w:ind w:left="1080"/>
              <w:spacing w:after="0"/>
              <w:rPr>
                <w:sz w:val="20"/>
                <w:szCs w:val="20"/>
                <w:color w:val="auto"/>
              </w:rPr>
            </w:pPr>
            <w:r>
              <w:rPr>
                <w:rFonts w:ascii="Arial" w:cs="Arial" w:eastAsia="Arial" w:hAnsi="Arial"/>
                <w:sz w:val="18"/>
                <w:szCs w:val="18"/>
                <w:b w:val="1"/>
                <w:bCs w:val="1"/>
                <w:color w:val="auto"/>
              </w:rPr>
              <w:t>For</w:t>
            </w:r>
          </w:p>
        </w:tc>
        <w:tc>
          <w:tcPr>
            <w:tcW w:w="2540" w:type="dxa"/>
            <w:vAlign w:val="bottom"/>
            <w:gridSpan w:val="2"/>
          </w:tcPr>
          <w:p>
            <w:pPr>
              <w:ind w:left="860"/>
              <w:spacing w:after="0"/>
              <w:rPr>
                <w:sz w:val="20"/>
                <w:szCs w:val="20"/>
                <w:color w:val="auto"/>
              </w:rPr>
            </w:pPr>
            <w:r>
              <w:rPr>
                <w:rFonts w:ascii="Arial" w:cs="Arial" w:eastAsia="Arial" w:hAnsi="Arial"/>
                <w:sz w:val="18"/>
                <w:szCs w:val="18"/>
                <w:b w:val="1"/>
                <w:bCs w:val="1"/>
                <w:color w:val="auto"/>
              </w:rPr>
              <w:t>Against</w:t>
            </w:r>
          </w:p>
        </w:tc>
        <w:tc>
          <w:tcPr>
            <w:tcW w:w="2480" w:type="dxa"/>
            <w:vAlign w:val="bottom"/>
            <w:gridSpan w:val="2"/>
          </w:tcPr>
          <w:p>
            <w:pPr>
              <w:jc w:val="right"/>
              <w:ind w:right="1040"/>
              <w:spacing w:after="0"/>
              <w:rPr>
                <w:sz w:val="20"/>
                <w:szCs w:val="20"/>
                <w:color w:val="auto"/>
              </w:rPr>
            </w:pPr>
            <w:r>
              <w:rPr>
                <w:rFonts w:ascii="Arial" w:cs="Arial" w:eastAsia="Arial" w:hAnsi="Arial"/>
                <w:sz w:val="18"/>
                <w:szCs w:val="18"/>
                <w:b w:val="1"/>
                <w:bCs w:val="1"/>
                <w:color w:val="auto"/>
              </w:rPr>
              <w:t>Abstain</w:t>
            </w:r>
          </w:p>
        </w:tc>
        <w:tc>
          <w:tcPr>
            <w:tcW w:w="2420" w:type="dxa"/>
            <w:vAlign w:val="bottom"/>
            <w:gridSpan w:val="2"/>
          </w:tcPr>
          <w:p>
            <w:pPr>
              <w:ind w:left="480"/>
              <w:spacing w:after="0"/>
              <w:rPr>
                <w:sz w:val="20"/>
                <w:szCs w:val="20"/>
                <w:color w:val="auto"/>
              </w:rPr>
            </w:pPr>
            <w:r>
              <w:rPr>
                <w:rFonts w:ascii="Arial" w:cs="Arial" w:eastAsia="Arial" w:hAnsi="Arial"/>
                <w:sz w:val="18"/>
                <w:szCs w:val="18"/>
                <w:b w:val="1"/>
                <w:bCs w:val="1"/>
                <w:color w:val="auto"/>
              </w:rPr>
              <w:t>Broker Non-Votes</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244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87,465,993</w:t>
            </w:r>
          </w:p>
        </w:tc>
        <w:tc>
          <w:tcPr>
            <w:tcW w:w="22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2,967,218</w:t>
            </w:r>
          </w:p>
        </w:tc>
        <w:tc>
          <w:tcPr>
            <w:tcW w:w="2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42,377</w:t>
            </w:r>
          </w:p>
        </w:tc>
        <w:tc>
          <w:tcPr>
            <w:tcW w:w="18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ind w:right="460" w:firstLine="495"/>
        <w:spacing w:after="0" w:line="277" w:lineRule="auto"/>
        <w:rPr>
          <w:sz w:val="20"/>
          <w:szCs w:val="20"/>
          <w:color w:val="auto"/>
        </w:rPr>
      </w:pPr>
      <w:r>
        <w:rPr>
          <w:rFonts w:ascii="Arial" w:cs="Arial" w:eastAsia="Arial" w:hAnsi="Arial"/>
          <w:sz w:val="18"/>
          <w:szCs w:val="18"/>
          <w:color w:val="auto"/>
        </w:rPr>
        <w:t>Based on the votes set forth above, the appointment of Ernst &amp; Young LLP as independent auditors of the Company to serve for the fiscal year ending March 31, 2022 was duly ratified by our stockholders.</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60" w:hanging="704"/>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3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20" w:type="dxa"/>
            <w:vAlign w:val="bottom"/>
            <w:gridSpan w:val="11"/>
          </w:tcPr>
          <w:p>
            <w:pPr>
              <w:ind w:left="380"/>
              <w:spacing w:after="0"/>
              <w:rPr>
                <w:sz w:val="20"/>
                <w:szCs w:val="20"/>
                <w:color w:val="auto"/>
              </w:rPr>
            </w:pPr>
            <w:r>
              <w:rPr>
                <w:rFonts w:ascii="Arial" w:cs="Arial" w:eastAsia="Arial" w:hAnsi="Arial"/>
                <w:sz w:val="18"/>
                <w:szCs w:val="18"/>
                <w:b w:val="1"/>
                <w:bCs w:val="1"/>
                <w:color w:val="auto"/>
              </w:rPr>
              <w:t>Incorporated by Reference</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r>
      <w:tr>
        <w:trPr>
          <w:trHeight w:val="223"/>
        </w:trPr>
        <w:tc>
          <w:tcPr>
            <w:tcW w:w="9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No.</w:t>
            </w:r>
          </w:p>
        </w:tc>
        <w:tc>
          <w:tcPr>
            <w:tcW w:w="320" w:type="dxa"/>
            <w:vAlign w:val="bottom"/>
          </w:tcPr>
          <w:p>
            <w:pPr>
              <w:spacing w:after="0"/>
              <w:rPr>
                <w:sz w:val="19"/>
                <w:szCs w:val="19"/>
                <w:color w:val="auto"/>
              </w:rPr>
            </w:pPr>
          </w:p>
        </w:tc>
        <w:tc>
          <w:tcPr>
            <w:tcW w:w="6000" w:type="dxa"/>
            <w:vAlign w:val="bottom"/>
            <w:gridSpan w:val="3"/>
          </w:tcPr>
          <w:p>
            <w:pPr>
              <w:ind w:left="2340"/>
              <w:spacing w:after="0"/>
              <w:rPr>
                <w:sz w:val="20"/>
                <w:szCs w:val="20"/>
                <w:color w:val="auto"/>
              </w:rPr>
            </w:pPr>
            <w:r>
              <w:rPr>
                <w:rFonts w:ascii="Arial" w:cs="Arial" w:eastAsia="Arial" w:hAnsi="Arial"/>
                <w:sz w:val="18"/>
                <w:szCs w:val="18"/>
                <w:b w:val="1"/>
                <w:bCs w:val="1"/>
                <w:color w:val="auto"/>
              </w:rPr>
              <w:t>Description</w:t>
            </w: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3"/>
          </w:tcPr>
          <w:p>
            <w:pPr>
              <w:jc w:val="center"/>
              <w:ind w:right="180"/>
              <w:spacing w:after="0"/>
              <w:rPr>
                <w:sz w:val="20"/>
                <w:szCs w:val="20"/>
                <w:color w:val="auto"/>
              </w:rPr>
            </w:pPr>
            <w:r>
              <w:rPr>
                <w:rFonts w:ascii="Arial" w:cs="Arial" w:eastAsia="Arial" w:hAnsi="Arial"/>
                <w:sz w:val="18"/>
                <w:szCs w:val="18"/>
                <w:b w:val="1"/>
                <w:bCs w:val="1"/>
                <w:color w:val="auto"/>
                <w:w w:val="97"/>
              </w:rPr>
              <w:t>Form</w:t>
            </w:r>
          </w:p>
        </w:tc>
        <w:tc>
          <w:tcPr>
            <w:tcW w:w="900" w:type="dxa"/>
            <w:vAlign w:val="bottom"/>
            <w:tcBorders>
              <w:top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91"/>
              </w:rPr>
              <w:t>Filing Date</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169"/>
        </w:trPr>
        <w:tc>
          <w:tcPr>
            <w:tcW w:w="800" w:type="dxa"/>
            <w:vAlign w:val="bottom"/>
            <w:tcBorders>
              <w:top w:val="single" w:sz="8" w:color="auto"/>
            </w:tcBorders>
            <w:gridSpan w:val="2"/>
          </w:tcPr>
          <w:p>
            <w:pPr>
              <w:spacing w:after="0" w:line="169" w:lineRule="exact"/>
              <w:rPr>
                <w:rFonts w:ascii="Arial" w:cs="Arial" w:eastAsia="Arial" w:hAnsi="Arial"/>
                <w:sz w:val="18"/>
                <w:szCs w:val="18"/>
                <w:color w:val="0000EE"/>
              </w:rPr>
            </w:pPr>
            <w:hyperlink r:id="rId13">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20" w:type="dxa"/>
            <w:vAlign w:val="bottom"/>
          </w:tcPr>
          <w:p>
            <w:pPr>
              <w:spacing w:after="0"/>
              <w:rPr>
                <w:sz w:val="14"/>
                <w:szCs w:val="14"/>
                <w:color w:val="auto"/>
              </w:rPr>
            </w:pPr>
          </w:p>
        </w:tc>
        <w:tc>
          <w:tcPr>
            <w:tcW w:w="6180" w:type="dxa"/>
            <w:vAlign w:val="bottom"/>
            <w:tcBorders>
              <w:top w:val="single" w:sz="8" w:color="auto"/>
            </w:tcBorders>
            <w:gridSpan w:val="3"/>
          </w:tcPr>
          <w:p>
            <w:pPr>
              <w:spacing w:after="0" w:line="169" w:lineRule="exact"/>
              <w:rPr>
                <w:rFonts w:ascii="Arial" w:cs="Arial" w:eastAsia="Arial" w:hAnsi="Arial"/>
                <w:sz w:val="18"/>
                <w:szCs w:val="18"/>
                <w:color w:val="0000EE"/>
                <w:w w:val="94"/>
              </w:rPr>
            </w:pPr>
            <w:hyperlink r:id="rId13">
              <w:r>
                <w:rPr>
                  <w:rFonts w:ascii="Arial" w:cs="Arial" w:eastAsia="Arial" w:hAnsi="Arial"/>
                  <w:sz w:val="18"/>
                  <w:szCs w:val="18"/>
                  <w:color w:val="0000EE"/>
                  <w:w w:val="94"/>
                </w:rPr>
                <w:t>Amended and Restated Take-Two Interactive Software, Inc. 2017 Stock Incentive</w:t>
              </w:r>
            </w:hyperlink>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9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13">
              <w:r>
                <w:rPr>
                  <w:rFonts w:ascii="Arial" w:cs="Arial" w:eastAsia="Arial" w:hAnsi="Arial"/>
                  <w:sz w:val="18"/>
                  <w:szCs w:val="18"/>
                  <w:color w:val="0000EE"/>
                </w:rPr>
                <w:t>Plan</w:t>
              </w:r>
            </w:hyperlink>
          </w:p>
        </w:tc>
        <w:tc>
          <w:tcPr>
            <w:tcW w:w="4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center"/>
              <w:ind w:right="200"/>
              <w:spacing w:after="0" w:line="196" w:lineRule="exact"/>
              <w:rPr>
                <w:rFonts w:ascii="Arial" w:cs="Arial" w:eastAsia="Arial" w:hAnsi="Arial"/>
                <w:sz w:val="18"/>
                <w:szCs w:val="18"/>
                <w:color w:val="0000EE"/>
                <w:w w:val="95"/>
              </w:rPr>
            </w:pPr>
            <w:hyperlink r:id="rId13">
              <w:r>
                <w:rPr>
                  <w:rFonts w:ascii="Arial" w:cs="Arial" w:eastAsia="Arial" w:hAnsi="Arial"/>
                  <w:sz w:val="18"/>
                  <w:szCs w:val="18"/>
                  <w:color w:val="0000EE"/>
                  <w:w w:val="95"/>
                </w:rPr>
                <w:t>DEF 14A</w:t>
              </w:r>
            </w:hyperlink>
          </w:p>
        </w:tc>
        <w:tc>
          <w:tcPr>
            <w:tcW w:w="900" w:type="dxa"/>
            <w:vAlign w:val="bottom"/>
            <w:gridSpan w:val="4"/>
          </w:tcPr>
          <w:p>
            <w:pPr>
              <w:jc w:val="center"/>
              <w:ind w:right="100"/>
              <w:spacing w:after="0" w:line="196" w:lineRule="exact"/>
              <w:rPr>
                <w:rFonts w:ascii="Arial" w:cs="Arial" w:eastAsia="Arial" w:hAnsi="Arial"/>
                <w:sz w:val="18"/>
                <w:szCs w:val="18"/>
                <w:color w:val="0000EE"/>
                <w:w w:val="99"/>
              </w:rPr>
            </w:pPr>
            <w:hyperlink r:id="rId13">
              <w:r>
                <w:rPr>
                  <w:rFonts w:ascii="Arial" w:cs="Arial" w:eastAsia="Arial" w:hAnsi="Arial"/>
                  <w:sz w:val="18"/>
                  <w:szCs w:val="18"/>
                  <w:color w:val="0000EE"/>
                  <w:w w:val="99"/>
                </w:rPr>
                <w:t>B</w:t>
              </w:r>
            </w:hyperlink>
          </w:p>
        </w:tc>
        <w:tc>
          <w:tcPr>
            <w:tcW w:w="1220" w:type="dxa"/>
            <w:vAlign w:val="bottom"/>
            <w:gridSpan w:val="4"/>
          </w:tcPr>
          <w:p>
            <w:pPr>
              <w:jc w:val="center"/>
              <w:ind w:right="100"/>
              <w:spacing w:after="0" w:line="196" w:lineRule="exact"/>
              <w:rPr>
                <w:rFonts w:ascii="Arial" w:cs="Arial" w:eastAsia="Arial" w:hAnsi="Arial"/>
                <w:sz w:val="18"/>
                <w:szCs w:val="18"/>
                <w:color w:val="0000EE"/>
                <w:w w:val="89"/>
              </w:rPr>
            </w:pPr>
            <w:hyperlink r:id="rId13">
              <w:r>
                <w:rPr>
                  <w:rFonts w:ascii="Arial" w:cs="Arial" w:eastAsia="Arial" w:hAnsi="Arial"/>
                  <w:sz w:val="18"/>
                  <w:szCs w:val="18"/>
                  <w:color w:val="0000EE"/>
                  <w:w w:val="89"/>
                </w:rPr>
                <w:t>July 27, 2021</w:t>
              </w:r>
            </w:hyperlink>
          </w:p>
        </w:tc>
        <w:tc>
          <w:tcPr>
            <w:tcW w:w="90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2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TAKE-TWO INTERACTIVE SOFTWARE, INC.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Breitman</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Matthew Breitman</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w w:val="98"/>
              </w:rPr>
              <w:t>Senior Vice President, General Counsel Americas &amp; Corporate</w:t>
            </w:r>
          </w:p>
        </w:tc>
      </w:tr>
      <w:tr>
        <w:trPr>
          <w:trHeight w:val="230"/>
        </w:trPr>
        <w:tc>
          <w:tcPr>
            <w:tcW w:w="6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rPr>
          <w:sz w:val="20"/>
          <w:szCs w:val="20"/>
          <w:color w:val="auto"/>
        </w:rPr>
      </w:pPr>
      <w:r>
        <w:rPr>
          <w:rFonts w:ascii="Arial" w:cs="Arial" w:eastAsia="Arial" w:hAnsi="Arial"/>
          <w:sz w:val="18"/>
          <w:szCs w:val="18"/>
          <w:color w:val="auto"/>
        </w:rPr>
        <w:t>Date: September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3" Type="http://schemas.openxmlformats.org/officeDocument/2006/relationships/hyperlink" Target="http://www.sec.gov/Archives/edgar/data/946581/000119312521225858/d148254ddef14a.htm#tx148254_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2021-09-17T16:19:27Z</dcterms:created>
  <dcterms:modified xsi:type="dcterms:W3CDTF">2021-09-17T16:19:27Z</dcterms:modified>
</cp:coreProperties>
</file>