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b w:val="1"/>
          <w:bCs w:val="1"/>
          <w:u w:val="single" w:color="auto"/>
          <w:color w:val="0000EE"/>
        </w:rPr>
      </w:pP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As filed with the Securities and Exchange Commission on September 4, 2020</w:t>
      </w:r>
    </w:p>
    <w:p>
      <w:pPr>
        <w:spacing w:after="0" w:line="2" w:lineRule="exact"/>
        <w:rPr>
          <w:sz w:val="24"/>
          <w:szCs w:val="24"/>
          <w:color w:val="auto"/>
        </w:rPr>
      </w:pPr>
    </w:p>
    <w:p>
      <w:pPr>
        <w:ind w:left="9620"/>
        <w:spacing w:after="0"/>
        <w:rPr>
          <w:sz w:val="20"/>
          <w:szCs w:val="20"/>
          <w:color w:val="auto"/>
        </w:rPr>
      </w:pPr>
      <w:r>
        <w:rPr>
          <w:rFonts w:ascii="Times New Roman" w:cs="Times New Roman" w:eastAsia="Times New Roman" w:hAnsi="Times New Roman"/>
          <w:sz w:val="12"/>
          <w:szCs w:val="12"/>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60960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103505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1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100330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5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FORM S-3</w:t>
      </w:r>
    </w:p>
    <w:p>
      <w:pPr>
        <w:spacing w:after="0" w:line="3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REGISTRATION STATEMENT</w:t>
      </w:r>
    </w:p>
    <w:p>
      <w:pPr>
        <w:jc w:val="center"/>
        <w:ind w:right="-119"/>
        <w:spacing w:after="0" w:line="224" w:lineRule="auto"/>
        <w:rPr>
          <w:sz w:val="20"/>
          <w:szCs w:val="20"/>
          <w:color w:val="auto"/>
        </w:rPr>
      </w:pPr>
      <w:r>
        <w:rPr>
          <w:rFonts w:ascii="Times New Roman" w:cs="Times New Roman" w:eastAsia="Times New Roman" w:hAnsi="Times New Roman"/>
          <w:sz w:val="14"/>
          <w:szCs w:val="14"/>
          <w:b w:val="1"/>
          <w:bCs w:val="1"/>
          <w:i w:val="1"/>
          <w:iCs w:val="1"/>
          <w:color w:val="auto"/>
        </w:rPr>
        <w:t>UNDER</w:t>
      </w:r>
    </w:p>
    <w:p>
      <w:pPr>
        <w:spacing w:after="0" w:line="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99060</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5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TAKE-TWO INTERACTIVE SOFTWARE, INC.</w:t>
      </w:r>
    </w:p>
    <w:p>
      <w:pPr>
        <w:spacing w:after="0" w:line="2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121920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140"/>
          </w:cols>
          <w:pgMar w:left="320" w:top="226" w:right="439" w:bottom="1440" w:gutter="0" w:footer="0" w:header="0"/>
        </w:sectPr>
      </w:pPr>
    </w:p>
    <w:p>
      <w:pPr>
        <w:spacing w:after="0" w:line="294" w:lineRule="exact"/>
        <w:rPr>
          <w:sz w:val="24"/>
          <w:szCs w:val="24"/>
          <w:color w:val="auto"/>
        </w:rPr>
      </w:pPr>
    </w:p>
    <w:p>
      <w:pPr>
        <w:ind w:left="2640"/>
        <w:spacing w:after="0"/>
        <w:rPr>
          <w:sz w:val="20"/>
          <w:szCs w:val="20"/>
          <w:color w:val="auto"/>
        </w:rPr>
      </w:pPr>
      <w:r>
        <w:rPr>
          <w:rFonts w:ascii="Times New Roman" w:cs="Times New Roman" w:eastAsia="Times New Roman" w:hAnsi="Times New Roman"/>
          <w:sz w:val="13"/>
          <w:szCs w:val="13"/>
          <w:b w:val="1"/>
          <w:bCs w:val="1"/>
          <w:color w:val="auto"/>
        </w:rPr>
        <w:t>Delaware</w:t>
      </w:r>
    </w:p>
    <w:p>
      <w:pPr>
        <w:ind w:left="2120"/>
        <w:spacing w:after="0" w:line="237" w:lineRule="auto"/>
        <w:rPr>
          <w:sz w:val="20"/>
          <w:szCs w:val="20"/>
          <w:color w:val="auto"/>
        </w:rPr>
      </w:pPr>
      <w:r>
        <w:rPr>
          <w:rFonts w:ascii="Times New Roman" w:cs="Times New Roman" w:eastAsia="Times New Roman" w:hAnsi="Times New Roman"/>
          <w:sz w:val="12"/>
          <w:szCs w:val="12"/>
          <w:b w:val="1"/>
          <w:bCs w:val="1"/>
          <w:color w:val="auto"/>
        </w:rPr>
        <w:t>(State or other jurisdiction of</w:t>
      </w:r>
    </w:p>
    <w:p>
      <w:pPr>
        <w:ind w:left="2080"/>
        <w:spacing w:after="0"/>
        <w:rPr>
          <w:sz w:val="20"/>
          <w:szCs w:val="20"/>
          <w:color w:val="auto"/>
        </w:rPr>
      </w:pPr>
      <w:r>
        <w:rPr>
          <w:rFonts w:ascii="Times New Roman" w:cs="Times New Roman" w:eastAsia="Times New Roman" w:hAnsi="Times New Roman"/>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74" w:lineRule="exact"/>
        <w:rPr>
          <w:sz w:val="24"/>
          <w:szCs w:val="24"/>
          <w:color w:val="auto"/>
        </w:rPr>
      </w:pPr>
    </w:p>
    <w:p>
      <w:pPr>
        <w:jc w:val="center"/>
        <w:ind w:right="2060"/>
        <w:spacing w:after="0"/>
        <w:rPr>
          <w:sz w:val="20"/>
          <w:szCs w:val="20"/>
          <w:color w:val="auto"/>
        </w:rPr>
      </w:pPr>
      <w:r>
        <w:rPr>
          <w:rFonts w:ascii="Times New Roman" w:cs="Times New Roman" w:eastAsia="Times New Roman" w:hAnsi="Times New Roman"/>
          <w:sz w:val="13"/>
          <w:szCs w:val="13"/>
          <w:b w:val="1"/>
          <w:bCs w:val="1"/>
          <w:color w:val="auto"/>
        </w:rPr>
        <w:t>51-0350842</w:t>
      </w:r>
    </w:p>
    <w:p>
      <w:pPr>
        <w:jc w:val="center"/>
        <w:ind w:right="2060"/>
        <w:spacing w:after="0" w:line="219" w:lineRule="auto"/>
        <w:rPr>
          <w:sz w:val="20"/>
          <w:szCs w:val="20"/>
          <w:color w:val="auto"/>
        </w:rPr>
      </w:pPr>
      <w:r>
        <w:rPr>
          <w:rFonts w:ascii="Times New Roman" w:cs="Times New Roman" w:eastAsia="Times New Roman" w:hAnsi="Times New Roman"/>
          <w:sz w:val="13"/>
          <w:szCs w:val="13"/>
          <w:b w:val="1"/>
          <w:bCs w:val="1"/>
          <w:color w:val="auto"/>
        </w:rPr>
        <w:t>(I.R.S. Employer</w:t>
      </w:r>
    </w:p>
    <w:p>
      <w:pPr>
        <w:jc w:val="center"/>
        <w:ind w:right="2060"/>
        <w:spacing w:after="0"/>
        <w:rPr>
          <w:sz w:val="20"/>
          <w:szCs w:val="20"/>
          <w:color w:val="auto"/>
        </w:rPr>
      </w:pPr>
      <w:r>
        <w:rPr>
          <w:rFonts w:ascii="Times New Roman" w:cs="Times New Roman" w:eastAsia="Times New Roman" w:hAnsi="Times New Roman"/>
          <w:sz w:val="12"/>
          <w:szCs w:val="12"/>
          <w:b w:val="1"/>
          <w:bCs w:val="1"/>
          <w:color w:val="auto"/>
        </w:rPr>
        <w:t>Identification Number)</w:t>
      </w:r>
    </w:p>
    <w:p>
      <w:pPr>
        <w:spacing w:after="0" w:line="22" w:lineRule="exact"/>
        <w:rPr>
          <w:sz w:val="24"/>
          <w:szCs w:val="24"/>
          <w:color w:val="auto"/>
        </w:rPr>
      </w:pPr>
    </w:p>
    <w:p>
      <w:pPr>
        <w:sectPr>
          <w:pgSz w:w="11900" w:h="16838" w:orient="portrait"/>
          <w:cols w:equalWidth="0" w:num="2">
            <w:col w:w="7120" w:space="720"/>
            <w:col w:w="3300"/>
          </w:cols>
          <w:pgMar w:left="320" w:top="226" w:right="439" w:bottom="1440" w:gutter="0" w:footer="0" w:header="0"/>
          <w:type w:val="continuous"/>
        </w:sectPr>
      </w:pPr>
    </w:p>
    <w:p>
      <w:pPr>
        <w:ind w:left="5080"/>
        <w:spacing w:after="0"/>
        <w:rPr>
          <w:sz w:val="20"/>
          <w:szCs w:val="20"/>
          <w:color w:val="auto"/>
        </w:rPr>
      </w:pPr>
      <w:r>
        <w:rPr>
          <w:rFonts w:ascii="Times New Roman" w:cs="Times New Roman" w:eastAsia="Times New Roman" w:hAnsi="Times New Roman"/>
          <w:sz w:val="13"/>
          <w:szCs w:val="13"/>
          <w:b w:val="1"/>
          <w:bCs w:val="1"/>
          <w:color w:val="auto"/>
        </w:rPr>
        <w:t>110 West 44th Street</w:t>
      </w:r>
    </w:p>
    <w:p>
      <w:pPr>
        <w:ind w:left="4880"/>
        <w:spacing w:after="0" w:line="237" w:lineRule="auto"/>
        <w:rPr>
          <w:sz w:val="20"/>
          <w:szCs w:val="20"/>
          <w:color w:val="auto"/>
        </w:rPr>
      </w:pPr>
      <w:r>
        <w:rPr>
          <w:rFonts w:ascii="Times New Roman" w:cs="Times New Roman" w:eastAsia="Times New Roman" w:hAnsi="Times New Roman"/>
          <w:sz w:val="12"/>
          <w:szCs w:val="12"/>
          <w:b w:val="1"/>
          <w:bCs w:val="1"/>
          <w:color w:val="auto"/>
        </w:rPr>
        <w:t>New York, New York 10036</w:t>
      </w:r>
    </w:p>
    <w:p>
      <w:pPr>
        <w:ind w:left="5240"/>
        <w:spacing w:after="0"/>
        <w:rPr>
          <w:sz w:val="20"/>
          <w:szCs w:val="20"/>
          <w:color w:val="auto"/>
        </w:rPr>
      </w:pPr>
      <w:r>
        <w:rPr>
          <w:rFonts w:ascii="Times New Roman" w:cs="Times New Roman" w:eastAsia="Times New Roman" w:hAnsi="Times New Roman"/>
          <w:sz w:val="13"/>
          <w:szCs w:val="13"/>
          <w:b w:val="1"/>
          <w:bCs w:val="1"/>
          <w:color w:val="auto"/>
        </w:rPr>
        <w:t>(646) 536-2842</w:t>
      </w:r>
    </w:p>
    <w:p>
      <w:pPr>
        <w:sectPr>
          <w:pgSz w:w="11900" w:h="16838" w:orient="portrait"/>
          <w:cols w:equalWidth="0" w:num="1">
            <w:col w:w="11140"/>
          </w:cols>
          <w:pgMar w:left="320" w:top="226" w:right="439" w:bottom="1440" w:gutter="0" w:footer="0" w:header="0"/>
          <w:type w:val="continuous"/>
        </w:sectPr>
      </w:pP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87630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52"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Strauss Zelnick</w:t>
      </w:r>
    </w:p>
    <w:p>
      <w:pPr>
        <w:jc w:val="center"/>
        <w:ind w:right="-119"/>
        <w:spacing w:after="0" w:line="219" w:lineRule="auto"/>
        <w:rPr>
          <w:sz w:val="20"/>
          <w:szCs w:val="20"/>
          <w:color w:val="auto"/>
        </w:rPr>
      </w:pPr>
      <w:r>
        <w:rPr>
          <w:rFonts w:ascii="Times New Roman" w:cs="Times New Roman" w:eastAsia="Times New Roman" w:hAnsi="Times New Roman"/>
          <w:sz w:val="13"/>
          <w:szCs w:val="13"/>
          <w:b w:val="1"/>
          <w:bCs w:val="1"/>
          <w:color w:val="auto"/>
        </w:rPr>
        <w:t>Chairman and Chief Executive Officer</w:t>
      </w:r>
    </w:p>
    <w:p>
      <w:pPr>
        <w:jc w:val="center"/>
        <w:ind w:right="-119"/>
        <w:spacing w:after="0" w:line="216" w:lineRule="auto"/>
        <w:rPr>
          <w:sz w:val="20"/>
          <w:szCs w:val="20"/>
          <w:color w:val="auto"/>
        </w:rPr>
      </w:pPr>
      <w:r>
        <w:rPr>
          <w:rFonts w:ascii="Times New Roman" w:cs="Times New Roman" w:eastAsia="Times New Roman" w:hAnsi="Times New Roman"/>
          <w:sz w:val="13"/>
          <w:szCs w:val="13"/>
          <w:b w:val="1"/>
          <w:bCs w:val="1"/>
          <w:color w:val="auto"/>
        </w:rPr>
        <w:t>Take-Two Interactive Software, Inc.</w:t>
      </w: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110 West 44th Street</w:t>
      </w: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New York, New York 10036</w:t>
      </w: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(646) 536-2842</w:t>
      </w: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87630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52"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3"/>
          <w:szCs w:val="13"/>
          <w:b w:val="1"/>
          <w:bCs w:val="1"/>
          <w:i w:val="1"/>
          <w:iCs w:val="1"/>
          <w:color w:val="auto"/>
        </w:rPr>
        <w:t>Please address a copy of all communications to:</w:t>
      </w:r>
    </w:p>
    <w:p>
      <w:pPr>
        <w:spacing w:after="0" w:line="2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Adam M. Turteltaub, Esq.</w:t>
      </w:r>
    </w:p>
    <w:p>
      <w:pPr>
        <w:jc w:val="center"/>
        <w:ind w:right="-119"/>
        <w:spacing w:after="0" w:line="219" w:lineRule="auto"/>
        <w:rPr>
          <w:sz w:val="20"/>
          <w:szCs w:val="20"/>
          <w:color w:val="auto"/>
        </w:rPr>
      </w:pPr>
      <w:r>
        <w:rPr>
          <w:rFonts w:ascii="Times New Roman" w:cs="Times New Roman" w:eastAsia="Times New Roman" w:hAnsi="Times New Roman"/>
          <w:sz w:val="13"/>
          <w:szCs w:val="13"/>
          <w:b w:val="1"/>
          <w:bCs w:val="1"/>
          <w:color w:val="auto"/>
        </w:rPr>
        <w:t>Sean M. Ewen, Esq.</w:t>
      </w:r>
    </w:p>
    <w:p>
      <w:pPr>
        <w:jc w:val="center"/>
        <w:ind w:right="-119"/>
        <w:spacing w:after="0" w:line="216" w:lineRule="auto"/>
        <w:rPr>
          <w:sz w:val="20"/>
          <w:szCs w:val="20"/>
          <w:color w:val="auto"/>
        </w:rPr>
      </w:pPr>
      <w:r>
        <w:rPr>
          <w:rFonts w:ascii="Times New Roman" w:cs="Times New Roman" w:eastAsia="Times New Roman" w:hAnsi="Times New Roman"/>
          <w:sz w:val="13"/>
          <w:szCs w:val="13"/>
          <w:b w:val="1"/>
          <w:bCs w:val="1"/>
          <w:color w:val="auto"/>
        </w:rPr>
        <w:t>Willkie Farr &amp; Gallagher LLP</w:t>
      </w: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787 Seventh Avenue</w:t>
      </w:r>
    </w:p>
    <w:p>
      <w:pPr>
        <w:jc w:val="center"/>
        <w:ind w:right="-119"/>
        <w:spacing w:after="0" w:line="217" w:lineRule="auto"/>
        <w:rPr>
          <w:sz w:val="20"/>
          <w:szCs w:val="20"/>
          <w:color w:val="auto"/>
        </w:rPr>
      </w:pPr>
      <w:r>
        <w:rPr>
          <w:rFonts w:ascii="Times New Roman" w:cs="Times New Roman" w:eastAsia="Times New Roman" w:hAnsi="Times New Roman"/>
          <w:sz w:val="13"/>
          <w:szCs w:val="13"/>
          <w:b w:val="1"/>
          <w:bCs w:val="1"/>
          <w:color w:val="auto"/>
        </w:rPr>
        <w:t>New York, New York 10019</w:t>
      </w:r>
    </w:p>
    <w:p>
      <w:pPr>
        <w:jc w:val="center"/>
        <w:ind w:right="-119"/>
        <w:spacing w:after="0"/>
        <w:rPr>
          <w:sz w:val="20"/>
          <w:szCs w:val="20"/>
          <w:color w:val="auto"/>
        </w:rPr>
      </w:pPr>
      <w:r>
        <w:rPr>
          <w:rFonts w:ascii="Times New Roman" w:cs="Times New Roman" w:eastAsia="Times New Roman" w:hAnsi="Times New Roman"/>
          <w:sz w:val="13"/>
          <w:szCs w:val="13"/>
          <w:b w:val="1"/>
          <w:bCs w:val="1"/>
          <w:color w:val="auto"/>
        </w:rPr>
        <w:t>(212) 728-8000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87630</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52" w:lineRule="exact"/>
        <w:rPr>
          <w:sz w:val="24"/>
          <w:szCs w:val="24"/>
          <w:color w:val="auto"/>
        </w:rPr>
      </w:pPr>
    </w:p>
    <w:p>
      <w:pPr>
        <w:jc w:val="center"/>
        <w:ind w:right="3020"/>
        <w:spacing w:after="0"/>
        <w:rPr>
          <w:sz w:val="20"/>
          <w:szCs w:val="20"/>
          <w:color w:val="auto"/>
        </w:rPr>
      </w:pPr>
      <w:r>
        <w:rPr>
          <w:rFonts w:ascii="Times New Roman" w:cs="Times New Roman" w:eastAsia="Times New Roman" w:hAnsi="Times New Roman"/>
          <w:sz w:val="13"/>
          <w:szCs w:val="13"/>
          <w:b w:val="1"/>
          <w:bCs w:val="1"/>
          <w:color w:val="auto"/>
        </w:rPr>
        <w:t xml:space="preserve">Approximate date of commencement of proposed sale to the public: </w:t>
      </w:r>
      <w:r>
        <w:rPr>
          <w:rFonts w:ascii="Times New Roman" w:cs="Times New Roman" w:eastAsia="Times New Roman" w:hAnsi="Times New Roman"/>
          <w:sz w:val="13"/>
          <w:szCs w:val="13"/>
          <w:color w:val="auto"/>
        </w:rPr>
        <w:t>From time to time after the effective date of this registration statement.</w:t>
      </w:r>
    </w:p>
    <w:p>
      <w:pPr>
        <w:spacing w:after="0" w:line="17" w:lineRule="exact"/>
        <w:rPr>
          <w:sz w:val="24"/>
          <w:szCs w:val="24"/>
          <w:color w:val="auto"/>
        </w:rPr>
      </w:pPr>
    </w:p>
    <w:p>
      <w:pPr>
        <w:jc w:val="center"/>
        <w:ind w:right="3040"/>
        <w:spacing w:after="0" w:line="138" w:lineRule="exact"/>
        <w:rPr>
          <w:sz w:val="20"/>
          <w:szCs w:val="20"/>
          <w:color w:val="auto"/>
        </w:rPr>
      </w:pPr>
      <w:r>
        <w:rPr>
          <w:rFonts w:ascii="Times New Roman" w:cs="Times New Roman" w:eastAsia="Times New Roman" w:hAnsi="Times New Roman"/>
          <w:sz w:val="12"/>
          <w:szCs w:val="12"/>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2"/>
          <w:szCs w:val="12"/>
          <w:color w:val="auto"/>
        </w:rPr>
        <w:t>☐</w:t>
      </w:r>
    </w:p>
    <w:p>
      <w:pPr>
        <w:spacing w:after="0" w:line="52" w:lineRule="exact"/>
        <w:rPr>
          <w:sz w:val="24"/>
          <w:szCs w:val="24"/>
          <w:color w:val="auto"/>
        </w:rPr>
      </w:pPr>
    </w:p>
    <w:p>
      <w:pPr>
        <w:ind w:left="120" w:right="420"/>
        <w:spacing w:after="0" w:line="162" w:lineRule="exact"/>
        <w:rPr>
          <w:sz w:val="20"/>
          <w:szCs w:val="20"/>
          <w:color w:val="auto"/>
        </w:rPr>
      </w:pPr>
      <w:r>
        <w:rPr>
          <w:rFonts w:ascii="Times New Roman" w:cs="Times New Roman" w:eastAsia="Times New Roman" w:hAnsi="Times New Roman"/>
          <w:sz w:val="13"/>
          <w:szCs w:val="13"/>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3"/>
          <w:szCs w:val="13"/>
          <w:color w:val="auto"/>
        </w:rPr>
        <w:t>☒</w:t>
      </w:r>
    </w:p>
    <w:p>
      <w:pPr>
        <w:ind w:left="120" w:right="60"/>
        <w:spacing w:after="0" w:line="161" w:lineRule="exact"/>
        <w:rPr>
          <w:sz w:val="20"/>
          <w:szCs w:val="20"/>
          <w:color w:val="auto"/>
        </w:rPr>
      </w:pPr>
      <w:r>
        <w:rPr>
          <w:rFonts w:ascii="Times New Roman" w:cs="Times New Roman" w:eastAsia="Times New Roman" w:hAnsi="Times New Roman"/>
          <w:sz w:val="13"/>
          <w:szCs w:val="13"/>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3"/>
          <w:szCs w:val="13"/>
          <w:color w:val="auto"/>
        </w:rPr>
        <w:t>☐</w:t>
      </w:r>
    </w:p>
    <w:p>
      <w:pPr>
        <w:ind w:left="120" w:right="260"/>
        <w:spacing w:after="0" w:line="157" w:lineRule="exact"/>
        <w:rPr>
          <w:sz w:val="20"/>
          <w:szCs w:val="20"/>
          <w:color w:val="auto"/>
        </w:rPr>
      </w:pPr>
      <w:r>
        <w:rPr>
          <w:rFonts w:ascii="Times New Roman" w:cs="Times New Roman" w:eastAsia="Times New Roman" w:hAnsi="Times New Roman"/>
          <w:sz w:val="13"/>
          <w:szCs w:val="13"/>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3"/>
          <w:szCs w:val="13"/>
          <w:color w:val="auto"/>
        </w:rPr>
        <w:t>☐</w:t>
      </w:r>
    </w:p>
    <w:p>
      <w:pPr>
        <w:ind w:left="120" w:right="520"/>
        <w:spacing w:after="0" w:line="162" w:lineRule="exact"/>
        <w:rPr>
          <w:sz w:val="20"/>
          <w:szCs w:val="20"/>
          <w:color w:val="auto"/>
        </w:rPr>
      </w:pPr>
      <w:r>
        <w:rPr>
          <w:rFonts w:ascii="Times New Roman" w:cs="Times New Roman" w:eastAsia="Times New Roman" w:hAnsi="Times New Roman"/>
          <w:sz w:val="13"/>
          <w:szCs w:val="13"/>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3"/>
          <w:szCs w:val="13"/>
          <w:color w:val="auto"/>
        </w:rPr>
        <w:t>☒</w:t>
      </w:r>
    </w:p>
    <w:p>
      <w:pPr>
        <w:ind w:left="120" w:right="180"/>
        <w:spacing w:after="0" w:line="161" w:lineRule="exact"/>
        <w:rPr>
          <w:sz w:val="20"/>
          <w:szCs w:val="20"/>
          <w:color w:val="auto"/>
        </w:rPr>
      </w:pPr>
      <w:r>
        <w:rPr>
          <w:rFonts w:ascii="Times New Roman" w:cs="Times New Roman" w:eastAsia="Times New Roman" w:hAnsi="Times New Roman"/>
          <w:sz w:val="13"/>
          <w:szCs w:val="13"/>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3"/>
          <w:szCs w:val="13"/>
          <w:color w:val="auto"/>
        </w:rPr>
        <w:t>☐</w:t>
      </w:r>
    </w:p>
    <w:p>
      <w:pPr>
        <w:ind w:left="120" w:right="540"/>
        <w:spacing w:after="0" w:line="228" w:lineRule="auto"/>
        <w:rPr>
          <w:sz w:val="20"/>
          <w:szCs w:val="20"/>
          <w:color w:val="auto"/>
        </w:rPr>
      </w:pPr>
      <w:r>
        <w:rPr>
          <w:rFonts w:ascii="Times New Roman" w:cs="Times New Roman" w:eastAsia="Times New Roman" w:hAnsi="Times New Roman"/>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5" w:lineRule="exact"/>
        <w:rPr>
          <w:sz w:val="24"/>
          <w:szCs w:val="24"/>
          <w:color w:val="auto"/>
        </w:rPr>
      </w:pPr>
    </w:p>
    <w:tbl>
      <w:tblPr>
        <w:tblLayout w:type="fixed"/>
        <w:tblInd w:w="120" w:type="dxa"/>
        <w:tblCellMar>
          <w:top w:w="0" w:type="dxa"/>
          <w:left w:w="0" w:type="dxa"/>
          <w:bottom w:w="0" w:type="dxa"/>
          <w:right w:w="0" w:type="dxa"/>
        </w:tblCellMar>
      </w:tblPr>
      <w:tr>
        <w:trPr>
          <w:trHeight w:val="199"/>
        </w:trPr>
        <w:tc>
          <w:tcPr>
            <w:tcW w:w="1280" w:type="dxa"/>
            <w:vAlign w:val="bottom"/>
          </w:tcPr>
          <w:p>
            <w:pPr>
              <w:spacing w:after="0"/>
              <w:rPr>
                <w:sz w:val="20"/>
                <w:szCs w:val="20"/>
                <w:color w:val="auto"/>
              </w:rPr>
            </w:pPr>
            <w:r>
              <w:rPr>
                <w:rFonts w:ascii="Times New Roman" w:cs="Times New Roman" w:eastAsia="Times New Roman" w:hAnsi="Times New Roman"/>
                <w:sz w:val="13"/>
                <w:szCs w:val="13"/>
                <w:color w:val="auto"/>
              </w:rPr>
              <w:t>Large accelerated filer</w:t>
            </w:r>
          </w:p>
        </w:tc>
        <w:tc>
          <w:tcPr>
            <w:tcW w:w="4080" w:type="dxa"/>
            <w:vAlign w:val="bottom"/>
          </w:tcPr>
          <w:p>
            <w:pPr>
              <w:ind w:left="160"/>
              <w:spacing w:after="0" w:line="131" w:lineRule="exact"/>
              <w:rPr>
                <w:sz w:val="20"/>
                <w:szCs w:val="20"/>
                <w:color w:val="auto"/>
              </w:rPr>
            </w:pPr>
            <w:r>
              <w:rPr>
                <w:rFonts w:ascii="MS PGothic" w:cs="MS PGothic" w:eastAsia="MS PGothic" w:hAnsi="MS PGothic"/>
                <w:sz w:val="13"/>
                <w:szCs w:val="13"/>
                <w:color w:val="auto"/>
              </w:rPr>
              <w:t>☒</w:t>
            </w:r>
          </w:p>
        </w:tc>
        <w:tc>
          <w:tcPr>
            <w:tcW w:w="5360" w:type="dxa"/>
            <w:vAlign w:val="bottom"/>
          </w:tcPr>
          <w:p>
            <w:pPr>
              <w:ind w:left="3780"/>
              <w:spacing w:after="0"/>
              <w:rPr>
                <w:sz w:val="20"/>
                <w:szCs w:val="20"/>
                <w:color w:val="auto"/>
              </w:rPr>
            </w:pPr>
            <w:r>
              <w:rPr>
                <w:rFonts w:ascii="Times New Roman" w:cs="Times New Roman" w:eastAsia="Times New Roman" w:hAnsi="Times New Roman"/>
                <w:sz w:val="13"/>
                <w:szCs w:val="13"/>
                <w:color w:val="auto"/>
              </w:rPr>
              <w:t>Accelerated filer</w:t>
            </w:r>
          </w:p>
        </w:tc>
        <w:tc>
          <w:tcPr>
            <w:tcW w:w="300" w:type="dxa"/>
            <w:vAlign w:val="bottom"/>
          </w:tcPr>
          <w:p>
            <w:pPr>
              <w:ind w:left="180"/>
              <w:spacing w:after="0" w:line="131" w:lineRule="exact"/>
              <w:rPr>
                <w:sz w:val="20"/>
                <w:szCs w:val="20"/>
                <w:color w:val="auto"/>
              </w:rPr>
            </w:pPr>
            <w:r>
              <w:rPr>
                <w:rFonts w:ascii="MS PGothic" w:cs="MS PGothic" w:eastAsia="MS PGothic" w:hAnsi="MS PGothic"/>
                <w:sz w:val="13"/>
                <w:szCs w:val="13"/>
                <w:color w:val="auto"/>
                <w:w w:val="76"/>
              </w:rPr>
              <w:t>☐</w:t>
            </w:r>
          </w:p>
        </w:tc>
      </w:tr>
      <w:tr>
        <w:trPr>
          <w:trHeight w:val="256"/>
        </w:trPr>
        <w:tc>
          <w:tcPr>
            <w:tcW w:w="1280" w:type="dxa"/>
            <w:vAlign w:val="bottom"/>
          </w:tcPr>
          <w:p>
            <w:pPr>
              <w:spacing w:after="0"/>
              <w:rPr>
                <w:sz w:val="20"/>
                <w:szCs w:val="20"/>
                <w:color w:val="auto"/>
              </w:rPr>
            </w:pPr>
            <w:r>
              <w:rPr>
                <w:rFonts w:ascii="Times New Roman" w:cs="Times New Roman" w:eastAsia="Times New Roman" w:hAnsi="Times New Roman"/>
                <w:sz w:val="13"/>
                <w:szCs w:val="13"/>
                <w:color w:val="auto"/>
              </w:rPr>
              <w:t>Non-accelerated filer</w:t>
            </w:r>
          </w:p>
        </w:tc>
        <w:tc>
          <w:tcPr>
            <w:tcW w:w="4080" w:type="dxa"/>
            <w:vAlign w:val="bottom"/>
          </w:tcPr>
          <w:p>
            <w:pPr>
              <w:ind w:left="160"/>
              <w:spacing w:after="0" w:line="131" w:lineRule="exact"/>
              <w:rPr>
                <w:sz w:val="20"/>
                <w:szCs w:val="20"/>
                <w:color w:val="auto"/>
              </w:rPr>
            </w:pPr>
            <w:r>
              <w:rPr>
                <w:rFonts w:ascii="MS PGothic" w:cs="MS PGothic" w:eastAsia="MS PGothic" w:hAnsi="MS PGothic"/>
                <w:sz w:val="13"/>
                <w:szCs w:val="13"/>
                <w:color w:val="auto"/>
              </w:rPr>
              <w:t>☐</w:t>
            </w:r>
          </w:p>
        </w:tc>
        <w:tc>
          <w:tcPr>
            <w:tcW w:w="5360" w:type="dxa"/>
            <w:vAlign w:val="bottom"/>
          </w:tcPr>
          <w:p>
            <w:pPr>
              <w:ind w:left="3780"/>
              <w:spacing w:after="0"/>
              <w:rPr>
                <w:sz w:val="20"/>
                <w:szCs w:val="20"/>
                <w:color w:val="auto"/>
              </w:rPr>
            </w:pPr>
            <w:r>
              <w:rPr>
                <w:rFonts w:ascii="Times New Roman" w:cs="Times New Roman" w:eastAsia="Times New Roman" w:hAnsi="Times New Roman"/>
                <w:sz w:val="13"/>
                <w:szCs w:val="13"/>
                <w:color w:val="auto"/>
              </w:rPr>
              <w:t>Smaller reporting company</w:t>
            </w:r>
          </w:p>
        </w:tc>
        <w:tc>
          <w:tcPr>
            <w:tcW w:w="300" w:type="dxa"/>
            <w:vAlign w:val="bottom"/>
          </w:tcPr>
          <w:p>
            <w:pPr>
              <w:ind w:left="180"/>
              <w:spacing w:after="0" w:line="131" w:lineRule="exact"/>
              <w:rPr>
                <w:sz w:val="20"/>
                <w:szCs w:val="20"/>
                <w:color w:val="auto"/>
              </w:rPr>
            </w:pPr>
            <w:r>
              <w:rPr>
                <w:rFonts w:ascii="MS PGothic" w:cs="MS PGothic" w:eastAsia="MS PGothic" w:hAnsi="MS PGothic"/>
                <w:sz w:val="13"/>
                <w:szCs w:val="13"/>
                <w:color w:val="auto"/>
                <w:w w:val="76"/>
              </w:rPr>
              <w:t>☐</w:t>
            </w:r>
          </w:p>
        </w:tc>
      </w:tr>
      <w:tr>
        <w:trPr>
          <w:trHeight w:val="257"/>
        </w:trPr>
        <w:tc>
          <w:tcPr>
            <w:tcW w:w="1280" w:type="dxa"/>
            <w:vAlign w:val="bottom"/>
          </w:tcPr>
          <w:p>
            <w:pPr>
              <w:spacing w:after="0"/>
              <w:rPr>
                <w:sz w:val="22"/>
                <w:szCs w:val="22"/>
                <w:color w:val="auto"/>
              </w:rPr>
            </w:pPr>
          </w:p>
        </w:tc>
        <w:tc>
          <w:tcPr>
            <w:tcW w:w="4080" w:type="dxa"/>
            <w:vAlign w:val="bottom"/>
          </w:tcPr>
          <w:p>
            <w:pPr>
              <w:spacing w:after="0"/>
              <w:rPr>
                <w:sz w:val="22"/>
                <w:szCs w:val="22"/>
                <w:color w:val="auto"/>
              </w:rPr>
            </w:pPr>
          </w:p>
        </w:tc>
        <w:tc>
          <w:tcPr>
            <w:tcW w:w="5360" w:type="dxa"/>
            <w:vAlign w:val="bottom"/>
          </w:tcPr>
          <w:p>
            <w:pPr>
              <w:ind w:left="3780"/>
              <w:spacing w:after="0"/>
              <w:rPr>
                <w:sz w:val="20"/>
                <w:szCs w:val="20"/>
                <w:color w:val="auto"/>
              </w:rPr>
            </w:pPr>
            <w:r>
              <w:rPr>
                <w:rFonts w:ascii="Times New Roman" w:cs="Times New Roman" w:eastAsia="Times New Roman" w:hAnsi="Times New Roman"/>
                <w:sz w:val="13"/>
                <w:szCs w:val="13"/>
                <w:color w:val="auto"/>
              </w:rPr>
              <w:t>Emerging growth company</w:t>
            </w:r>
          </w:p>
        </w:tc>
        <w:tc>
          <w:tcPr>
            <w:tcW w:w="300" w:type="dxa"/>
            <w:vAlign w:val="bottom"/>
          </w:tcPr>
          <w:p>
            <w:pPr>
              <w:ind w:left="180"/>
              <w:spacing w:after="0" w:line="131" w:lineRule="exact"/>
              <w:rPr>
                <w:sz w:val="20"/>
                <w:szCs w:val="20"/>
                <w:color w:val="auto"/>
              </w:rPr>
            </w:pPr>
            <w:r>
              <w:rPr>
                <w:rFonts w:ascii="MS PGothic" w:cs="MS PGothic" w:eastAsia="MS PGothic" w:hAnsi="MS PGothic"/>
                <w:sz w:val="13"/>
                <w:szCs w:val="13"/>
                <w:color w:val="auto"/>
                <w:w w:val="76"/>
              </w:rPr>
              <w:t>☐</w:t>
            </w:r>
          </w:p>
        </w:tc>
      </w:tr>
    </w:tbl>
    <w:p>
      <w:pPr>
        <w:ind w:left="120" w:right="100"/>
        <w:spacing w:after="0" w:line="162" w:lineRule="exact"/>
        <w:rPr>
          <w:sz w:val="20"/>
          <w:szCs w:val="20"/>
          <w:color w:val="auto"/>
        </w:rPr>
      </w:pPr>
      <w:r>
        <w:rPr>
          <w:rFonts w:ascii="Times New Roman" w:cs="Times New Roman" w:eastAsia="Times New Roman" w:hAnsi="Times New Roman"/>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7(a)(2)(B) of Securities Act. </w:t>
      </w:r>
      <w:r>
        <w:rPr>
          <w:rFonts w:ascii="MS PGothic" w:cs="MS PGothic" w:eastAsia="MS PGothic" w:hAnsi="MS PGothic"/>
          <w:sz w:val="13"/>
          <w:szCs w:val="13"/>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78740</wp:posOffset>
            </wp:positionV>
            <wp:extent cx="14744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137"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3"/>
          <w:szCs w:val="13"/>
          <w:b w:val="1"/>
          <w:bCs w:val="1"/>
          <w:color w:val="auto"/>
        </w:rPr>
        <w:t>CALCULATION OF REGISTRATION FEE</w:t>
      </w:r>
    </w:p>
    <w:p>
      <w:pPr>
        <w:spacing w:after="0" w:line="67" w:lineRule="exact"/>
        <w:rPr>
          <w:sz w:val="24"/>
          <w:szCs w:val="24"/>
          <w:color w:val="auto"/>
        </w:rPr>
      </w:pPr>
    </w:p>
    <w:tbl>
      <w:tblPr>
        <w:tblLayout w:type="fixed"/>
        <w:tblInd w:w="120" w:type="dxa"/>
        <w:tblCellMar>
          <w:top w:w="0" w:type="dxa"/>
          <w:left w:w="0" w:type="dxa"/>
          <w:bottom w:w="0" w:type="dxa"/>
          <w:right w:w="0" w:type="dxa"/>
        </w:tblCellMar>
      </w:tblPr>
      <w:tr>
        <w:trPr>
          <w:trHeight w:val="40"/>
        </w:trPr>
        <w:tc>
          <w:tcPr>
            <w:tcW w:w="488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r>
      <w:tr>
        <w:trPr>
          <w:trHeight w:val="95"/>
        </w:trPr>
        <w:tc>
          <w:tcPr>
            <w:tcW w:w="4880" w:type="dxa"/>
            <w:vAlign w:val="bottom"/>
            <w:tcBorders>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1540" w:type="dxa"/>
            <w:vAlign w:val="bottom"/>
            <w:tcBorders>
              <w:right w:val="single" w:sz="8" w:color="auto"/>
            </w:tcBorders>
          </w:tcPr>
          <w:p>
            <w:pPr>
              <w:jc w:val="center"/>
              <w:spacing w:after="0" w:line="95" w:lineRule="exact"/>
              <w:rPr>
                <w:sz w:val="20"/>
                <w:szCs w:val="20"/>
                <w:color w:val="auto"/>
              </w:rPr>
            </w:pPr>
            <w:r>
              <w:rPr>
                <w:rFonts w:ascii="Times New Roman" w:cs="Times New Roman" w:eastAsia="Times New Roman" w:hAnsi="Times New Roman"/>
                <w:sz w:val="10"/>
                <w:szCs w:val="10"/>
                <w:b w:val="1"/>
                <w:bCs w:val="1"/>
                <w:color w:val="auto"/>
              </w:rPr>
              <w:t>Proposed</w:t>
            </w:r>
          </w:p>
        </w:tc>
        <w:tc>
          <w:tcPr>
            <w:tcW w:w="1540" w:type="dxa"/>
            <w:vAlign w:val="bottom"/>
            <w:tcBorders>
              <w:right w:val="single" w:sz="8" w:color="auto"/>
            </w:tcBorders>
          </w:tcPr>
          <w:p>
            <w:pPr>
              <w:jc w:val="center"/>
              <w:spacing w:after="0" w:line="95" w:lineRule="exact"/>
              <w:rPr>
                <w:sz w:val="20"/>
                <w:szCs w:val="20"/>
                <w:color w:val="auto"/>
              </w:rPr>
            </w:pPr>
            <w:r>
              <w:rPr>
                <w:rFonts w:ascii="Times New Roman" w:cs="Times New Roman" w:eastAsia="Times New Roman" w:hAnsi="Times New Roman"/>
                <w:sz w:val="10"/>
                <w:szCs w:val="10"/>
                <w:b w:val="1"/>
                <w:bCs w:val="1"/>
                <w:color w:val="auto"/>
              </w:rPr>
              <w:t>Proposed</w:t>
            </w:r>
          </w:p>
        </w:tc>
        <w:tc>
          <w:tcPr>
            <w:tcW w:w="1520" w:type="dxa"/>
            <w:vAlign w:val="bottom"/>
          </w:tcPr>
          <w:p>
            <w:pPr>
              <w:spacing w:after="0"/>
              <w:rPr>
                <w:sz w:val="8"/>
                <w:szCs w:val="8"/>
                <w:color w:val="auto"/>
              </w:rPr>
            </w:pPr>
          </w:p>
        </w:tc>
      </w:tr>
      <w:tr>
        <w:trPr>
          <w:trHeight w:val="135"/>
        </w:trPr>
        <w:tc>
          <w:tcPr>
            <w:tcW w:w="488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9"/>
              </w:rPr>
              <w:t>maximum</w:t>
            </w: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9"/>
              </w:rPr>
              <w:t>maximum</w:t>
            </w:r>
          </w:p>
        </w:tc>
        <w:tc>
          <w:tcPr>
            <w:tcW w:w="1520" w:type="dxa"/>
            <w:vAlign w:val="bottom"/>
          </w:tcPr>
          <w:p>
            <w:pPr>
              <w:spacing w:after="0"/>
              <w:rPr>
                <w:sz w:val="11"/>
                <w:szCs w:val="11"/>
                <w:color w:val="auto"/>
              </w:rPr>
            </w:pPr>
          </w:p>
        </w:tc>
      </w:tr>
      <w:tr>
        <w:trPr>
          <w:trHeight w:val="135"/>
        </w:trPr>
        <w:tc>
          <w:tcPr>
            <w:tcW w:w="488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6"/>
              </w:rPr>
              <w:t>Title of each class of</w:t>
            </w: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rPr>
              <w:t>to be</w:t>
            </w: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5"/>
              </w:rPr>
              <w:t>offering price</w:t>
            </w:r>
          </w:p>
        </w:tc>
        <w:tc>
          <w:tcPr>
            <w:tcW w:w="15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5"/>
              </w:rPr>
              <w:t>aggregate</w:t>
            </w:r>
          </w:p>
        </w:tc>
        <w:tc>
          <w:tcPr>
            <w:tcW w:w="1520" w:type="dxa"/>
            <w:vAlign w:val="bottom"/>
          </w:tcPr>
          <w:p>
            <w:pPr>
              <w:jc w:val="center"/>
              <w:spacing w:after="0" w:line="135" w:lineRule="exact"/>
              <w:rPr>
                <w:sz w:val="20"/>
                <w:szCs w:val="20"/>
                <w:color w:val="auto"/>
              </w:rPr>
            </w:pPr>
            <w:r>
              <w:rPr>
                <w:rFonts w:ascii="Times New Roman" w:cs="Times New Roman" w:eastAsia="Times New Roman" w:hAnsi="Times New Roman"/>
                <w:sz w:val="13"/>
                <w:szCs w:val="13"/>
                <w:b w:val="1"/>
                <w:bCs w:val="1"/>
                <w:color w:val="auto"/>
                <w:w w:val="97"/>
              </w:rPr>
              <w:t>Amount of</w:t>
            </w:r>
          </w:p>
        </w:tc>
      </w:tr>
      <w:tr>
        <w:trPr>
          <w:trHeight w:val="167"/>
        </w:trPr>
        <w:tc>
          <w:tcPr>
            <w:tcW w:w="48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registered(2)</w:t>
            </w:r>
          </w:p>
        </w:tc>
        <w:tc>
          <w:tcPr>
            <w:tcW w:w="1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w w:val="94"/>
              </w:rPr>
              <w:t>per share(3)</w:t>
            </w:r>
          </w:p>
        </w:tc>
        <w:tc>
          <w:tcPr>
            <w:tcW w:w="1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w w:val="97"/>
              </w:rPr>
              <w:t>offering price(3)</w:t>
            </w:r>
          </w:p>
        </w:tc>
        <w:tc>
          <w:tcPr>
            <w:tcW w:w="1520" w:type="dxa"/>
            <w:vAlign w:val="bottom"/>
            <w:tcBorders>
              <w:bottom w:val="single" w:sz="8" w:color="auto"/>
            </w:tcBorders>
          </w:tcPr>
          <w:p>
            <w:pPr>
              <w:jc w:val="center"/>
              <w:ind w:left="17"/>
              <w:spacing w:after="0"/>
              <w:rPr>
                <w:sz w:val="20"/>
                <w:szCs w:val="20"/>
                <w:color w:val="auto"/>
              </w:rPr>
            </w:pPr>
            <w:r>
              <w:rPr>
                <w:rFonts w:ascii="Times New Roman" w:cs="Times New Roman" w:eastAsia="Times New Roman" w:hAnsi="Times New Roman"/>
                <w:sz w:val="13"/>
                <w:szCs w:val="13"/>
                <w:b w:val="1"/>
                <w:bCs w:val="1"/>
                <w:color w:val="auto"/>
                <w:w w:val="95"/>
              </w:rPr>
              <w:t>registration fee</w:t>
            </w:r>
          </w:p>
        </w:tc>
      </w:tr>
      <w:tr>
        <w:trPr>
          <w:trHeight w:val="143"/>
        </w:trPr>
        <w:tc>
          <w:tcPr>
            <w:tcW w:w="4880" w:type="dxa"/>
            <w:vAlign w:val="bottom"/>
            <w:tcBorders>
              <w:bottom w:val="single" w:sz="8" w:color="auto"/>
              <w:right w:val="single" w:sz="8" w:color="auto"/>
            </w:tcBorders>
          </w:tcPr>
          <w:p>
            <w:pPr>
              <w:spacing w:after="0" w:line="143" w:lineRule="exact"/>
              <w:rPr>
                <w:sz w:val="20"/>
                <w:szCs w:val="20"/>
                <w:color w:val="auto"/>
              </w:rPr>
            </w:pPr>
            <w:r>
              <w:rPr>
                <w:rFonts w:ascii="Times New Roman" w:cs="Times New Roman" w:eastAsia="Times New Roman" w:hAnsi="Times New Roman"/>
                <w:sz w:val="13"/>
                <w:szCs w:val="13"/>
                <w:color w:val="auto"/>
              </w:rPr>
              <w:t>Common Stock of Take-Two Interactive Software, Inc., par value $.01 per share(1)</w:t>
            </w:r>
          </w:p>
        </w:tc>
        <w:tc>
          <w:tcPr>
            <w:tcW w:w="1540" w:type="dxa"/>
            <w:vAlign w:val="bottom"/>
            <w:tcBorders>
              <w:bottom w:val="single" w:sz="8" w:color="auto"/>
              <w:right w:val="single" w:sz="8" w:color="auto"/>
            </w:tcBorders>
          </w:tcPr>
          <w:p>
            <w:pPr>
              <w:jc w:val="right"/>
              <w:ind w:right="477"/>
              <w:spacing w:after="0" w:line="143" w:lineRule="exact"/>
              <w:rPr>
                <w:sz w:val="20"/>
                <w:szCs w:val="20"/>
                <w:color w:val="auto"/>
              </w:rPr>
            </w:pPr>
            <w:r>
              <w:rPr>
                <w:rFonts w:ascii="Times New Roman" w:cs="Times New Roman" w:eastAsia="Times New Roman" w:hAnsi="Times New Roman"/>
                <w:sz w:val="13"/>
                <w:szCs w:val="13"/>
                <w:color w:val="auto"/>
              </w:rPr>
              <w:t>603,817</w:t>
            </w:r>
          </w:p>
        </w:tc>
        <w:tc>
          <w:tcPr>
            <w:tcW w:w="1540" w:type="dxa"/>
            <w:vAlign w:val="bottom"/>
            <w:tcBorders>
              <w:bottom w:val="single" w:sz="8" w:color="auto"/>
              <w:right w:val="single" w:sz="8" w:color="auto"/>
            </w:tcBorders>
          </w:tcPr>
          <w:p>
            <w:pPr>
              <w:jc w:val="center"/>
              <w:spacing w:after="0" w:line="143" w:lineRule="exact"/>
              <w:rPr>
                <w:sz w:val="20"/>
                <w:szCs w:val="20"/>
                <w:color w:val="auto"/>
              </w:rPr>
            </w:pPr>
            <w:r>
              <w:rPr>
                <w:rFonts w:ascii="Times New Roman" w:cs="Times New Roman" w:eastAsia="Times New Roman" w:hAnsi="Times New Roman"/>
                <w:sz w:val="13"/>
                <w:szCs w:val="13"/>
                <w:color w:val="auto"/>
                <w:w w:val="94"/>
              </w:rPr>
              <w:t>$168.16</w:t>
            </w:r>
          </w:p>
        </w:tc>
        <w:tc>
          <w:tcPr>
            <w:tcW w:w="1540" w:type="dxa"/>
            <w:vAlign w:val="bottom"/>
            <w:tcBorders>
              <w:bottom w:val="single" w:sz="8" w:color="auto"/>
              <w:right w:val="single" w:sz="8" w:color="auto"/>
            </w:tcBorders>
          </w:tcPr>
          <w:p>
            <w:pPr>
              <w:jc w:val="center"/>
              <w:spacing w:after="0" w:line="143" w:lineRule="exact"/>
              <w:rPr>
                <w:sz w:val="20"/>
                <w:szCs w:val="20"/>
                <w:color w:val="auto"/>
              </w:rPr>
            </w:pPr>
            <w:r>
              <w:rPr>
                <w:rFonts w:ascii="Times New Roman" w:cs="Times New Roman" w:eastAsia="Times New Roman" w:hAnsi="Times New Roman"/>
                <w:sz w:val="13"/>
                <w:szCs w:val="13"/>
                <w:color w:val="auto"/>
                <w:w w:val="95"/>
              </w:rPr>
              <w:t>$101,537,866.72</w:t>
            </w:r>
          </w:p>
        </w:tc>
        <w:tc>
          <w:tcPr>
            <w:tcW w:w="1520" w:type="dxa"/>
            <w:vAlign w:val="bottom"/>
            <w:tcBorders>
              <w:bottom w:val="single" w:sz="8" w:color="auto"/>
            </w:tcBorders>
          </w:tcPr>
          <w:p>
            <w:pPr>
              <w:jc w:val="center"/>
              <w:ind w:left="17"/>
              <w:spacing w:after="0" w:line="143" w:lineRule="exact"/>
              <w:rPr>
                <w:sz w:val="20"/>
                <w:szCs w:val="20"/>
                <w:color w:val="auto"/>
              </w:rPr>
            </w:pPr>
            <w:r>
              <w:rPr>
                <w:rFonts w:ascii="Times New Roman" w:cs="Times New Roman" w:eastAsia="Times New Roman" w:hAnsi="Times New Roman"/>
                <w:sz w:val="13"/>
                <w:szCs w:val="13"/>
                <w:color w:val="auto"/>
                <w:w w:val="95"/>
              </w:rPr>
              <w:t>$13,179.62</w:t>
            </w:r>
          </w:p>
        </w:tc>
      </w:tr>
      <w:tr>
        <w:trPr>
          <w:trHeight w:val="20"/>
        </w:trPr>
        <w:tc>
          <w:tcPr>
            <w:tcW w:w="48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ind w:left="440" w:right="160" w:hanging="324"/>
        <w:spacing w:after="0" w:line="224" w:lineRule="auto"/>
        <w:tabs>
          <w:tab w:leader="none" w:pos="440" w:val="left"/>
        </w:tabs>
        <w:numPr>
          <w:ilvl w:val="0"/>
          <w:numId w:val="1"/>
        </w:numPr>
        <w:rPr>
          <w:rFonts w:ascii="Times New Roman" w:cs="Times New Roman" w:eastAsia="Times New Roman" w:hAnsi="Times New Roman"/>
          <w:sz w:val="13"/>
          <w:szCs w:val="13"/>
          <w:color w:val="auto"/>
        </w:rPr>
      </w:pPr>
      <w:r>
        <w:rPr>
          <w:rFonts w:ascii="Times New Roman" w:cs="Times New Roman" w:eastAsia="Times New Roman" w:hAnsi="Times New Roman"/>
          <w:sz w:val="13"/>
          <w:szCs w:val="13"/>
          <w:color w:val="auto"/>
        </w:rPr>
        <w:t>The registrant is hereby registering the sale by certain selling stockholders of up to 603,817 shares of our Common Stock issued to such stockholders pursuant to the terms of the Agreement and Plan of Merger, dated as of August 17, 2020, by and among the registrant, Dash MS, LLC, Dash MS II, LLC, Playdots, Inc. and Shareholder Representative Services LLC, as amended from time to time.</w:t>
      </w:r>
    </w:p>
    <w:p>
      <w:pPr>
        <w:ind w:left="440" w:right="180" w:hanging="324"/>
        <w:spacing w:after="0" w:line="216" w:lineRule="auto"/>
        <w:tabs>
          <w:tab w:leader="none" w:pos="440" w:val="left"/>
        </w:tabs>
        <w:numPr>
          <w:ilvl w:val="0"/>
          <w:numId w:val="1"/>
        </w:numPr>
        <w:rPr>
          <w:rFonts w:ascii="Times New Roman" w:cs="Times New Roman" w:eastAsia="Times New Roman" w:hAnsi="Times New Roman"/>
          <w:sz w:val="13"/>
          <w:szCs w:val="13"/>
          <w:color w:val="auto"/>
        </w:rPr>
      </w:pPr>
      <w:r>
        <w:rPr>
          <w:rFonts w:ascii="Times New Roman" w:cs="Times New Roman" w:eastAsia="Times New Roman" w:hAnsi="Times New Roman"/>
          <w:sz w:val="13"/>
          <w:szCs w:val="13"/>
          <w:color w:val="auto"/>
        </w:rPr>
        <w:t>Pursuant to Rule 416 under the Securities Act of 1933 (the “Securities Act”), as amended, this Registration Statement also covers such additional number of our Common Stock as may be issuable from time to time as a result of stock splits, stock dividends, capitalizations or similar events.</w:t>
      </w:r>
    </w:p>
    <w:p>
      <w:pPr>
        <w:ind w:left="440" w:right="80" w:hanging="324"/>
        <w:spacing w:after="0" w:line="228" w:lineRule="auto"/>
        <w:tabs>
          <w:tab w:leader="none" w:pos="440" w:val="left"/>
        </w:tabs>
        <w:numPr>
          <w:ilvl w:val="0"/>
          <w:numId w:val="1"/>
        </w:numPr>
        <w:rPr>
          <w:rFonts w:ascii="Times New Roman" w:cs="Times New Roman" w:eastAsia="Times New Roman" w:hAnsi="Times New Roman"/>
          <w:sz w:val="13"/>
          <w:szCs w:val="13"/>
          <w:color w:val="auto"/>
        </w:rPr>
      </w:pPr>
      <w:r>
        <w:rPr>
          <w:rFonts w:ascii="Times New Roman" w:cs="Times New Roman" w:eastAsia="Times New Roman" w:hAnsi="Times New Roman"/>
          <w:sz w:val="13"/>
          <w:szCs w:val="13"/>
          <w:color w:val="auto"/>
        </w:rPr>
        <w:t>Estimated solely for the purposes of calculating the registration fee. Pursuant to Rule 457(c) under the Securities Act, the registration fee has been calculated based upon the average of the high and low prices, as reported by the NASDAQ Global Select Market, for our Common Stock on September 3,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53975</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96520</wp:posOffset>
            </wp:positionV>
            <wp:extent cx="69951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140"/>
          </w:cols>
          <w:pgMar w:left="320" w:top="226" w:right="439" w:bottom="1440" w:gutter="0" w:footer="0" w:header="0"/>
          <w:type w:val="continuous"/>
        </w:sectPr>
      </w:pPr>
    </w:p>
    <w:bookmarkStart w:id="1" w:name="page2"/>
    <w:bookmarkEnd w:id="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PROSPECTUS</w:t>
      </w:r>
    </w:p>
    <w:p>
      <w:pPr>
        <w:spacing w:after="0" w:line="19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43"/>
          <w:szCs w:val="43"/>
          <w:b w:val="1"/>
          <w:bCs w:val="1"/>
          <w:color w:val="auto"/>
        </w:rPr>
        <w:t>TAKE-TWO INTERACTIVE SOFTWARE, INC.</w:t>
      </w:r>
    </w:p>
    <w:p>
      <w:pPr>
        <w:spacing w:after="0" w:line="24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603,817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255905</wp:posOffset>
            </wp:positionV>
            <wp:extent cx="147447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4"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This Prospectus will be used from time to time by the selling shareholders named in this prospectus to resell up to 603,817 shares of our Common Stock, par value $.01 per share. The selling shareholders acquired such shares pursuant to the terms of the Agreement and Plan of Merger, dated as of August 17, 2020, by and among Take-Two Interactive Software, Inc., Dash MS, LLC, Dash MS II, LLC, Playdots, Inc. (“Playdots”) and Shareholder Representative Services LLC (as amended from time to time, the “Merger Agreement”).</w:t>
      </w:r>
    </w:p>
    <w:p>
      <w:pPr>
        <w:spacing w:after="0" w:line="180"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The Common Stock may be offered from time to time by the selling shareholders in any manner described under the section entitled “Plan of Distribution” beginning on page 6 of this prospectus. The selling shareholders may sell the shares of Common Stock on any stock exchange, market or trading facility on which the shares are traded or in private transactions, at fixed or negotiated prices, directly to purchasers or through broker-dealers or agents, who may receive compensation in the form of discounts, concessions or commissions. We will not receive any proceeds from the sale of our Common Stock by the selling shareholders, but we will incur expenses in connection with the offering.</w:t>
      </w:r>
    </w:p>
    <w:p>
      <w:pPr>
        <w:spacing w:after="0" w:line="183"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Our Common Stock is listed on the NASDAQ Global Select Market under the symbol “TTWO.” The last reported sale price on September 3, 2020 was $166.60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200025</wp:posOffset>
            </wp:positionV>
            <wp:extent cx="147447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93" w:lineRule="exact"/>
        <w:rPr>
          <w:sz w:val="20"/>
          <w:szCs w:val="20"/>
          <w:color w:val="auto"/>
        </w:rPr>
      </w:pPr>
    </w:p>
    <w:p>
      <w:pPr>
        <w:ind w:left="1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Investing in our securities involves risks. See “</w:t>
      </w:r>
      <w:hyperlink w:anchor="page6">
        <w:r>
          <w:rPr>
            <w:rFonts w:ascii="Times New Roman" w:cs="Times New Roman" w:eastAsia="Times New Roman" w:hAnsi="Times New Roman"/>
            <w:sz w:val="22"/>
            <w:szCs w:val="22"/>
            <w:b w:val="1"/>
            <w:bCs w:val="1"/>
            <w:u w:val="single" w:color="auto"/>
            <w:color w:val="0000EE"/>
          </w:rPr>
          <w:t>Risk Factors</w:t>
        </w:r>
      </w:hyperlink>
      <w:r>
        <w:rPr>
          <w:rFonts w:ascii="Times New Roman" w:cs="Times New Roman" w:eastAsia="Times New Roman" w:hAnsi="Times New Roman"/>
          <w:sz w:val="22"/>
          <w:szCs w:val="22"/>
          <w:b w:val="1"/>
          <w:bCs w:val="1"/>
          <w:color w:val="auto"/>
        </w:rPr>
        <w:t>” beginning on page 2 of this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236220</wp:posOffset>
            </wp:positionV>
            <wp:extent cx="147447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60" w:lineRule="exact"/>
        <w:rPr>
          <w:sz w:val="20"/>
          <w:szCs w:val="20"/>
          <w:color w:val="auto"/>
        </w:rPr>
      </w:pPr>
    </w:p>
    <w:p>
      <w:pPr>
        <w:ind w:left="120" w:right="40"/>
        <w:spacing w:after="0" w:line="268"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nor any state securities commission has approved or disapproved of these securities or passed upon the adequacy or accuracy of this prospectus or any applicable prospectus supplement.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216535</wp:posOffset>
            </wp:positionV>
            <wp:extent cx="147447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2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The date of this prospectus is September 4, 2020</w:t>
      </w:r>
    </w:p>
    <w:p>
      <w:pPr>
        <w:sectPr>
          <w:pgSz w:w="11900" w:h="16838" w:orient="portrait"/>
          <w:cols w:equalWidth="0" w:num="1">
            <w:col w:w="11140"/>
          </w:cols>
          <w:pgMar w:left="320" w:top="455" w:right="439" w:bottom="1440" w:gutter="0" w:footer="0" w:header="0"/>
        </w:sectPr>
      </w:pPr>
    </w:p>
    <w:bookmarkStart w:id="2" w:name="page3"/>
    <w:bookmarkEnd w:id="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0"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10660" w:type="dxa"/>
            <w:vAlign w:val="bottom"/>
          </w:tcPr>
          <w:p>
            <w:pPr>
              <w:spacing w:after="0"/>
              <w:rPr>
                <w:sz w:val="15"/>
                <w:szCs w:val="15"/>
                <w:color w:val="auto"/>
              </w:rPr>
            </w:pP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7"/>
              </w:rPr>
              <w:t>Page</w:t>
            </w:r>
          </w:p>
        </w:tc>
      </w:tr>
      <w:tr>
        <w:trPr>
          <w:trHeight w:val="30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4">
              <w:r>
                <w:rPr>
                  <w:rFonts w:ascii="Times New Roman" w:cs="Times New Roman" w:eastAsia="Times New Roman" w:hAnsi="Times New Roman"/>
                  <w:sz w:val="18"/>
                  <w:szCs w:val="18"/>
                  <w:u w:val="single" w:color="auto"/>
                  <w:color w:val="0000EE"/>
                </w:rPr>
                <w:t>ABOUT THIS PROSPECTUS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ii</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4">
              <w:r>
                <w:rPr>
                  <w:rFonts w:ascii="Times New Roman" w:cs="Times New Roman" w:eastAsia="Times New Roman" w:hAnsi="Times New Roman"/>
                  <w:sz w:val="18"/>
                  <w:szCs w:val="18"/>
                  <w:u w:val="single" w:color="auto"/>
                  <w:color w:val="0000EE"/>
                </w:rPr>
                <w:t>CAUTIONARY STATEMENT REGARDING FORWARD-LOOKING STATEMENTS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ii</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PROSPECTUS SUMMARY</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6">
              <w:r>
                <w:rPr>
                  <w:rFonts w:ascii="Times New Roman" w:cs="Times New Roman" w:eastAsia="Times New Roman" w:hAnsi="Times New Roman"/>
                  <w:sz w:val="18"/>
                  <w:szCs w:val="18"/>
                  <w:u w:val="single" w:color="auto"/>
                  <w:color w:val="0000EE"/>
                </w:rPr>
                <w:t>RISK FACTORS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7">
              <w:r>
                <w:rPr>
                  <w:rFonts w:ascii="Times New Roman" w:cs="Times New Roman" w:eastAsia="Times New Roman" w:hAnsi="Times New Roman"/>
                  <w:sz w:val="18"/>
                  <w:szCs w:val="18"/>
                  <w:u w:val="single" w:color="auto"/>
                  <w:color w:val="0000EE"/>
                </w:rPr>
                <w:t>USE OF PROCEEDS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8">
              <w:r>
                <w:rPr>
                  <w:rFonts w:ascii="Times New Roman" w:cs="Times New Roman" w:eastAsia="Times New Roman" w:hAnsi="Times New Roman"/>
                  <w:sz w:val="18"/>
                  <w:szCs w:val="18"/>
                  <w:u w:val="single" w:color="auto"/>
                  <w:color w:val="0000EE"/>
                </w:rPr>
                <w:t>SELLING SHAREHOLDERS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10">
              <w:r>
                <w:rPr>
                  <w:rFonts w:ascii="Times New Roman" w:cs="Times New Roman" w:eastAsia="Times New Roman" w:hAnsi="Times New Roman"/>
                  <w:sz w:val="18"/>
                  <w:szCs w:val="18"/>
                  <w:u w:val="single" w:color="auto"/>
                  <w:color w:val="0000EE"/>
                </w:rPr>
                <w:t>PLAN OF DISTRIBUTION</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12">
              <w:r>
                <w:rPr>
                  <w:rFonts w:ascii="Times New Roman" w:cs="Times New Roman" w:eastAsia="Times New Roman" w:hAnsi="Times New Roman"/>
                  <w:sz w:val="18"/>
                  <w:szCs w:val="18"/>
                  <w:u w:val="single" w:color="auto"/>
                  <w:color w:val="0000EE"/>
                </w:rPr>
                <w:t>LEGAL MATTERS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12">
              <w:r>
                <w:rPr>
                  <w:rFonts w:ascii="Times New Roman" w:cs="Times New Roman" w:eastAsia="Times New Roman" w:hAnsi="Times New Roman"/>
                  <w:sz w:val="18"/>
                  <w:szCs w:val="18"/>
                  <w:u w:val="single" w:color="auto"/>
                  <w:color w:val="0000EE"/>
                </w:rPr>
                <w:t>EXPERTS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324"/>
        </w:trPr>
        <w:tc>
          <w:tcPr>
            <w:tcW w:w="10660" w:type="dxa"/>
            <w:vAlign w:val="bottom"/>
          </w:tcPr>
          <w:p>
            <w:pPr>
              <w:spacing w:after="0"/>
              <w:rPr>
                <w:rFonts w:ascii="Times New Roman" w:cs="Times New Roman" w:eastAsia="Times New Roman" w:hAnsi="Times New Roman"/>
                <w:sz w:val="18"/>
                <w:szCs w:val="18"/>
                <w:u w:val="single" w:color="auto"/>
                <w:color w:val="0000EE"/>
              </w:rPr>
            </w:pPr>
            <w:hyperlink w:anchor="page13">
              <w:r>
                <w:rPr>
                  <w:rFonts w:ascii="Times New Roman" w:cs="Times New Roman" w:eastAsia="Times New Roman" w:hAnsi="Times New Roman"/>
                  <w:sz w:val="18"/>
                  <w:szCs w:val="18"/>
                  <w:u w:val="single" w:color="auto"/>
                  <w:color w:val="0000EE"/>
                </w:rPr>
                <w:t>WHERE YOU CAN FIND MORE INFORMATION</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bl>
    <w:p>
      <w:pPr>
        <w:spacing w:after="0" w:line="198"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References in this prospectus to “Take-Two,” “we,” “us,” “our,” the “Company” or similar references mean Take-Two Interactive Software, Inc. and its subsidiaries. References to “Common Stock” refer to the Company’s Common Stock, par value $.01 per share.</w:t>
      </w:r>
    </w:p>
    <w:p>
      <w:pPr>
        <w:spacing w:after="0" w:line="162"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You should rely only on the information contained or incorporated by reference in this prospectus and any applicable prospectus supplement. Neither we nor the selling shareholders have authorized anyone else to provide you with different information. The securities are not being offered in any jurisdiction where the offer or sale is not permitted. You should not assume that the information contained in this prospectus and any accompanying prospectus supplement is accurate on any date subsequent to the date set forth on the front of the document or that any information we have incorporated by reference is correct on any date subsequent to the date of the document incorporated by reference, even though this prospectus and any accompanying prospectus supplement is delivered or securities are sold on a later date.</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11120"/>
          </w:cols>
          <w:pgMar w:left="320" w:top="455" w:right="459" w:bottom="1440" w:gutter="0" w:footer="0" w:header="0"/>
        </w:sectPr>
      </w:pPr>
    </w:p>
    <w:bookmarkStart w:id="3" w:name="page4"/>
    <w:bookmarkEnd w:id="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This prospectus is part of a registration statement on Form S-3 that we filed with the Securities and Exchange Commission (the “SEC”) using the “shelf” registration process. Under this shelf registration process, the selling shareholders may, from time to time, sell the offered securities in one or more offerings or resales.</w:t>
      </w:r>
    </w:p>
    <w:p>
      <w:pPr>
        <w:spacing w:after="0" w:line="176"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In certain circumstances, we may provide a prospectus supplement that will contain specific information about the terms of a particular offering by one or more of the selling shareholders. We may also provide a prospectus supplement to add information to, or update or change information contained in, this prospectus. To the extent there is a conflict between the information contained in this prospectus and the prospectus supplement, you should rely on the information in the prospectus supplement, provided that if any statement in one of these documents is inconsistent with a statement in another document having a later date—for example, a document incorporated by reference in this prospectus or any prospectus supplement—the statement in the later-dated document modifies or supersedes the earlier statement.</w:t>
      </w:r>
    </w:p>
    <w:p>
      <w:pPr>
        <w:spacing w:after="0" w:line="187" w:lineRule="exact"/>
        <w:rPr>
          <w:sz w:val="20"/>
          <w:szCs w:val="20"/>
          <w:color w:val="auto"/>
        </w:rPr>
      </w:pPr>
    </w:p>
    <w:p>
      <w:pPr>
        <w:ind w:left="120" w:right="240"/>
        <w:spacing w:after="0" w:line="282" w:lineRule="auto"/>
        <w:rPr>
          <w:sz w:val="20"/>
          <w:szCs w:val="20"/>
          <w:color w:val="auto"/>
        </w:rPr>
      </w:pPr>
      <w:r>
        <w:rPr>
          <w:rFonts w:ascii="Times New Roman" w:cs="Times New Roman" w:eastAsia="Times New Roman" w:hAnsi="Times New Roman"/>
          <w:sz w:val="18"/>
          <w:szCs w:val="18"/>
          <w:color w:val="auto"/>
        </w:rPr>
        <w:t>You should read both this prospectus and any applicable prospectus supplement together with the additional information about our company to which we refer you in the section of this prospectus entitled “Where You Can Find More Information.”</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CAUTIONARY STATEMENT REGARDING FORWARD-LOOKING STATEMENTS</w:t>
      </w:r>
    </w:p>
    <w:p>
      <w:pPr>
        <w:spacing w:after="0" w:line="229" w:lineRule="exact"/>
        <w:rPr>
          <w:sz w:val="20"/>
          <w:szCs w:val="20"/>
          <w:color w:val="auto"/>
        </w:rPr>
      </w:pPr>
    </w:p>
    <w:p>
      <w:pPr>
        <w:ind w:left="120" w:right="20"/>
        <w:spacing w:after="0" w:line="252" w:lineRule="auto"/>
        <w:rPr>
          <w:sz w:val="20"/>
          <w:szCs w:val="20"/>
          <w:color w:val="auto"/>
        </w:rPr>
      </w:pPr>
      <w:r>
        <w:rPr>
          <w:rFonts w:ascii="Times New Roman" w:cs="Times New Roman" w:eastAsia="Times New Roman" w:hAnsi="Times New Roman"/>
          <w:sz w:val="18"/>
          <w:szCs w:val="18"/>
          <w:color w:val="auto"/>
        </w:rPr>
        <w:t>This prospectus and the documents incorporated by reference contain statements that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but not limited to, including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including digital storefronts and platform partners, and distributors; the effects of the COVID-19 pandemic on consumer demand and the discretionary spending patterns of our customers; the impact of reductions in interest rates by the Federal Reserve and other central banks, including on our short-term investment portfolio; the impact of potential inflation; volatility in foreign currency exchange rates; our dependence on key management and product development personnel, our dependence on our Grand Theft Auto products and our ability to develop other hit titles for current and next-generation platforms; the timely release and significant market acceptance of our games; the ability to maintain acceptable pricing levels on our games; and risks associated with international operations. Other important factors and information are discussed under the heading “Risk Factors” beginning on page 2 of this prospectus and contained in the Company’s Annual Report on Form 10-K for the fiscal year ended March 31, 2020 and the Company’s other periodic filings with the SEC, which are incorporated herein by reference. All forward-looking statements are qualified by these cautionary statements and speak only as of the date they are made. The Company undertakes no obligation to update any forward-looking statement, whether as a result of new information, future events or otherwise.</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w:t>
      </w:r>
    </w:p>
    <w:p>
      <w:pPr>
        <w:sectPr>
          <w:pgSz w:w="11900" w:h="16838" w:orient="portrait"/>
          <w:cols w:equalWidth="0" w:num="1">
            <w:col w:w="11120"/>
          </w:cols>
          <w:pgMar w:left="320" w:top="455" w:right="459" w:bottom="1440" w:gutter="0" w:footer="0" w:header="0"/>
        </w:sectPr>
      </w:pPr>
    </w:p>
    <w:bookmarkStart w:id="4" w:name="page5"/>
    <w:bookmarkEnd w:id="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49504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98970" cy="495046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PROSPECTUS SUMMARY</w:t>
      </w:r>
    </w:p>
    <w:p>
      <w:pPr>
        <w:spacing w:after="0" w:line="227" w:lineRule="exact"/>
        <w:rPr>
          <w:sz w:val="20"/>
          <w:szCs w:val="20"/>
          <w:color w:val="auto"/>
        </w:rPr>
      </w:pPr>
    </w:p>
    <w:p>
      <w:pPr>
        <w:ind w:left="300" w:right="40"/>
        <w:spacing w:after="0" w:line="257" w:lineRule="auto"/>
        <w:rPr>
          <w:sz w:val="20"/>
          <w:szCs w:val="20"/>
          <w:color w:val="auto"/>
        </w:rPr>
      </w:pPr>
      <w:r>
        <w:rPr>
          <w:rFonts w:ascii="Times New Roman" w:cs="Times New Roman" w:eastAsia="Times New Roman" w:hAnsi="Times New Roman"/>
          <w:sz w:val="18"/>
          <w:szCs w:val="18"/>
          <w:i w:val="1"/>
          <w:iCs w:val="1"/>
          <w:color w:val="auto"/>
        </w:rPr>
        <w:t>This prospectus relates to the offer and resale by the selling shareholders identified in this prospectus of up to 603,817 shares of our Common Stock. We will not receive any of the proceeds from the sale of the Common Stock by the selling shareholders. This summary highlights selected information appearing elsewhere in this prospectus or in documents incorporated herein by reference. This summary is not complete and does not contain all of the information that you should consider before making your investment decision. You should carefully read the entire prospectus, including the information set forth in the section entitled “Risk Factors” and the information that is incorporated by reference into this prospectus. See the sections entitled “Where You Can Find More Information” for a further discussion on incorporation by reference.</w:t>
      </w:r>
    </w:p>
    <w:p>
      <w:pPr>
        <w:spacing w:after="0" w:line="184" w:lineRule="exact"/>
        <w:rPr>
          <w:sz w:val="20"/>
          <w:szCs w:val="20"/>
          <w:color w:val="auto"/>
        </w:rPr>
      </w:pPr>
    </w:p>
    <w:p>
      <w:pPr>
        <w:jc w:val="both"/>
        <w:ind w:left="300" w:right="40"/>
        <w:spacing w:after="0" w:line="261" w:lineRule="auto"/>
        <w:rPr>
          <w:sz w:val="20"/>
          <w:szCs w:val="20"/>
          <w:color w:val="auto"/>
        </w:rPr>
      </w:pPr>
      <w:r>
        <w:rPr>
          <w:rFonts w:ascii="Times New Roman" w:cs="Times New Roman" w:eastAsia="Times New Roman" w:hAnsi="Times New Roman"/>
          <w:sz w:val="18"/>
          <w:szCs w:val="18"/>
          <w:color w:val="auto"/>
        </w:rPr>
        <w:t>We are a leading developer, publisher, and marketer of interactive entertainment for consumers around the globe. We develop and publish products principally through Rockstar Games, 2K, Private Division, and Social Point. Our products are currently designed for console gaming systems, such as Sony’s PlayStation</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4, Microsoft’s Xbox One</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or Nintendo’s Switch</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and personal computers, including smartphones and tablets. We deliver our products through physical retail, digital download, online platforms, and cloud streaming services.</w:t>
      </w:r>
    </w:p>
    <w:p>
      <w:pPr>
        <w:spacing w:after="0" w:line="180" w:lineRule="exact"/>
        <w:rPr>
          <w:sz w:val="20"/>
          <w:szCs w:val="20"/>
          <w:color w:val="auto"/>
        </w:rPr>
      </w:pPr>
    </w:p>
    <w:p>
      <w:pPr>
        <w:ind w:left="300"/>
        <w:spacing w:after="0" w:line="253" w:lineRule="auto"/>
        <w:rPr>
          <w:sz w:val="20"/>
          <w:szCs w:val="20"/>
          <w:color w:val="auto"/>
        </w:rPr>
      </w:pPr>
      <w:r>
        <w:rPr>
          <w:rFonts w:ascii="Times New Roman" w:cs="Times New Roman" w:eastAsia="Times New Roman" w:hAnsi="Times New Roman"/>
          <w:sz w:val="18"/>
          <w:szCs w:val="18"/>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90" w:lineRule="exact"/>
        <w:rPr>
          <w:sz w:val="20"/>
          <w:szCs w:val="20"/>
          <w:color w:val="auto"/>
        </w:rPr>
      </w:pPr>
    </w:p>
    <w:p>
      <w:pPr>
        <w:ind w:left="300" w:right="560"/>
        <w:spacing w:after="0" w:line="282" w:lineRule="auto"/>
        <w:rPr>
          <w:sz w:val="20"/>
          <w:szCs w:val="20"/>
          <w:color w:val="auto"/>
        </w:rPr>
      </w:pPr>
      <w:r>
        <w:rPr>
          <w:rFonts w:ascii="Times New Roman" w:cs="Times New Roman" w:eastAsia="Times New Roman" w:hAnsi="Times New Roman"/>
          <w:sz w:val="18"/>
          <w:szCs w:val="18"/>
          <w:color w:val="auto"/>
        </w:rPr>
        <w:t>This prospectus relates to the resale of up to 603,817 shares of Common Stock that may be offered and sold from time to time by the selling shareholders named in this prospectus. The selling shareholders acquired such shares in connection with the Merger Agreement.</w:t>
      </w:r>
    </w:p>
    <w:p>
      <w:pPr>
        <w:spacing w:after="0" w:line="1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See “Selling Shareholders.” We will not receive any of the proceeds from the sale of the shares hereunder. See “Use of Proceeds.”</w:t>
      </w:r>
    </w:p>
    <w:p>
      <w:pPr>
        <w:spacing w:after="0" w:line="22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7"/>
          <w:szCs w:val="17"/>
          <w:color w:val="auto"/>
        </w:rPr>
        <w:t>We were incorporated under the laws of the State of Delaware in 1993 and are headquartered at 110 West 44th Street, New York, New York 10036.</w:t>
      </w:r>
    </w:p>
    <w:p>
      <w:pPr>
        <w:spacing w:after="0" w:line="3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Our telephone number is (646) 536-2842.</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0940"/>
          </w:cols>
          <w:pgMar w:left="320" w:top="455" w:right="639" w:bottom="1440" w:gutter="0" w:footer="0" w:header="0"/>
        </w:sectPr>
      </w:pPr>
    </w:p>
    <w:bookmarkStart w:id="5" w:name="page6"/>
    <w:bookmarkEnd w:id="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Investment in our Common Stock involves risks. Before you invest in our Common Stock, you should carefully consider the risk factors incorporated into this prospectus by reference to our most recent Annual Report on Form 10-K, and the other information contained in this prospectus, as updated by our subsequent filings under the Exchange Act, and risk factors and other information contained in any applicable prospectus supplement before acquiring any of such shares of Common Stock. For a description of these reports and documents, and information about where you can find them, see the section entitled “Where You Can Find More Information.” The occurrence of any of the events described in the risk factors might cause you to lose all or part of your investment in the Common Stock. Please also refer to the section above entitled “Cautionary Statement Regarding Forward-Looking Statements.”</w:t>
      </w:r>
    </w:p>
    <w:p>
      <w:pPr>
        <w:spacing w:after="0" w:line="12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40"/>
          </w:cols>
          <w:pgMar w:left="320" w:top="455" w:right="539" w:bottom="1440" w:gutter="0" w:footer="0" w:header="0"/>
        </w:sectPr>
      </w:pPr>
    </w:p>
    <w:bookmarkStart w:id="6" w:name="page7"/>
    <w:bookmarkEnd w:id="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The Common Stock to be offered and sold using this prospectus will be offered and sold by the selling shareholders named in this prospectus or in any supplement to this prospectus. We will not receive any proceeds from the sale of the Common Stock by the selling shareholders.</w:t>
      </w:r>
    </w:p>
    <w:p>
      <w:pPr>
        <w:spacing w:after="0" w:line="9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0960"/>
          </w:cols>
          <w:pgMar w:left="320" w:top="455" w:right="619" w:bottom="1440" w:gutter="0" w:footer="0" w:header="0"/>
        </w:sectPr>
      </w:pPr>
    </w:p>
    <w:bookmarkStart w:id="7" w:name="page8"/>
    <w:bookmarkEnd w:id="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SELLING SHAREHOLDERS</w:t>
      </w:r>
    </w:p>
    <w:p>
      <w:pPr>
        <w:spacing w:after="0" w:line="229"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This prospectus relates to the possible resale by the selling shareholders named in the table below (the “selling shareholders”) of Common Stock that was acquired by the selling shareholders pursuant to the terms of the Merger Agreement.</w:t>
      </w:r>
    </w:p>
    <w:p>
      <w:pPr>
        <w:spacing w:after="0" w:line="162" w:lineRule="exact"/>
        <w:rPr>
          <w:sz w:val="20"/>
          <w:szCs w:val="20"/>
          <w:color w:val="auto"/>
        </w:rPr>
      </w:pPr>
    </w:p>
    <w:p>
      <w:pPr>
        <w:ind w:left="120" w:right="20"/>
        <w:spacing w:after="0" w:line="282" w:lineRule="auto"/>
        <w:rPr>
          <w:sz w:val="20"/>
          <w:szCs w:val="20"/>
          <w:color w:val="auto"/>
        </w:rPr>
      </w:pPr>
      <w:r>
        <w:rPr>
          <w:rFonts w:ascii="Times New Roman" w:cs="Times New Roman" w:eastAsia="Times New Roman" w:hAnsi="Times New Roman"/>
          <w:sz w:val="18"/>
          <w:szCs w:val="18"/>
          <w:color w:val="auto"/>
        </w:rPr>
        <w:t>Subject to the terms and conditions of the Merger Agreement, we have issued to the selling shareholders 603,817 shares of Common Stock at the closing of the transactions contemplated by the Merger Agreement.</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are registering all of the shares of Common Stock in order to permit the selling shareholders to offer the Common Stock for resale from time to time.</w:t>
      </w:r>
    </w:p>
    <w:p>
      <w:pPr>
        <w:spacing w:after="0" w:line="225"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The following table sets forth the name of each selling shareholder, the number of shares of Common Stock owned by or attributable to such selling shareholder immediately prior to this registration, the number of shares of Common Stock offered hereby and registered by the registration statement of which this prospectus is a part and the number of shares of Common Stock to be owned by each selling shareholder after the maximum number of shares being offered hereby are sold, which assumes that all shares of Common Stock covered by this prospectus will be sold by the selling shareholders and that no additional shares of Common Stock of the Company are subsequently bought or sold by the selling shareholders. However, because the selling shareholders may offer from time to time all, some or none of their shares of Common Stock under this prospectus, or in another permitted manner, no assurances can be given as to the actual number of shares of Common Stock that will be sold by the selling shareholders or that will be held by the selling shareholders after completion of the sales. In addition, we do not know how long the selling shareholders will hold their shares before selling them.</w:t>
      </w:r>
    </w:p>
    <w:p>
      <w:pPr>
        <w:spacing w:after="0" w:line="188" w:lineRule="exact"/>
        <w:rPr>
          <w:sz w:val="20"/>
          <w:szCs w:val="20"/>
          <w:color w:val="auto"/>
        </w:rPr>
      </w:pPr>
    </w:p>
    <w:p>
      <w:pPr>
        <w:ind w:left="120" w:right="520"/>
        <w:spacing w:after="0" w:line="282" w:lineRule="auto"/>
        <w:rPr>
          <w:sz w:val="20"/>
          <w:szCs w:val="20"/>
          <w:color w:val="auto"/>
        </w:rPr>
      </w:pPr>
      <w:r>
        <w:rPr>
          <w:rFonts w:ascii="Times New Roman" w:cs="Times New Roman" w:eastAsia="Times New Roman" w:hAnsi="Times New Roman"/>
          <w:sz w:val="18"/>
          <w:szCs w:val="18"/>
          <w:color w:val="auto"/>
        </w:rPr>
        <w:t>In the table below, the percentage of shares beneficially owned is based on 114,338,838 shares of Common Stock outstanding as of July 23, 2020, determined in accordance with Rule 13d-3 under the Exchange Act.</w:t>
      </w:r>
    </w:p>
    <w:p>
      <w:pPr>
        <w:spacing w:after="0" w:line="181"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40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60" w:type="dxa"/>
            <w:vAlign w:val="bottom"/>
            <w:gridSpan w:val="2"/>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Shares of</w:t>
            </w:r>
          </w:p>
        </w:tc>
        <w:tc>
          <w:tcPr>
            <w:tcW w:w="1920" w:type="dxa"/>
            <w:vAlign w:val="bottom"/>
            <w:gridSpan w:val="4"/>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Ownership After the</w:t>
            </w:r>
          </w:p>
        </w:tc>
        <w:tc>
          <w:tcPr>
            <w:tcW w:w="0" w:type="dxa"/>
            <w:vAlign w:val="bottom"/>
          </w:tcPr>
          <w:p>
            <w:pPr>
              <w:spacing w:after="0"/>
              <w:rPr>
                <w:sz w:val="1"/>
                <w:szCs w:val="1"/>
                <w:color w:val="auto"/>
              </w:rPr>
            </w:pPr>
          </w:p>
        </w:tc>
      </w:tr>
      <w:tr>
        <w:trPr>
          <w:trHeight w:val="148"/>
        </w:trPr>
        <w:tc>
          <w:tcPr>
            <w:tcW w:w="4000" w:type="dxa"/>
            <w:vAlign w:val="bottom"/>
          </w:tcPr>
          <w:p>
            <w:pPr>
              <w:spacing w:after="0"/>
              <w:rPr>
                <w:sz w:val="12"/>
                <w:szCs w:val="12"/>
                <w:color w:val="auto"/>
              </w:rPr>
            </w:pPr>
          </w:p>
        </w:tc>
        <w:tc>
          <w:tcPr>
            <w:tcW w:w="2600" w:type="dxa"/>
            <w:vAlign w:val="bottom"/>
            <w:gridSpan w:val="4"/>
            <w:vMerge w:val="restart"/>
          </w:tcPr>
          <w:p>
            <w:pPr>
              <w:ind w:left="260"/>
              <w:spacing w:after="0"/>
              <w:rPr>
                <w:sz w:val="20"/>
                <w:szCs w:val="20"/>
                <w:color w:val="auto"/>
              </w:rPr>
            </w:pPr>
            <w:r>
              <w:rPr>
                <w:rFonts w:ascii="Times New Roman" w:cs="Times New Roman" w:eastAsia="Times New Roman" w:hAnsi="Times New Roman"/>
                <w:sz w:val="14"/>
                <w:szCs w:val="14"/>
                <w:b w:val="1"/>
                <w:bCs w:val="1"/>
                <w:color w:val="auto"/>
              </w:rPr>
              <w:t>Ownership Prior to the Registration</w:t>
            </w: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60" w:type="dxa"/>
            <w:vAlign w:val="bottom"/>
            <w:gridSpan w:val="2"/>
          </w:tcPr>
          <w:p>
            <w:pPr>
              <w:jc w:val="center"/>
              <w:ind w:right="700"/>
              <w:spacing w:after="0" w:line="149" w:lineRule="exact"/>
              <w:rPr>
                <w:sz w:val="20"/>
                <w:szCs w:val="20"/>
                <w:color w:val="auto"/>
              </w:rPr>
            </w:pPr>
            <w:r>
              <w:rPr>
                <w:rFonts w:ascii="Times New Roman" w:cs="Times New Roman" w:eastAsia="Times New Roman" w:hAnsi="Times New Roman"/>
                <w:sz w:val="14"/>
                <w:szCs w:val="14"/>
                <w:b w:val="1"/>
                <w:bCs w:val="1"/>
                <w:color w:val="auto"/>
              </w:rPr>
              <w:t>Common Stock</w:t>
            </w:r>
          </w:p>
        </w:tc>
        <w:tc>
          <w:tcPr>
            <w:tcW w:w="1920" w:type="dxa"/>
            <w:vAlign w:val="bottom"/>
            <w:gridSpan w:val="4"/>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Covered Shares</w:t>
            </w:r>
          </w:p>
        </w:tc>
        <w:tc>
          <w:tcPr>
            <w:tcW w:w="0" w:type="dxa"/>
            <w:vAlign w:val="bottom"/>
          </w:tcPr>
          <w:p>
            <w:pPr>
              <w:spacing w:after="0"/>
              <w:rPr>
                <w:sz w:val="1"/>
                <w:szCs w:val="1"/>
                <w:color w:val="auto"/>
              </w:rPr>
            </w:pPr>
          </w:p>
        </w:tc>
      </w:tr>
      <w:tr>
        <w:trPr>
          <w:trHeight w:val="162"/>
        </w:trPr>
        <w:tc>
          <w:tcPr>
            <w:tcW w:w="4000" w:type="dxa"/>
            <w:vAlign w:val="bottom"/>
          </w:tcPr>
          <w:p>
            <w:pPr>
              <w:spacing w:after="0"/>
              <w:rPr>
                <w:sz w:val="14"/>
                <w:szCs w:val="14"/>
                <w:color w:val="auto"/>
              </w:rPr>
            </w:pPr>
          </w:p>
        </w:tc>
        <w:tc>
          <w:tcPr>
            <w:tcW w:w="2600" w:type="dxa"/>
            <w:vAlign w:val="bottom"/>
            <w:tcBorders>
              <w:bottom w:val="single" w:sz="8" w:color="auto"/>
            </w:tcBorders>
            <w:gridSpan w:val="4"/>
            <w:vMerge w:val="continue"/>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1660" w:type="dxa"/>
            <w:vAlign w:val="bottom"/>
            <w:gridSpan w:val="2"/>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Covered by this</w:t>
            </w:r>
          </w:p>
        </w:tc>
        <w:tc>
          <w:tcPr>
            <w:tcW w:w="1380" w:type="dxa"/>
            <w:vAlign w:val="bottom"/>
            <w:tcBorders>
              <w:bottom w:val="single" w:sz="8" w:color="auto"/>
            </w:tcBorders>
            <w:gridSpan w:val="2"/>
          </w:tcPr>
          <w:p>
            <w:pPr>
              <w:jc w:val="center"/>
              <w:ind w:left="394"/>
              <w:spacing w:after="0"/>
              <w:rPr>
                <w:sz w:val="20"/>
                <w:szCs w:val="20"/>
                <w:color w:val="auto"/>
              </w:rPr>
            </w:pPr>
            <w:r>
              <w:rPr>
                <w:rFonts w:ascii="Times New Roman" w:cs="Times New Roman" w:eastAsia="Times New Roman" w:hAnsi="Times New Roman"/>
                <w:sz w:val="14"/>
                <w:szCs w:val="14"/>
                <w:b w:val="1"/>
                <w:bCs w:val="1"/>
                <w:color w:val="auto"/>
              </w:rPr>
              <w:t>are Sold</w:t>
            </w:r>
          </w:p>
        </w:tc>
        <w:tc>
          <w:tcPr>
            <w:tcW w:w="4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7"/>
        </w:trPr>
        <w:tc>
          <w:tcPr>
            <w:tcW w:w="40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980" w:type="dxa"/>
            <w:vAlign w:val="bottom"/>
          </w:tcPr>
          <w:p>
            <w:pPr>
              <w:ind w:left="24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1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Percent</w:t>
            </w:r>
          </w:p>
        </w:tc>
        <w:tc>
          <w:tcPr>
            <w:tcW w:w="1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660" w:type="dxa"/>
            <w:vAlign w:val="bottom"/>
            <w:gridSpan w:val="2"/>
          </w:tcPr>
          <w:p>
            <w:pPr>
              <w:jc w:val="center"/>
              <w:ind w:right="700"/>
              <w:spacing w:after="0" w:line="118" w:lineRule="exact"/>
              <w:rPr>
                <w:sz w:val="20"/>
                <w:szCs w:val="20"/>
                <w:color w:val="auto"/>
              </w:rPr>
            </w:pPr>
            <w:r>
              <w:rPr>
                <w:rFonts w:ascii="Times New Roman" w:cs="Times New Roman" w:eastAsia="Times New Roman" w:hAnsi="Times New Roman"/>
                <w:sz w:val="13"/>
                <w:szCs w:val="13"/>
                <w:b w:val="1"/>
                <w:bCs w:val="1"/>
                <w:color w:val="auto"/>
              </w:rPr>
              <w:t>Registration</w:t>
            </w:r>
          </w:p>
        </w:tc>
        <w:tc>
          <w:tcPr>
            <w:tcW w:w="1380" w:type="dxa"/>
            <w:vAlign w:val="bottom"/>
            <w:gridSpan w:val="2"/>
          </w:tcPr>
          <w:p>
            <w:pPr>
              <w:jc w:val="right"/>
              <w:ind w:right="70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5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Percent</w:t>
            </w:r>
          </w:p>
        </w:tc>
        <w:tc>
          <w:tcPr>
            <w:tcW w:w="0" w:type="dxa"/>
            <w:vAlign w:val="bottom"/>
          </w:tcPr>
          <w:p>
            <w:pPr>
              <w:spacing w:after="0"/>
              <w:rPr>
                <w:sz w:val="1"/>
                <w:szCs w:val="1"/>
                <w:color w:val="auto"/>
              </w:rPr>
            </w:pPr>
          </w:p>
        </w:tc>
      </w:tr>
      <w:tr>
        <w:trPr>
          <w:trHeight w:val="173"/>
        </w:trPr>
        <w:tc>
          <w:tcPr>
            <w:tcW w:w="4000" w:type="dxa"/>
            <w:vAlign w:val="bottom"/>
            <w:vMerge w:val="continue"/>
          </w:tcPr>
          <w:p>
            <w:pPr>
              <w:spacing w:after="0"/>
              <w:rPr>
                <w:sz w:val="15"/>
                <w:szCs w:val="15"/>
                <w:color w:val="auto"/>
              </w:rPr>
            </w:pPr>
          </w:p>
        </w:tc>
        <w:tc>
          <w:tcPr>
            <w:tcW w:w="980" w:type="dxa"/>
            <w:vAlign w:val="bottom"/>
          </w:tcPr>
          <w:p>
            <w:pPr>
              <w:ind w:left="3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660" w:type="dxa"/>
            <w:vAlign w:val="bottom"/>
            <w:gridSpan w:val="2"/>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Statement</w:t>
            </w:r>
          </w:p>
        </w:tc>
        <w:tc>
          <w:tcPr>
            <w:tcW w:w="1380" w:type="dxa"/>
            <w:vAlign w:val="bottom"/>
            <w:gridSpan w:val="2"/>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5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0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Alex Hornbake (1)</w:t>
            </w:r>
          </w:p>
        </w:tc>
        <w:tc>
          <w:tcPr>
            <w:tcW w:w="98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7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7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Alphaworks Dots Five, LLC(1)(2)</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2,224</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Alphaworks Dots Six, LLC(1)(3)</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809</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Arkansaa Investment Limited(1)(4)</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69,479</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98"/>
        </w:trPr>
        <w:tc>
          <w:tcPr>
            <w:tcW w:w="400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Asset Planning Master Trust / Series Paul</w:t>
            </w:r>
          </w:p>
        </w:tc>
        <w:tc>
          <w:tcPr>
            <w:tcW w:w="9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0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Murphy Trust(1)(5)</w:t>
            </w:r>
          </w:p>
        </w:tc>
        <w:tc>
          <w:tcPr>
            <w:tcW w:w="98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14,158</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Betaworks Studio, LLC(1)(6)</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198,056</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Betaworks Ventures 1.0, LP(1)(7)</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3,539</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Chris Deaner(1)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4,458</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Crunch Fund II, L.P.(1)(8)</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2,022</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Gia Vi Hua(1)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563</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Greycroft Partners III, L.P.(1)(9)</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61,354</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JAWS Equity Owner 53, LLC(1)(10)</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7,067</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Jennifer Tan(1)</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221</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JoRon Management LLC(1)(11)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211</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Kohta Aoki Wajima(1)</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1,183</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Lee Erin Glenn(1)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336</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MLC 50 LP Inc.(1)(12)</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28,266</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Nir Efrat(1)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21,740</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Northzone VII L.P.(1)(13)</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66,916</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Patrick Moberg(1)</w:t>
            </w:r>
          </w:p>
        </w:tc>
        <w:tc>
          <w:tcPr>
            <w:tcW w:w="980" w:type="dxa"/>
            <w:vAlign w:val="bottom"/>
          </w:tcPr>
          <w:p>
            <w:pPr>
              <w:spacing w:after="0"/>
              <w:rPr>
                <w:sz w:val="18"/>
                <w:szCs w:val="18"/>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77,536</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Paul Handly(1)</w:t>
            </w:r>
          </w:p>
        </w:tc>
        <w:tc>
          <w:tcPr>
            <w:tcW w:w="9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516</w:t>
            </w:r>
          </w:p>
        </w:tc>
        <w:tc>
          <w:tcPr>
            <w:tcW w:w="1380" w:type="dxa"/>
            <w:vAlign w:val="bottom"/>
            <w:gridSpan w:val="2"/>
            <w:shd w:val="clear" w:color="auto" w:fill="CCEEFF"/>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Paul Murphy(1)</w:t>
            </w:r>
          </w:p>
        </w:tc>
        <w:tc>
          <w:tcPr>
            <w:tcW w:w="980" w:type="dxa"/>
            <w:vAlign w:val="bottom"/>
          </w:tcPr>
          <w:p>
            <w:pPr>
              <w:spacing w:after="0"/>
              <w:rPr>
                <w:sz w:val="20"/>
                <w:szCs w:val="20"/>
                <w:color w:val="auto"/>
              </w:rPr>
            </w:pPr>
          </w:p>
        </w:tc>
        <w:tc>
          <w:tcPr>
            <w:tcW w:w="920" w:type="dxa"/>
            <w:vAlign w:val="bottom"/>
            <w:gridSpan w:val="2"/>
          </w:tcPr>
          <w:p>
            <w:pPr>
              <w:jc w:val="right"/>
              <w:ind w:right="74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20"/>
                <w:szCs w:val="20"/>
                <w:color w:val="auto"/>
              </w:rPr>
            </w:pPr>
          </w:p>
        </w:tc>
        <w:tc>
          <w:tcPr>
            <w:tcW w:w="84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30,756</w:t>
            </w:r>
          </w:p>
        </w:tc>
        <w:tc>
          <w:tcPr>
            <w:tcW w:w="1380" w:type="dxa"/>
            <w:vAlign w:val="bottom"/>
            <w:gridSpan w:val="2"/>
          </w:tcPr>
          <w:p>
            <w:pPr>
              <w:jc w:val="right"/>
              <w:ind w:right="70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346"/>
        </w:trPr>
        <w:tc>
          <w:tcPr>
            <w:tcW w:w="40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4</w:t>
            </w: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55" w:right="439" w:bottom="1440" w:gutter="0" w:footer="0" w:header="0"/>
        </w:sectPr>
      </w:pPr>
    </w:p>
    <w:bookmarkStart w:id="8" w:name="page9"/>
    <w:bookmarkEnd w:id="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2"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4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60" w:type="dxa"/>
            <w:vAlign w:val="bottom"/>
            <w:gridSpan w:val="2"/>
          </w:tcPr>
          <w:p>
            <w:pPr>
              <w:jc w:val="center"/>
              <w:ind w:right="660"/>
              <w:spacing w:after="0"/>
              <w:rPr>
                <w:sz w:val="20"/>
                <w:szCs w:val="20"/>
                <w:color w:val="auto"/>
              </w:rPr>
            </w:pPr>
            <w:r>
              <w:rPr>
                <w:rFonts w:ascii="Times New Roman" w:cs="Times New Roman" w:eastAsia="Times New Roman" w:hAnsi="Times New Roman"/>
                <w:sz w:val="14"/>
                <w:szCs w:val="14"/>
                <w:b w:val="1"/>
                <w:bCs w:val="1"/>
                <w:color w:val="auto"/>
              </w:rPr>
              <w:t>Shares of</w:t>
            </w:r>
          </w:p>
        </w:tc>
        <w:tc>
          <w:tcPr>
            <w:tcW w:w="1880" w:type="dxa"/>
            <w:vAlign w:val="bottom"/>
            <w:gridSpan w:val="4"/>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Ownership After the</w:t>
            </w:r>
          </w:p>
        </w:tc>
        <w:tc>
          <w:tcPr>
            <w:tcW w:w="0" w:type="dxa"/>
            <w:vAlign w:val="bottom"/>
          </w:tcPr>
          <w:p>
            <w:pPr>
              <w:spacing w:after="0"/>
              <w:rPr>
                <w:sz w:val="1"/>
                <w:szCs w:val="1"/>
                <w:color w:val="auto"/>
              </w:rPr>
            </w:pPr>
          </w:p>
        </w:tc>
      </w:tr>
      <w:tr>
        <w:trPr>
          <w:trHeight w:val="148"/>
        </w:trPr>
        <w:tc>
          <w:tcPr>
            <w:tcW w:w="4100" w:type="dxa"/>
            <w:vAlign w:val="bottom"/>
          </w:tcPr>
          <w:p>
            <w:pPr>
              <w:spacing w:after="0"/>
              <w:rPr>
                <w:sz w:val="12"/>
                <w:szCs w:val="12"/>
                <w:color w:val="auto"/>
              </w:rPr>
            </w:pPr>
          </w:p>
        </w:tc>
        <w:tc>
          <w:tcPr>
            <w:tcW w:w="2580" w:type="dxa"/>
            <w:vAlign w:val="bottom"/>
            <w:gridSpan w:val="4"/>
            <w:vMerge w:val="restart"/>
          </w:tcPr>
          <w:p>
            <w:pPr>
              <w:ind w:left="240"/>
              <w:spacing w:after="0"/>
              <w:rPr>
                <w:sz w:val="20"/>
                <w:szCs w:val="20"/>
                <w:color w:val="auto"/>
              </w:rPr>
            </w:pPr>
            <w:r>
              <w:rPr>
                <w:rFonts w:ascii="Times New Roman" w:cs="Times New Roman" w:eastAsia="Times New Roman" w:hAnsi="Times New Roman"/>
                <w:sz w:val="14"/>
                <w:szCs w:val="14"/>
                <w:b w:val="1"/>
                <w:bCs w:val="1"/>
                <w:color w:val="auto"/>
              </w:rPr>
              <w:t>Ownership Prior to the Registration</w:t>
            </w: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60" w:type="dxa"/>
            <w:vAlign w:val="bottom"/>
            <w:gridSpan w:val="2"/>
          </w:tcPr>
          <w:p>
            <w:pPr>
              <w:jc w:val="center"/>
              <w:ind w:right="680"/>
              <w:spacing w:after="0" w:line="149" w:lineRule="exact"/>
              <w:rPr>
                <w:sz w:val="20"/>
                <w:szCs w:val="20"/>
                <w:color w:val="auto"/>
              </w:rPr>
            </w:pPr>
            <w:r>
              <w:rPr>
                <w:rFonts w:ascii="Times New Roman" w:cs="Times New Roman" w:eastAsia="Times New Roman" w:hAnsi="Times New Roman"/>
                <w:sz w:val="14"/>
                <w:szCs w:val="14"/>
                <w:b w:val="1"/>
                <w:bCs w:val="1"/>
                <w:color w:val="auto"/>
              </w:rPr>
              <w:t>Common Stock</w:t>
            </w:r>
          </w:p>
        </w:tc>
        <w:tc>
          <w:tcPr>
            <w:tcW w:w="1880" w:type="dxa"/>
            <w:vAlign w:val="bottom"/>
            <w:gridSpan w:val="4"/>
          </w:tcPr>
          <w:p>
            <w:pPr>
              <w:jc w:val="center"/>
              <w:ind w:right="80"/>
              <w:spacing w:after="0" w:line="149" w:lineRule="exact"/>
              <w:rPr>
                <w:sz w:val="20"/>
                <w:szCs w:val="20"/>
                <w:color w:val="auto"/>
              </w:rPr>
            </w:pPr>
            <w:r>
              <w:rPr>
                <w:rFonts w:ascii="Times New Roman" w:cs="Times New Roman" w:eastAsia="Times New Roman" w:hAnsi="Times New Roman"/>
                <w:sz w:val="14"/>
                <w:szCs w:val="14"/>
                <w:b w:val="1"/>
                <w:bCs w:val="1"/>
                <w:color w:val="auto"/>
              </w:rPr>
              <w:t>Covered Shares</w:t>
            </w:r>
          </w:p>
        </w:tc>
        <w:tc>
          <w:tcPr>
            <w:tcW w:w="0" w:type="dxa"/>
            <w:vAlign w:val="bottom"/>
          </w:tcPr>
          <w:p>
            <w:pPr>
              <w:spacing w:after="0"/>
              <w:rPr>
                <w:sz w:val="1"/>
                <w:szCs w:val="1"/>
                <w:color w:val="auto"/>
              </w:rPr>
            </w:pPr>
          </w:p>
        </w:tc>
      </w:tr>
      <w:tr>
        <w:trPr>
          <w:trHeight w:val="162"/>
        </w:trPr>
        <w:tc>
          <w:tcPr>
            <w:tcW w:w="4100" w:type="dxa"/>
            <w:vAlign w:val="bottom"/>
          </w:tcPr>
          <w:p>
            <w:pPr>
              <w:spacing w:after="0"/>
              <w:rPr>
                <w:sz w:val="14"/>
                <w:szCs w:val="14"/>
                <w:color w:val="auto"/>
              </w:rPr>
            </w:pPr>
          </w:p>
        </w:tc>
        <w:tc>
          <w:tcPr>
            <w:tcW w:w="2580" w:type="dxa"/>
            <w:vAlign w:val="bottom"/>
            <w:tcBorders>
              <w:bottom w:val="single" w:sz="8" w:color="auto"/>
            </w:tcBorders>
            <w:gridSpan w:val="4"/>
            <w:vMerge w:val="continue"/>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660" w:type="dxa"/>
            <w:vAlign w:val="bottom"/>
            <w:gridSpan w:val="2"/>
          </w:tcPr>
          <w:p>
            <w:pPr>
              <w:jc w:val="center"/>
              <w:ind w:right="660"/>
              <w:spacing w:after="0"/>
              <w:rPr>
                <w:sz w:val="20"/>
                <w:szCs w:val="20"/>
                <w:color w:val="auto"/>
              </w:rPr>
            </w:pPr>
            <w:r>
              <w:rPr>
                <w:rFonts w:ascii="Times New Roman" w:cs="Times New Roman" w:eastAsia="Times New Roman" w:hAnsi="Times New Roman"/>
                <w:sz w:val="14"/>
                <w:szCs w:val="14"/>
                <w:b w:val="1"/>
                <w:bCs w:val="1"/>
                <w:color w:val="auto"/>
              </w:rPr>
              <w:t>Covered by this</w:t>
            </w:r>
          </w:p>
        </w:tc>
        <w:tc>
          <w:tcPr>
            <w:tcW w:w="1340" w:type="dxa"/>
            <w:vAlign w:val="bottom"/>
            <w:tcBorders>
              <w:bottom w:val="single" w:sz="8" w:color="auto"/>
            </w:tcBorders>
            <w:gridSpan w:val="2"/>
          </w:tcPr>
          <w:p>
            <w:pPr>
              <w:jc w:val="center"/>
              <w:ind w:left="401"/>
              <w:spacing w:after="0"/>
              <w:rPr>
                <w:sz w:val="20"/>
                <w:szCs w:val="20"/>
                <w:color w:val="auto"/>
              </w:rPr>
            </w:pPr>
            <w:r>
              <w:rPr>
                <w:rFonts w:ascii="Times New Roman" w:cs="Times New Roman" w:eastAsia="Times New Roman" w:hAnsi="Times New Roman"/>
                <w:sz w:val="14"/>
                <w:szCs w:val="14"/>
                <w:b w:val="1"/>
                <w:bCs w:val="1"/>
                <w:color w:val="auto"/>
              </w:rPr>
              <w:t>are Sold</w:t>
            </w:r>
          </w:p>
        </w:tc>
        <w:tc>
          <w:tcPr>
            <w:tcW w:w="4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7"/>
        </w:trPr>
        <w:tc>
          <w:tcPr>
            <w:tcW w:w="41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Name</w:t>
            </w:r>
          </w:p>
        </w:tc>
        <w:tc>
          <w:tcPr>
            <w:tcW w:w="980" w:type="dxa"/>
            <w:vAlign w:val="bottom"/>
          </w:tcPr>
          <w:p>
            <w:pPr>
              <w:ind w:left="24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1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Percent</w:t>
            </w: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60" w:type="dxa"/>
            <w:vAlign w:val="bottom"/>
            <w:gridSpan w:val="2"/>
          </w:tcPr>
          <w:p>
            <w:pPr>
              <w:jc w:val="center"/>
              <w:ind w:right="660"/>
              <w:spacing w:after="0" w:line="118" w:lineRule="exact"/>
              <w:rPr>
                <w:sz w:val="20"/>
                <w:szCs w:val="20"/>
                <w:color w:val="auto"/>
              </w:rPr>
            </w:pPr>
            <w:r>
              <w:rPr>
                <w:rFonts w:ascii="Times New Roman" w:cs="Times New Roman" w:eastAsia="Times New Roman" w:hAnsi="Times New Roman"/>
                <w:sz w:val="13"/>
                <w:szCs w:val="13"/>
                <w:b w:val="1"/>
                <w:bCs w:val="1"/>
                <w:color w:val="auto"/>
              </w:rPr>
              <w:t>Registration</w:t>
            </w:r>
          </w:p>
        </w:tc>
        <w:tc>
          <w:tcPr>
            <w:tcW w:w="1340" w:type="dxa"/>
            <w:vAlign w:val="bottom"/>
            <w:gridSpan w:val="2"/>
          </w:tcPr>
          <w:p>
            <w:pPr>
              <w:jc w:val="right"/>
              <w:ind w:right="680"/>
              <w:spacing w:after="0" w:line="118" w:lineRule="exact"/>
              <w:rPr>
                <w:sz w:val="20"/>
                <w:szCs w:val="20"/>
                <w:color w:val="auto"/>
              </w:rPr>
            </w:pPr>
            <w:r>
              <w:rPr>
                <w:rFonts w:ascii="Times New Roman" w:cs="Times New Roman" w:eastAsia="Times New Roman" w:hAnsi="Times New Roman"/>
                <w:sz w:val="13"/>
                <w:szCs w:val="13"/>
                <w:b w:val="1"/>
                <w:bCs w:val="1"/>
                <w:color w:val="auto"/>
              </w:rPr>
              <w:t>Number of</w:t>
            </w:r>
          </w:p>
        </w:tc>
        <w:tc>
          <w:tcPr>
            <w:tcW w:w="5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Percent</w:t>
            </w:r>
          </w:p>
        </w:tc>
        <w:tc>
          <w:tcPr>
            <w:tcW w:w="0" w:type="dxa"/>
            <w:vAlign w:val="bottom"/>
          </w:tcPr>
          <w:p>
            <w:pPr>
              <w:spacing w:after="0"/>
              <w:rPr>
                <w:sz w:val="1"/>
                <w:szCs w:val="1"/>
                <w:color w:val="auto"/>
              </w:rPr>
            </w:pPr>
          </w:p>
        </w:tc>
      </w:tr>
      <w:tr>
        <w:trPr>
          <w:trHeight w:val="173"/>
        </w:trPr>
        <w:tc>
          <w:tcPr>
            <w:tcW w:w="4100" w:type="dxa"/>
            <w:vAlign w:val="bottom"/>
            <w:vMerge w:val="continue"/>
          </w:tcPr>
          <w:p>
            <w:pPr>
              <w:spacing w:after="0"/>
              <w:rPr>
                <w:sz w:val="15"/>
                <w:szCs w:val="15"/>
                <w:color w:val="auto"/>
              </w:rPr>
            </w:pPr>
          </w:p>
        </w:tc>
        <w:tc>
          <w:tcPr>
            <w:tcW w:w="980" w:type="dxa"/>
            <w:vAlign w:val="bottom"/>
          </w:tcPr>
          <w:p>
            <w:pPr>
              <w:ind w:left="36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60" w:type="dxa"/>
            <w:vAlign w:val="bottom"/>
            <w:gridSpan w:val="2"/>
          </w:tcPr>
          <w:p>
            <w:pPr>
              <w:jc w:val="center"/>
              <w:ind w:right="680"/>
              <w:spacing w:after="0"/>
              <w:rPr>
                <w:sz w:val="20"/>
                <w:szCs w:val="20"/>
                <w:color w:val="auto"/>
              </w:rPr>
            </w:pPr>
            <w:r>
              <w:rPr>
                <w:rFonts w:ascii="Times New Roman" w:cs="Times New Roman" w:eastAsia="Times New Roman" w:hAnsi="Times New Roman"/>
                <w:sz w:val="14"/>
                <w:szCs w:val="14"/>
                <w:b w:val="1"/>
                <w:bCs w:val="1"/>
                <w:color w:val="auto"/>
              </w:rPr>
              <w:t>Statement</w:t>
            </w:r>
          </w:p>
        </w:tc>
        <w:tc>
          <w:tcPr>
            <w:tcW w:w="134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5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1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RBC USA Holdco Corporation(1)(14)</w:t>
            </w:r>
          </w:p>
        </w:tc>
        <w:tc>
          <w:tcPr>
            <w:tcW w:w="98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ind w:left="80"/>
              <w:spacing w:after="0"/>
              <w:rPr>
                <w:sz w:val="20"/>
                <w:szCs w:val="20"/>
                <w:color w:val="auto"/>
              </w:rPr>
            </w:pPr>
            <w:r>
              <w:rPr>
                <w:rFonts w:ascii="Times New Roman" w:cs="Times New Roman" w:eastAsia="Times New Roman" w:hAnsi="Times New Roman"/>
                <w:sz w:val="17"/>
                <w:szCs w:val="17"/>
                <w:color w:val="auto"/>
                <w:w w:val="70"/>
              </w:rPr>
              <w:t>0</w:t>
            </w:r>
          </w:p>
        </w:tc>
        <w:tc>
          <w:tcPr>
            <w:tcW w:w="7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66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2,033</w:t>
            </w:r>
          </w:p>
        </w:tc>
        <w:tc>
          <w:tcPr>
            <w:tcW w:w="68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66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Richard Sarnoff(1)</w:t>
            </w:r>
          </w:p>
        </w:tc>
        <w:tc>
          <w:tcPr>
            <w:tcW w:w="980" w:type="dxa"/>
            <w:vAlign w:val="bottom"/>
          </w:tcPr>
          <w:p>
            <w:pPr>
              <w:spacing w:after="0"/>
              <w:rPr>
                <w:sz w:val="18"/>
                <w:szCs w:val="18"/>
                <w:color w:val="auto"/>
              </w:rPr>
            </w:pPr>
          </w:p>
        </w:tc>
        <w:tc>
          <w:tcPr>
            <w:tcW w:w="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18"/>
                <w:szCs w:val="18"/>
                <w:color w:val="auto"/>
              </w:rPr>
            </w:pPr>
          </w:p>
        </w:tc>
        <w:tc>
          <w:tcPr>
            <w:tcW w:w="80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3,329</w:t>
            </w:r>
          </w:p>
        </w:tc>
        <w:tc>
          <w:tcPr>
            <w:tcW w:w="134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4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Steven Sadin(1)</w:t>
            </w:r>
          </w:p>
        </w:tc>
        <w:tc>
          <w:tcPr>
            <w:tcW w:w="9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shd w:val="clear" w:color="auto" w:fill="CCEEFF"/>
          </w:tcPr>
          <w:p>
            <w:pPr>
              <w:jc w:val="right"/>
              <w:ind w:right="680"/>
              <w:spacing w:after="0"/>
              <w:rPr>
                <w:sz w:val="20"/>
                <w:szCs w:val="20"/>
                <w:color w:val="auto"/>
              </w:rPr>
            </w:pPr>
            <w:r>
              <w:rPr>
                <w:rFonts w:ascii="Times New Roman" w:cs="Times New Roman" w:eastAsia="Times New Roman" w:hAnsi="Times New Roman"/>
                <w:sz w:val="18"/>
                <w:szCs w:val="18"/>
                <w:color w:val="auto"/>
              </w:rPr>
              <w:t>995</w:t>
            </w:r>
          </w:p>
        </w:tc>
        <w:tc>
          <w:tcPr>
            <w:tcW w:w="1340" w:type="dxa"/>
            <w:vAlign w:val="bottom"/>
            <w:gridSpan w:val="2"/>
            <w:shd w:val="clear" w:color="auto" w:fill="CCEEFF"/>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4100" w:type="dxa"/>
            <w:vAlign w:val="bottom"/>
          </w:tcPr>
          <w:p>
            <w:pPr>
              <w:spacing w:after="0"/>
              <w:rPr>
                <w:sz w:val="20"/>
                <w:szCs w:val="20"/>
                <w:color w:val="auto"/>
              </w:rPr>
            </w:pPr>
            <w:r>
              <w:rPr>
                <w:rFonts w:ascii="Times New Roman" w:cs="Times New Roman" w:eastAsia="Times New Roman" w:hAnsi="Times New Roman"/>
                <w:sz w:val="18"/>
                <w:szCs w:val="18"/>
                <w:color w:val="auto"/>
              </w:rPr>
              <w:t>Upward Ventures Limited(1)(15)</w:t>
            </w:r>
          </w:p>
        </w:tc>
        <w:tc>
          <w:tcPr>
            <w:tcW w:w="980" w:type="dxa"/>
            <w:vAlign w:val="bottom"/>
          </w:tcPr>
          <w:p>
            <w:pPr>
              <w:spacing w:after="0"/>
              <w:rPr>
                <w:sz w:val="20"/>
                <w:szCs w:val="20"/>
                <w:color w:val="auto"/>
              </w:rPr>
            </w:pPr>
          </w:p>
        </w:tc>
        <w:tc>
          <w:tcPr>
            <w:tcW w:w="9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0</w:t>
            </w:r>
          </w:p>
        </w:tc>
        <w:tc>
          <w:tcPr>
            <w:tcW w:w="700" w:type="dxa"/>
            <w:vAlign w:val="bottom"/>
          </w:tcPr>
          <w:p>
            <w:pPr>
              <w:spacing w:after="0"/>
              <w:rPr>
                <w:sz w:val="20"/>
                <w:szCs w:val="20"/>
                <w:color w:val="auto"/>
              </w:rPr>
            </w:pPr>
          </w:p>
        </w:tc>
        <w:tc>
          <w:tcPr>
            <w:tcW w:w="80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166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5,933</w:t>
            </w:r>
          </w:p>
        </w:tc>
        <w:tc>
          <w:tcPr>
            <w:tcW w:w="134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0</w:t>
            </w:r>
          </w:p>
        </w:tc>
        <w:tc>
          <w:tcPr>
            <w:tcW w:w="5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bl>
    <w:p>
      <w:pPr>
        <w:spacing w:after="0" w:line="206" w:lineRule="exact"/>
        <w:rPr>
          <w:sz w:val="20"/>
          <w:szCs w:val="20"/>
          <w:color w:val="auto"/>
        </w:rPr>
      </w:pPr>
    </w:p>
    <w:p>
      <w:pPr>
        <w:ind w:left="540" w:right="120" w:hanging="424"/>
        <w:spacing w:after="0" w:line="257"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Pursuant to the Merger Agreement, such selling stockholder is permitted to transfer up to one-tenth of such selling stockholder’s shares on the effectiveness of the registration statement of which this prospectus is a part, and up to an additional one-tenth of such selling stockholder’s shares on each day thereafter.</w:t>
      </w:r>
    </w:p>
    <w:p>
      <w:pPr>
        <w:spacing w:after="0" w:line="1"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Alphaworks Dots Five, LLC is managed by Alphaworks, Inc.</w:t>
      </w:r>
    </w:p>
    <w:p>
      <w:pPr>
        <w:spacing w:after="0" w:line="9"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Alphaworks Dots Six, LLC is managed by Alphaworks, Inc.</w:t>
      </w:r>
    </w:p>
    <w:p>
      <w:pPr>
        <w:spacing w:after="0" w:line="9" w:lineRule="exact"/>
        <w:rPr>
          <w:rFonts w:ascii="Times New Roman" w:cs="Times New Roman" w:eastAsia="Times New Roman" w:hAnsi="Times New Roman"/>
          <w:sz w:val="18"/>
          <w:szCs w:val="18"/>
          <w:color w:val="auto"/>
        </w:rPr>
      </w:pPr>
    </w:p>
    <w:p>
      <w:pPr>
        <w:ind w:left="540" w:right="38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Arkansaa Investment Limited is managed by Tencent Holdings Limited. Ma Hua Teng and Charles St Leger Searle have voting or investment control over the shares held by Arkansaa Investment Limited as directors.</w:t>
      </w:r>
    </w:p>
    <w:p>
      <w:pPr>
        <w:ind w:left="540" w:right="16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Asset Planning Master Trust / Series Paul Murphy Trust is managed by The Bryn Mawr Trust Company of Delaware. Paul Murphy has voting or investment control over the shares held by Asset Planning Master Trust / Series Paul Murphy Trust.</w:t>
      </w:r>
    </w:p>
    <w:p>
      <w:pPr>
        <w:ind w:left="540" w:right="48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John Borthwick, the Chief Executive Officer of Betaworks Studio, LLC, has voting or investment control over the shares held by Betaworks Studio, LLC.</w:t>
      </w:r>
    </w:p>
    <w:p>
      <w:pPr>
        <w:ind w:left="540" w:right="46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Betaworks Ventures 1.0 GP, LLC is the general partner of Betaworks Ventures 1.0, LP. John Borthwick, the managing member of Betaworks Ventures 1.0 GP, LLC, has voting or investment control over the shares held by Betaworks Ventures 1.0, LP.</w:t>
      </w:r>
    </w:p>
    <w:p>
      <w:pPr>
        <w:ind w:left="540" w:right="2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Crunch Fund II, L.P. is managed by Venture Capital Fund. Patrick Gallagher has voting or investment control over the shares held by Crunch Fund II, L.P.</w:t>
      </w:r>
    </w:p>
    <w:p>
      <w:pPr>
        <w:ind w:left="540" w:right="42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Greycroft Partners III, L.P. is managed by Greycroft Managers III, LLC. Dana Settle, Ian Sigalow, John Elton and Mark Terbeek, directors of Greycroft Mangers III, LL, have voting or investment control over the shares held by Greycroft Partners III, L.P.</w:t>
      </w:r>
    </w:p>
    <w:p>
      <w:pPr>
        <w:ind w:left="540" w:hanging="424"/>
        <w:spacing w:after="0"/>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Barry S. Sternlicht has voting or investment control over the shares held by JAWS Equity Owner 53, LLC.</w:t>
      </w:r>
    </w:p>
    <w:p>
      <w:pPr>
        <w:spacing w:after="0" w:line="9" w:lineRule="exact"/>
        <w:rPr>
          <w:rFonts w:ascii="Times New Roman" w:cs="Times New Roman" w:eastAsia="Times New Roman" w:hAnsi="Times New Roman"/>
          <w:sz w:val="18"/>
          <w:szCs w:val="18"/>
          <w:color w:val="auto"/>
        </w:rPr>
      </w:pPr>
    </w:p>
    <w:p>
      <w:pPr>
        <w:ind w:left="540" w:hanging="424"/>
        <w:spacing w:after="0"/>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Jordan Levy has voting or investment control over the shares held by JoRon Mangement LLC.</w:t>
      </w:r>
    </w:p>
    <w:p>
      <w:pPr>
        <w:spacing w:after="0" w:line="9" w:lineRule="exact"/>
        <w:rPr>
          <w:rFonts w:ascii="Times New Roman" w:cs="Times New Roman" w:eastAsia="Times New Roman" w:hAnsi="Times New Roman"/>
          <w:sz w:val="18"/>
          <w:szCs w:val="18"/>
          <w:color w:val="auto"/>
        </w:rPr>
      </w:pPr>
    </w:p>
    <w:p>
      <w:pPr>
        <w:ind w:left="540" w:right="10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MLC 50 GP Limited is the general partner of MLC 50 LP Inc. MLC 50 GP Limited is wholly owned by JC Holdings Limited, and Novatrust Limited is the trustee of JC Holdings Limited Purpose Trust. Jeremy Collar, the economic settlor, has voting or investment control over the shares held by MLC 50 LP Inc.</w:t>
      </w:r>
    </w:p>
    <w:p>
      <w:pPr>
        <w:spacing w:after="0" w:line="1" w:lineRule="exact"/>
        <w:rPr>
          <w:rFonts w:ascii="Times New Roman" w:cs="Times New Roman" w:eastAsia="Times New Roman" w:hAnsi="Times New Roman"/>
          <w:sz w:val="18"/>
          <w:szCs w:val="18"/>
          <w:color w:val="auto"/>
        </w:rPr>
      </w:pPr>
    </w:p>
    <w:p>
      <w:pPr>
        <w:ind w:left="540" w:right="420" w:hanging="424"/>
        <w:spacing w:after="0" w:line="25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Northzone VII L.P. is managed by NZVII (GP) Limited. Antoinette Kyriacou, Nicholas Watkins, Ian Lambert and Matthew Robins, directors (controllers) of NZVII (GP) Limited have voting or investment control over the shares held by Northzone VII L.P.</w:t>
      </w:r>
    </w:p>
    <w:p>
      <w:pPr>
        <w:ind w:left="540" w:hanging="424"/>
        <w:spacing w:after="0"/>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RBC USA Holdco Corporation is managed by RBC US Group Holdings LLC.</w:t>
      </w:r>
    </w:p>
    <w:p>
      <w:pPr>
        <w:spacing w:after="0" w:line="9" w:lineRule="exact"/>
        <w:rPr>
          <w:rFonts w:ascii="Times New Roman" w:cs="Times New Roman" w:eastAsia="Times New Roman" w:hAnsi="Times New Roman"/>
          <w:sz w:val="18"/>
          <w:szCs w:val="18"/>
          <w:color w:val="auto"/>
        </w:rPr>
      </w:pPr>
    </w:p>
    <w:p>
      <w:pPr>
        <w:ind w:left="540" w:right="40" w:hanging="424"/>
        <w:spacing w:after="0" w:line="260" w:lineRule="auto"/>
        <w:tabs>
          <w:tab w:leader="none" w:pos="5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Feng Bo and Chen Lin, the sole shareholders and directors of Upward Ventures Limited, have voting or investment control over the shares held by Upward Ventures Limited.</w:t>
      </w:r>
    </w:p>
    <w:p>
      <w:pPr>
        <w:spacing w:after="0" w:line="11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140"/>
          </w:cols>
          <w:pgMar w:left="320" w:top="455" w:right="439" w:bottom="1440" w:gutter="0" w:footer="0" w:header="0"/>
        </w:sectPr>
      </w:pPr>
    </w:p>
    <w:bookmarkStart w:id="9" w:name="page10"/>
    <w:bookmarkEnd w:id="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120" w:right="520"/>
        <w:spacing w:after="0" w:line="282" w:lineRule="auto"/>
        <w:rPr>
          <w:sz w:val="20"/>
          <w:szCs w:val="20"/>
          <w:color w:val="auto"/>
        </w:rPr>
      </w:pPr>
      <w:r>
        <w:rPr>
          <w:rFonts w:ascii="Times New Roman" w:cs="Times New Roman" w:eastAsia="Times New Roman" w:hAnsi="Times New Roman"/>
          <w:sz w:val="18"/>
          <w:szCs w:val="18"/>
          <w:color w:val="auto"/>
        </w:rPr>
        <w:t>We are registering the Common Stock on behalf of the selling shareholders pursuant to the terms of the Merger Agreement. A copy of the Merger Agreement is filed as an exhibit to the registration statement of which this prospectus is a part.</w:t>
      </w:r>
    </w:p>
    <w:p>
      <w:pPr>
        <w:spacing w:after="0" w:line="162"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The selling shareholders, including their donees, transferees, distributees, beneficiaries or other successors-in-interest, may from time to time offer some or all of the shares of Common Stock covered by this prospectus. To the extent required, this prospectus may be amended and supplemented from time to time to describe a specific plan of distribution.</w:t>
      </w:r>
    </w:p>
    <w:p>
      <w:pPr>
        <w:spacing w:after="0" w:line="176" w:lineRule="exact"/>
        <w:rPr>
          <w:sz w:val="20"/>
          <w:szCs w:val="20"/>
          <w:color w:val="auto"/>
        </w:rPr>
      </w:pPr>
    </w:p>
    <w:p>
      <w:pPr>
        <w:ind w:left="120" w:right="180"/>
        <w:spacing w:after="0" w:line="266" w:lineRule="auto"/>
        <w:rPr>
          <w:sz w:val="20"/>
          <w:szCs w:val="20"/>
          <w:color w:val="auto"/>
        </w:rPr>
      </w:pPr>
      <w:r>
        <w:rPr>
          <w:rFonts w:ascii="Times New Roman" w:cs="Times New Roman" w:eastAsia="Times New Roman" w:hAnsi="Times New Roman"/>
          <w:sz w:val="18"/>
          <w:szCs w:val="18"/>
          <w:color w:val="auto"/>
        </w:rPr>
        <w:t>Any or all of the selling shareholders may offer the Common Stock from time to time, either in increments or in a single transaction. The selling shareholders may also decide not to sell all the shares they are allowed to sell under this prospectus. The selling shareholders will act independently of us in making decisions with respect to the timing, manner and size of each sale.</w:t>
      </w:r>
    </w:p>
    <w:p>
      <w:pPr>
        <w:spacing w:after="0" w:line="176"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The selling shareholders and any of their donees, transferees, distributees, beneficiaries and other successors-in-interest may, from time to time, sell any or all of their shares of Common Stock on any stock exchange, market or trading facility on which the shares are traded or quoted or in private transactions. These sales may be at market prices prevailing at the time of sale, at prices related to such prevailing market prices, at fixed prices or negotiated prices. The selling shareholders may use any one or more of the following methods when selling shares of Common Stock:</w:t>
      </w:r>
    </w:p>
    <w:p>
      <w:pPr>
        <w:spacing w:after="0" w:line="85" w:lineRule="exact"/>
        <w:rPr>
          <w:sz w:val="20"/>
          <w:szCs w:val="20"/>
          <w:color w:val="auto"/>
        </w:rPr>
      </w:pPr>
    </w:p>
    <w:p>
      <w:pPr>
        <w:ind w:left="1080" w:right="16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purchases by dealers and agents who may receive compensation in the form of underwriting discounts, concessions or commissions from the selling securityholders and/or the purchasers of the shares of Common Stock for whom they may act as agent;</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ordinary brokerage transactions and transactions in which a broker-dealer solicits purchasers;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block trades in which a broker-dealer will attempt to sell the shares as agent but may position and resell a portion of the block as principal to facilitate the transaction;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purchases by a broker-dealer as principal and resale by the broker-dealer for its account;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exchange distribution in accordance with the rules of the applicable exchange on which the shares are traded or quoted;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privately negotiated transactions;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agreement with broker-dealers to sell a specified number of such shares at a stipulated price per share;</w:t>
      </w:r>
    </w:p>
    <w:p>
      <w:pPr>
        <w:spacing w:after="0" w:line="130" w:lineRule="exact"/>
        <w:rPr>
          <w:rFonts w:ascii="Times New Roman" w:cs="Times New Roman" w:eastAsia="Times New Roman" w:hAnsi="Times New Roman"/>
          <w:sz w:val="18"/>
          <w:szCs w:val="18"/>
          <w:color w:val="auto"/>
        </w:rPr>
      </w:pPr>
    </w:p>
    <w:p>
      <w:pPr>
        <w:ind w:left="1080" w:right="62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put or call options, including the writing of exchange-traded call options, or other hedging transactions related to shares of Common Stock;</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combination of any such methods of sale;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method permitted pursuant to applicable law.</w:t>
      </w:r>
    </w:p>
    <w:p>
      <w:pPr>
        <w:spacing w:after="0" w:line="22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Selling shareholders may enter into transactions from time to time in which a selling shareholder may enter into option or other types of transactions that require the selling shareholder to deliver Common Stock to a broker-dealer or any other person, who will then resell or transfer the Common Stock under this prospectus.</w:t>
      </w:r>
    </w:p>
    <w:p>
      <w:pPr>
        <w:spacing w:after="0" w:line="176"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The selling shareholders may also sell shares under any available exemption to the registration requirements of the Securities Act, including but not limited to Rule 144 under the Securities Act, rather than under this prospectus.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120"/>
          </w:cols>
          <w:pgMar w:left="320" w:top="455" w:right="459" w:bottom="1440" w:gutter="0" w:footer="0" w:header="0"/>
        </w:sectPr>
      </w:pPr>
    </w:p>
    <w:bookmarkStart w:id="10" w:name="page11"/>
    <w:bookmarkEnd w:id="1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The selling shareholders may enter into sale, forward sale and derivative transactions with third parties, or may sell securities not covered by this prospectus to third parties in privately negotiated transactions. In connection with those sale, forward sale or derivative transactions, the third parties may sell shares of Common Stock covered by this prospectus, including by issuing securities that are not covered by this prospectus but are exchangeable for or represent beneficial interests in shares of Common Stock. The third parties also may use shares received under those sale, forward sale or derivative arrangements or shares borrowed from the selling shareholders or others to settle such third-party sales or to close out any related open borrowings of shares of Common Stock. The third parties may deliver this prospectus in connection with any such transactions. Any third party in such sale transactions will be an underwriter and will be identified in a supplement to this prospectus or post-effective amendment to the registration statement of which this prospectus is a part as may be required.</w:t>
      </w:r>
    </w:p>
    <w:p>
      <w:pPr>
        <w:spacing w:after="0" w:line="192"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Resales by selling shareholders may be made directly to investors or through securities firms acting as brokers or dealers. Broker-dealers engaged by the selling shareholders may arrange for other broker-dealers to participate in sales. When resales are to be made through a securities firm, the securities firm may be engaged to act as the selling shareholder’s agent in the resale of Common Stock by the selling shareholder, or the securities firm may purchase Common Stock from the selling shareholder as principal and thereafter resell those shares from time to time. Securities firms may, to the extent permissible, receive compensation in the form of commissions, concessions or discounts from the selling shareholders or the purchaser, either as agent of such purchaser or in a sale to such purchaser as principals in amounts to be negotiated. Such compensation may be in excess of customary commissions, concessions or discounts and will be in amounts to be negotiated in connection with such resales.</w:t>
      </w:r>
    </w:p>
    <w:p>
      <w:pPr>
        <w:spacing w:after="0" w:line="189" w:lineRule="exact"/>
        <w:rPr>
          <w:sz w:val="20"/>
          <w:szCs w:val="20"/>
          <w:color w:val="auto"/>
        </w:rPr>
      </w:pPr>
    </w:p>
    <w:p>
      <w:pPr>
        <w:ind w:left="120" w:right="80"/>
        <w:spacing w:after="0" w:line="254" w:lineRule="auto"/>
        <w:rPr>
          <w:sz w:val="20"/>
          <w:szCs w:val="20"/>
          <w:color w:val="auto"/>
        </w:rPr>
      </w:pPr>
      <w:r>
        <w:rPr>
          <w:rFonts w:ascii="Times New Roman" w:cs="Times New Roman" w:eastAsia="Times New Roman" w:hAnsi="Times New Roman"/>
          <w:sz w:val="18"/>
          <w:szCs w:val="18"/>
          <w:color w:val="auto"/>
        </w:rPr>
        <w:t>To the extent necessary, the specific terms of the offering of the shares of Common Stock, including the specific shares to be sold, the names of the selling shareholders, the respective purchase prices and public offering prices, the names of any broker-dealer or agent, if any, and any applicable compensation in the form of discounts, concessions or commissions paid to agents or paid or allowed to dealers will be set forth in a supplement to this prospectus or a post-effective amendment to this registration statement of which this prospectus forms a part. The selling shareholders may, or may authorize dealers and agents to, solicit offers from specified institutions to purchase shares of Common Stock from the selling shareholders. These sales may be made under “delayed delivery contracts” or other purchase contracts that provide for payment and delivery on a specified future date. If necessary, any such contracts will be described and be subject to the conditions set forth in a supplement to this prospectus or a post-effective amendment to this registration statement of which this prospectus forms a part.</w:t>
      </w:r>
    </w:p>
    <w:p>
      <w:pPr>
        <w:spacing w:after="0" w:line="19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Any broker-dealers or agents that are involved in selling the shares may be deemed to be “underwriters” within the meaning of the Securities Act in connection with such sales. In such event, any compensation received by such broker-dealers or agents and any profit on the resale of the shares purchased by them may be deemed to be underwriting commissions or discounts under the Securities Act. Discounts, concessions, commissions and other compensation, if any, that can be attributed to the sale of shares of Common Stock sold hereunder will be paid by the selling shareholder and/or the purchasers.</w:t>
      </w:r>
    </w:p>
    <w:p>
      <w:pPr>
        <w:spacing w:after="0" w:line="183"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If a selling shareholder uses this prospectus for any sale of Common Stock, it will be subject to the prospectus delivery requirements of the Securities Act. The selling shareholders will be responsible for complying with the applicable provisions of the Securities Act and Exchange Act, and the rules and regulations thereunder promulgated, including, without limitation, Regulation M, as applicable to such selling shareholders in connection with resales of their respective shares under this registration statement.</w:t>
      </w:r>
    </w:p>
    <w:p>
      <w:pPr>
        <w:spacing w:after="0" w:line="180"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We are required to pay all fees and expenses incident to the registration of the shares, but we will not receive any proceeds from the sale of the Common Stock sold pursuant to this prospectus.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120"/>
          </w:cols>
          <w:pgMar w:left="320" w:top="455" w:right="459" w:bottom="1440" w:gutter="0" w:footer="0" w:header="0"/>
        </w:sectPr>
      </w:pPr>
    </w:p>
    <w:bookmarkStart w:id="11" w:name="page12"/>
    <w:bookmarkEnd w:id="1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right="560"/>
        <w:spacing w:after="0" w:line="282" w:lineRule="auto"/>
        <w:rPr>
          <w:sz w:val="20"/>
          <w:szCs w:val="20"/>
          <w:color w:val="auto"/>
        </w:rPr>
      </w:pPr>
      <w:r>
        <w:rPr>
          <w:rFonts w:ascii="Times New Roman" w:cs="Times New Roman" w:eastAsia="Times New Roman" w:hAnsi="Times New Roman"/>
          <w:sz w:val="18"/>
          <w:szCs w:val="18"/>
          <w:color w:val="auto"/>
        </w:rPr>
        <w:t>Unless otherwise specified in a prospectus supplement, the validity of our Common Stock shares have been passed upon for us by Willkie Farr &amp; Gallagher LLP.</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Take-Two Interactive Software, Inc. appearing in Take-Two Interactive Software, Inc.’s Annual Report (Form 10-K) for the year ended March 31, 2020 and the effectiveness of Take-Two Interactive Software, Inc.’s internal control over financial reporting as of March 31, 2020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140"/>
          </w:cols>
          <w:pgMar w:left="320" w:top="455" w:right="439" w:bottom="1440" w:gutter="0" w:footer="0" w:header="0"/>
        </w:sectPr>
      </w:pPr>
    </w:p>
    <w:bookmarkStart w:id="12" w:name="page13"/>
    <w:bookmarkEnd w:id="1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We are subject to the information reporting requirements of the Securities Exchange Act of 1934, as amended, and, in accordance with these requirements, we are required to file periodic reports and other information with the SEC. The SEC maintains an Internet website at http://www.sec.gov that contains our filed reports, proxy and information statements, and other information we file electronically with the SEC.</w:t>
      </w:r>
    </w:p>
    <w:p>
      <w:pPr>
        <w:spacing w:after="0" w:line="176"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Additionally, we make our SEC filings available, free of charge, on our website at www.take2games.com as soon as reasonably practicable after we electronically file such materials with, or furnish them to, the SEC. The information on our website, other than the filings incorporated by reference in this prospectus, is not, and should not be, considered part of this prospectus, is not incorporated by reference into this document, and should not be relied upon in connection with making any investment decision with respect to our Common Stock.</w:t>
      </w:r>
    </w:p>
    <w:p>
      <w:pPr>
        <w:spacing w:after="0" w:line="180"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We are “incorporating by reference” into this prospectus certain information we file with the SEC, which means that we are disclosing important information to you by referring you to those documents. The information we incorporate by reference in this prospectus is legally deemed to be a part of this prospectus, and later information that we file with the SEC will automatically update and supersede the information included in this prospectus and the documents listed below. We incorporate the documents listed below:</w:t>
      </w:r>
    </w:p>
    <w:p>
      <w:pPr>
        <w:spacing w:after="0" w:line="85" w:lineRule="exact"/>
        <w:rPr>
          <w:sz w:val="20"/>
          <w:szCs w:val="20"/>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Annual Report on </w:t>
      </w:r>
      <w:hyperlink r:id="rId36">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fiscal year ended March 31, 2020, filed with the SEC on May 22, 2020;</w:t>
      </w:r>
    </w:p>
    <w:p>
      <w:pPr>
        <w:spacing w:after="0" w:line="130"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Definitive Proxy Statement on </w:t>
      </w:r>
      <w:hyperlink r:id="rId37">
        <w:r>
          <w:rPr>
            <w:rFonts w:ascii="Times New Roman" w:cs="Times New Roman" w:eastAsia="Times New Roman" w:hAnsi="Times New Roman"/>
            <w:sz w:val="18"/>
            <w:szCs w:val="18"/>
            <w:u w:val="single" w:color="auto"/>
            <w:color w:val="0000EE"/>
          </w:rPr>
          <w:t>Schedule 14A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filed with the SEC on July 24, 2020, as supplemented by the </w:t>
      </w:r>
      <w:hyperlink r:id="rId38">
        <w:r>
          <w:rPr>
            <w:rFonts w:ascii="Times New Roman" w:cs="Times New Roman" w:eastAsia="Times New Roman" w:hAnsi="Times New Roman"/>
            <w:sz w:val="18"/>
            <w:szCs w:val="18"/>
            <w:u w:val="single" w:color="auto"/>
            <w:color w:val="0000EE"/>
          </w:rPr>
          <w:t>Definitive Additional Materials</w:t>
        </w:r>
      </w:hyperlink>
      <w:r>
        <w:rPr>
          <w:rFonts w:ascii="Times New Roman" w:cs="Times New Roman" w:eastAsia="Times New Roman" w:hAnsi="Times New Roman"/>
          <w:sz w:val="18"/>
          <w:szCs w:val="18"/>
          <w:color w:val="auto"/>
        </w:rPr>
        <w:t xml:space="preserve"> filed with the SEC on August 27, 2020;</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Quarterly Report on </w:t>
      </w:r>
      <w:hyperlink r:id="rId39">
        <w:r>
          <w:rPr>
            <w:rFonts w:ascii="Times New Roman" w:cs="Times New Roman" w:eastAsia="Times New Roman" w:hAnsi="Times New Roman"/>
            <w:sz w:val="18"/>
            <w:szCs w:val="18"/>
            <w:u w:val="single" w:color="auto"/>
            <w:color w:val="0000EE"/>
          </w:rPr>
          <w:t>Form 10-Q</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fiscal quarter ended June 30, 2020, filed with the SEC on August 4, 2020;</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4"/>
        </w:numPr>
        <w:rPr>
          <w:rFonts w:ascii="Times New Roman" w:cs="Times New Roman" w:eastAsia="Times New Roman" w:hAnsi="Times New Roman"/>
          <w:sz w:val="18"/>
          <w:szCs w:val="18"/>
          <w:color w:val="0000EE"/>
        </w:rPr>
      </w:pPr>
      <w:hyperlink r:id="rId40">
        <w:r>
          <w:rPr>
            <w:rFonts w:ascii="Times New Roman" w:cs="Times New Roman" w:eastAsia="Times New Roman" w:hAnsi="Times New Roman"/>
            <w:sz w:val="18"/>
            <w:szCs w:val="18"/>
            <w:color w:val="auto"/>
          </w:rPr>
          <w:t xml:space="preserve">Current Reports on Form 8-K (except for information furnished under Item 7.01 or exhibits related thereto), filed with the SEC on </w:t>
        </w:r>
        <w:r>
          <w:rPr>
            <w:rFonts w:ascii="Times New Roman" w:cs="Times New Roman" w:eastAsia="Times New Roman" w:hAnsi="Times New Roman"/>
            <w:sz w:val="18"/>
            <w:szCs w:val="18"/>
            <w:u w:val="single" w:color="auto"/>
            <w:color w:val="0000EE"/>
          </w:rPr>
          <w:t>July 16,</w:t>
        </w:r>
      </w:hyperlink>
      <w:r>
        <w:rPr>
          <w:rFonts w:ascii="Times New Roman" w:cs="Times New Roman" w:eastAsia="Times New Roman" w:hAnsi="Times New Roman"/>
          <w:sz w:val="18"/>
          <w:szCs w:val="18"/>
          <w:color w:val="auto"/>
        </w:rPr>
        <w:t xml:space="preserve"> </w:t>
      </w:r>
      <w:hyperlink r:id="rId40">
        <w:r>
          <w:rPr>
            <w:rFonts w:ascii="Times New Roman" w:cs="Times New Roman" w:eastAsia="Times New Roman" w:hAnsi="Times New Roman"/>
            <w:sz w:val="18"/>
            <w:szCs w:val="18"/>
            <w:u w:val="single" w:color="auto"/>
            <w:color w:val="0000EE"/>
          </w:rPr>
          <w:t>2020</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and</w:t>
        </w:r>
        <w:r>
          <w:rPr>
            <w:rFonts w:ascii="Times New Roman" w:cs="Times New Roman" w:eastAsia="Times New Roman" w:hAnsi="Times New Roman"/>
            <w:sz w:val="18"/>
            <w:szCs w:val="18"/>
            <w:color w:val="0000EE"/>
          </w:rPr>
          <w:t xml:space="preserve"> </w:t>
        </w:r>
      </w:hyperlink>
      <w:hyperlink r:id="rId41">
        <w:r>
          <w:rPr>
            <w:rFonts w:ascii="Times New Roman" w:cs="Times New Roman" w:eastAsia="Times New Roman" w:hAnsi="Times New Roman"/>
            <w:sz w:val="18"/>
            <w:szCs w:val="18"/>
            <w:u w:val="single" w:color="auto"/>
            <w:color w:val="0000EE"/>
          </w:rPr>
          <w:t>August 18, 2020</w:t>
        </w:r>
      </w:hyperlink>
      <w:hyperlink r:id="rId40">
        <w:r>
          <w:rPr>
            <w:rFonts w:ascii="Times New Roman" w:cs="Times New Roman" w:eastAsia="Times New Roman" w:hAnsi="Times New Roman"/>
            <w:sz w:val="18"/>
            <w:szCs w:val="18"/>
            <w:color w:val="000000"/>
          </w:rPr>
          <w:t>;</w:t>
        </w:r>
      </w:hyperlink>
    </w:p>
    <w:p>
      <w:pPr>
        <w:spacing w:after="0" w:line="67" w:lineRule="exact"/>
        <w:rPr>
          <w:rFonts w:ascii="Times New Roman" w:cs="Times New Roman" w:eastAsia="Times New Roman" w:hAnsi="Times New Roman"/>
          <w:sz w:val="18"/>
          <w:szCs w:val="18"/>
          <w:color w:val="0000EE"/>
        </w:rPr>
      </w:pPr>
    </w:p>
    <w:p>
      <w:pPr>
        <w:jc w:val="both"/>
        <w:ind w:left="1080" w:right="4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Description of our common stock contained in our Registration Statement on </w:t>
      </w:r>
      <w:hyperlink r:id="rId42">
        <w:r>
          <w:rPr>
            <w:rFonts w:ascii="Times New Roman" w:cs="Times New Roman" w:eastAsia="Times New Roman" w:hAnsi="Times New Roman"/>
            <w:sz w:val="18"/>
            <w:szCs w:val="18"/>
            <w:u w:val="single" w:color="auto"/>
            <w:color w:val="0000EE"/>
          </w:rPr>
          <w:t>Form 8-A</w:t>
        </w:r>
      </w:hyperlink>
      <w:r>
        <w:rPr>
          <w:rFonts w:ascii="Times New Roman" w:cs="Times New Roman" w:eastAsia="Times New Roman" w:hAnsi="Times New Roman"/>
          <w:sz w:val="18"/>
          <w:szCs w:val="18"/>
          <w:color w:val="auto"/>
        </w:rPr>
        <w:t xml:space="preserve">, filed with the SEC on March 26, 2008, as updated by </w:t>
      </w:r>
      <w:hyperlink r:id="rId43">
        <w:r>
          <w:rPr>
            <w:rFonts w:ascii="Times New Roman" w:cs="Times New Roman" w:eastAsia="Times New Roman" w:hAnsi="Times New Roman"/>
            <w:sz w:val="18"/>
            <w:szCs w:val="18"/>
            <w:u w:val="single" w:color="auto"/>
            <w:color w:val="0000EE"/>
          </w:rPr>
          <w:t>Exhibit 4.1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to our Annual Report on Form 10-K for the fiscal year ended March 31, 2020, including any subsequent amendment or any report filed for the purpose of updating such description; and</w:t>
      </w:r>
    </w:p>
    <w:p>
      <w:pPr>
        <w:spacing w:after="0" w:line="81" w:lineRule="exact"/>
        <w:rPr>
          <w:rFonts w:ascii="Times New Roman" w:cs="Times New Roman" w:eastAsia="Times New Roman" w:hAnsi="Times New Roman"/>
          <w:sz w:val="18"/>
          <w:szCs w:val="18"/>
          <w:color w:val="auto"/>
        </w:rPr>
      </w:pPr>
    </w:p>
    <w:p>
      <w:pPr>
        <w:ind w:left="1080" w:right="8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documents filed by us pursuant to Sections 13(a), 13(c), 14 or 15(d) of the Exchange Act subsequent to the date of the initial registration statement of which this prospectus forms a part until all of the securities being offered under this prospectus or any prospectus supplement are sold (other than reports, documents or information that is furnished and not filed with the SEC).</w:t>
      </w:r>
    </w:p>
    <w:p>
      <w:pPr>
        <w:spacing w:after="0" w:line="176" w:lineRule="exact"/>
        <w:rPr>
          <w:rFonts w:ascii="Times New Roman" w:cs="Times New Roman" w:eastAsia="Times New Roman" w:hAnsi="Times New Roman"/>
          <w:sz w:val="18"/>
          <w:szCs w:val="18"/>
          <w:color w:val="auto"/>
        </w:rPr>
      </w:pPr>
    </w:p>
    <w:p>
      <w:pPr>
        <w:ind w:left="120" w:right="400"/>
        <w:spacing w:after="0" w:line="266" w:lineRule="auto"/>
        <w:rPr>
          <w:sz w:val="20"/>
          <w:szCs w:val="20"/>
          <w:color w:val="auto"/>
        </w:rPr>
      </w:pPr>
      <w:r>
        <w:rPr>
          <w:rFonts w:ascii="Times New Roman" w:cs="Times New Roman" w:eastAsia="Times New Roman" w:hAnsi="Times New Roman"/>
          <w:sz w:val="18"/>
          <w:szCs w:val="18"/>
          <w:color w:val="auto"/>
        </w:rPr>
        <w:t>We will furnish without charge to you, on written or oral request, a copy of any or all of the documents incorporated by reference herein, other than exhibits to such documents that are not specifically incorporated by reference therein. You should direct any requests for documents to us at the following address or telephone number:</w:t>
      </w:r>
    </w:p>
    <w:p>
      <w:pPr>
        <w:spacing w:after="0" w:line="392"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Take-Two Interactive, Inc.</w:t>
      </w:r>
    </w:p>
    <w:p>
      <w:pPr>
        <w:spacing w:after="0" w:line="27"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110 West 44th Street</w:t>
      </w:r>
    </w:p>
    <w:p>
      <w:pPr>
        <w:spacing w:after="0" w:line="9"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9" w:lineRule="exact"/>
        <w:rPr>
          <w:rFonts w:ascii="Times New Roman" w:cs="Times New Roman" w:eastAsia="Times New Roman" w:hAnsi="Times New Roman"/>
          <w:sz w:val="18"/>
          <w:szCs w:val="18"/>
          <w:color w:val="auto"/>
        </w:rPr>
      </w:pPr>
    </w:p>
    <w:p>
      <w:pPr>
        <w:ind w:left="5500" w:hanging="438"/>
        <w:spacing w:after="0"/>
        <w:tabs>
          <w:tab w:leader="none" w:pos="55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536-2842</w:t>
      </w:r>
    </w:p>
    <w:p>
      <w:pPr>
        <w:spacing w:after="0" w:line="9" w:lineRule="exact"/>
        <w:rPr>
          <w:rFonts w:ascii="Times New Roman" w:cs="Times New Roman" w:eastAsia="Times New Roman" w:hAnsi="Times New Roman"/>
          <w:sz w:val="18"/>
          <w:szCs w:val="18"/>
          <w:color w:val="auto"/>
        </w:rPr>
      </w:pPr>
    </w:p>
    <w:p>
      <w:pPr>
        <w:ind w:left="45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Attention: Corporate Secretary</w:t>
      </w:r>
    </w:p>
    <w:p>
      <w:pPr>
        <w:spacing w:after="0" w:line="139" w:lineRule="exact"/>
        <w:rPr>
          <w:rFonts w:ascii="Times New Roman" w:cs="Times New Roman" w:eastAsia="Times New Roman" w:hAnsi="Times New Roman"/>
          <w:sz w:val="18"/>
          <w:szCs w:val="18"/>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120"/>
          </w:cols>
          <w:pgMar w:left="320" w:top="455" w:right="459" w:bottom="1440" w:gutter="0" w:footer="0" w:header="0"/>
        </w:sectPr>
      </w:pPr>
    </w:p>
    <w:bookmarkStart w:id="13" w:name="page14"/>
    <w:bookmarkEnd w:id="1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14. Other Expenses of Issuance and Distribution.</w:t>
      </w:r>
    </w:p>
    <w:p>
      <w:pPr>
        <w:spacing w:after="0" w:line="121" w:lineRule="exact"/>
        <w:rPr>
          <w:sz w:val="20"/>
          <w:szCs w:val="20"/>
          <w:color w:val="auto"/>
        </w:rPr>
      </w:pPr>
    </w:p>
    <w:p>
      <w:pPr>
        <w:ind w:left="120" w:right="180"/>
        <w:spacing w:after="0" w:line="266" w:lineRule="auto"/>
        <w:rPr>
          <w:sz w:val="20"/>
          <w:szCs w:val="20"/>
          <w:color w:val="auto"/>
        </w:rPr>
      </w:pPr>
      <w:r>
        <w:rPr>
          <w:rFonts w:ascii="Times New Roman" w:cs="Times New Roman" w:eastAsia="Times New Roman" w:hAnsi="Times New Roman"/>
          <w:sz w:val="18"/>
          <w:szCs w:val="18"/>
          <w:color w:val="auto"/>
        </w:rPr>
        <w:t>The following table sets forth the estimated expenses in connection with the issuance and distribution of the securities being registered, other than underwriting discounts, commissions and transfer taxes (which would be borne by the selling shareholders). Other than the SEC registration fee, all of the amounts listed are estimates.</w:t>
      </w:r>
    </w:p>
    <w:p>
      <w:pPr>
        <w:spacing w:after="0" w:line="221" w:lineRule="exact"/>
        <w:rPr>
          <w:sz w:val="20"/>
          <w:szCs w:val="20"/>
          <w:color w:val="auto"/>
        </w:rPr>
      </w:pPr>
    </w:p>
    <w:tbl>
      <w:tblPr>
        <w:tblLayout w:type="fixed"/>
        <w:tblInd w:w="1880" w:type="dxa"/>
        <w:tblCellMar>
          <w:top w:w="0" w:type="dxa"/>
          <w:left w:w="0" w:type="dxa"/>
          <w:bottom w:w="0" w:type="dxa"/>
          <w:right w:w="0" w:type="dxa"/>
        </w:tblCellMar>
      </w:tblPr>
      <w:tr>
        <w:trPr>
          <w:trHeight w:val="216"/>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SEC Registration Fee</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13,179.62</w:t>
            </w: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Accounting Fees and Expenses</w:t>
            </w:r>
          </w:p>
        </w:tc>
        <w:tc>
          <w:tcPr>
            <w:tcW w:w="14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30,000</w:t>
            </w:r>
          </w:p>
        </w:tc>
      </w:tr>
      <w:tr>
        <w:trPr>
          <w:trHeight w:val="216"/>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Legal Fees and Expenses</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30,000</w:t>
            </w:r>
          </w:p>
        </w:tc>
      </w:tr>
      <w:tr>
        <w:trPr>
          <w:trHeight w:val="216"/>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Transfer Agent and Registrar Fees and Expenses</w:t>
            </w:r>
          </w:p>
        </w:tc>
        <w:tc>
          <w:tcPr>
            <w:tcW w:w="140" w:type="dxa"/>
            <w:vAlign w:val="bottom"/>
          </w:tcPr>
          <w:p>
            <w:pPr>
              <w:spacing w:after="0"/>
              <w:rPr>
                <w:sz w:val="18"/>
                <w:szCs w:val="18"/>
                <w:color w:val="auto"/>
              </w:rPr>
            </w:pPr>
          </w:p>
        </w:tc>
        <w:tc>
          <w:tcPr>
            <w:tcW w:w="84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10,000</w:t>
            </w:r>
          </w:p>
        </w:tc>
      </w:tr>
      <w:tr>
        <w:trPr>
          <w:trHeight w:val="216"/>
        </w:trPr>
        <w:tc>
          <w:tcPr>
            <w:tcW w:w="6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Miscellaneous</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10,000</w:t>
            </w:r>
          </w:p>
        </w:tc>
      </w:tr>
      <w:tr>
        <w:trPr>
          <w:trHeight w:val="228"/>
        </w:trPr>
        <w:tc>
          <w:tcPr>
            <w:tcW w:w="650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93,179.62</w:t>
            </w:r>
          </w:p>
        </w:tc>
        <w:tc>
          <w:tcPr>
            <w:tcW w:w="60" w:type="dxa"/>
            <w:vAlign w:val="bottom"/>
          </w:tcPr>
          <w:p>
            <w:pPr>
              <w:spacing w:after="0"/>
              <w:rPr>
                <w:sz w:val="19"/>
                <w:szCs w:val="19"/>
                <w:color w:val="auto"/>
              </w:rPr>
            </w:pPr>
          </w:p>
        </w:tc>
      </w:tr>
    </w:tbl>
    <w:p>
      <w:pPr>
        <w:spacing w:after="0" w:line="29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15. Indemnification of Directors and Officers.</w:t>
      </w:r>
    </w:p>
    <w:p>
      <w:pPr>
        <w:spacing w:after="0" w:line="121"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Section 145 of the Delaware General Corporation Law (“DGCL”) provides, among other things, that a corporation may indemnify any director or officer of the corporation who was or is a party or is threatened to be made a party to any threatened, pending or completed action, suit or proceeding (other than an action by or in the right of the corporation) by reason of the fact that the person is or was a director or officer of the corporation, or is or was serving at the corporation’s request as a director or officer of another entity, against expenses (including attorneys’ fees), judgments, fines and amounts paid in settlement actually and reasonably incurred by the person in connection with such action, suit or proceeding if the person acted in good faith and in a manner he or she reasonably believed to be in or not opposed to the best interests of the corporation and, with respect to any criminal action or proceeding, had no reasonable cause to believe his or her conduct was unlawful. The power to indemnify also applies to any threatened, pending or completed action or suit brought by or in the right of the corporation, but only to the extent of expenses (including attorneys’ fees) actually and reasonably incurred by the person in connection with the defense or settlement of such action or suit if the person acted in good faith and in a manner he or she reasonably believed to be in or not opposed to the best interests of the corporation and except that no indemnification will be made in respect of any claim, issue or matter as to which such person has been adjudged to be liable to the corporation unless and only to the extent that the court in which such action or suit was brought determines upon application that, despite the adjudication of liability but in view of all of the circumstances of the case, such person is fairly and reasonably entitled to indemnity for such expenses which the court deems proper. To the extent that a present or former director or officer has been successful on the merits or otherwise in defense of any action, suit or proceeding referred to above, or in defense of any claim, issue or matter therein, such person will be indemnified against expenses (including attorneys’ fees) actually and reasonably incurred by such person in connection therewith.</w:t>
      </w:r>
    </w:p>
    <w:p>
      <w:pPr>
        <w:spacing w:after="0" w:line="195" w:lineRule="exact"/>
        <w:rPr>
          <w:sz w:val="20"/>
          <w:szCs w:val="20"/>
          <w:color w:val="auto"/>
        </w:rPr>
      </w:pPr>
    </w:p>
    <w:p>
      <w:pPr>
        <w:ind w:left="120" w:right="220"/>
        <w:spacing w:after="0" w:line="256" w:lineRule="auto"/>
        <w:rPr>
          <w:sz w:val="20"/>
          <w:szCs w:val="20"/>
          <w:color w:val="auto"/>
        </w:rPr>
      </w:pPr>
      <w:r>
        <w:rPr>
          <w:rFonts w:ascii="Times New Roman" w:cs="Times New Roman" w:eastAsia="Times New Roman" w:hAnsi="Times New Roman"/>
          <w:sz w:val="18"/>
          <w:szCs w:val="18"/>
          <w:color w:val="auto"/>
        </w:rPr>
        <w:t>Section 102(b)(7) of the DGCL provides that a corporation may eliminate or limit the personal liability of a director to the corporation or its stockholders for monetary damages for breach of fiduciary duty as a director, provided that such provision will not eliminate or limit the liability of a director (i) for any breach of the director’s duty of loyalty to the corporation or its stockholders, (ii) for acts or omissions not in good faith or which involve intentional misconduct or a knowing violation of law, (iii) under Section 174 of the DGCL, or (iv) for any transaction from which the director derived an improper personal benefit. No such provision will eliminate or limit the liability of a director for any act or omission occurring prior to the date when such provision becomes effective.</w:t>
      </w:r>
    </w:p>
    <w:p>
      <w:pPr>
        <w:spacing w:after="0" w:line="187"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The Company’s Restated Certificate of Incorporation provides that it shall indemnify and hold harmless its officers and directors to the fullest extent authorized by the DGCL, as the DGCL exists or is amended to</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II-1</w:t>
      </w:r>
    </w:p>
    <w:p>
      <w:pPr>
        <w:sectPr>
          <w:pgSz w:w="11900" w:h="16838" w:orient="portrait"/>
          <w:cols w:equalWidth="0" w:num="1">
            <w:col w:w="11120"/>
          </w:cols>
          <w:pgMar w:left="320" w:top="455" w:right="459" w:bottom="1440" w:gutter="0" w:footer="0" w:header="0"/>
        </w:sectPr>
      </w:pPr>
    </w:p>
    <w:bookmarkStart w:id="14" w:name="page15"/>
    <w:bookmarkEnd w:id="1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permit the Company to provide broader indemnification rights than the DGCL provided prior to such amendment, against all expense, liability and loss (including attorneys’ fees), reasonably incurred or suffered by such person in connection therewith; provided, however, that the Company shall indemnify any such person seeking indemnification in connection with a proceeding initiated by such person only if such proceeding was authorized by the Board.</w:t>
      </w:r>
    </w:p>
    <w:p>
      <w:pPr>
        <w:spacing w:after="0" w:line="180"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In addition, the Company’s Amended and Restated By-laws require the Company to indemnify its officers and directors to the extent permitted by the DGCL.</w:t>
      </w:r>
    </w:p>
    <w:p>
      <w:pPr>
        <w:spacing w:after="0" w:line="162" w:lineRule="exact"/>
        <w:rPr>
          <w:sz w:val="20"/>
          <w:szCs w:val="20"/>
          <w:color w:val="auto"/>
        </w:rPr>
      </w:pPr>
    </w:p>
    <w:p>
      <w:pPr>
        <w:jc w:val="both"/>
        <w:ind w:left="120" w:right="20"/>
        <w:spacing w:after="0" w:line="266" w:lineRule="auto"/>
        <w:rPr>
          <w:sz w:val="20"/>
          <w:szCs w:val="20"/>
          <w:color w:val="auto"/>
        </w:rPr>
      </w:pPr>
      <w:r>
        <w:rPr>
          <w:rFonts w:ascii="Times New Roman" w:cs="Times New Roman" w:eastAsia="Times New Roman" w:hAnsi="Times New Roman"/>
          <w:sz w:val="18"/>
          <w:szCs w:val="18"/>
          <w:color w:val="auto"/>
        </w:rPr>
        <w:t>Insofar as indemnification for liabilities arising under the Securities Act may be permitted to directors, officers and controlling persons of the Company pursuant to the foregoing provisions or otherwise, the Company has been advised that in the opinion of the SEC such indemnification is against public policy as expressed in the Securities Act and is, therefore, unenforceable.</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16. Exhibits.</w:t>
      </w:r>
    </w:p>
    <w:p>
      <w:pPr>
        <w:spacing w:after="0" w:line="22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7800" w:type="dxa"/>
            <w:vAlign w:val="bottom"/>
          </w:tcPr>
          <w:p>
            <w:pPr>
              <w:ind w:left="180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391"/>
        </w:trPr>
        <w:tc>
          <w:tcPr>
            <w:tcW w:w="7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9"/>
              </w:rPr>
              <w:t>Exhibit No.</w:t>
            </w:r>
          </w:p>
        </w:tc>
        <w:tc>
          <w:tcPr>
            <w:tcW w:w="740" w:type="dxa"/>
            <w:vAlign w:val="bottom"/>
          </w:tcPr>
          <w:p>
            <w:pPr>
              <w:spacing w:after="0"/>
              <w:rPr>
                <w:sz w:val="24"/>
                <w:szCs w:val="24"/>
                <w:color w:val="auto"/>
              </w:rPr>
            </w:pPr>
          </w:p>
        </w:tc>
        <w:tc>
          <w:tcPr>
            <w:tcW w:w="934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Description of Document</w:t>
            </w:r>
          </w:p>
        </w:tc>
      </w:tr>
      <w:tr>
        <w:trPr>
          <w:trHeight w:val="20"/>
        </w:trPr>
        <w:tc>
          <w:tcPr>
            <w:tcW w:w="72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7800" w:type="dxa"/>
            <w:vAlign w:val="bottom"/>
          </w:tcPr>
          <w:p>
            <w:pPr>
              <w:spacing w:after="0" w:line="20" w:lineRule="exact"/>
              <w:rPr>
                <w:sz w:val="1"/>
                <w:szCs w:val="1"/>
                <w:color w:val="auto"/>
              </w:rPr>
            </w:pPr>
          </w:p>
        </w:tc>
      </w:tr>
      <w:tr>
        <w:trPr>
          <w:trHeight w:val="277"/>
        </w:trPr>
        <w:tc>
          <w:tcPr>
            <w:tcW w:w="72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rPr>
              <w:t>2.1^</w:t>
            </w:r>
          </w:p>
        </w:tc>
        <w:tc>
          <w:tcPr>
            <w:tcW w:w="740" w:type="dxa"/>
            <w:vAlign w:val="bottom"/>
          </w:tcPr>
          <w:p>
            <w:pPr>
              <w:spacing w:after="0"/>
              <w:rPr>
                <w:sz w:val="24"/>
                <w:szCs w:val="24"/>
                <w:color w:val="auto"/>
              </w:rPr>
            </w:pPr>
          </w:p>
        </w:tc>
        <w:tc>
          <w:tcPr>
            <w:tcW w:w="934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9"/>
              </w:rPr>
            </w:pPr>
            <w:hyperlink r:id="rId41">
              <w:r>
                <w:rPr>
                  <w:rFonts w:ascii="Times New Roman" w:cs="Times New Roman" w:eastAsia="Times New Roman" w:hAnsi="Times New Roman"/>
                  <w:sz w:val="18"/>
                  <w:szCs w:val="18"/>
                  <w:color w:val="0000EE"/>
                  <w:w w:val="99"/>
                </w:rPr>
                <w:t>Agreement and Plan of Merger, dated as of August 17, 2020, by and among Take-Two Interactive Software, Inc., Dash MS, LLC,</w:t>
              </w:r>
            </w:hyperlink>
          </w:p>
        </w:tc>
      </w:tr>
      <w:tr>
        <w:trPr>
          <w:trHeight w:val="237"/>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340" w:type="dxa"/>
            <w:vAlign w:val="bottom"/>
            <w:gridSpan w:val="2"/>
          </w:tcPr>
          <w:p>
            <w:pPr>
              <w:spacing w:after="0"/>
              <w:rPr>
                <w:rFonts w:ascii="Times New Roman" w:cs="Times New Roman" w:eastAsia="Times New Roman" w:hAnsi="Times New Roman"/>
                <w:sz w:val="18"/>
                <w:szCs w:val="18"/>
                <w:u w:val="single" w:color="auto"/>
                <w:color w:val="0000EE"/>
              </w:rPr>
            </w:pPr>
            <w:hyperlink r:id="rId41">
              <w:r>
                <w:rPr>
                  <w:rFonts w:ascii="Times New Roman" w:cs="Times New Roman" w:eastAsia="Times New Roman" w:hAnsi="Times New Roman"/>
                  <w:sz w:val="18"/>
                  <w:szCs w:val="18"/>
                  <w:u w:val="single" w:color="auto"/>
                  <w:color w:val="0000EE"/>
                </w:rPr>
                <w:t>Dash MS II, LLC, Playdots, Inc. and Shareholder Representative Services LLC, as Stockholder Representative.</w:t>
              </w:r>
            </w:hyperlink>
          </w:p>
        </w:tc>
      </w:tr>
      <w:tr>
        <w:trPr>
          <w:trHeight w:val="324"/>
        </w:trPr>
        <w:tc>
          <w:tcPr>
            <w:tcW w:w="72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rPr>
              <w:t>5.1*</w:t>
            </w:r>
          </w:p>
        </w:tc>
        <w:tc>
          <w:tcPr>
            <w:tcW w:w="740" w:type="dxa"/>
            <w:vAlign w:val="bottom"/>
          </w:tcPr>
          <w:p>
            <w:pPr>
              <w:spacing w:after="0"/>
              <w:rPr>
                <w:sz w:val="24"/>
                <w:szCs w:val="24"/>
                <w:color w:val="auto"/>
              </w:rPr>
            </w:pPr>
          </w:p>
        </w:tc>
        <w:tc>
          <w:tcPr>
            <w:tcW w:w="9340" w:type="dxa"/>
            <w:vAlign w:val="bottom"/>
            <w:gridSpan w:val="2"/>
          </w:tcPr>
          <w:p>
            <w:pPr>
              <w:spacing w:after="0"/>
              <w:rPr>
                <w:rFonts w:ascii="Times New Roman" w:cs="Times New Roman" w:eastAsia="Times New Roman" w:hAnsi="Times New Roman"/>
                <w:sz w:val="18"/>
                <w:szCs w:val="18"/>
                <w:u w:val="single" w:color="auto"/>
                <w:color w:val="0000EE"/>
              </w:rPr>
            </w:pPr>
            <w:hyperlink w:anchor="page18">
              <w:r>
                <w:rPr>
                  <w:rFonts w:ascii="Times New Roman" w:cs="Times New Roman" w:eastAsia="Times New Roman" w:hAnsi="Times New Roman"/>
                  <w:sz w:val="18"/>
                  <w:szCs w:val="18"/>
                  <w:u w:val="single" w:color="auto"/>
                  <w:color w:val="0000EE"/>
                </w:rPr>
                <w:t>Opinion of Willkie Farr &amp; Gallagher LLP (counsel).</w:t>
              </w:r>
            </w:hyperlink>
          </w:p>
        </w:tc>
      </w:tr>
      <w:tr>
        <w:trPr>
          <w:trHeight w:val="324"/>
        </w:trPr>
        <w:tc>
          <w:tcPr>
            <w:tcW w:w="72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w w:val="93"/>
              </w:rPr>
              <w:t>23.1*</w:t>
            </w:r>
          </w:p>
        </w:tc>
        <w:tc>
          <w:tcPr>
            <w:tcW w:w="740" w:type="dxa"/>
            <w:vAlign w:val="bottom"/>
          </w:tcPr>
          <w:p>
            <w:pPr>
              <w:spacing w:after="0"/>
              <w:rPr>
                <w:sz w:val="24"/>
                <w:szCs w:val="24"/>
                <w:color w:val="auto"/>
              </w:rPr>
            </w:pPr>
          </w:p>
        </w:tc>
        <w:tc>
          <w:tcPr>
            <w:tcW w:w="9340" w:type="dxa"/>
            <w:vAlign w:val="bottom"/>
            <w:gridSpan w:val="2"/>
          </w:tcPr>
          <w:p>
            <w:pPr>
              <w:spacing w:after="0"/>
              <w:rPr>
                <w:rFonts w:ascii="Times New Roman" w:cs="Times New Roman" w:eastAsia="Times New Roman" w:hAnsi="Times New Roman"/>
                <w:sz w:val="18"/>
                <w:szCs w:val="18"/>
                <w:u w:val="single" w:color="auto"/>
                <w:color w:val="0000EE"/>
              </w:rPr>
            </w:pPr>
            <w:hyperlink w:anchor="page18">
              <w:r>
                <w:rPr>
                  <w:rFonts w:ascii="Times New Roman" w:cs="Times New Roman" w:eastAsia="Times New Roman" w:hAnsi="Times New Roman"/>
                  <w:sz w:val="18"/>
                  <w:szCs w:val="18"/>
                  <w:u w:val="single" w:color="auto"/>
                  <w:color w:val="0000EE"/>
                </w:rPr>
                <w:t>Consent of Willkie Farr &amp; Gallagher LLP (counsel) (included in Exhibit 5.1).</w:t>
              </w:r>
            </w:hyperlink>
          </w:p>
        </w:tc>
      </w:tr>
      <w:tr>
        <w:trPr>
          <w:trHeight w:val="324"/>
        </w:trPr>
        <w:tc>
          <w:tcPr>
            <w:tcW w:w="72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w w:val="93"/>
              </w:rPr>
              <w:t>23.2*</w:t>
            </w:r>
          </w:p>
        </w:tc>
        <w:tc>
          <w:tcPr>
            <w:tcW w:w="740" w:type="dxa"/>
            <w:vAlign w:val="bottom"/>
          </w:tcPr>
          <w:p>
            <w:pPr>
              <w:spacing w:after="0"/>
              <w:rPr>
                <w:sz w:val="24"/>
                <w:szCs w:val="24"/>
                <w:color w:val="auto"/>
              </w:rPr>
            </w:pPr>
          </w:p>
        </w:tc>
        <w:tc>
          <w:tcPr>
            <w:tcW w:w="9340" w:type="dxa"/>
            <w:vAlign w:val="bottom"/>
            <w:gridSpan w:val="2"/>
          </w:tcPr>
          <w:p>
            <w:pPr>
              <w:spacing w:after="0"/>
              <w:rPr>
                <w:rFonts w:ascii="Times New Roman" w:cs="Times New Roman" w:eastAsia="Times New Roman" w:hAnsi="Times New Roman"/>
                <w:sz w:val="18"/>
                <w:szCs w:val="18"/>
                <w:u w:val="single" w:color="auto"/>
                <w:color w:val="0000EE"/>
              </w:rPr>
            </w:pPr>
            <w:hyperlink w:anchor="page20">
              <w:r>
                <w:rPr>
                  <w:rFonts w:ascii="Times New Roman" w:cs="Times New Roman" w:eastAsia="Times New Roman" w:hAnsi="Times New Roman"/>
                  <w:sz w:val="18"/>
                  <w:szCs w:val="18"/>
                  <w:u w:val="single" w:color="auto"/>
                  <w:color w:val="0000EE"/>
                </w:rPr>
                <w:t>Consent of Ernst &amp; Young LLP (independent registered public accounting firm).</w:t>
              </w:r>
            </w:hyperlink>
          </w:p>
        </w:tc>
      </w:tr>
      <w:tr>
        <w:trPr>
          <w:trHeight w:val="324"/>
        </w:trPr>
        <w:tc>
          <w:tcPr>
            <w:tcW w:w="720" w:type="dxa"/>
            <w:vAlign w:val="bottom"/>
          </w:tcPr>
          <w:p>
            <w:pPr>
              <w:jc w:val="right"/>
              <w:ind w:right="233"/>
              <w:spacing w:after="0"/>
              <w:rPr>
                <w:sz w:val="20"/>
                <w:szCs w:val="20"/>
                <w:color w:val="auto"/>
              </w:rPr>
            </w:pPr>
            <w:r>
              <w:rPr>
                <w:rFonts w:ascii="Times New Roman" w:cs="Times New Roman" w:eastAsia="Times New Roman" w:hAnsi="Times New Roman"/>
                <w:sz w:val="18"/>
                <w:szCs w:val="18"/>
                <w:color w:val="auto"/>
                <w:w w:val="93"/>
              </w:rPr>
              <w:t>24.1*</w:t>
            </w:r>
          </w:p>
        </w:tc>
        <w:tc>
          <w:tcPr>
            <w:tcW w:w="740" w:type="dxa"/>
            <w:vAlign w:val="bottom"/>
          </w:tcPr>
          <w:p>
            <w:pPr>
              <w:spacing w:after="0"/>
              <w:rPr>
                <w:sz w:val="24"/>
                <w:szCs w:val="24"/>
                <w:color w:val="auto"/>
              </w:rPr>
            </w:pPr>
          </w:p>
        </w:tc>
        <w:tc>
          <w:tcPr>
            <w:tcW w:w="9340" w:type="dxa"/>
            <w:vAlign w:val="bottom"/>
            <w:gridSpan w:val="2"/>
          </w:tcPr>
          <w:p>
            <w:pPr>
              <w:spacing w:after="0"/>
              <w:rPr>
                <w:rFonts w:ascii="Times New Roman" w:cs="Times New Roman" w:eastAsia="Times New Roman" w:hAnsi="Times New Roman"/>
                <w:sz w:val="18"/>
                <w:szCs w:val="18"/>
                <w:u w:val="single" w:color="auto"/>
                <w:color w:val="0000EE"/>
              </w:rPr>
            </w:pPr>
            <w:hyperlink w:anchor="page17">
              <w:r>
                <w:rPr>
                  <w:rFonts w:ascii="Times New Roman" w:cs="Times New Roman" w:eastAsia="Times New Roman" w:hAnsi="Times New Roman"/>
                  <w:sz w:val="18"/>
                  <w:szCs w:val="18"/>
                  <w:u w:val="single" w:color="auto"/>
                  <w:color w:val="0000EE"/>
                </w:rPr>
                <w:t>Powers of Attorney (included on signature page).</w:t>
              </w:r>
            </w:hyperlink>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85725</wp:posOffset>
            </wp:positionV>
            <wp:extent cx="77152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15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  Filed herewith.</w:t>
      </w:r>
    </w:p>
    <w:p>
      <w:pPr>
        <w:spacing w:after="0" w:line="27" w:lineRule="exact"/>
        <w:rPr>
          <w:sz w:val="20"/>
          <w:szCs w:val="20"/>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Incorporated by reference to Exhibit 2.1 to the Company’s Current Report on </w:t>
      </w:r>
      <w:hyperlink r:id="rId41">
        <w:r>
          <w:rPr>
            <w:rFonts w:ascii="Times New Roman" w:cs="Times New Roman" w:eastAsia="Times New Roman" w:hAnsi="Times New Roman"/>
            <w:sz w:val="18"/>
            <w:szCs w:val="18"/>
            <w:u w:val="single" w:color="auto"/>
            <w:color w:val="0000EE"/>
          </w:rPr>
          <w:t>Form 8-K filed on August 18, 2020</w:t>
        </w:r>
      </w:hyperlink>
      <w:r>
        <w:rPr>
          <w:rFonts w:ascii="Times New Roman" w:cs="Times New Roman" w:eastAsia="Times New Roman" w:hAnsi="Times New Roman"/>
          <w:sz w:val="18"/>
          <w:szCs w:val="18"/>
          <w:color w:val="auto"/>
        </w:rPr>
        <w:t>.</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Item 17. Undertakings.</w:t>
      </w:r>
    </w:p>
    <w:p>
      <w:pPr>
        <w:spacing w:after="0" w:line="121" w:lineRule="exact"/>
        <w:rPr>
          <w:sz w:val="20"/>
          <w:szCs w:val="20"/>
          <w:color w:val="auto"/>
        </w:rPr>
      </w:pPr>
    </w:p>
    <w:p>
      <w:pPr>
        <w:ind w:left="360" w:hanging="244"/>
        <w:spacing w:after="0"/>
        <w:tabs>
          <w:tab w:leader="none" w:pos="3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undertakes:</w:t>
      </w:r>
    </w:p>
    <w:p>
      <w:pPr>
        <w:spacing w:after="0" w:line="11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117" w:lineRule="exact"/>
        <w:rPr>
          <w:rFonts w:ascii="Times New Roman" w:cs="Times New Roman" w:eastAsia="Times New Roman" w:hAnsi="Times New Roman"/>
          <w:sz w:val="18"/>
          <w:szCs w:val="18"/>
          <w:color w:val="auto"/>
        </w:rPr>
      </w:pPr>
    </w:p>
    <w:p>
      <w:pPr>
        <w:ind w:left="1320" w:hanging="213"/>
        <w:spacing w:after="0"/>
        <w:tabs>
          <w:tab w:leader="none" w:pos="1320" w:val="left"/>
        </w:tabs>
        <w:numPr>
          <w:ilvl w:val="2"/>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prospectus required by Section 10(a)(3) of the Securities Act;</w:t>
      </w:r>
    </w:p>
    <w:p>
      <w:pPr>
        <w:spacing w:after="0" w:line="117" w:lineRule="exact"/>
        <w:rPr>
          <w:rFonts w:ascii="Times New Roman" w:cs="Times New Roman" w:eastAsia="Times New Roman" w:hAnsi="Times New Roman"/>
          <w:sz w:val="18"/>
          <w:szCs w:val="18"/>
          <w:color w:val="auto"/>
        </w:rPr>
      </w:pPr>
    </w:p>
    <w:p>
      <w:pPr>
        <w:ind w:left="1100" w:right="40" w:firstLine="7"/>
        <w:spacing w:after="0" w:line="255" w:lineRule="auto"/>
        <w:tabs>
          <w:tab w:leader="none" w:pos="1365" w:val="left"/>
        </w:tabs>
        <w:numPr>
          <w:ilvl w:val="2"/>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SEC pursuant to Rule 424(b) if, in the aggregate, the changes in volume and price represent no more than a 20 percent change in the maximum aggregate offering price set forth in the “Calculation of Registration Fee” table in the effective registration statement;</w:t>
      </w:r>
    </w:p>
    <w:p>
      <w:pPr>
        <w:spacing w:after="0" w:line="80" w:lineRule="exact"/>
        <w:rPr>
          <w:rFonts w:ascii="Times New Roman" w:cs="Times New Roman" w:eastAsia="Times New Roman" w:hAnsi="Times New Roman"/>
          <w:sz w:val="18"/>
          <w:szCs w:val="18"/>
          <w:color w:val="auto"/>
        </w:rPr>
      </w:pPr>
    </w:p>
    <w:p>
      <w:pPr>
        <w:ind w:left="1100" w:right="200" w:firstLine="7"/>
        <w:spacing w:after="0" w:line="282" w:lineRule="auto"/>
        <w:tabs>
          <w:tab w:leader="none" w:pos="1415" w:val="left"/>
        </w:tabs>
        <w:numPr>
          <w:ilvl w:val="2"/>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II-2</w:t>
      </w:r>
    </w:p>
    <w:p>
      <w:pPr>
        <w:sectPr>
          <w:pgSz w:w="11900" w:h="16838" w:orient="portrait"/>
          <w:cols w:equalWidth="0" w:num="1">
            <w:col w:w="11040"/>
          </w:cols>
          <w:pgMar w:left="320" w:top="455" w:right="539" w:bottom="1440" w:gutter="0" w:footer="0" w:header="0"/>
        </w:sectPr>
      </w:pPr>
    </w:p>
    <w:bookmarkStart w:id="15" w:name="page16"/>
    <w:bookmarkEnd w:id="1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jc w:val="both"/>
        <w:ind w:left="1100" w:right="100"/>
        <w:spacing w:after="0" w:line="261" w:lineRule="auto"/>
        <w:rPr>
          <w:sz w:val="20"/>
          <w:szCs w:val="20"/>
          <w:color w:val="auto"/>
        </w:rPr>
      </w:pP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 xml:space="preserve"> however</w:t>
      </w:r>
      <w:r>
        <w:rPr>
          <w:rFonts w:ascii="Times New Roman" w:cs="Times New Roman" w:eastAsia="Times New Roman" w:hAnsi="Times New Roman"/>
          <w:sz w:val="18"/>
          <w:szCs w:val="18"/>
          <w:color w:val="auto"/>
        </w:rPr>
        <w:t>, that paragraphs (i), (ii) and (iii) do not apply if the information required to be included in a post-effective amendment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by those paragraphs is contained in reports filed with or furnished to the SEC by the Registrant pursuant to Section 13 or Section 15(d) of the Exchange Act that are incorporated by reference in the registration statement, or is contained in a form of prospectus filed pursuant to Rule 424(b) that is part of the registration statement.</w:t>
      </w:r>
    </w:p>
    <w:p>
      <w:pPr>
        <w:spacing w:after="0" w:line="74" w:lineRule="exact"/>
        <w:rPr>
          <w:sz w:val="20"/>
          <w:szCs w:val="20"/>
          <w:color w:val="auto"/>
        </w:rPr>
      </w:pPr>
    </w:p>
    <w:p>
      <w:pPr>
        <w:ind w:left="560" w:right="20" w:hanging="4"/>
        <w:spacing w:after="0" w:line="266" w:lineRule="auto"/>
        <w:tabs>
          <w:tab w:leader="none" w:pos="815"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67" w:lineRule="exact"/>
        <w:rPr>
          <w:rFonts w:ascii="Times New Roman" w:cs="Times New Roman" w:eastAsia="Times New Roman" w:hAnsi="Times New Roman"/>
          <w:sz w:val="18"/>
          <w:szCs w:val="18"/>
          <w:color w:val="auto"/>
        </w:rPr>
      </w:pPr>
    </w:p>
    <w:p>
      <w:pPr>
        <w:ind w:left="560" w:right="640" w:hanging="4"/>
        <w:spacing w:after="0" w:line="282" w:lineRule="auto"/>
        <w:tabs>
          <w:tab w:leader="none" w:pos="815"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53"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under the Securities Act to any purchaser:</w:t>
      </w:r>
    </w:p>
    <w:p>
      <w:pPr>
        <w:spacing w:after="0" w:line="117" w:lineRule="exact"/>
        <w:rPr>
          <w:rFonts w:ascii="Times New Roman" w:cs="Times New Roman" w:eastAsia="Times New Roman" w:hAnsi="Times New Roman"/>
          <w:sz w:val="18"/>
          <w:szCs w:val="18"/>
          <w:color w:val="auto"/>
        </w:rPr>
      </w:pPr>
    </w:p>
    <w:p>
      <w:pPr>
        <w:ind w:left="1100" w:right="20" w:firstLine="7"/>
        <w:spacing w:after="0" w:line="282" w:lineRule="auto"/>
        <w:tabs>
          <w:tab w:leader="none" w:pos="1315" w:val="left"/>
        </w:tabs>
        <w:numPr>
          <w:ilvl w:val="2"/>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53" w:lineRule="exact"/>
        <w:rPr>
          <w:rFonts w:ascii="Times New Roman" w:cs="Times New Roman" w:eastAsia="Times New Roman" w:hAnsi="Times New Roman"/>
          <w:sz w:val="18"/>
          <w:szCs w:val="18"/>
          <w:color w:val="auto"/>
        </w:rPr>
      </w:pPr>
    </w:p>
    <w:p>
      <w:pPr>
        <w:ind w:left="1100" w:right="40" w:firstLine="7"/>
        <w:spacing w:after="0" w:line="253" w:lineRule="auto"/>
        <w:tabs>
          <w:tab w:leader="none" w:pos="1365" w:val="left"/>
        </w:tabs>
        <w:numPr>
          <w:ilvl w:val="2"/>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the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89" w:lineRule="exact"/>
        <w:rPr>
          <w:rFonts w:ascii="Times New Roman" w:cs="Times New Roman" w:eastAsia="Times New Roman" w:hAnsi="Times New Roman"/>
          <w:sz w:val="18"/>
          <w:szCs w:val="18"/>
          <w:color w:val="auto"/>
        </w:rPr>
      </w:pPr>
    </w:p>
    <w:p>
      <w:pPr>
        <w:ind w:left="120" w:hanging="4"/>
        <w:spacing w:after="0" w:line="258" w:lineRule="auto"/>
        <w:tabs>
          <w:tab w:leader="none" w:pos="375"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further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Times New Roman" w:cs="Times New Roman" w:eastAsia="Times New Roman" w:hAnsi="Times New Roman"/>
          <w:sz w:val="18"/>
          <w:szCs w:val="18"/>
          <w:color w:val="auto"/>
        </w:rPr>
      </w:pPr>
    </w:p>
    <w:p>
      <w:pPr>
        <w:ind w:left="360" w:hanging="244"/>
        <w:spacing w:after="0"/>
        <w:tabs>
          <w:tab w:leader="none" w:pos="3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for liabilities arising under the Securities Act may be permitted to directors, officers and controlling persons of the</w:t>
      </w:r>
    </w:p>
    <w:p>
      <w:pPr>
        <w:spacing w:after="0" w:line="27" w:lineRule="exact"/>
        <w:rPr>
          <w:rFonts w:ascii="Times New Roman" w:cs="Times New Roman" w:eastAsia="Times New Roman" w:hAnsi="Times New Roman"/>
          <w:sz w:val="18"/>
          <w:szCs w:val="18"/>
          <w:color w:val="auto"/>
        </w:rPr>
      </w:pPr>
    </w:p>
    <w:p>
      <w:pPr>
        <w:ind w:left="120" w:right="120"/>
        <w:spacing w:after="0" w:line="25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II-3</w:t>
      </w:r>
    </w:p>
    <w:p>
      <w:pPr>
        <w:sectPr>
          <w:pgSz w:w="11900" w:h="16838" w:orient="portrait"/>
          <w:cols w:equalWidth="0" w:num="1">
            <w:col w:w="11120"/>
          </w:cols>
          <w:pgMar w:left="320" w:top="455" w:right="459" w:bottom="1440" w:gutter="0" w:footer="0" w:header="0"/>
        </w:sectPr>
      </w:pPr>
    </w:p>
    <w:bookmarkStart w:id="16" w:name="page17"/>
    <w:bookmarkEnd w:id="1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extLst>
                    </a:blip>
                    <a:srcRect/>
                    <a:stretch>
                      <a:fillRect/>
                    </a:stretch>
                  </pic:blipFill>
                  <pic:spPr bwMode="auto">
                    <a:xfrm>
                      <a:off x="0" y="0"/>
                      <a:ext cx="7149465" cy="2540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SIGNATURES AND POWER OF ATTORNEY</w:t>
      </w:r>
    </w:p>
    <w:p>
      <w:pPr>
        <w:spacing w:after="0" w:line="229" w:lineRule="exact"/>
        <w:rPr>
          <w:sz w:val="20"/>
          <w:szCs w:val="20"/>
          <w:color w:val="auto"/>
        </w:rPr>
      </w:pPr>
    </w:p>
    <w:p>
      <w:pPr>
        <w:jc w:val="both"/>
        <w:ind w:left="120" w:right="80"/>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the Registrant certifies that it has reasonable grounds to believe that it meets all of the requirements for filing on Form S-3 and has duly caused this Registration Statement to be signed on its behalf by the undersigned, thereunto duly authorized, in the city of New York, State of New York on September 4, 2020.</w:t>
      </w:r>
    </w:p>
    <w:p>
      <w:pPr>
        <w:spacing w:after="0" w:line="19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b w:val="1"/>
          <w:bCs w:val="1"/>
          <w:color w:val="auto"/>
        </w:rPr>
        <w:t>TAKE-TWO INTERACTIVE SOFTWARE, INC.</w:t>
      </w:r>
    </w:p>
    <w:p>
      <w:pPr>
        <w:spacing w:after="0" w:line="22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18"/>
          <w:szCs w:val="18"/>
          <w:color w:val="auto"/>
        </w:rPr>
        <w:t>By: /s/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4497070</wp:posOffset>
            </wp:positionH>
            <wp:positionV relativeFrom="paragraph">
              <wp:posOffset>17145</wp:posOffset>
            </wp:positionV>
            <wp:extent cx="257175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6" w:lineRule="exact"/>
        <w:rPr>
          <w:sz w:val="20"/>
          <w:szCs w:val="20"/>
          <w:color w:val="auto"/>
        </w:rPr>
      </w:pPr>
    </w:p>
    <w:p>
      <w:pPr>
        <w:ind w:left="7080"/>
        <w:spacing w:after="0"/>
        <w:rPr>
          <w:sz w:val="20"/>
          <w:szCs w:val="20"/>
          <w:color w:val="auto"/>
        </w:rPr>
      </w:pPr>
      <w:r>
        <w:rPr>
          <w:rFonts w:ascii="Times New Roman" w:cs="Times New Roman" w:eastAsia="Times New Roman" w:hAnsi="Times New Roman"/>
          <w:sz w:val="18"/>
          <w:szCs w:val="18"/>
          <w:color w:val="auto"/>
        </w:rPr>
        <w:t>Name: Strauss Zelnick</w:t>
      </w:r>
    </w:p>
    <w:p>
      <w:pPr>
        <w:spacing w:after="0" w:line="27" w:lineRule="exact"/>
        <w:rPr>
          <w:sz w:val="20"/>
          <w:szCs w:val="20"/>
          <w:color w:val="auto"/>
        </w:rPr>
      </w:pPr>
    </w:p>
    <w:p>
      <w:pPr>
        <w:ind w:left="7080"/>
        <w:spacing w:after="0"/>
        <w:tabs>
          <w:tab w:leader="none" w:pos="7640" w:val="left"/>
        </w:tabs>
        <w:rPr>
          <w:sz w:val="20"/>
          <w:szCs w:val="20"/>
          <w:color w:val="auto"/>
        </w:rPr>
      </w:pPr>
      <w:r>
        <w:rPr>
          <w:rFonts w:ascii="Times New Roman" w:cs="Times New Roman" w:eastAsia="Times New Roman" w:hAnsi="Times New Roman"/>
          <w:sz w:val="18"/>
          <w:szCs w:val="18"/>
          <w:color w:val="auto"/>
        </w:rPr>
        <w:t>Title:</w:t>
        <w:tab/>
        <w:t>Chairman and Chief Executive Officer</w:t>
      </w:r>
    </w:p>
    <w:p>
      <w:pPr>
        <w:spacing w:after="0" w:line="207"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Each person whose signature appears below constitutes and appoints each of Strauss Zelnick and Daniel P. Emerson his or her true and lawful attorney-in-fact and agent, with full power of substitution and re-substitution, for him or her in his or her name, place and stead, in any and all capacities, to sign any and all amendments to this Registration Statement, and to file the same, with all exhibits thereto, and other documents in connection therewith, with the Securities and Exchange Commission, and hereby grants to such attorney-in-fact and agent full power and authority to do and perform each and every act and thing requisite and necessary to be done, as fully to all intents and purposes as he or she might or could do in person, hereby ratifying and confirming all that said attorney-in-fact and agent or his substitute or substitutes may lawfully do or cause to be done by virtue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361950</wp:posOffset>
            </wp:positionV>
            <wp:extent cx="147447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20" w:right="5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this Registration Statement has been signed by the following persons in the capacities indicated and on the date set forth above.</w:t>
      </w:r>
    </w:p>
    <w:p>
      <w:pPr>
        <w:sectPr>
          <w:pgSz w:w="11900" w:h="16838" w:orient="portrait"/>
          <w:cols w:equalWidth="0" w:num="1">
            <w:col w:w="11120"/>
          </w:cols>
          <w:pgMar w:left="320" w:top="455" w:right="459" w:bottom="1440" w:gutter="0" w:footer="0" w:header="0"/>
        </w:sectPr>
      </w:pPr>
    </w:p>
    <w:p>
      <w:pPr>
        <w:spacing w:after="0" w:line="189"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18"/>
          <w:szCs w:val="18"/>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357441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extLst>
                    </a:blip>
                    <a:srcRect/>
                    <a:stretch>
                      <a:fillRect/>
                    </a:stretch>
                  </pic:blipFill>
                  <pic:spPr bwMode="auto">
                    <a:xfrm>
                      <a:off x="0" y="0"/>
                      <a:ext cx="3574415" cy="8890"/>
                    </a:xfrm>
                    <a:prstGeom prst="rect">
                      <a:avLst/>
                    </a:prstGeom>
                    <a:noFill/>
                  </pic:spPr>
                </pic:pic>
              </a:graphicData>
            </a:graphic>
          </wp:anchor>
        </w:drawing>
      </w:r>
    </w:p>
    <w:p>
      <w:pPr>
        <w:spacing w:after="0" w:line="7"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18"/>
          <w:szCs w:val="18"/>
          <w:color w:val="auto"/>
        </w:rPr>
        <w:t>Strauss Zelnick</w:t>
      </w:r>
    </w:p>
    <w:p>
      <w:pPr>
        <w:spacing w:after="0" w:line="23"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7"/>
          <w:szCs w:val="17"/>
          <w:color w:val="auto"/>
        </w:rPr>
        <w:t>Chairman and Chief Executive Officer</w:t>
      </w:r>
    </w:p>
    <w:p>
      <w:pPr>
        <w:spacing w:after="0" w:line="21"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(Principal Executive Officer)</w:t>
      </w:r>
    </w:p>
    <w:p>
      <w:pPr>
        <w:spacing w:after="0" w:line="220"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18"/>
          <w:szCs w:val="18"/>
          <w:color w:val="auto"/>
        </w:rPr>
        <w:t>/s/ Michael Dornemann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357441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extLst>
                    </a:blip>
                    <a:srcRect/>
                    <a:stretch>
                      <a:fillRect/>
                    </a:stretch>
                  </pic:blipFill>
                  <pic:spPr bwMode="auto">
                    <a:xfrm>
                      <a:off x="0" y="0"/>
                      <a:ext cx="3574415" cy="8255"/>
                    </a:xfrm>
                    <a:prstGeom prst="rect">
                      <a:avLst/>
                    </a:prstGeom>
                    <a:noFill/>
                  </pic:spPr>
                </pic:pic>
              </a:graphicData>
            </a:graphic>
          </wp:anchor>
        </w:drawing>
      </w:r>
    </w:p>
    <w:p>
      <w:pPr>
        <w:spacing w:after="0" w:line="7"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Michael Dornemann</w:t>
      </w:r>
    </w:p>
    <w:p>
      <w:pPr>
        <w:spacing w:after="0" w:line="23"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Lead Independent Director</w:t>
      </w:r>
    </w:p>
    <w:p>
      <w:pPr>
        <w:spacing w:after="0" w:line="220"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color w:val="auto"/>
        </w:rPr>
        <w:t>/s/ J Moses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357441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extLst>
                    </a:blip>
                    <a:srcRect/>
                    <a:stretch>
                      <a:fillRect/>
                    </a:stretch>
                  </pic:blipFill>
                  <pic:spPr bwMode="auto">
                    <a:xfrm>
                      <a:off x="0" y="0"/>
                      <a:ext cx="3574415" cy="8890"/>
                    </a:xfrm>
                    <a:prstGeom prst="rect">
                      <a:avLst/>
                    </a:prstGeom>
                    <a:noFill/>
                  </pic:spPr>
                </pic:pic>
              </a:graphicData>
            </a:graphic>
          </wp:anchor>
        </w:drawing>
      </w:r>
    </w:p>
    <w:p>
      <w:pPr>
        <w:spacing w:after="0" w:line="7" w:lineRule="exact"/>
        <w:rPr>
          <w:sz w:val="20"/>
          <w:szCs w:val="20"/>
          <w:color w:val="auto"/>
        </w:rPr>
      </w:pPr>
    </w:p>
    <w:p>
      <w:pPr>
        <w:jc w:val="both"/>
        <w:ind w:left="2640" w:right="2960" w:hanging="2"/>
        <w:spacing w:after="0" w:line="276" w:lineRule="auto"/>
        <w:tabs>
          <w:tab w:leader="none" w:pos="2762"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Moses Director</w:t>
      </w:r>
    </w:p>
    <w:p>
      <w:pPr>
        <w:spacing w:after="0" w:line="181"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18"/>
          <w:szCs w:val="18"/>
          <w:color w:val="auto"/>
        </w:rPr>
        <w:t>/s/ LaVerne Srinivasan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357441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extLst>
                    </a:blip>
                    <a:srcRect/>
                    <a:stretch>
                      <a:fillRect/>
                    </a:stretch>
                  </pic:blipFill>
                  <pic:spPr bwMode="auto">
                    <a:xfrm>
                      <a:off x="0" y="0"/>
                      <a:ext cx="3574415" cy="8890"/>
                    </a:xfrm>
                    <a:prstGeom prst="rect">
                      <a:avLst/>
                    </a:prstGeom>
                    <a:noFill/>
                  </pic:spPr>
                </pic:pic>
              </a:graphicData>
            </a:graphic>
          </wp:anchor>
        </w:drawing>
      </w:r>
    </w:p>
    <w:p>
      <w:pPr>
        <w:spacing w:after="0" w:line="7"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LaVerne Srinivasan</w:t>
      </w:r>
    </w:p>
    <w:p>
      <w:pPr>
        <w:spacing w:after="0" w:line="23"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Director</w:t>
      </w:r>
    </w:p>
    <w:p>
      <w:pPr>
        <w:spacing w:after="0" w:line="220"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18"/>
          <w:szCs w:val="18"/>
          <w:color w:val="auto"/>
        </w:rPr>
        <w:t>/s/ Paul Viera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17145</wp:posOffset>
            </wp:positionV>
            <wp:extent cx="357441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extLst>
                        <a:ext uri="{28A0092B-C50C-407E-A947-70E740481C1C}"/>
                      </a:extLst>
                    </a:blip>
                    <a:srcRect/>
                    <a:stretch>
                      <a:fillRect/>
                    </a:stretch>
                  </pic:blipFill>
                  <pic:spPr bwMode="auto">
                    <a:xfrm>
                      <a:off x="0" y="0"/>
                      <a:ext cx="3574415" cy="8255"/>
                    </a:xfrm>
                    <a:prstGeom prst="rect">
                      <a:avLst/>
                    </a:prstGeom>
                    <a:noFill/>
                  </pic:spPr>
                </pic:pic>
              </a:graphicData>
            </a:graphic>
          </wp:anchor>
        </w:drawing>
      </w:r>
    </w:p>
    <w:p>
      <w:pPr>
        <w:spacing w:after="0" w:line="7" w:lineRule="exact"/>
        <w:rPr>
          <w:sz w:val="20"/>
          <w:szCs w:val="20"/>
          <w:color w:val="auto"/>
        </w:rPr>
      </w:pPr>
    </w:p>
    <w:p>
      <w:pPr>
        <w:ind w:left="2560"/>
        <w:spacing w:after="0"/>
        <w:rPr>
          <w:sz w:val="20"/>
          <w:szCs w:val="20"/>
          <w:color w:val="auto"/>
        </w:rPr>
      </w:pPr>
      <w:r>
        <w:rPr>
          <w:rFonts w:ascii="Times New Roman" w:cs="Times New Roman" w:eastAsia="Times New Roman" w:hAnsi="Times New Roman"/>
          <w:sz w:val="18"/>
          <w:szCs w:val="18"/>
          <w:color w:val="auto"/>
        </w:rPr>
        <w:t>Paul Viera</w:t>
      </w:r>
    </w:p>
    <w:p>
      <w:pPr>
        <w:spacing w:after="0" w:line="23"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wp:posOffset>
            </wp:positionH>
            <wp:positionV relativeFrom="paragraph">
              <wp:posOffset>17145</wp:posOffset>
            </wp:positionV>
            <wp:extent cx="328295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extLst>
                    </a:blip>
                    <a:srcRect/>
                    <a:stretch>
                      <a:fillRect/>
                    </a:stretch>
                  </pic:blipFill>
                  <pic:spPr bwMode="auto">
                    <a:xfrm>
                      <a:off x="0" y="0"/>
                      <a:ext cx="3282950" cy="8890"/>
                    </a:xfrm>
                    <a:prstGeom prst="rect">
                      <a:avLst/>
                    </a:prstGeom>
                    <a:noFill/>
                  </pic:spPr>
                </pic:pic>
              </a:graphicData>
            </a:graphic>
          </wp:anchor>
        </w:drawing>
      </w:r>
    </w:p>
    <w:p>
      <w:pPr>
        <w:spacing w:after="0" w:line="7"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Lainie Goldstein</w:t>
      </w:r>
    </w:p>
    <w:p>
      <w:pPr>
        <w:spacing w:after="0" w:line="23" w:lineRule="exact"/>
        <w:rPr>
          <w:sz w:val="20"/>
          <w:szCs w:val="20"/>
          <w:color w:val="auto"/>
        </w:rPr>
      </w:pPr>
    </w:p>
    <w:p>
      <w:pPr>
        <w:jc w:val="center"/>
        <w:ind w:right="94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(Principal Financial and Accounting Officer)</w:t>
      </w:r>
    </w:p>
    <w:p>
      <w:pPr>
        <w:spacing w:after="0" w:line="22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8"/>
          <w:szCs w:val="18"/>
          <w:color w:val="auto"/>
        </w:rPr>
        <w:t>/s/ Roland Hernandez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wp:posOffset>
            </wp:positionH>
            <wp:positionV relativeFrom="paragraph">
              <wp:posOffset>17145</wp:posOffset>
            </wp:positionV>
            <wp:extent cx="328295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extLst>
                    </a:blip>
                    <a:srcRect/>
                    <a:stretch>
                      <a:fillRect/>
                    </a:stretch>
                  </pic:blipFill>
                  <pic:spPr bwMode="auto">
                    <a:xfrm>
                      <a:off x="0" y="0"/>
                      <a:ext cx="3282950" cy="8255"/>
                    </a:xfrm>
                    <a:prstGeom prst="rect">
                      <a:avLst/>
                    </a:prstGeom>
                    <a:noFill/>
                  </pic:spPr>
                </pic:pic>
              </a:graphicData>
            </a:graphic>
          </wp:anchor>
        </w:drawing>
      </w:r>
    </w:p>
    <w:p>
      <w:pPr>
        <w:spacing w:after="0" w:line="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18"/>
          <w:szCs w:val="18"/>
          <w:color w:val="auto"/>
        </w:rPr>
        <w:t>Roland Hernandez</w:t>
      </w:r>
    </w:p>
    <w:p>
      <w:pPr>
        <w:spacing w:after="0" w:line="23"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Director</w:t>
      </w:r>
    </w:p>
    <w:p>
      <w:pPr>
        <w:spacing w:after="0" w:line="220"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8"/>
          <w:szCs w:val="18"/>
          <w:color w:val="auto"/>
        </w:rPr>
        <w:t>/s/ Michael Sheresky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wp:posOffset>
            </wp:positionH>
            <wp:positionV relativeFrom="paragraph">
              <wp:posOffset>17145</wp:posOffset>
            </wp:positionV>
            <wp:extent cx="328295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extLst>
                    </a:blip>
                    <a:srcRect/>
                    <a:stretch>
                      <a:fillRect/>
                    </a:stretch>
                  </pic:blipFill>
                  <pic:spPr bwMode="auto">
                    <a:xfrm>
                      <a:off x="0" y="0"/>
                      <a:ext cx="3282950" cy="8890"/>
                    </a:xfrm>
                    <a:prstGeom prst="rect">
                      <a:avLst/>
                    </a:prstGeom>
                    <a:noFill/>
                  </pic:spPr>
                </pic:pic>
              </a:graphicData>
            </a:graphic>
          </wp:anchor>
        </w:drawing>
      </w:r>
    </w:p>
    <w:p>
      <w:pPr>
        <w:spacing w:after="0" w:line="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Michael Sheresky</w:t>
      </w:r>
    </w:p>
    <w:p>
      <w:pPr>
        <w:spacing w:after="0" w:line="23"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Director</w:t>
      </w:r>
    </w:p>
    <w:p>
      <w:pPr>
        <w:spacing w:after="0" w:line="220"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18"/>
          <w:szCs w:val="18"/>
          <w:color w:val="auto"/>
        </w:rPr>
        <w:t>/s/ Susan Tolson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wp:posOffset>
            </wp:positionH>
            <wp:positionV relativeFrom="paragraph">
              <wp:posOffset>17145</wp:posOffset>
            </wp:positionV>
            <wp:extent cx="328295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extLst>
                    </a:blip>
                    <a:srcRect/>
                    <a:stretch>
                      <a:fillRect/>
                    </a:stretch>
                  </pic:blipFill>
                  <pic:spPr bwMode="auto">
                    <a:xfrm>
                      <a:off x="0" y="0"/>
                      <a:ext cx="3282950" cy="8890"/>
                    </a:xfrm>
                    <a:prstGeom prst="rect">
                      <a:avLst/>
                    </a:prstGeom>
                    <a:noFill/>
                  </pic:spPr>
                </pic:pic>
              </a:graphicData>
            </a:graphic>
          </wp:anchor>
        </w:drawing>
      </w:r>
    </w:p>
    <w:p>
      <w:pPr>
        <w:spacing w:after="0" w:line="7"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18"/>
          <w:szCs w:val="18"/>
          <w:color w:val="auto"/>
        </w:rPr>
        <w:t>Susan Tolson</w:t>
      </w:r>
    </w:p>
    <w:p>
      <w:pPr>
        <w:spacing w:after="0" w:line="23"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18"/>
          <w:szCs w:val="18"/>
          <w:color w:val="auto"/>
        </w:rPr>
        <w:t>Director</w:t>
      </w:r>
    </w:p>
    <w:p>
      <w:pPr>
        <w:sectPr>
          <w:pgSz w:w="11900" w:h="16838" w:orient="portrait"/>
          <w:cols w:equalWidth="0" w:num="2">
            <w:col w:w="6200" w:space="720"/>
            <w:col w:w="4200"/>
          </w:cols>
          <w:pgMar w:left="320" w:top="455" w:right="459" w:bottom="1440" w:gutter="0" w:footer="0" w:header="0"/>
          <w:type w:val="continuous"/>
        </w:sectPr>
      </w:pPr>
    </w:p>
    <w:bookmarkStart w:id="17" w:name="page18"/>
    <w:bookmarkEnd w:id="17"/>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5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787 Seventh Avenue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-119380</wp:posOffset>
            </wp:positionV>
            <wp:extent cx="3282950" cy="26543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extLst>
                    </a:blip>
                    <a:srcRect/>
                    <a:stretch>
                      <a:fillRect/>
                    </a:stretch>
                  </pic:blipFill>
                  <pic:spPr bwMode="auto">
                    <a:xfrm>
                      <a:off x="0" y="0"/>
                      <a:ext cx="3282950" cy="265430"/>
                    </a:xfrm>
                    <a:prstGeom prst="rect">
                      <a:avLst/>
                    </a:prstGeom>
                    <a:noFill/>
                  </pic:spPr>
                </pic:pic>
              </a:graphicData>
            </a:graphic>
          </wp:anchor>
        </w:drawing>
      </w:r>
    </w:p>
    <w:p>
      <w:pPr>
        <w:spacing w:after="0" w:line="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New York, NY 10019-6099</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Tel: 212 728 8000</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Fax: 212 728 8111</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4, 2020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Take-Two Interactive Software,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110 West 44th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234" w:lineRule="exact"/>
        <w:rPr>
          <w:sz w:val="20"/>
          <w:szCs w:val="20"/>
          <w:color w:val="auto"/>
        </w:rPr>
      </w:pPr>
    </w:p>
    <w:p>
      <w:pPr>
        <w:jc w:val="right"/>
        <w:ind w:right="8000"/>
        <w:spacing w:after="0"/>
        <w:tabs>
          <w:tab w:leader="none" w:pos="1058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7"/>
          <w:szCs w:val="17"/>
          <w:color w:val="auto"/>
        </w:rPr>
        <w:t>Take-Two Interactive Software, Inc.</w:t>
      </w:r>
    </w:p>
    <w:p>
      <w:pPr>
        <w:spacing w:after="0" w:line="27" w:lineRule="exact"/>
        <w:rPr>
          <w:sz w:val="20"/>
          <w:szCs w:val="20"/>
          <w:color w:val="auto"/>
        </w:rPr>
      </w:pPr>
    </w:p>
    <w:p>
      <w:pPr>
        <w:jc w:val="right"/>
        <w:ind w:right="7980"/>
        <w:spacing w:after="0"/>
        <w:rPr>
          <w:sz w:val="20"/>
          <w:szCs w:val="20"/>
          <w:color w:val="auto"/>
        </w:rPr>
      </w:pPr>
      <w:r>
        <w:rPr>
          <w:rFonts w:ascii="Times New Roman" w:cs="Times New Roman" w:eastAsia="Times New Roman" w:hAnsi="Times New Roman"/>
          <w:sz w:val="18"/>
          <w:szCs w:val="18"/>
          <w:color w:val="auto"/>
        </w:rPr>
        <w:t>Registration Statement on Form S-3</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360" w:firstLine="440"/>
        <w:spacing w:after="0" w:line="256" w:lineRule="auto"/>
        <w:rPr>
          <w:sz w:val="20"/>
          <w:szCs w:val="20"/>
          <w:color w:val="auto"/>
        </w:rPr>
      </w:pPr>
      <w:r>
        <w:rPr>
          <w:rFonts w:ascii="Times New Roman" w:cs="Times New Roman" w:eastAsia="Times New Roman" w:hAnsi="Times New Roman"/>
          <w:sz w:val="18"/>
          <w:szCs w:val="18"/>
          <w:color w:val="auto"/>
        </w:rPr>
        <w:t>We have acted as counsel to Take-Two Interactive Software, Inc., a Delaware corporation (the “Company”), with respect to the Company’s Registration Statement on Form S-3 (the “Registration Statement”) to be filed by the Company with the Securities and Exchange Commission on or about the date hereof. The Registration Statement relates to the sale by the selling shareholders named in the Registration Statement (the “Selling Shareholders”) of up to 603,817 shares of Common Stock, par value $0.01 per share (the “Shares”), which were issued pursuant to the terms of the Agreement and Plan of Merger, dated as of August 17, 2020, by and among the Company, Dash MS, LLC, Dash MS II, LLC, Playdots, Inc. and Shareholder Representative Services LLC, as amended from time to time.</w:t>
      </w:r>
    </w:p>
    <w:p>
      <w:pPr>
        <w:spacing w:after="0" w:line="187" w:lineRule="exact"/>
        <w:rPr>
          <w:sz w:val="20"/>
          <w:szCs w:val="20"/>
          <w:color w:val="auto"/>
        </w:rPr>
      </w:pPr>
    </w:p>
    <w:p>
      <w:pPr>
        <w:ind w:right="240" w:firstLine="440"/>
        <w:spacing w:after="0" w:line="261" w:lineRule="auto"/>
        <w:rPr>
          <w:sz w:val="20"/>
          <w:szCs w:val="20"/>
          <w:color w:val="auto"/>
        </w:rPr>
      </w:pPr>
      <w:r>
        <w:rPr>
          <w:rFonts w:ascii="Times New Roman" w:cs="Times New Roman" w:eastAsia="Times New Roman" w:hAnsi="Times New Roman"/>
          <w:sz w:val="18"/>
          <w:szCs w:val="18"/>
          <w:color w:val="auto"/>
        </w:rPr>
        <w:t>We have examined, among other things, originals and/or copies (certified or otherwise identified to our satisfaction) of such documents, papers, statutes, and authorities as we have deemed necessary to form a basis for the opinion hereinafter expressed. In our examination, we have assumed the genuineness of all signatures and the conformity to original documents of all copies submitted to us. As to various questions of fact material to our opinion, we have relied on statements and certificates of officers and representatives of the Company.</w:t>
      </w:r>
    </w:p>
    <w:p>
      <w:pPr>
        <w:spacing w:after="0" w:line="180" w:lineRule="exact"/>
        <w:rPr>
          <w:sz w:val="20"/>
          <w:szCs w:val="20"/>
          <w:color w:val="auto"/>
        </w:rPr>
      </w:pPr>
    </w:p>
    <w:p>
      <w:pPr>
        <w:ind w:right="120" w:firstLine="440"/>
        <w:spacing w:after="0" w:line="282" w:lineRule="auto"/>
        <w:rPr>
          <w:sz w:val="20"/>
          <w:szCs w:val="20"/>
          <w:color w:val="auto"/>
        </w:rPr>
      </w:pPr>
      <w:r>
        <w:rPr>
          <w:rFonts w:ascii="Times New Roman" w:cs="Times New Roman" w:eastAsia="Times New Roman" w:hAnsi="Times New Roman"/>
          <w:sz w:val="18"/>
          <w:szCs w:val="18"/>
          <w:color w:val="auto"/>
        </w:rPr>
        <w:t>Based on the foregoing, and subject to the limitations, qualifications, exceptions and assumptions expressed herein, we are of the opinion that the Shares are duly authorized, validly issued, fully paid and non-assessable.</w:t>
      </w:r>
    </w:p>
    <w:p>
      <w:pPr>
        <w:spacing w:after="0" w:line="162" w:lineRule="exact"/>
        <w:rPr>
          <w:sz w:val="20"/>
          <w:szCs w:val="20"/>
          <w:color w:val="auto"/>
        </w:rPr>
      </w:pPr>
    </w:p>
    <w:p>
      <w:pPr>
        <w:ind w:right="140" w:firstLine="440"/>
        <w:spacing w:after="0" w:line="282" w:lineRule="auto"/>
        <w:rPr>
          <w:sz w:val="20"/>
          <w:szCs w:val="20"/>
          <w:color w:val="auto"/>
        </w:rPr>
      </w:pPr>
      <w:r>
        <w:rPr>
          <w:rFonts w:ascii="Times New Roman" w:cs="Times New Roman" w:eastAsia="Times New Roman" w:hAnsi="Times New Roman"/>
          <w:sz w:val="18"/>
          <w:szCs w:val="18"/>
          <w:color w:val="auto"/>
        </w:rPr>
        <w:t>This opinion is limited to the General Corporation Law of the State of Delaware, and we express no opinion with respect to the laws of any other jurisdiction or any other laws of the State of Delaware.</w:t>
      </w:r>
    </w:p>
    <w:p>
      <w:pPr>
        <w:spacing w:after="0" w:line="162" w:lineRule="exact"/>
        <w:rPr>
          <w:sz w:val="20"/>
          <w:szCs w:val="20"/>
          <w:color w:val="auto"/>
        </w:rPr>
      </w:pPr>
    </w:p>
    <w:p>
      <w:pPr>
        <w:ind w:right="20" w:firstLine="440"/>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as an exhibit to the Registration Statement and to the reference to our firm under the caption “Legal Matters” in the prospectus contained in the Registration Statement. In giving such consent, we do not thereby admit that we are in the category of persons whose consent is required under Section 7 of the Securities Act of 1933, as amended.</w:t>
      </w:r>
    </w:p>
    <w:p>
      <w:pPr>
        <w:spacing w:after="0" w:line="108" w:lineRule="exact"/>
        <w:rPr>
          <w:sz w:val="20"/>
          <w:szCs w:val="20"/>
          <w:color w:val="auto"/>
        </w:rPr>
      </w:pPr>
    </w:p>
    <w:p>
      <w:pPr>
        <w:jc w:val="center"/>
        <w:ind w:right="20"/>
        <w:spacing w:after="0"/>
        <w:tabs>
          <w:tab w:leader="none" w:pos="120" w:val="left"/>
          <w:tab w:leader="none" w:pos="140" w:val="left"/>
          <w:tab w:leader="none" w:pos="180" w:val="left"/>
          <w:tab w:leader="none" w:pos="140" w:val="left"/>
          <w:tab w:leader="none" w:pos="120" w:val="left"/>
          <w:tab w:leader="none" w:pos="140" w:val="left"/>
          <w:tab w:leader="none" w:pos="160" w:val="left"/>
          <w:tab w:leader="none" w:pos="120" w:val="left"/>
          <w:tab w:leader="none" w:pos="140" w:val="left"/>
          <w:tab w:leader="none" w:pos="120" w:val="left"/>
          <w:tab w:leader="none" w:pos="140" w:val="left"/>
        </w:tabs>
        <w:rPr>
          <w:sz w:val="20"/>
          <w:szCs w:val="20"/>
          <w:color w:val="auto"/>
        </w:rPr>
      </w:pPr>
      <w:r>
        <w:rPr>
          <w:rFonts w:ascii="Times New Roman" w:cs="Times New Roman" w:eastAsia="Times New Roman" w:hAnsi="Times New Roman"/>
          <w:sz w:val="18"/>
          <w:szCs w:val="18"/>
          <w:color w:val="auto"/>
        </w:rPr>
        <w:t>N</w:t>
      </w:r>
      <w:r>
        <w:rPr>
          <w:rFonts w:ascii="Times New Roman" w:cs="Times New Roman" w:eastAsia="Times New Roman" w:hAnsi="Times New Roman"/>
          <w:sz w:val="14"/>
          <w:szCs w:val="14"/>
          <w:color w:val="auto"/>
        </w:rPr>
        <w:t>EW</w:t>
      </w:r>
      <w:r>
        <w:rPr>
          <w:rFonts w:ascii="Times New Roman" w:cs="Times New Roman" w:eastAsia="Times New Roman" w:hAnsi="Times New Roman"/>
          <w:sz w:val="18"/>
          <w:szCs w:val="18"/>
          <w:color w:val="auto"/>
        </w:rPr>
        <w:t xml:space="preserve"> Y</w:t>
      </w:r>
      <w:r>
        <w:rPr>
          <w:rFonts w:ascii="Times New Roman" w:cs="Times New Roman" w:eastAsia="Times New Roman" w:hAnsi="Times New Roman"/>
          <w:sz w:val="14"/>
          <w:szCs w:val="14"/>
          <w:color w:val="auto"/>
        </w:rPr>
        <w:t>ORK</w:t>
      </w:r>
      <w:r>
        <w:rPr>
          <w:rFonts w:ascii="Times New Roman" w:cs="Times New Roman" w:eastAsia="Times New Roman" w:hAnsi="Times New Roman"/>
          <w:sz w:val="18"/>
          <w:szCs w:val="18"/>
          <w:color w:val="auto"/>
        </w:rPr>
        <w:tab/>
        <w:t>W</w:t>
      </w:r>
      <w:r>
        <w:rPr>
          <w:rFonts w:ascii="Times New Roman" w:cs="Times New Roman" w:eastAsia="Times New Roman" w:hAnsi="Times New Roman"/>
          <w:sz w:val="14"/>
          <w:szCs w:val="14"/>
          <w:color w:val="auto"/>
        </w:rPr>
        <w:t>ASHINGTON</w:t>
      </w:r>
      <w:r>
        <w:rPr>
          <w:rFonts w:ascii="Times New Roman" w:cs="Times New Roman" w:eastAsia="Times New Roman" w:hAnsi="Times New Roman"/>
          <w:sz w:val="18"/>
          <w:szCs w:val="18"/>
          <w:color w:val="auto"/>
        </w:rPr>
        <w:tab/>
        <w:t>H</w:t>
      </w:r>
      <w:r>
        <w:rPr>
          <w:rFonts w:ascii="Times New Roman" w:cs="Times New Roman" w:eastAsia="Times New Roman" w:hAnsi="Times New Roman"/>
          <w:sz w:val="14"/>
          <w:szCs w:val="14"/>
          <w:color w:val="auto"/>
        </w:rPr>
        <w:t>OUSTON</w:t>
      </w:r>
      <w:r>
        <w:rPr>
          <w:rFonts w:ascii="Times New Roman" w:cs="Times New Roman" w:eastAsia="Times New Roman" w:hAnsi="Times New Roman"/>
          <w:sz w:val="18"/>
          <w:szCs w:val="18"/>
          <w:color w:val="auto"/>
        </w:rPr>
        <w:tab/>
        <w:t>P</w:t>
      </w:r>
      <w:r>
        <w:rPr>
          <w:rFonts w:ascii="Times New Roman" w:cs="Times New Roman" w:eastAsia="Times New Roman" w:hAnsi="Times New Roman"/>
          <w:sz w:val="14"/>
          <w:szCs w:val="14"/>
          <w:color w:val="auto"/>
        </w:rPr>
        <w:t>ALO</w:t>
      </w:r>
      <w:r>
        <w:rPr>
          <w:rFonts w:ascii="Times New Roman" w:cs="Times New Roman" w:eastAsia="Times New Roman" w:hAnsi="Times New Roman"/>
          <w:sz w:val="18"/>
          <w:szCs w:val="18"/>
          <w:color w:val="auto"/>
        </w:rPr>
        <w:t xml:space="preserve"> A</w:t>
      </w:r>
      <w:r>
        <w:rPr>
          <w:rFonts w:ascii="Times New Roman" w:cs="Times New Roman" w:eastAsia="Times New Roman" w:hAnsi="Times New Roman"/>
          <w:sz w:val="14"/>
          <w:szCs w:val="14"/>
          <w:color w:val="auto"/>
        </w:rPr>
        <w:t>LTO</w:t>
      </w:r>
      <w:r>
        <w:rPr>
          <w:rFonts w:ascii="Times New Roman" w:cs="Times New Roman" w:eastAsia="Times New Roman" w:hAnsi="Times New Roman"/>
          <w:sz w:val="18"/>
          <w:szCs w:val="18"/>
          <w:color w:val="auto"/>
        </w:rPr>
        <w:tab/>
        <w:t>S</w:t>
      </w:r>
      <w:r>
        <w:rPr>
          <w:rFonts w:ascii="Times New Roman" w:cs="Times New Roman" w:eastAsia="Times New Roman" w:hAnsi="Times New Roman"/>
          <w:sz w:val="14"/>
          <w:szCs w:val="14"/>
          <w:color w:val="auto"/>
        </w:rPr>
        <w:t>AN</w:t>
      </w:r>
      <w:r>
        <w:rPr>
          <w:rFonts w:ascii="Times New Roman" w:cs="Times New Roman" w:eastAsia="Times New Roman" w:hAnsi="Times New Roman"/>
          <w:sz w:val="18"/>
          <w:szCs w:val="18"/>
          <w:color w:val="auto"/>
        </w:rPr>
        <w:t xml:space="preserve"> F</w:t>
      </w:r>
      <w:r>
        <w:rPr>
          <w:rFonts w:ascii="Times New Roman" w:cs="Times New Roman" w:eastAsia="Times New Roman" w:hAnsi="Times New Roman"/>
          <w:sz w:val="14"/>
          <w:szCs w:val="14"/>
          <w:color w:val="auto"/>
        </w:rPr>
        <w:t>RANCISCO</w:t>
      </w:r>
      <w:r>
        <w:rPr>
          <w:rFonts w:ascii="Times New Roman" w:cs="Times New Roman" w:eastAsia="Times New Roman" w:hAnsi="Times New Roman"/>
          <w:sz w:val="18"/>
          <w:szCs w:val="18"/>
          <w:color w:val="auto"/>
        </w:rPr>
        <w:tab/>
        <w:t>C</w:t>
      </w:r>
      <w:r>
        <w:rPr>
          <w:rFonts w:ascii="Times New Roman" w:cs="Times New Roman" w:eastAsia="Times New Roman" w:hAnsi="Times New Roman"/>
          <w:sz w:val="14"/>
          <w:szCs w:val="14"/>
          <w:color w:val="auto"/>
        </w:rPr>
        <w:t>HICAGO</w:t>
      </w:r>
      <w:r>
        <w:rPr>
          <w:rFonts w:ascii="Times New Roman" w:cs="Times New Roman" w:eastAsia="Times New Roman" w:hAnsi="Times New Roman"/>
          <w:sz w:val="18"/>
          <w:szCs w:val="18"/>
          <w:color w:val="auto"/>
        </w:rPr>
        <w:tab/>
        <w:t>P</w:t>
      </w:r>
      <w:r>
        <w:rPr>
          <w:rFonts w:ascii="Times New Roman" w:cs="Times New Roman" w:eastAsia="Times New Roman" w:hAnsi="Times New Roman"/>
          <w:sz w:val="14"/>
          <w:szCs w:val="14"/>
          <w:color w:val="auto"/>
        </w:rPr>
        <w:t>ARIS</w:t>
      </w:r>
      <w:r>
        <w:rPr>
          <w:rFonts w:ascii="Times New Roman" w:cs="Times New Roman" w:eastAsia="Times New Roman" w:hAnsi="Times New Roman"/>
          <w:sz w:val="18"/>
          <w:szCs w:val="18"/>
          <w:color w:val="auto"/>
        </w:rPr>
        <w:tab/>
        <w:t>L</w:t>
      </w:r>
      <w:r>
        <w:rPr>
          <w:rFonts w:ascii="Times New Roman" w:cs="Times New Roman" w:eastAsia="Times New Roman" w:hAnsi="Times New Roman"/>
          <w:sz w:val="14"/>
          <w:szCs w:val="14"/>
          <w:color w:val="auto"/>
        </w:rPr>
        <w:t>ONDON</w:t>
      </w:r>
      <w:r>
        <w:rPr>
          <w:rFonts w:ascii="Times New Roman" w:cs="Times New Roman" w:eastAsia="Times New Roman" w:hAnsi="Times New Roman"/>
          <w:sz w:val="18"/>
          <w:szCs w:val="18"/>
          <w:color w:val="auto"/>
        </w:rPr>
        <w:tab/>
        <w:t>F</w:t>
      </w:r>
      <w:r>
        <w:rPr>
          <w:rFonts w:ascii="Times New Roman" w:cs="Times New Roman" w:eastAsia="Times New Roman" w:hAnsi="Times New Roman"/>
          <w:sz w:val="14"/>
          <w:szCs w:val="14"/>
          <w:color w:val="auto"/>
        </w:rPr>
        <w:t>RANKFURT</w:t>
      </w:r>
      <w:r>
        <w:rPr>
          <w:rFonts w:ascii="Times New Roman" w:cs="Times New Roman" w:eastAsia="Times New Roman" w:hAnsi="Times New Roman"/>
          <w:sz w:val="18"/>
          <w:szCs w:val="18"/>
          <w:color w:val="auto"/>
        </w:rPr>
        <w:tab/>
        <w:t>B</w:t>
      </w:r>
      <w:r>
        <w:rPr>
          <w:rFonts w:ascii="Times New Roman" w:cs="Times New Roman" w:eastAsia="Times New Roman" w:hAnsi="Times New Roman"/>
          <w:sz w:val="14"/>
          <w:szCs w:val="14"/>
          <w:color w:val="auto"/>
        </w:rPr>
        <w:t>RUSSELS</w:t>
      </w:r>
      <w:r>
        <w:rPr>
          <w:rFonts w:ascii="Times New Roman" w:cs="Times New Roman" w:eastAsia="Times New Roman" w:hAnsi="Times New Roman"/>
          <w:sz w:val="18"/>
          <w:szCs w:val="18"/>
          <w:color w:val="auto"/>
        </w:rPr>
        <w:tab/>
        <w:t>M</w:t>
      </w:r>
      <w:r>
        <w:rPr>
          <w:rFonts w:ascii="Times New Roman" w:cs="Times New Roman" w:eastAsia="Times New Roman" w:hAnsi="Times New Roman"/>
          <w:sz w:val="14"/>
          <w:szCs w:val="14"/>
          <w:color w:val="auto"/>
        </w:rPr>
        <w:t>ILAN</w:t>
      </w:r>
      <w:r>
        <w:rPr>
          <w:rFonts w:ascii="Times New Roman" w:cs="Times New Roman" w:eastAsia="Times New Roman" w:hAnsi="Times New Roman"/>
          <w:sz w:val="18"/>
          <w:szCs w:val="18"/>
          <w:color w:val="auto"/>
        </w:rPr>
        <w:tab/>
        <w:t>R</w:t>
      </w:r>
      <w:r>
        <w:rPr>
          <w:rFonts w:ascii="Times New Roman" w:cs="Times New Roman" w:eastAsia="Times New Roman" w:hAnsi="Times New Roman"/>
          <w:sz w:val="14"/>
          <w:szCs w:val="14"/>
          <w:color w:val="auto"/>
        </w:rPr>
        <w:t>OME</w:t>
      </w:r>
    </w:p>
    <w:p>
      <w:pPr>
        <w:sectPr>
          <w:pgSz w:w="11900" w:h="16838" w:orient="portrait"/>
          <w:cols w:equalWidth="0" w:num="1">
            <w:col w:w="11020"/>
          </w:cols>
          <w:pgMar w:left="440" w:top="117" w:right="4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extLst>
                    </a:blip>
                    <a:srcRect/>
                    <a:stretch>
                      <a:fillRect/>
                    </a:stretch>
                  </pic:blipFill>
                  <pic:spPr bwMode="auto">
                    <a:xfrm>
                      <a:off x="0" y="0"/>
                      <a:ext cx="7149465" cy="25400"/>
                    </a:xfrm>
                    <a:prstGeom prst="rect">
                      <a:avLst/>
                    </a:prstGeom>
                    <a:noFill/>
                  </pic:spPr>
                </pic:pic>
              </a:graphicData>
            </a:graphic>
          </wp:anchor>
        </w:drawing>
        <w:t>Take-Two Interactive Software,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4, 2020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Page 2</w:t>
      </w:r>
    </w:p>
    <w:p>
      <w:pPr>
        <w:spacing w:after="0" w:line="139" w:lineRule="exact"/>
        <w:rPr>
          <w:sz w:val="20"/>
          <w:szCs w:val="20"/>
          <w:color w:val="auto"/>
        </w:rPr>
      </w:pPr>
    </w:p>
    <w:p>
      <w:pPr>
        <w:ind w:firstLine="440"/>
        <w:spacing w:after="0" w:line="261" w:lineRule="auto"/>
        <w:rPr>
          <w:sz w:val="20"/>
          <w:szCs w:val="20"/>
          <w:color w:val="auto"/>
        </w:rPr>
      </w:pPr>
      <w:r>
        <w:rPr>
          <w:rFonts w:ascii="Times New Roman" w:cs="Times New Roman" w:eastAsia="Times New Roman" w:hAnsi="Times New Roman"/>
          <w:sz w:val="18"/>
          <w:szCs w:val="18"/>
          <w:color w:val="auto"/>
        </w:rPr>
        <w:t>This opinion letter is rendered as of the date first written above and we disclaim any obligation to advise you of facts, circumstances, events or developments that hereafter may be brought to our attention and that may alter, affect or modify the opinion expressed herein. Our opinion is expressly limited to the matters set forth above and we render no opinion, whether by implication or otherwise, as to any other matters relating to the Company, the Selling Shareholders or the Shares.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WILLKIE FARR &amp; GALLAGHER LLP</w:t>
      </w:r>
    </w:p>
    <w:p>
      <w:pPr>
        <w:sectPr>
          <w:pgSz w:w="11900" w:h="16838" w:orient="portrait"/>
          <w:cols w:equalWidth="0" w:num="1">
            <w:col w:w="10860"/>
          </w:cols>
          <w:pgMar w:left="440" w:top="270" w:right="599" w:bottom="1440" w:gutter="0" w:footer="0" w:header="0"/>
        </w:sectPr>
      </w:pPr>
    </w:p>
    <w:bookmarkStart w:id="19" w:name="page20"/>
    <w:bookmarkEnd w:id="19"/>
    <w:p>
      <w:pPr>
        <w:jc w:val="right"/>
        <w:spacing w:after="0"/>
        <w:rPr>
          <w:sz w:val="20"/>
          <w:szCs w:val="20"/>
          <w:color w:val="auto"/>
        </w:rPr>
      </w:pPr>
      <w:r>
        <w:rPr>
          <w:rFonts w:ascii="Times New Roman" w:cs="Times New Roman" w:eastAsia="Times New Roman" w:hAnsi="Times New Roman"/>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18"/>
          <w:szCs w:val="18"/>
          <w:color w:val="auto"/>
        </w:rPr>
        <w:t>We consent to the reference to our firm under the caption “Experts” in this Registration Statement (Form S-3) and related Prospectus of Take-Two Interactive Software, Inc. for the registration of common stock and to the incorporation by reference therein of our reports dated May 22, 2020, with respect to the consolidated financial statements of Take-Two Interactive Software, Inc., and the effectiveness of internal control over financial reporting of Take-Two Interactive Software, Inc., included in its Annual Report (Form 10-K) for the year ended March 31, 2020, filed with the Securities and Exchange Commission.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4, 2020</w:t>
      </w:r>
    </w:p>
    <w:sectPr>
      <w:pgSz w:w="11900" w:h="16838" w:orient="portrait"/>
      <w:cols w:equalWidth="0" w:num="1">
        <w:col w:w="11020"/>
      </w:cols>
      <w:pgMar w:left="440"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1"/>
    </w:lvl>
  </w:abstractNum>
  <w:abstractNum w:abstractNumId="1">
    <w:nsid w:val="3D1B58BA"/>
    <w:multiLevelType w:val="hybridMultilevel"/>
    <w:lvl w:ilvl="0">
      <w:lvlJc w:val="left"/>
      <w:lvlText w:val="(%1)"/>
      <w:numFmt w:val="decimal"/>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1)"/>
      <w:numFmt w:val="decimal"/>
      <w:start w:val="646"/>
    </w:lvl>
  </w:abstractNum>
  <w:abstractNum w:abstractNumId="5">
    <w:nsid w:val="79E2A9E3"/>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6">
    <w:nsid w:val="7545E146"/>
    <w:multiLevelType w:val="hybridMultilevel"/>
    <w:lvl w:ilvl="0">
      <w:lvlJc w:val="left"/>
      <w:lvlText w:val="%1"/>
      <w:numFmt w:val="lowerLetter"/>
      <w:start w:val="1"/>
    </w:lvl>
    <w:lvl w:ilvl="1">
      <w:lvlJc w:val="left"/>
      <w:lvlText w:val="(%2)"/>
      <w:numFmt w:val="decimal"/>
      <w:start w:val="2"/>
    </w:lvl>
    <w:lvl w:ilvl="2">
      <w:lvlJc w:val="left"/>
      <w:lvlText w:val="(%3)"/>
      <w:numFmt w:val="lowerRoman"/>
      <w:start w:val="1"/>
    </w:lvl>
  </w:abstractNum>
  <w:abstractNum w:abstractNumId="7">
    <w:nsid w:val="515F007C"/>
    <w:multiLevelType w:val="hybridMultilevel"/>
    <w:lvl w:ilvl="0">
      <w:lvlJc w:val="left"/>
      <w:lvlText w:val="(%1)"/>
      <w:numFmt w:val="lowerLetter"/>
      <w:start w:val="2"/>
    </w:lvl>
    <w:lvl w:ilvl="1">
      <w:lvlJc w:val="left"/>
      <w:lvlText w:val="%2"/>
      <w:numFmt w:val="decimal"/>
      <w:start w:val="1"/>
    </w:lvl>
    <w:lvl w:ilvl="2">
      <w:lvlJc w:val="left"/>
      <w:lvlText w:val="%3"/>
      <w:numFmt w:val="lowerRoman"/>
      <w:start w:val="1"/>
    </w:lvl>
  </w:abstractNum>
  <w:abstractNum w:abstractNumId="8">
    <w:nsid w:val="5BD062C2"/>
    <w:multiLevelType w:val="hybridMultilevel"/>
    <w:lvl w:ilvl="0">
      <w:lvlJc w:val="left"/>
      <w:lvlText w:val="J"/>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60" Type="http://schemas.openxmlformats.org/officeDocument/2006/relationships/image" Target="media/image45.jpeg"/><Relationship Id="rId61" Type="http://schemas.openxmlformats.org/officeDocument/2006/relationships/image" Target="media/image46.png"/><Relationship Id="rId36" Type="http://schemas.openxmlformats.org/officeDocument/2006/relationships/hyperlink" Target="http://www.sec.gov/ix?doc=/Archives/edgar/data/946581/000162828020008291/ttwo-20200331.htm" TargetMode="External"/><Relationship Id="rId37" Type="http://schemas.openxmlformats.org/officeDocument/2006/relationships/hyperlink" Target="http://www.sec.gov/Archives/edgar/data/946581/000119312520198591/d940734ddef14a.htm" TargetMode="External"/><Relationship Id="rId38" Type="http://schemas.openxmlformats.org/officeDocument/2006/relationships/hyperlink" Target="http://www.sec.gov/Archives/edgar/data/946581/000119312520232142/d31273ddefa14a.htm" TargetMode="External"/><Relationship Id="rId39" Type="http://schemas.openxmlformats.org/officeDocument/2006/relationships/hyperlink" Target="http://www.sec.gov/ix?doc=/Archives/edgar/data/946581/000162828020011493/ttwo-20200630.htm" TargetMode="External"/><Relationship Id="rId40" Type="http://schemas.openxmlformats.org/officeDocument/2006/relationships/hyperlink" Target="http://www.sec.gov/ix?doc=/Archives/edgar/data/946581/000110465920084100/tm2024847-1_8k.htm" TargetMode="External"/><Relationship Id="rId41" Type="http://schemas.openxmlformats.org/officeDocument/2006/relationships/hyperlink" Target="http://www.sec.gov/ix?doc=/Archives/edgar/data/946581/000119312520223616/d82273d8k.htm" TargetMode="External"/><Relationship Id="rId42" Type="http://schemas.openxmlformats.org/officeDocument/2006/relationships/hyperlink" Target="http://www.sec.gov/Archives/edgar/data/946581/000110465908019702/a08-9031_28a12b.htm" TargetMode="External"/><Relationship Id="rId43" Type="http://schemas.openxmlformats.org/officeDocument/2006/relationships/hyperlink" Target="http://www.sec.gov/Archives/edgar/data/946581/000162828020008291/ex-4103312020.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2020-09-04T15:23:27Z</dcterms:created>
  <dcterms:modified xsi:type="dcterms:W3CDTF">2020-09-04T15:23:27Z</dcterms:modified>
</cp:coreProperties>
</file>