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September 4, 2020</w:t>
      </w:r>
    </w:p>
    <w:p>
      <w:pPr>
        <w:spacing w:after="0" w:line="2" w:lineRule="exact"/>
        <w:rPr>
          <w:sz w:val="24"/>
          <w:szCs w:val="24"/>
          <w:color w:val="auto"/>
        </w:rPr>
      </w:pPr>
    </w:p>
    <w:p>
      <w:pPr>
        <w:ind w:left="9620"/>
        <w:spacing w:after="0"/>
        <w:rPr>
          <w:sz w:val="20"/>
          <w:szCs w:val="20"/>
          <w:color w:val="auto"/>
        </w:rPr>
      </w:pPr>
      <w:r>
        <w:rPr>
          <w:rFonts w:ascii="Times New Roman" w:cs="Times New Roman" w:eastAsia="Times New Roman" w:hAnsi="Times New Roman"/>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jc w:val="center"/>
        <w:ind w:right="-119"/>
        <w:spacing w:after="0" w:line="224" w:lineRule="auto"/>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p>
      <w:pPr>
        <w:spacing w:after="0" w:line="294"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3"/>
          <w:szCs w:val="13"/>
          <w:b w:val="1"/>
          <w:bCs w:val="1"/>
          <w:color w:val="auto"/>
        </w:rPr>
        <w:t>Delaware</w:t>
      </w:r>
    </w:p>
    <w:p>
      <w:pPr>
        <w:ind w:left="2120"/>
        <w:spacing w:after="0" w:line="237" w:lineRule="auto"/>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3"/>
          <w:szCs w:val="13"/>
          <w:b w:val="1"/>
          <w:bCs w:val="1"/>
          <w:color w:val="auto"/>
        </w:rPr>
        <w:t>51-0350842</w:t>
      </w:r>
    </w:p>
    <w:p>
      <w:pPr>
        <w:jc w:val="center"/>
        <w:ind w:right="2060"/>
        <w:spacing w:after="0" w:line="219" w:lineRule="auto"/>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206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22" w:lineRule="exact"/>
        <w:rPr>
          <w:sz w:val="24"/>
          <w:szCs w:val="24"/>
          <w:color w:val="auto"/>
        </w:rPr>
      </w:pPr>
    </w:p>
    <w:p>
      <w:pPr>
        <w:sectPr>
          <w:pgSz w:w="11900" w:h="16838" w:orient="portrait"/>
          <w:cols w:equalWidth="0" w:num="2">
            <w:col w:w="7120" w:space="720"/>
            <w:col w:w="3300"/>
          </w:cols>
          <w:pgMar w:left="320" w:top="226" w:right="439" w:bottom="1440" w:gutter="0" w:footer="0" w:header="0"/>
          <w:type w:val="continuous"/>
        </w:sectPr>
      </w:pPr>
    </w:p>
    <w:p>
      <w:pPr>
        <w:ind w:left="5080"/>
        <w:spacing w:after="0"/>
        <w:rPr>
          <w:sz w:val="20"/>
          <w:szCs w:val="20"/>
          <w:color w:val="auto"/>
        </w:rPr>
      </w:pPr>
      <w:r>
        <w:rPr>
          <w:rFonts w:ascii="Times New Roman" w:cs="Times New Roman" w:eastAsia="Times New Roman" w:hAnsi="Times New Roman"/>
          <w:sz w:val="13"/>
          <w:szCs w:val="13"/>
          <w:b w:val="1"/>
          <w:bCs w:val="1"/>
          <w:color w:val="auto"/>
        </w:rPr>
        <w:t>110 West 44th Street</w:t>
      </w:r>
    </w:p>
    <w:p>
      <w:pPr>
        <w:ind w:left="4880"/>
        <w:spacing w:after="0" w:line="237" w:lineRule="auto"/>
        <w:rPr>
          <w:sz w:val="20"/>
          <w:szCs w:val="20"/>
          <w:color w:val="auto"/>
        </w:rPr>
      </w:pPr>
      <w:r>
        <w:rPr>
          <w:rFonts w:ascii="Times New Roman" w:cs="Times New Roman" w:eastAsia="Times New Roman" w:hAnsi="Times New Roman"/>
          <w:sz w:val="12"/>
          <w:szCs w:val="12"/>
          <w:b w:val="1"/>
          <w:bCs w:val="1"/>
          <w:color w:val="auto"/>
        </w:rPr>
        <w:t>New York, New York 10036</w:t>
      </w:r>
    </w:p>
    <w:p>
      <w:pPr>
        <w:ind w:left="5240"/>
        <w:spacing w:after="0"/>
        <w:rPr>
          <w:sz w:val="20"/>
          <w:szCs w:val="20"/>
          <w:color w:val="auto"/>
        </w:rPr>
      </w:pPr>
      <w:r>
        <w:rPr>
          <w:rFonts w:ascii="Times New Roman" w:cs="Times New Roman" w:eastAsia="Times New Roman" w:hAnsi="Times New Roman"/>
          <w:sz w:val="13"/>
          <w:szCs w:val="13"/>
          <w:b w:val="1"/>
          <w:bCs w:val="1"/>
          <w:color w:val="auto"/>
        </w:rPr>
        <w:t>(646) 536-2842</w:t>
      </w:r>
    </w:p>
    <w:p>
      <w:pPr>
        <w:sectPr>
          <w:pgSz w:w="11900" w:h="16838" w:orient="portrait"/>
          <w:cols w:equalWidth="0" w:num="1">
            <w:col w:w="11140"/>
          </w:cols>
          <w:pgMar w:left="320" w:top="226" w:right="439" w:bottom="1440" w:gutter="0" w:footer="0" w:header="0"/>
          <w:type w:val="continuous"/>
        </w:sectPr>
      </w:pPr>
    </w:p>
    <w:p>
      <w:pPr>
        <w:jc w:val="center"/>
        <w:ind w:right="-119"/>
        <w:spacing w:after="0" w:line="217" w:lineRule="auto"/>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Strauss Zelnick</w:t>
      </w:r>
    </w:p>
    <w:p>
      <w:pPr>
        <w:jc w:val="center"/>
        <w:ind w:right="-119"/>
        <w:spacing w:after="0" w:line="219" w:lineRule="auto"/>
        <w:rPr>
          <w:sz w:val="20"/>
          <w:szCs w:val="20"/>
          <w:color w:val="auto"/>
        </w:rPr>
      </w:pPr>
      <w:r>
        <w:rPr>
          <w:rFonts w:ascii="Times New Roman" w:cs="Times New Roman" w:eastAsia="Times New Roman" w:hAnsi="Times New Roman"/>
          <w:sz w:val="13"/>
          <w:szCs w:val="13"/>
          <w:b w:val="1"/>
          <w:bCs w:val="1"/>
          <w:color w:val="auto"/>
        </w:rPr>
        <w:t>Chairman and Chief Executive Officer</w:t>
      </w:r>
    </w:p>
    <w:p>
      <w:pPr>
        <w:jc w:val="center"/>
        <w:ind w:right="-119"/>
        <w:spacing w:after="0" w:line="216" w:lineRule="auto"/>
        <w:rPr>
          <w:sz w:val="20"/>
          <w:szCs w:val="20"/>
          <w:color w:val="auto"/>
        </w:rPr>
      </w:pPr>
      <w:r>
        <w:rPr>
          <w:rFonts w:ascii="Times New Roman" w:cs="Times New Roman" w:eastAsia="Times New Roman" w:hAnsi="Times New Roman"/>
          <w:sz w:val="13"/>
          <w:szCs w:val="13"/>
          <w:b w:val="1"/>
          <w:bCs w:val="1"/>
          <w:color w:val="auto"/>
        </w:rPr>
        <w:t>Take-Two Interactive Software, Inc.</w:t>
      </w:r>
    </w:p>
    <w:p>
      <w:pPr>
        <w:jc w:val="center"/>
        <w:ind w:right="-119"/>
        <w:spacing w:after="0" w:line="217" w:lineRule="auto"/>
        <w:rPr>
          <w:sz w:val="20"/>
          <w:szCs w:val="20"/>
          <w:color w:val="auto"/>
        </w:rPr>
      </w:pPr>
      <w:r>
        <w:rPr>
          <w:rFonts w:ascii="Times New Roman" w:cs="Times New Roman" w:eastAsia="Times New Roman" w:hAnsi="Times New Roman"/>
          <w:sz w:val="13"/>
          <w:szCs w:val="13"/>
          <w:b w:val="1"/>
          <w:bCs w:val="1"/>
          <w:color w:val="auto"/>
        </w:rPr>
        <w:t>110 West 44th Street</w:t>
      </w:r>
    </w:p>
    <w:p>
      <w:pPr>
        <w:jc w:val="center"/>
        <w:ind w:right="-119"/>
        <w:spacing w:after="0" w:line="217" w:lineRule="auto"/>
        <w:rPr>
          <w:sz w:val="20"/>
          <w:szCs w:val="20"/>
          <w:color w:val="auto"/>
        </w:rPr>
      </w:pPr>
      <w:r>
        <w:rPr>
          <w:rFonts w:ascii="Times New Roman" w:cs="Times New Roman" w:eastAsia="Times New Roman" w:hAnsi="Times New Roman"/>
          <w:sz w:val="13"/>
          <w:szCs w:val="13"/>
          <w:b w:val="1"/>
          <w:bCs w:val="1"/>
          <w:color w:val="auto"/>
        </w:rPr>
        <w:t>New York, New York 10036</w:t>
      </w:r>
    </w:p>
    <w:p>
      <w:pPr>
        <w:jc w:val="center"/>
        <w:ind w:right="-119"/>
        <w:spacing w:after="0" w:line="217" w:lineRule="auto"/>
        <w:rPr>
          <w:sz w:val="20"/>
          <w:szCs w:val="20"/>
          <w:color w:val="auto"/>
        </w:rPr>
      </w:pPr>
      <w:r>
        <w:rPr>
          <w:rFonts w:ascii="Times New Roman" w:cs="Times New Roman" w:eastAsia="Times New Roman" w:hAnsi="Times New Roman"/>
          <w:sz w:val="13"/>
          <w:szCs w:val="13"/>
          <w:b w:val="1"/>
          <w:bCs w:val="1"/>
          <w:color w:val="auto"/>
        </w:rPr>
        <w:t>(646) 536-2842</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i w:val="1"/>
          <w:iCs w:val="1"/>
          <w:color w:val="auto"/>
        </w:rPr>
        <w:t>Please address a copy of all communications to:</w:t>
      </w:r>
    </w:p>
    <w:p>
      <w:pPr>
        <w:spacing w:after="0" w:line="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Adam M. Turteltaub, Esq.</w:t>
      </w:r>
    </w:p>
    <w:p>
      <w:pPr>
        <w:jc w:val="center"/>
        <w:ind w:right="-119"/>
        <w:spacing w:after="0" w:line="219" w:lineRule="auto"/>
        <w:rPr>
          <w:sz w:val="20"/>
          <w:szCs w:val="20"/>
          <w:color w:val="auto"/>
        </w:rPr>
      </w:pPr>
      <w:r>
        <w:rPr>
          <w:rFonts w:ascii="Times New Roman" w:cs="Times New Roman" w:eastAsia="Times New Roman" w:hAnsi="Times New Roman"/>
          <w:sz w:val="13"/>
          <w:szCs w:val="13"/>
          <w:b w:val="1"/>
          <w:bCs w:val="1"/>
          <w:color w:val="auto"/>
        </w:rPr>
        <w:t>Sean M. Ewen, Esq.</w:t>
      </w:r>
    </w:p>
    <w:p>
      <w:pPr>
        <w:jc w:val="center"/>
        <w:ind w:right="-119"/>
        <w:spacing w:after="0" w:line="216" w:lineRule="auto"/>
        <w:rPr>
          <w:sz w:val="20"/>
          <w:szCs w:val="20"/>
          <w:color w:val="auto"/>
        </w:rPr>
      </w:pPr>
      <w:r>
        <w:rPr>
          <w:rFonts w:ascii="Times New Roman" w:cs="Times New Roman" w:eastAsia="Times New Roman" w:hAnsi="Times New Roman"/>
          <w:sz w:val="13"/>
          <w:szCs w:val="13"/>
          <w:b w:val="1"/>
          <w:bCs w:val="1"/>
          <w:color w:val="auto"/>
        </w:rPr>
        <w:t>Willkie Farr &amp; Gallagher LLP</w:t>
      </w:r>
    </w:p>
    <w:p>
      <w:pPr>
        <w:jc w:val="center"/>
        <w:ind w:right="-119"/>
        <w:spacing w:after="0" w:line="217" w:lineRule="auto"/>
        <w:rPr>
          <w:sz w:val="20"/>
          <w:szCs w:val="20"/>
          <w:color w:val="auto"/>
        </w:rPr>
      </w:pPr>
      <w:r>
        <w:rPr>
          <w:rFonts w:ascii="Times New Roman" w:cs="Times New Roman" w:eastAsia="Times New Roman" w:hAnsi="Times New Roman"/>
          <w:sz w:val="13"/>
          <w:szCs w:val="13"/>
          <w:b w:val="1"/>
          <w:bCs w:val="1"/>
          <w:color w:val="auto"/>
        </w:rPr>
        <w:t>787 Seventh Avenue</w:t>
      </w:r>
    </w:p>
    <w:p>
      <w:pPr>
        <w:jc w:val="center"/>
        <w:ind w:right="-119"/>
        <w:spacing w:after="0" w:line="217" w:lineRule="auto"/>
        <w:rPr>
          <w:sz w:val="20"/>
          <w:szCs w:val="20"/>
          <w:color w:val="auto"/>
        </w:rPr>
      </w:pPr>
      <w:r>
        <w:rPr>
          <w:rFonts w:ascii="Times New Roman" w:cs="Times New Roman" w:eastAsia="Times New Roman" w:hAnsi="Times New Roman"/>
          <w:sz w:val="13"/>
          <w:szCs w:val="13"/>
          <w:b w:val="1"/>
          <w:bCs w:val="1"/>
          <w:color w:val="auto"/>
        </w:rPr>
        <w:t>New York, New York 10019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(212) 728-8000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the effective date of this registration statement.</w:t>
      </w:r>
    </w:p>
    <w:p>
      <w:pPr>
        <w:spacing w:after="0" w:line="17" w:lineRule="exact"/>
        <w:rPr>
          <w:sz w:val="24"/>
          <w:szCs w:val="24"/>
          <w:color w:val="auto"/>
        </w:rPr>
      </w:pPr>
    </w:p>
    <w:p>
      <w:pPr>
        <w:jc w:val="center"/>
        <w:ind w:right="3040"/>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52" w:lineRule="exact"/>
        <w:rPr>
          <w:sz w:val="24"/>
          <w:szCs w:val="24"/>
          <w:color w:val="auto"/>
        </w:rPr>
      </w:pPr>
    </w:p>
    <w:p>
      <w:pPr>
        <w:ind w:left="120" w:right="420"/>
        <w:spacing w:after="0" w:line="162"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ind w:left="120" w:right="60"/>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260"/>
        <w:spacing w:after="0" w:line="15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520"/>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ind w:left="120" w:right="180"/>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ind w:left="120" w:right="54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40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780"/>
              <w:spacing w:after="0"/>
              <w:rPr>
                <w:sz w:val="20"/>
                <w:szCs w:val="20"/>
                <w:color w:val="auto"/>
              </w:rPr>
            </w:pPr>
            <w:r>
              <w:rPr>
                <w:rFonts w:ascii="Times New Roman" w:cs="Times New Roman" w:eastAsia="Times New Roman" w:hAnsi="Times New Roman"/>
                <w:sz w:val="13"/>
                <w:szCs w:val="13"/>
                <w:color w:val="auto"/>
              </w:rPr>
              <w:t>Accelerated filer</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40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7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7"/>
        </w:trPr>
        <w:tc>
          <w:tcPr>
            <w:tcW w:w="128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5360" w:type="dxa"/>
            <w:vAlign w:val="bottom"/>
          </w:tcPr>
          <w:p>
            <w:pPr>
              <w:ind w:left="3780"/>
              <w:spacing w:after="0"/>
              <w:rPr>
                <w:sz w:val="20"/>
                <w:szCs w:val="20"/>
                <w:color w:val="auto"/>
              </w:rPr>
            </w:pPr>
            <w:r>
              <w:rPr>
                <w:rFonts w:ascii="Times New Roman" w:cs="Times New Roman" w:eastAsia="Times New Roman" w:hAnsi="Times New Roman"/>
                <w:sz w:val="13"/>
                <w:szCs w:val="13"/>
                <w:color w:val="auto"/>
              </w:rPr>
              <w:t>Emerging growth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bl>
    <w:p>
      <w:pPr>
        <w:ind w:left="120" w:right="100"/>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78740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CALCULATION OF REGISTRATION FEE</w:t>
      </w:r>
    </w:p>
    <w:p>
      <w:pPr>
        <w:spacing w:after="0" w:line="67"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5"/>
        </w:trPr>
        <w:tc>
          <w:tcPr>
            <w:tcW w:w="48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54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520" w:type="dxa"/>
            <w:vAlign w:val="bottom"/>
          </w:tcPr>
          <w:p>
            <w:pPr>
              <w:spacing w:after="0"/>
              <w:rPr>
                <w:sz w:val="8"/>
                <w:szCs w:val="8"/>
                <w:color w:val="auto"/>
              </w:rPr>
            </w:pPr>
          </w:p>
        </w:tc>
      </w:tr>
      <w:tr>
        <w:trPr>
          <w:trHeight w:val="135"/>
        </w:trPr>
        <w:tc>
          <w:tcPr>
            <w:tcW w:w="48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maximum</w:t>
            </w:r>
          </w:p>
        </w:tc>
        <w:tc>
          <w:tcPr>
            <w:tcW w:w="1520" w:type="dxa"/>
            <w:vAlign w:val="bottom"/>
          </w:tcPr>
          <w:p>
            <w:pPr>
              <w:spacing w:after="0"/>
              <w:rPr>
                <w:sz w:val="11"/>
                <w:szCs w:val="11"/>
                <w:color w:val="auto"/>
              </w:rPr>
            </w:pPr>
          </w:p>
        </w:tc>
      </w:tr>
      <w:tr>
        <w:trPr>
          <w:trHeight w:val="135"/>
        </w:trPr>
        <w:tc>
          <w:tcPr>
            <w:tcW w:w="4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Title of each class of</w:t>
            </w: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to be</w:t>
            </w: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offering price</w:t>
            </w: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aggregate</w:t>
            </w: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67"/>
        </w:trPr>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registered(2)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 share(3)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offering price(3)</w:t>
            </w:r>
          </w:p>
        </w:tc>
        <w:tc>
          <w:tcPr>
            <w:tcW w:w="152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registration fee</w:t>
            </w:r>
          </w:p>
        </w:tc>
      </w:tr>
      <w:tr>
        <w:trPr>
          <w:trHeight w:val="143"/>
        </w:trPr>
        <w:tc>
          <w:tcPr>
            <w:tcW w:w="4880" w:type="dxa"/>
            <w:vAlign w:val="bottom"/>
            <w:tcBorders>
              <w:bottom w:val="single" w:sz="8" w:color="auto"/>
              <w:right w:val="single" w:sz="8" w:color="auto"/>
            </w:tcBorders>
          </w:tcPr>
          <w:p>
            <w:pPr>
              <w:spacing w:after="0" w:line="143" w:lineRule="exact"/>
              <w:rPr>
                <w:sz w:val="20"/>
                <w:szCs w:val="20"/>
                <w:color w:val="auto"/>
              </w:rPr>
            </w:pPr>
            <w:r>
              <w:rPr>
                <w:rFonts w:ascii="Times New Roman" w:cs="Times New Roman" w:eastAsia="Times New Roman" w:hAnsi="Times New Roman"/>
                <w:sz w:val="13"/>
                <w:szCs w:val="13"/>
                <w:color w:val="auto"/>
              </w:rPr>
              <w:t>Common Stock of Take-Two Interactive Software, Inc., par value $.01 per share(1)</w:t>
            </w:r>
          </w:p>
        </w:tc>
        <w:tc>
          <w:tcPr>
            <w:tcW w:w="1540" w:type="dxa"/>
            <w:vAlign w:val="bottom"/>
            <w:tcBorders>
              <w:bottom w:val="single" w:sz="8" w:color="auto"/>
              <w:right w:val="single" w:sz="8" w:color="auto"/>
            </w:tcBorders>
          </w:tcPr>
          <w:p>
            <w:pPr>
              <w:jc w:val="right"/>
              <w:ind w:right="477"/>
              <w:spacing w:after="0" w:line="143" w:lineRule="exact"/>
              <w:rPr>
                <w:sz w:val="20"/>
                <w:szCs w:val="20"/>
                <w:color w:val="auto"/>
              </w:rPr>
            </w:pPr>
            <w:r>
              <w:rPr>
                <w:rFonts w:ascii="Times New Roman" w:cs="Times New Roman" w:eastAsia="Times New Roman" w:hAnsi="Times New Roman"/>
                <w:sz w:val="13"/>
                <w:szCs w:val="13"/>
                <w:color w:val="auto"/>
              </w:rPr>
              <w:t>603,817</w:t>
            </w:r>
          </w:p>
        </w:tc>
        <w:tc>
          <w:tcPr>
            <w:tcW w:w="1540" w:type="dxa"/>
            <w:vAlign w:val="bottom"/>
            <w:tcBorders>
              <w:bottom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3"/>
                <w:szCs w:val="13"/>
                <w:color w:val="auto"/>
                <w:w w:val="94"/>
              </w:rPr>
              <w:t>$168.16</w:t>
            </w:r>
          </w:p>
        </w:tc>
        <w:tc>
          <w:tcPr>
            <w:tcW w:w="1540" w:type="dxa"/>
            <w:vAlign w:val="bottom"/>
            <w:tcBorders>
              <w:bottom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3"/>
                <w:szCs w:val="13"/>
                <w:color w:val="auto"/>
                <w:w w:val="95"/>
              </w:rPr>
              <w:t>$101,537,866.72</w:t>
            </w:r>
          </w:p>
        </w:tc>
        <w:tc>
          <w:tcPr>
            <w:tcW w:w="1520" w:type="dxa"/>
            <w:vAlign w:val="bottom"/>
            <w:tcBorders>
              <w:bottom w:val="single" w:sz="8" w:color="auto"/>
            </w:tcBorders>
          </w:tcPr>
          <w:p>
            <w:pPr>
              <w:jc w:val="center"/>
              <w:ind w:left="17"/>
              <w:spacing w:after="0" w:line="143" w:lineRule="exact"/>
              <w:rPr>
                <w:sz w:val="20"/>
                <w:szCs w:val="20"/>
                <w:color w:val="auto"/>
              </w:rPr>
            </w:pPr>
            <w:r>
              <w:rPr>
                <w:rFonts w:ascii="Times New Roman" w:cs="Times New Roman" w:eastAsia="Times New Roman" w:hAnsi="Times New Roman"/>
                <w:sz w:val="13"/>
                <w:szCs w:val="13"/>
                <w:color w:val="auto"/>
                <w:w w:val="95"/>
              </w:rPr>
              <w:t>$13,179.62</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440" w:right="160" w:hanging="324"/>
        <w:spacing w:after="0" w:line="224" w:lineRule="auto"/>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 is hereby registering the sale by certain selling stockholders of up to 603,817 shares of our Common Stock issued to such stockholders pursuant to the terms of the Agreement and Plan of Merger, dated as of August 17, 2020, by and among the registrant, Dash MS, LLC, Dash MS II, LLC, Playdots, Inc. and Shareholder Representative Services LLC, as amended from time to time.</w:t>
      </w:r>
    </w:p>
    <w:p>
      <w:pPr>
        <w:ind w:left="440" w:right="180" w:hanging="324"/>
        <w:spacing w:after="0" w:line="216" w:lineRule="auto"/>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Rule 416 under the Securities Act of 1933 (the “Securities Act”), as amended, this Registration Statement also covers such additional number of our Common Stock as may be issuable from time to time as a result of stock splits, stock dividends, capitalizations or similar events.</w:t>
      </w:r>
    </w:p>
    <w:p>
      <w:pPr>
        <w:ind w:left="440" w:right="80" w:hanging="324"/>
        <w:spacing w:after="0" w:line="228" w:lineRule="auto"/>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purposes of calculating the registration fee. Pursuant to Rule 457(c) under the Securities Act, the registration fee has been calculated based upon the average of the high and low prices, as reported by the NASDAQ Global Select Market, for our Common Stock on September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TAKE-TWO INTERACTIVE SOFTWARE,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603,817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Prospectus will be used from time to time by the selling shareholders named in this prospectus to resell up to 603,817 shares of our Common Stock, par value $.01 per share. The selling shareholders acquired such shares pursuant to the terms of the Agreement and Plan of Merger, dated as of August 17, 2020, by and among Take-Two Interactive Software, Inc., Dash MS, LLC, Dash MS II, LLC, Playdots, Inc. (“Playdots”) and Shareholder Representative Services LLC (as amended from time to time, the “Merger Agreement”).</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Common Stock may be offered from time to time by the selling shareholders in any manner described under the section entitled “Plan of Distribution” beginning on page 6 of this prospectus. The selling shareholders may sell the shares of Common Stock on any stock exchange, market or trading facility on which the shares are traded or in private transactions, at fixed or negotiated prices, directly to purchasers or through broker-dealers or agents, who may receive compensation in the form of discounts, concessions or commissions. We will not receive any proceeds from the sale of our Common Stock by the selling shareholders, but we will incur expenses in connection with the offering.</w:t>
      </w:r>
    </w:p>
    <w:p>
      <w:pPr>
        <w:spacing w:after="0" w:line="1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“TTWO.” The last reported sale price on September 3, 2020 was $166.60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risks. See “</w:t>
      </w:r>
      <w:hyperlink w:anchor="page6">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or any applicable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4, 2020</w:t>
      </w:r>
    </w:p>
    <w:p>
      <w:pPr>
        <w:sectPr>
          <w:pgSz w:w="11900" w:h="16838" w:orient="portrait"/>
          <w:cols w:equalWidth="0" w:num="1">
            <w:col w:w="11140"/>
          </w:cols>
          <w:pgMar w:left="320" w:top="455"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ABOUT THIS PROSPECTUS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32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CAUTIONARY STATEMENT REGARDING FORWARD-LOOKING STATEMENTS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32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SUMMARY</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RISK FACTORS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USE OF PROCEEDS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SELLING SHAREHOLDERS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PLAN OF DISTRIBUTION</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LEGAL MATTERS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EXPERTS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WHERE YOU CAN FIND MORE INFORMATION</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98"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References in this prospectus to “Take-Two,” “we,” “us,” “our,” the “Company” or similar references mean Take-Two Interactive Software, Inc. and its subsidiaries. References to “Common Stock” refer to the Company’s Common Stock, par value $.01 per share.</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any applicable prospectus supplement. Neither we nor the selling shareholders have authorized anyone else to provide you with different information. The securities are not being offered in any jurisdiction where the offer or sale is not permitted. You should not assume that the information contained in this prospectus and any accompanying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the “shelf” registration process. Under this shelf registration process, the selling shareholders may, from time to time, sell the offered securities in one or more offerings or resales.</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certain circumstances, we may provide a prospectus supplement that will contain specific information about the terms of a particular offering by one or more of the selling shareholders. We may also provide a prospectus supplement to add information to, or update or change information contained in,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later-dated document modifies or supersedes the earlier statement.</w:t>
      </w:r>
    </w:p>
    <w:p>
      <w:pPr>
        <w:spacing w:after="0" w:line="18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You should read both this prospectus and any applicable prospectus supplement together with the additional information about our company to which we refer you in the section of this prospectus entitled “Where You Can Find More Information.”</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contain statements that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but not limited to,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Grand Theft Auto products and our ability to develop other hit titles for current and next-generation platforms; the timely release and significant market acceptance of our games; the ability to maintain acceptable pricing levels on our games; and risks associated with international operations. Other important factors and information are discussed under the heading “Risk Factors” beginning on page 2 of this prospectus and contained in the Company’s Annual Report on Form 10-K for the fiscal year ended March 31, 2020 and the Company’s other periodic filings with the SEC, which are incorporated herein by reference. All forward-looking statements are qualified by these cautionary statements and speak only as of the date they are made. The Company undertakes no obligation to update any forward-looking statement, whether as a result of new information, future events or otherwise.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950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40"/>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relates to the offer and resale by the selling shareholders identified in this prospectus of up to 603,817 shares of our Common Stock. We will not receive any of the proceeds from the sale of the Common Stock by the selling shareholders. This summary highlights selected information appearing elsewhere in this prospectus or in documents incorporated herein by reference. This summary is not complete and does not contain all of the information that you should consider before making your investment decision. You should carefully read the entire prospectus, including the information set forth in the section entitled “Risk Factors” and the information that is incorporated by reference into this prospectus. See the sections entitled “Where You Can Find More Information” for a further discussion on incorporation by reference.</w:t>
      </w:r>
    </w:p>
    <w:p>
      <w:pPr>
        <w:spacing w:after="0" w:line="184" w:lineRule="exact"/>
        <w:rPr>
          <w:sz w:val="20"/>
          <w:szCs w:val="20"/>
          <w:color w:val="auto"/>
        </w:rPr>
      </w:pPr>
    </w:p>
    <w:p>
      <w:pPr>
        <w:jc w:val="both"/>
        <w:ind w:left="300" w:right="40"/>
        <w:spacing w:after="0" w:line="261" w:lineRule="auto"/>
        <w:rPr>
          <w:sz w:val="20"/>
          <w:szCs w:val="20"/>
          <w:color w:val="auto"/>
        </w:rPr>
      </w:pPr>
      <w:r>
        <w:rPr>
          <w:rFonts w:ascii="Times New Roman" w:cs="Times New Roman" w:eastAsia="Times New Roman" w:hAnsi="Times New Roman"/>
          <w:sz w:val="18"/>
          <w:szCs w:val="18"/>
          <w:color w:val="auto"/>
        </w:rPr>
        <w:t>We are a leading developer, publisher, and marketer of interactive entertainment for consumers around the globe. We develop and publish products principally through Rockstar Games, 2K, Private Division, and Social Point. Our products are currently designed for console gaming systems, such as Sony’s PlayStation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4, Microsoft’s Xbox One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or Nintendo’s Switch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personal computers, including smartphones and tablets. We deliver our products through physical retail, digital download, online platforms, and cloud streaming services.</w:t>
      </w:r>
    </w:p>
    <w:p>
      <w:pPr>
        <w:spacing w:after="0" w:line="180"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racing,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90" w:lineRule="exact"/>
        <w:rPr>
          <w:sz w:val="20"/>
          <w:szCs w:val="20"/>
          <w:color w:val="auto"/>
        </w:rPr>
      </w:pPr>
    </w:p>
    <w:p>
      <w:pPr>
        <w:ind w:left="300" w:right="560"/>
        <w:spacing w:after="0" w:line="282" w:lineRule="auto"/>
        <w:rPr>
          <w:sz w:val="20"/>
          <w:szCs w:val="20"/>
          <w:color w:val="auto"/>
        </w:rPr>
      </w:pPr>
      <w:r>
        <w:rPr>
          <w:rFonts w:ascii="Times New Roman" w:cs="Times New Roman" w:eastAsia="Times New Roman" w:hAnsi="Times New Roman"/>
          <w:sz w:val="18"/>
          <w:szCs w:val="18"/>
          <w:color w:val="auto"/>
        </w:rPr>
        <w:t>This prospectus relates to the resale of up to 603,817 shares of Common Stock that may be offered and sold from time to time by the selling shareholders named in this prospectus. The selling shareholders acquired such shares in connection with the Merger Agreement.</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“Selling Shareholders.” We will not receive any of the proceeds from the sale of the shares hereunder. See “Use of Proceeds.”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were incorporated under the laws of the State of Delaware in 1993 and are headquartered at 110 West 44th Street, New York, New York 10036.</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telephone number is (646) 536-2842.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Investment in our Common Stock involves risks. Before you invest in our Common Stock, you should carefully consider the risk factors incorporated into this prospectus by reference to our most recent Annual Report on Form 10-K, and the other information contained in this prospectus, as updated by our subsequent filings under the Exchange Act, and risk factors and other information contained in any applicable prospectus supplement before acquiring any of such shares of Common Stock. For a description of these reports and documents, and information about where you can find them, see the section entitled “Where You Can Find More Information.” The occurrence of any of the events described in the risk factors might cause you to lose all or part of your investment in the Common Stock. Please also refer to the section above entitled “Cautionary Statement Regarding Forward-Looking Statements.”</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Common Stock to be offered and sold using this prospectus will be offered and sold by the selling shareholders named in this prospectus or in any supplement to this prospectus. We will not receive any proceeds from the sale of the Common Stock by the selling shareholders.</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320" w:top="455" w:right="6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shareholders named in the table below (the “selling shareholders”) of Common Stock that was acquired by the selling shareholders pursuant to the terms of the Merger Agreement.</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we have issued to the selling shareholders 603,817 shares of Common Stock at the closing of the transactions contemplated by the Merger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registering all of the shares of Common Stock in order to permit the selling shareholders to offer the Common Stock for resale from time to time.</w:t>
      </w:r>
    </w:p>
    <w:p>
      <w:pPr>
        <w:spacing w:after="0" w:line="22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name of each selling shareholder, the number of shares of Common Stock owned by or attributable to such selling shareholder immediately prior to this registration, the number of shares of Common Stock offered hereby and registered by the registration statement of which this prospectus is a part and the number of shares of Common Stock to be owned by each selling shareholder after the maximum number of shares being offered hereby are sold, which assumes that all shares of Common Stock covered by this prospectus will be sold by the selling shareholders and that no additional shares of Common Stock of the Company are subsequently bought or sold by the selling shareholders. However, because the selling shareholders may offer from time to time all, some or none of their shares of Common Stock under this prospectus, or in another permitted manner, no assurances can be given as to the actual number of shares of Common Stock that will be sold by the selling shareholders or that will be held by the selling shareholders after completion of the sales. In addition, we do not know how long the selling shareholders will hold their shares before selling them.</w:t>
      </w:r>
    </w:p>
    <w:p>
      <w:pPr>
        <w:spacing w:after="0" w:line="188"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In the table below, the percentage of shares beneficially owned is based on 114,338,838 shares of Common Stock outstanding as of July 23, 2020, determined in accordance with Rule 13d-3 under the Exchange Act.</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9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Ownership After the</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60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Ownership Prior to the Registration</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92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Covered Shares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600" w:type="dxa"/>
            <w:vAlign w:val="bottom"/>
            <w:tcBorders>
              <w:bottom w:val="single" w:sz="8" w:color="auto"/>
            </w:tcBorders>
            <w:gridSpan w:val="4"/>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Covered by this</w:t>
            </w:r>
          </w:p>
        </w:tc>
        <w:tc>
          <w:tcPr>
            <w:tcW w:w="1380" w:type="dxa"/>
            <w:vAlign w:val="bottom"/>
            <w:tcBorders>
              <w:bottom w:val="single" w:sz="8" w:color="auto"/>
            </w:tcBorders>
            <w:gridSpan w:val="2"/>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60" w:type="dxa"/>
            <w:vAlign w:val="bottom"/>
            <w:gridSpan w:val="2"/>
          </w:tcPr>
          <w:p>
            <w:pPr>
              <w:jc w:val="center"/>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Registration</w:t>
            </w:r>
          </w:p>
        </w:tc>
        <w:tc>
          <w:tcPr>
            <w:tcW w:w="1380" w:type="dxa"/>
            <w:vAlign w:val="bottom"/>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4000" w:type="dxa"/>
            <w:vAlign w:val="bottom"/>
            <w:vMerge w:val="continue"/>
          </w:tcPr>
          <w:p>
            <w:pPr>
              <w:spacing w:after="0"/>
              <w:rPr>
                <w:sz w:val="15"/>
                <w:szCs w:val="15"/>
                <w:color w:val="auto"/>
              </w:rPr>
            </w:pPr>
          </w:p>
        </w:tc>
        <w:tc>
          <w:tcPr>
            <w:tcW w:w="9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3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Hornbake (1)</w:t>
            </w: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Alphaworks Dots Five, LLC(1)(2)</w:t>
            </w:r>
          </w:p>
        </w:tc>
        <w:tc>
          <w:tcPr>
            <w:tcW w:w="980" w:type="dxa"/>
            <w:vAlign w:val="bottom"/>
          </w:tcPr>
          <w:p>
            <w:pPr>
              <w:spacing w:after="0"/>
              <w:rPr>
                <w:sz w:val="18"/>
                <w:szCs w:val="18"/>
                <w:color w:val="auto"/>
              </w:rPr>
            </w:pPr>
          </w:p>
        </w:tc>
        <w:tc>
          <w:tcPr>
            <w:tcW w:w="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18"/>
                <w:szCs w:val="18"/>
                <w:color w:val="auto"/>
              </w:rPr>
            </w:pPr>
          </w:p>
        </w:tc>
        <w:tc>
          <w:tcPr>
            <w:tcW w:w="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2,224</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Alphaworks Dots Six, LLC(1)(3)</w:t>
            </w: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809</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Arkansaa Investment Limited(1)(4)</w:t>
            </w:r>
          </w:p>
        </w:tc>
        <w:tc>
          <w:tcPr>
            <w:tcW w:w="980" w:type="dxa"/>
            <w:vAlign w:val="bottom"/>
          </w:tcPr>
          <w:p>
            <w:pPr>
              <w:spacing w:after="0"/>
              <w:rPr>
                <w:sz w:val="18"/>
                <w:szCs w:val="18"/>
                <w:color w:val="auto"/>
              </w:rPr>
            </w:pPr>
          </w:p>
        </w:tc>
        <w:tc>
          <w:tcPr>
            <w:tcW w:w="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18"/>
                <w:szCs w:val="18"/>
                <w:color w:val="auto"/>
              </w:rPr>
            </w:pPr>
          </w:p>
        </w:tc>
        <w:tc>
          <w:tcPr>
            <w:tcW w:w="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69,479</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Asset Planning Master Trust / Series Paul</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Murphy Trust(1)(5)</w:t>
            </w:r>
          </w:p>
        </w:tc>
        <w:tc>
          <w:tcPr>
            <w:tcW w:w="9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14,158</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Betaworks Studio, LLC(1)(6)</w:t>
            </w:r>
          </w:p>
        </w:tc>
        <w:tc>
          <w:tcPr>
            <w:tcW w:w="980" w:type="dxa"/>
            <w:vAlign w:val="bottom"/>
          </w:tcPr>
          <w:p>
            <w:pPr>
              <w:spacing w:after="0"/>
              <w:rPr>
                <w:sz w:val="18"/>
                <w:szCs w:val="18"/>
                <w:color w:val="auto"/>
              </w:rPr>
            </w:pPr>
          </w:p>
        </w:tc>
        <w:tc>
          <w:tcPr>
            <w:tcW w:w="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18"/>
                <w:szCs w:val="18"/>
                <w:color w:val="auto"/>
              </w:rPr>
            </w:pPr>
          </w:p>
        </w:tc>
        <w:tc>
          <w:tcPr>
            <w:tcW w:w="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198,056</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Betaworks Ventures 1.0, LP(1)(7)</w:t>
            </w: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3,539</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Chris Deaner(1)</w:t>
            </w:r>
          </w:p>
        </w:tc>
        <w:tc>
          <w:tcPr>
            <w:tcW w:w="980" w:type="dxa"/>
            <w:vAlign w:val="bottom"/>
          </w:tcPr>
          <w:p>
            <w:pPr>
              <w:spacing w:after="0"/>
              <w:rPr>
                <w:sz w:val="18"/>
                <w:szCs w:val="18"/>
                <w:color w:val="auto"/>
              </w:rPr>
            </w:pPr>
          </w:p>
        </w:tc>
        <w:tc>
          <w:tcPr>
            <w:tcW w:w="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18"/>
                <w:szCs w:val="18"/>
                <w:color w:val="auto"/>
              </w:rPr>
            </w:pPr>
          </w:p>
        </w:tc>
        <w:tc>
          <w:tcPr>
            <w:tcW w:w="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4,458</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Crunch Fund II, L.P.(1)(8)</w:t>
            </w: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Gia Vi Hua(1)</w:t>
            </w:r>
          </w:p>
        </w:tc>
        <w:tc>
          <w:tcPr>
            <w:tcW w:w="980" w:type="dxa"/>
            <w:vAlign w:val="bottom"/>
          </w:tcPr>
          <w:p>
            <w:pPr>
              <w:spacing w:after="0"/>
              <w:rPr>
                <w:sz w:val="18"/>
                <w:szCs w:val="18"/>
                <w:color w:val="auto"/>
              </w:rPr>
            </w:pPr>
          </w:p>
        </w:tc>
        <w:tc>
          <w:tcPr>
            <w:tcW w:w="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18"/>
                <w:szCs w:val="18"/>
                <w:color w:val="auto"/>
              </w:rPr>
            </w:pPr>
          </w:p>
        </w:tc>
        <w:tc>
          <w:tcPr>
            <w:tcW w:w="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563</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Greycroft Partners III, L.P.(1)(9)</w:t>
            </w: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61,354</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JAWS Equity Owner 53, LLC(1)(10)</w:t>
            </w:r>
          </w:p>
        </w:tc>
        <w:tc>
          <w:tcPr>
            <w:tcW w:w="980" w:type="dxa"/>
            <w:vAlign w:val="bottom"/>
          </w:tcPr>
          <w:p>
            <w:pPr>
              <w:spacing w:after="0"/>
              <w:rPr>
                <w:sz w:val="18"/>
                <w:szCs w:val="18"/>
                <w:color w:val="auto"/>
              </w:rPr>
            </w:pPr>
          </w:p>
        </w:tc>
        <w:tc>
          <w:tcPr>
            <w:tcW w:w="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18"/>
                <w:szCs w:val="18"/>
                <w:color w:val="auto"/>
              </w:rPr>
            </w:pPr>
          </w:p>
        </w:tc>
        <w:tc>
          <w:tcPr>
            <w:tcW w:w="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7,067</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Tan(1)</w:t>
            </w: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221</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JoRon Management LLC(1)(11)</w:t>
            </w:r>
          </w:p>
        </w:tc>
        <w:tc>
          <w:tcPr>
            <w:tcW w:w="980" w:type="dxa"/>
            <w:vAlign w:val="bottom"/>
          </w:tcPr>
          <w:p>
            <w:pPr>
              <w:spacing w:after="0"/>
              <w:rPr>
                <w:sz w:val="18"/>
                <w:szCs w:val="18"/>
                <w:color w:val="auto"/>
              </w:rPr>
            </w:pPr>
          </w:p>
        </w:tc>
        <w:tc>
          <w:tcPr>
            <w:tcW w:w="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18"/>
                <w:szCs w:val="18"/>
                <w:color w:val="auto"/>
              </w:rPr>
            </w:pPr>
          </w:p>
        </w:tc>
        <w:tc>
          <w:tcPr>
            <w:tcW w:w="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211</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Kohta Aoki Wajima(1)</w:t>
            </w: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1,183</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Lee Erin Glenn(1)</w:t>
            </w:r>
          </w:p>
        </w:tc>
        <w:tc>
          <w:tcPr>
            <w:tcW w:w="980" w:type="dxa"/>
            <w:vAlign w:val="bottom"/>
          </w:tcPr>
          <w:p>
            <w:pPr>
              <w:spacing w:after="0"/>
              <w:rPr>
                <w:sz w:val="18"/>
                <w:szCs w:val="18"/>
                <w:color w:val="auto"/>
              </w:rPr>
            </w:pPr>
          </w:p>
        </w:tc>
        <w:tc>
          <w:tcPr>
            <w:tcW w:w="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18"/>
                <w:szCs w:val="18"/>
                <w:color w:val="auto"/>
              </w:rPr>
            </w:pPr>
          </w:p>
        </w:tc>
        <w:tc>
          <w:tcPr>
            <w:tcW w:w="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336</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MLC 50 LP Inc.(1)(12)</w:t>
            </w: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28,266</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Nir Efrat(1)</w:t>
            </w:r>
          </w:p>
        </w:tc>
        <w:tc>
          <w:tcPr>
            <w:tcW w:w="980" w:type="dxa"/>
            <w:vAlign w:val="bottom"/>
          </w:tcPr>
          <w:p>
            <w:pPr>
              <w:spacing w:after="0"/>
              <w:rPr>
                <w:sz w:val="18"/>
                <w:szCs w:val="18"/>
                <w:color w:val="auto"/>
              </w:rPr>
            </w:pPr>
          </w:p>
        </w:tc>
        <w:tc>
          <w:tcPr>
            <w:tcW w:w="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18"/>
                <w:szCs w:val="18"/>
                <w:color w:val="auto"/>
              </w:rPr>
            </w:pPr>
          </w:p>
        </w:tc>
        <w:tc>
          <w:tcPr>
            <w:tcW w:w="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21,740</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Northzone VII L.P.(1)(13)</w:t>
            </w: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66,916</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Patrick Moberg(1)</w:t>
            </w:r>
          </w:p>
        </w:tc>
        <w:tc>
          <w:tcPr>
            <w:tcW w:w="980" w:type="dxa"/>
            <w:vAlign w:val="bottom"/>
          </w:tcPr>
          <w:p>
            <w:pPr>
              <w:spacing w:after="0"/>
              <w:rPr>
                <w:sz w:val="18"/>
                <w:szCs w:val="18"/>
                <w:color w:val="auto"/>
              </w:rPr>
            </w:pPr>
          </w:p>
        </w:tc>
        <w:tc>
          <w:tcPr>
            <w:tcW w:w="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18"/>
                <w:szCs w:val="18"/>
                <w:color w:val="auto"/>
              </w:rPr>
            </w:pPr>
          </w:p>
        </w:tc>
        <w:tc>
          <w:tcPr>
            <w:tcW w:w="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77,536</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Handly(1)</w:t>
            </w: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516</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Paul Murphy(1)</w:t>
            </w:r>
          </w:p>
        </w:tc>
        <w:tc>
          <w:tcPr>
            <w:tcW w:w="980" w:type="dxa"/>
            <w:vAlign w:val="bottom"/>
          </w:tcPr>
          <w:p>
            <w:pPr>
              <w:spacing w:after="0"/>
              <w:rPr>
                <w:sz w:val="20"/>
                <w:szCs w:val="20"/>
                <w:color w:val="auto"/>
              </w:rPr>
            </w:pPr>
          </w:p>
        </w:tc>
        <w:tc>
          <w:tcPr>
            <w:tcW w:w="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20"/>
                <w:szCs w:val="20"/>
                <w:color w:val="auto"/>
              </w:rPr>
            </w:pPr>
          </w:p>
        </w:tc>
        <w:tc>
          <w:tcPr>
            <w:tcW w:w="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30,756</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6"/>
        </w:trPr>
        <w:tc>
          <w:tcPr>
            <w:tcW w:w="4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8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Ownership After the</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5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Ownership Prior to the Registration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8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Covered Shares</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2580" w:type="dxa"/>
            <w:vAlign w:val="bottom"/>
            <w:tcBorders>
              <w:bottom w:val="single" w:sz="8" w:color="auto"/>
            </w:tcBorders>
            <w:gridSpan w:val="4"/>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Covered by this</w:t>
            </w:r>
          </w:p>
        </w:tc>
        <w:tc>
          <w:tcPr>
            <w:tcW w:w="134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60" w:type="dxa"/>
            <w:vAlign w:val="bottom"/>
            <w:gridSpan w:val="2"/>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Registration</w:t>
            </w:r>
          </w:p>
        </w:tc>
        <w:tc>
          <w:tcPr>
            <w:tcW w:w="1340" w:type="dxa"/>
            <w:vAlign w:val="bottom"/>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4100" w:type="dxa"/>
            <w:vAlign w:val="bottom"/>
            <w:vMerge w:val="continue"/>
          </w:tcPr>
          <w:p>
            <w:pPr>
              <w:spacing w:after="0"/>
              <w:rPr>
                <w:sz w:val="15"/>
                <w:szCs w:val="15"/>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USA Holdco Corporation(1)(14)</w:t>
            </w: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0</w:t>
            </w:r>
          </w:p>
        </w:tc>
        <w:tc>
          <w:tcPr>
            <w:tcW w:w="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Richard Sarnoff(1)</w:t>
            </w: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18"/>
                <w:szCs w:val="18"/>
                <w:color w:val="auto"/>
              </w:rPr>
            </w:pPr>
          </w:p>
        </w:tc>
        <w:tc>
          <w:tcPr>
            <w:tcW w:w="8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3,329</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Sadin(1)</w:t>
            </w:r>
          </w:p>
        </w:tc>
        <w:tc>
          <w:tcPr>
            <w:tcW w:w="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995</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Upward Ventures Limited(1)(15)</w:t>
            </w:r>
          </w:p>
        </w:tc>
        <w:tc>
          <w:tcPr>
            <w:tcW w:w="98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20"/>
                <w:szCs w:val="20"/>
                <w:color w:val="auto"/>
              </w:rPr>
            </w:pPr>
          </w:p>
        </w:tc>
        <w:tc>
          <w:tcPr>
            <w:tcW w:w="8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5,933</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120" w:hanging="424"/>
        <w:spacing w:after="0" w:line="257"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such selling stockholder is permitted to transfer up to one-tenth of such selling stockholder’s shares on the effectiveness of the registration statement of which this prospectus is a part, and up to an additional one-tenth of such selling stockholder’s shares on each day thereafter.</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Alphaworks Dots Five, LLC is managed by Alphaworks, Inc.</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Alphaworks Dots Six, LLC is managed by Alphaworks, Inc.</w:t>
      </w:r>
    </w:p>
    <w:p>
      <w:pPr>
        <w:spacing w:after="0" w:line="9"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Arkansaa Investment Limited is managed by Tencent Holdings Limited. Ma Hua Teng and Charles St Leger Searle have voting or investment control over the shares held by Arkansaa Investment Limited as directors.</w:t>
      </w:r>
    </w:p>
    <w:p>
      <w:pPr>
        <w:ind w:left="540" w:right="160" w:hanging="424"/>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Planning Master Trust / Series Paul Murphy Trust is managed by The Bryn Mawr Trust Company of Delaware. Paul Murphy has voting or investment control over the shares held by Asset Planning Master Trust / Series Paul Murphy Trust.</w:t>
      </w:r>
    </w:p>
    <w:p>
      <w:pPr>
        <w:ind w:left="540" w:right="480" w:hanging="424"/>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Borthwick, the Chief Executive Officer of Betaworks Studio, LLC, has voting or investment control over the shares held by Betaworks Studio, LLC.</w:t>
      </w:r>
    </w:p>
    <w:p>
      <w:pPr>
        <w:ind w:left="540" w:right="460" w:hanging="424"/>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Betaworks Ventures 1.0 GP, LLC is the general partner of Betaworks Ventures 1.0, LP. John Borthwick, the managing member of Betaworks Ventures 1.0 GP, LLC, has voting or investment control over the shares held by Betaworks Ventures 1.0, LP.</w:t>
      </w:r>
    </w:p>
    <w:p>
      <w:pPr>
        <w:ind w:left="540" w:right="20" w:hanging="424"/>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Crunch Fund II, L.P. is managed by Venture Capital Fund. Patrick Gallagher has voting or investment control over the shares held by Crunch Fund II, L.P.</w:t>
      </w:r>
    </w:p>
    <w:p>
      <w:pPr>
        <w:ind w:left="540" w:right="420" w:hanging="424"/>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Greycroft Partners III, L.P. is managed by Greycroft Managers III, LLC. Dana Settle, Ian Sigalow, John Elton and Mark Terbeek, directors of Greycroft Mangers III, LL, have voting or investment control over the shares held by Greycroft Partners III, L.P.</w:t>
      </w: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Barry S. Sternlicht has voting or investment control over the shares held by JAWS Equity Owner 53, LLC.</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Jordan Levy has voting or investment control over the shares held by JoRon Mangement LLC.</w:t>
      </w:r>
    </w:p>
    <w:p>
      <w:pPr>
        <w:spacing w:after="0" w:line="9"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MLC 50 GP Limited is the general partner of MLC 50 LP Inc. MLC 50 GP Limited is wholly owned by JC Holdings Limited, and Novatrust Limited is the trustee of JC Holdings Limited Purpose Trust. Jeremy Collar, the economic settlor, has voting or investment control over the shares held by MLC 50 LP Inc.</w:t>
      </w:r>
    </w:p>
    <w:p>
      <w:pPr>
        <w:spacing w:after="0" w:line="1" w:lineRule="exact"/>
        <w:rPr>
          <w:rFonts w:ascii="Times New Roman" w:cs="Times New Roman" w:eastAsia="Times New Roman" w:hAnsi="Times New Roman"/>
          <w:sz w:val="18"/>
          <w:szCs w:val="18"/>
          <w:color w:val="auto"/>
        </w:rPr>
      </w:pPr>
    </w:p>
    <w:p>
      <w:pPr>
        <w:ind w:left="540" w:right="420" w:hanging="424"/>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Northzone VII L.P. is managed by NZVII (GP) Limited. Antoinette Kyriacou, Nicholas Watkins, Ian Lambert and Matthew Robins, directors (controllers) of NZVII (GP) Limited have voting or investment control over the shares held by Northzone VII L.P.</w:t>
      </w: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RBC USA Holdco Corporation is managed by RBC US Group Holdings LLC.</w:t>
      </w:r>
    </w:p>
    <w:p>
      <w:pPr>
        <w:spacing w:after="0" w:line="9" w:lineRule="exact"/>
        <w:rPr>
          <w:rFonts w:ascii="Times New Roman" w:cs="Times New Roman" w:eastAsia="Times New Roman" w:hAnsi="Times New Roman"/>
          <w:sz w:val="18"/>
          <w:szCs w:val="18"/>
          <w:color w:val="auto"/>
        </w:rPr>
      </w:pPr>
    </w:p>
    <w:p>
      <w:pPr>
        <w:ind w:left="540" w:right="40" w:hanging="424"/>
        <w:spacing w:after="0" w:line="26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Feng Bo and Chen Lin, the sole shareholders and directors of Upward Ventures Limited, have voting or investment control over the shares held by Upward Ventures Limited.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We are registering the Common Stock on behalf of the selling shareholders pursuant to the terms of the Merger Agreement. A copy of the Merger Agreement is filed as an exhibit to the registration statement of which this prospectus is a part.</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selling shareholders, including their donees, transferees, distributees, beneficiaries or other successors-in-interest, may from time to time offer some or all of the shares of Common Stock covered by this prospectus. To the extent required, this prospectus may be amended and supplemented from time to time to describe a specific plan of distribution.</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Any or all of the selling shareholders may offer the Common Stock from time to time, either in increments or in a single transaction. The selling shareholders may also decide not to sell all the shares they are allowed to sell under this prospectus. The selling shareholders will act independently of us in making decisions with respect to the timing, manner and size of each sale.</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selling shareholders and any of their donees, transferees, distributees, beneficiaries and other successors-in-interest may, from time to time, sell any or all of their shares of Common Stock on any stock exchange, market or trading facility on which the shares are traded or quoted or in private transactions. These sales may be at market prices prevailing at the time of sale, at prices related to such prevailing market prices, at fixed prices or negotiated prices. The selling shareholders may use any one or more of the following methods when selling shares of Common Stock:</w:t>
      </w:r>
    </w:p>
    <w:p>
      <w:pPr>
        <w:spacing w:after="0" w:line="85" w:lineRule="exact"/>
        <w:rPr>
          <w:sz w:val="20"/>
          <w:szCs w:val="20"/>
          <w:color w:val="auto"/>
        </w:rPr>
      </w:pPr>
    </w:p>
    <w:p>
      <w:pPr>
        <w:ind w:left="1080" w:right="1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dealers and agents who may receive compensation in the form of underwriting discounts, concessions or commissions from the selling securityholders and/or the purchasers of the shares of Common Stock for whom they may act as agent;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a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 on which the shares are traded or quoted;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with broker-dealers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put or call options, including the writing of exchange-traded call options, or other hedging transactions related to shares of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Selling shareholders may enter into transactions from time to time in which a selling shareholder may enter into option or other types of transactions that require the selling shareholder to deliver Common Stock to a broker-dealer or any other person, who will then resell or transfer the Common Stock under this prospectus.</w:t>
      </w:r>
    </w:p>
    <w:p>
      <w:pPr>
        <w:spacing w:after="0" w:line="176"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selling shareholders may also sell shares under any available exemption to the registration requirements of the Securities Act, including but not limited to Rule 144 under the Securities Act, rather than under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selling shareholders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shares of Common Stock covered by this prospectus, including by issuing securities that are not covered by this prospectus but are exchangeable for or represent beneficial interests in shares of Common Stock. The third parties also may use shares received under those sale, forward sale or derivative arrangements or shares borrowed from the selling shareholders or others to settle such third-party sales or to close out any related open borrowings of shares of Common Stock. The third parties may deliver this prospectus in connection with any such transactions. Any third party in such sale transactions will be an underwriter and will be identified in a supplement to this prospectus or post-effective amendment to the registration statement of which this prospectus is a part as may be required.</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Resales by selling shareholders may be made directly to investors or through securities firms acting as brokers or dealers. Broker-dealers engaged by the selling shareholders may arrange for other broker-dealers to participate in sales. When resales are to be made through a securities firm, the securities firm may be engaged to act as the selling shareholder’s agent in the resale of Common Stock by the selling shareholder, or the securities firm may purchase Common Stock from the selling shareholder as principal and thereafter resell those shares from time to time. Securities firms may, to the extent permissible, receive compensation in the form of commissions, concessions or discounts from the selling shareholders or the purchaser, either as agent of such purchaser or in a sale to such purchaser as principals in amounts to be negotiated. Such compensation may be in excess of customary commissions, concessions or discounts and will be in amounts to be negotiated in connection with such resales.</w:t>
      </w:r>
    </w:p>
    <w:p>
      <w:pPr>
        <w:spacing w:after="0" w:line="18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To the extent necessary, the specific terms of the offering of the shares of Common Stock, including the specific shares to be sold, the names of the selling shareholders, the respective purchase prices and public offering prices, the names of any broker-dealer or agent, if any, and any applicable compensation in the form of discounts, concessions or commissions paid to agents or paid or allowed to dealers will be set forth in a supplement to this prospectus or a post-effective amendment to this registration statement of which this prospectus forms a part. The selling shareholders may, or may authorize dealers and agents to, solicit offers from specified institutions to purchase shares of Common Stock from the selling shareholders. These sales may be made under “delayed delivery contracts” or other purchase contracts that provide for payment and delivery on a specified future date. If necessary, any such contracts will be described and be subject to the conditions set forth in a supplement to this prospectus or a post-effective amendment to this registration statement of which this prospectus forms a part.</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Any broker-dealers or agents that are involved in selling the shares may be deemed to be “underwriters” within the meaning of the Securities Act in connection with such sales. In such event, any compensation received by such broker-dealers or agents and any profit on the resale of the shares purchased by them may be deemed to be underwriting commissions or discounts under the Securities Act. Discounts, concessions, commissions and other compensation, if any, that can be attributed to the sale of shares of Common Stock sold hereunder will be paid by the selling shareholder and/or the purchasers.</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a selling shareholder uses this prospectus for any sale of Common Stock, it will be subject to the prospectus delivery requirements of the Securities Act. The selling shareholders will be responsible for complying with the applicable provisions of the Securities Act and Exchange Act, and the rules and regulations thereunder promulgated, including, without limitation, Regulation M, as applicable to such selling shareholders in connection with resales of their respective shares under this registration statement.</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shares, but we will not receive any proceeds from the sale of the Common Stock sold pursuant to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Unless otherwise specified in a prospectus supplement, the validity of our Common Stock shares have been passed upon for us by Willkie Farr &amp; Gallagher LLP.</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Take-Two Interactive Software, Inc. appearing in Take-Two Interactive Software, Inc.’s Annual Report (Form 10-K) for the year ended March 31, 2020 and the effectiveness of Take-Two Interactive Software, Inc.’s internal control over financial reporting as of March 31, 2020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Securities Exchange Act of 1934, as amended, and, in accordance with these requirements, we are required to file periodic reports and other information with the SEC. The SEC maintains an Internet website at http://www.sec.gov that contains our filed reports, proxy and information statements, and other information we file electronically with the SEC.</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Additionally, we make our SEC filings available, free of charge, on our website at www.take2games.com as soon as reasonably practicable after we electronically file such materials with, or furnish them to, the SEC. The information on our website, other than the filings incorporated by reference in this prospectus, is not, and should not be, considered part of this prospectus, is not incorporated by reference into this document, and should not be relied upon in connection with making any investment decision with respect to our Common Stock.</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are “incorporating by reference” into this prospectus certain information we file with the SEC, which means that we are disclosing important information to you by referring you to those documents. The information we incorporate by reference in this prospectus is legally deemed to be a part of this prospectus, and later information that we file with the SEC will automatically update and supersede the information included in this prospectus and the documents listed below. We incorporate the documents listed below:</w:t>
      </w:r>
    </w:p>
    <w:p>
      <w:pPr>
        <w:spacing w:after="0" w:line="85"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3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2020, filed with the SEC on May 22, 2020;</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Definitive Proxy Statement on </w:t>
      </w:r>
      <w:hyperlink r:id="rId37">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July 24, 2020, as supplemented by the </w:t>
      </w:r>
      <w:hyperlink r:id="rId38">
        <w:r>
          <w:rPr>
            <w:rFonts w:ascii="Times New Roman" w:cs="Times New Roman" w:eastAsia="Times New Roman" w:hAnsi="Times New Roman"/>
            <w:sz w:val="18"/>
            <w:szCs w:val="18"/>
            <w:u w:val="single" w:color="auto"/>
            <w:color w:val="0000EE"/>
          </w:rPr>
          <w:t>Definitive Additional Materials</w:t>
        </w:r>
      </w:hyperlink>
      <w:r>
        <w:rPr>
          <w:rFonts w:ascii="Times New Roman" w:cs="Times New Roman" w:eastAsia="Times New Roman" w:hAnsi="Times New Roman"/>
          <w:sz w:val="18"/>
          <w:szCs w:val="18"/>
          <w:color w:val="auto"/>
        </w:rPr>
        <w:t xml:space="preserve"> filed with the SEC on August 27, 2020;</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3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June 30, 2020, filed with the SEC on August 4, 2020;</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auto"/>
          </w:rPr>
          <w:t xml:space="preserve">Current Reports on Form 8-K (except for information furnished under Item 7.01 or exhibits related thereto), filed with the SEC on </w:t>
        </w:r>
        <w:r>
          <w:rPr>
            <w:rFonts w:ascii="Times New Roman" w:cs="Times New Roman" w:eastAsia="Times New Roman" w:hAnsi="Times New Roman"/>
            <w:sz w:val="18"/>
            <w:szCs w:val="18"/>
            <w:u w:val="single" w:color="auto"/>
            <w:color w:val="0000EE"/>
          </w:rPr>
          <w:t>July 16,</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August 18, 2020</w:t>
        </w:r>
      </w:hyperlink>
      <w:hyperlink r:id="rId40">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jc w:val="both"/>
        <w:ind w:left="1080" w:right="4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our common stock contained in our Registration Statement on </w:t>
      </w:r>
      <w:hyperlink r:id="rId42">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with the SEC on March 26, 2008, as updated by </w:t>
      </w:r>
      <w:hyperlink r:id="rId4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March 31, 2020, including any subsequent amendment or any report filed for the purpose of updating such description;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filed by us pursuant to Sections 13(a), 13(c), 14 or 15(d) of the Exchange Act subsequent to the date of the initial registration statement of which this prospectus forms a part until all of the securities being offered under this prospectus or any prospectus supplement are sold (other than reports, documents or information that is furnished and not filed with the SEC).</w:t>
      </w:r>
    </w:p>
    <w:p>
      <w:pPr>
        <w:spacing w:after="0" w:line="176" w:lineRule="exact"/>
        <w:rPr>
          <w:rFonts w:ascii="Times New Roman" w:cs="Times New Roman" w:eastAsia="Times New Roman" w:hAnsi="Times New Roman"/>
          <w:sz w:val="18"/>
          <w:szCs w:val="18"/>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herein, other than exhibits to such documents that are not specifically incorporated by reference therein. You should direct any requests for documents to us at the following address or telephone number:</w:t>
      </w:r>
    </w:p>
    <w:p>
      <w:pPr>
        <w:spacing w:after="0" w:line="39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Take-Two Interactive,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 West 44th Street</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536-2842</w:t>
      </w:r>
    </w:p>
    <w:p>
      <w:pPr>
        <w:spacing w:after="0" w:line="9" w:lineRule="exact"/>
        <w:rPr>
          <w:rFonts w:ascii="Times New Roman" w:cs="Times New Roman" w:eastAsia="Times New Roman" w:hAnsi="Times New Roman"/>
          <w:sz w:val="18"/>
          <w:szCs w:val="18"/>
          <w:color w:val="auto"/>
        </w:rPr>
      </w:pPr>
    </w:p>
    <w:p>
      <w:pPr>
        <w:ind w:left="4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13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estimated expenses in connection with the issuance and distribution of the securities being registered, other than underwriting discounts, commissions and transfer taxes (which would be borne by the selling shareholders). Other than the SEC registration fee, all of the amounts listed are estimates.</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13,179.62</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28"/>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93,179.62</w:t>
            </w:r>
          </w:p>
        </w:tc>
        <w:tc>
          <w:tcPr>
            <w:tcW w:w="60" w:type="dxa"/>
            <w:vAlign w:val="bottom"/>
          </w:tcPr>
          <w:p>
            <w:pPr>
              <w:spacing w:after="0"/>
              <w:rPr>
                <w:sz w:val="19"/>
                <w:szCs w:val="19"/>
                <w:color w:val="auto"/>
              </w:rPr>
            </w:pPr>
          </w:p>
        </w:tc>
      </w:tr>
    </w:tbl>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Section 145 of the Delaware General Corporation Law (“DGCL”) provides, among other things, that a corporation may indemnify any director or officer of the corporation who was or is a party or is threatened to be made a party to any threatened, pending or completed action, suit or proceeding (other than an action by or in the right of the corporation) by reason of the fact that the person is or was a director or officer of the corporation, or is or was serving at the corporation’s request as a director or officer of another entity, against expenses (including attorneys’ fees), judgments, fines and amounts paid in settlement actually and reasonably incurred by the person in connection with such action, suit or proceeding if the person acted in good faith and in a manner he or she reasonably believed to be in or not opposed to the best interests of the corporation and, with respect to any criminal action or proceeding, had no reasonable cause to believe his or her conduct was unlawful. The power to indemnify also applies to any threatened, pending or completed action or suit brought by or in the right of the corporation, but only to the extent of expenses (including attorneys’ fees) actually and reasonably incurred by the person in connection with the defense or settlement of such action or suit if the person acted in good faith and in a manner he or she reasonably believed to be in or not opposed to the best interests of the corporation and except that no indemnification will be made in respect of any claim, issue or matter as to which such person has been adjudged to be liable to the corporation unless and only to the extent that the court in which such action or suit was brought determines upon application that, despite the adjudication of liability but in view of all of the circumstances of the case, such person is fairly and reasonably entitled to indemnity for such expenses which the court deems proper. To the extent that a present or former director or officer has been successful on the merits or otherwise in defense of any action, suit or proceeding referred to above, or in defense of any claim, issue or matter therein, such person will be indemnified against expenses (including attorneys’ fees) actually and reasonably incurred by such person in connection therewith.</w:t>
      </w:r>
    </w:p>
    <w:p>
      <w:pPr>
        <w:spacing w:after="0" w:line="195"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Section 102(b)(7) of the DGCL provides that a corporation may eliminate or limit the personal liability of a director to the corporation or its stockholders for monetary damages for breach of fiduciary duty as a director, provided that such provision will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No such provision will eliminate or limit the liability of a director for any act or omission occurring prior to the date when such provision becomes effective.</w:t>
      </w:r>
    </w:p>
    <w:p>
      <w:pPr>
        <w:spacing w:after="0" w:line="187"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it shall indemnify and hold harmless its officers and directors to the fullest extent authorized by the DGCL, as the DGCL exists or is amended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permit the Company to provide broader indemnification rights than the DGCL provided prior to such amendment, against all expense, liability and loss (including attorneys’ fees), reasonably incurred or suffered by such person in connection therewith; provided, however, that the Company shall indemnify any such person seeking indemnification in connection with a proceeding initiated by such person only if such proceeding was authorized by the Board.</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addition, the Company’s Amended and Restated By-laws require the Company to indemnify its officers and directors to the extent permitted by the DGCL.</w:t>
      </w:r>
    </w:p>
    <w:p>
      <w:pPr>
        <w:spacing w:after="0" w:line="16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0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1"/>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740" w:type="dxa"/>
            <w:vAlign w:val="bottom"/>
          </w:tcPr>
          <w:p>
            <w:pPr>
              <w:spacing w:after="0"/>
              <w:rPr>
                <w:sz w:val="24"/>
                <w:szCs w:val="24"/>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77"/>
        </w:trPr>
        <w:tc>
          <w:tcPr>
            <w:tcW w:w="7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2.1^</w:t>
            </w:r>
          </w:p>
        </w:tc>
        <w:tc>
          <w:tcPr>
            <w:tcW w:w="740" w:type="dxa"/>
            <w:vAlign w:val="bottom"/>
          </w:tcPr>
          <w:p>
            <w:pPr>
              <w:spacing w:after="0"/>
              <w:rPr>
                <w:sz w:val="24"/>
                <w:szCs w:val="24"/>
                <w:color w:val="auto"/>
              </w:rPr>
            </w:pPr>
          </w:p>
        </w:tc>
        <w:tc>
          <w:tcPr>
            <w:tcW w:w="93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Agreement and Plan of Merger, dated as of August 17, 2020, by and among Take-Two Interactive Software, Inc., Dash MS, LLC,</w:t>
              </w:r>
            </w:hyperlink>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340" w:type="dxa"/>
            <w:vAlign w:val="bottom"/>
            <w:gridSpan w:val="2"/>
          </w:tcPr>
          <w:p>
            <w:pPr>
              <w:spacing w:after="0"/>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Dash MS II, LLC, Playdots, Inc. and Shareholder Representative Services LLC, as Stockholder Representative.</w:t>
              </w:r>
            </w:hyperlink>
          </w:p>
        </w:tc>
      </w:tr>
      <w:tr>
        <w:trPr>
          <w:trHeight w:val="324"/>
        </w:trPr>
        <w:tc>
          <w:tcPr>
            <w:tcW w:w="7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tcPr>
          <w:p>
            <w:pPr>
              <w:spacing w:after="0"/>
              <w:rPr>
                <w:sz w:val="24"/>
                <w:szCs w:val="24"/>
                <w:color w:val="auto"/>
              </w:rPr>
            </w:pPr>
          </w:p>
        </w:tc>
        <w:tc>
          <w:tcPr>
            <w:tcW w:w="9340" w:type="dxa"/>
            <w:vAlign w:val="bottom"/>
            <w:gridSpan w:val="2"/>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Opinion of Willkie Farr &amp; Gallagher LLP (counsel).</w:t>
              </w:r>
            </w:hyperlink>
          </w:p>
        </w:tc>
      </w:tr>
      <w:tr>
        <w:trPr>
          <w:trHeight w:val="324"/>
        </w:trPr>
        <w:tc>
          <w:tcPr>
            <w:tcW w:w="7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3"/>
              </w:rPr>
              <w:t>23.1*</w:t>
            </w:r>
          </w:p>
        </w:tc>
        <w:tc>
          <w:tcPr>
            <w:tcW w:w="740" w:type="dxa"/>
            <w:vAlign w:val="bottom"/>
          </w:tcPr>
          <w:p>
            <w:pPr>
              <w:spacing w:after="0"/>
              <w:rPr>
                <w:sz w:val="24"/>
                <w:szCs w:val="24"/>
                <w:color w:val="auto"/>
              </w:rPr>
            </w:pPr>
          </w:p>
        </w:tc>
        <w:tc>
          <w:tcPr>
            <w:tcW w:w="9340" w:type="dxa"/>
            <w:vAlign w:val="bottom"/>
            <w:gridSpan w:val="2"/>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Consent of Willkie Farr &amp; Gallagher LLP (counsel) (included in Exhibit 5.1).</w:t>
              </w:r>
            </w:hyperlink>
          </w:p>
        </w:tc>
      </w:tr>
      <w:tr>
        <w:trPr>
          <w:trHeight w:val="324"/>
        </w:trPr>
        <w:tc>
          <w:tcPr>
            <w:tcW w:w="7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3"/>
              </w:rPr>
              <w:t>23.2*</w:t>
            </w:r>
          </w:p>
        </w:tc>
        <w:tc>
          <w:tcPr>
            <w:tcW w:w="740" w:type="dxa"/>
            <w:vAlign w:val="bottom"/>
          </w:tcPr>
          <w:p>
            <w:pPr>
              <w:spacing w:after="0"/>
              <w:rPr>
                <w:sz w:val="24"/>
                <w:szCs w:val="24"/>
                <w:color w:val="auto"/>
              </w:rPr>
            </w:pPr>
          </w:p>
        </w:tc>
        <w:tc>
          <w:tcPr>
            <w:tcW w:w="9340" w:type="dxa"/>
            <w:vAlign w:val="bottom"/>
            <w:gridSpan w:val="2"/>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Consent of Ernst &amp; Young LLP (independent registered public accounting firm).</w:t>
              </w:r>
            </w:hyperlink>
          </w:p>
        </w:tc>
      </w:tr>
      <w:tr>
        <w:trPr>
          <w:trHeight w:val="324"/>
        </w:trPr>
        <w:tc>
          <w:tcPr>
            <w:tcW w:w="7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3"/>
              </w:rPr>
              <w:t>24.1*</w:t>
            </w:r>
          </w:p>
        </w:tc>
        <w:tc>
          <w:tcPr>
            <w:tcW w:w="740" w:type="dxa"/>
            <w:vAlign w:val="bottom"/>
          </w:tcPr>
          <w:p>
            <w:pPr>
              <w:spacing w:after="0"/>
              <w:rPr>
                <w:sz w:val="24"/>
                <w:szCs w:val="24"/>
                <w:color w:val="auto"/>
              </w:rPr>
            </w:pPr>
          </w:p>
        </w:tc>
        <w:tc>
          <w:tcPr>
            <w:tcW w:w="9340" w:type="dxa"/>
            <w:vAlign w:val="bottom"/>
            <w:gridSpan w:val="2"/>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Powers of Attorney (included on signature page).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Incorporated by reference to Exhibit 2.1 to the Company’s Current Report on </w:t>
      </w:r>
      <w:hyperlink r:id="rId41">
        <w:r>
          <w:rPr>
            <w:rFonts w:ascii="Times New Roman" w:cs="Times New Roman" w:eastAsia="Times New Roman" w:hAnsi="Times New Roman"/>
            <w:sz w:val="18"/>
            <w:szCs w:val="18"/>
            <w:u w:val="single" w:color="auto"/>
            <w:color w:val="0000EE"/>
          </w:rPr>
          <w:t>Form 8-K filed on August 18, 2020</w:t>
        </w:r>
      </w:hyperlink>
      <w:r>
        <w:rPr>
          <w:rFonts w:ascii="Times New Roman" w:cs="Times New Roman" w:eastAsia="Times New Roman" w:hAnsi="Times New Roman"/>
          <w:sz w:val="18"/>
          <w:szCs w:val="18"/>
          <w:color w:val="auto"/>
        </w:rPr>
        <w: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360" w:hanging="244"/>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1100" w:right="40" w:firstLine="7"/>
        <w:spacing w:after="0" w:line="255" w:lineRule="auto"/>
        <w:tabs>
          <w:tab w:leader="none" w:pos="136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0" w:lineRule="exact"/>
        <w:rPr>
          <w:rFonts w:ascii="Times New Roman" w:cs="Times New Roman" w:eastAsia="Times New Roman" w:hAnsi="Times New Roman"/>
          <w:sz w:val="18"/>
          <w:szCs w:val="18"/>
          <w:color w:val="auto"/>
        </w:rPr>
      </w:pPr>
    </w:p>
    <w:p>
      <w:pPr>
        <w:ind w:left="1100" w:right="200" w:firstLine="7"/>
        <w:spacing w:after="0" w:line="282" w:lineRule="auto"/>
        <w:tabs>
          <w:tab w:leader="none" w:pos="141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40"/>
          </w:cols>
          <w:pgMar w:left="320" w:top="455" w:right="5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both"/>
        <w:ind w:left="1100" w:right="10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(i), (ii) and (iii)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74" w:lineRule="exact"/>
        <w:rPr>
          <w:sz w:val="20"/>
          <w:szCs w:val="20"/>
          <w:color w:val="auto"/>
        </w:rPr>
      </w:pPr>
    </w:p>
    <w:p>
      <w:pPr>
        <w:ind w:left="560" w:right="20" w:hanging="4"/>
        <w:spacing w:after="0" w:line="266" w:lineRule="auto"/>
        <w:tabs>
          <w:tab w:leader="none" w:pos="81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560" w:right="640" w:hanging="4"/>
        <w:spacing w:after="0" w:line="282" w:lineRule="auto"/>
        <w:tabs>
          <w:tab w:leader="none" w:pos="81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1100" w:right="20" w:firstLine="7"/>
        <w:spacing w:after="0" w:line="282" w:lineRule="auto"/>
        <w:tabs>
          <w:tab w:leader="none" w:pos="131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1100" w:right="40" w:firstLine="7"/>
        <w:spacing w:after="0" w:line="253" w:lineRule="auto"/>
        <w:tabs>
          <w:tab w:leader="none" w:pos="136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9" w:lineRule="exact"/>
        <w:rPr>
          <w:rFonts w:ascii="Times New Roman" w:cs="Times New Roman" w:eastAsia="Times New Roman" w:hAnsi="Times New Roman"/>
          <w:sz w:val="18"/>
          <w:szCs w:val="18"/>
          <w:color w:val="auto"/>
        </w:rPr>
      </w:pPr>
    </w:p>
    <w:p>
      <w:pPr>
        <w:ind w:left="120" w:hanging="4"/>
        <w:spacing w:after="0" w:line="258" w:lineRule="auto"/>
        <w:tabs>
          <w:tab w:leader="none" w:pos="3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further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w:t>
      </w:r>
    </w:p>
    <w:p>
      <w:pPr>
        <w:spacing w:after="0" w:line="27" w:lineRule="exact"/>
        <w:rPr>
          <w:rFonts w:ascii="Times New Roman" w:cs="Times New Roman" w:eastAsia="Times New Roman" w:hAnsi="Times New Roman"/>
          <w:sz w:val="18"/>
          <w:szCs w:val="18"/>
          <w:color w:val="auto"/>
        </w:rPr>
      </w:pPr>
    </w:p>
    <w:p>
      <w:pPr>
        <w:ind w:left="120"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September 4, 2020.</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5717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Strauss Zelnick</w:t>
      </w:r>
    </w:p>
    <w:p>
      <w:pPr>
        <w:spacing w:after="0" w:line="27" w:lineRule="exact"/>
        <w:rPr>
          <w:sz w:val="20"/>
          <w:szCs w:val="20"/>
          <w:color w:val="auto"/>
        </w:rPr>
      </w:pPr>
    </w:p>
    <w:p>
      <w:pPr>
        <w:ind w:left="708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Strauss Zelnick and Daniel P. Emerson his or her true and lawful attorney-in-fact and agent, with full power of substitution and re-substitution, for him or her in his or her name, place and stead, in any and all capacities, to sign any and all amendments to this Registration Statement, and to file the same, with all exhibits thereto, and other documents in connection therewith, with the Securities and Exchange Commission, and hereby grants to such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substitute or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361950</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and on the date set forth above.</w:t>
      </w:r>
    </w:p>
    <w:p>
      <w:pPr>
        <w:sectPr>
          <w:pgSz w:w="11900" w:h="16838" w:orient="portrait"/>
          <w:cols w:equalWidth="0" w:num="1">
            <w:col w:w="11120"/>
          </w:cols>
          <w:pgMar w:left="320" w:top="455" w:right="459" w:bottom="1440" w:gutter="0" w:footer="0" w:header="0"/>
        </w:sectPr>
      </w:pPr>
    </w:p>
    <w:p>
      <w:pPr>
        <w:spacing w:after="0" w:line="1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5744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Strauss Zelnick</w:t>
      </w:r>
    </w:p>
    <w:p>
      <w:pPr>
        <w:spacing w:after="0" w:line="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 Michael Dornemann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5744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Michael Dornemann</w:t>
      </w:r>
    </w:p>
    <w:p>
      <w:pPr>
        <w:spacing w:after="0" w:line="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2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 J Moses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5744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7" w:lineRule="exact"/>
        <w:rPr>
          <w:sz w:val="20"/>
          <w:szCs w:val="20"/>
          <w:color w:val="auto"/>
        </w:rPr>
      </w:pPr>
    </w:p>
    <w:p>
      <w:pPr>
        <w:jc w:val="both"/>
        <w:ind w:left="2640" w:right="2960" w:hanging="2"/>
        <w:spacing w:after="0" w:line="276" w:lineRule="auto"/>
        <w:tabs>
          <w:tab w:leader="none" w:pos="27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Moses Director</w:t>
      </w: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 LaVerne 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5744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LaVerne Srinivasan</w:t>
      </w:r>
    </w:p>
    <w:p>
      <w:pPr>
        <w:spacing w:after="0" w:line="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 Paul Viera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5744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Paul Viera</w:t>
      </w:r>
    </w:p>
    <w:p>
      <w:pPr>
        <w:spacing w:after="0" w:line="2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17145</wp:posOffset>
            </wp:positionV>
            <wp:extent cx="32829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Lainie Goldstein</w:t>
      </w:r>
    </w:p>
    <w:p>
      <w:pPr>
        <w:spacing w:after="0" w:line="23"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Roland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17145</wp:posOffset>
            </wp:positionV>
            <wp:extent cx="32829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Roland Hernandez</w:t>
      </w:r>
    </w:p>
    <w:p>
      <w:pPr>
        <w:spacing w:after="0" w:line="2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 Michael Sheresky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17145</wp:posOffset>
            </wp:positionV>
            <wp:extent cx="32829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Michael Sheresky</w:t>
      </w:r>
    </w:p>
    <w:p>
      <w:pPr>
        <w:spacing w:after="0" w:line="2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 Susan Tolson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17145</wp:posOffset>
            </wp:positionV>
            <wp:extent cx="32829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Susan Tolson</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2">
            <w:col w:w="6200" w:space="720"/>
            <w:col w:w="4200"/>
          </w:cols>
          <w:pgMar w:left="320" w:top="455" w:right="459" w:bottom="1440" w:gutter="0" w:footer="0" w:header="0"/>
          <w:type w:val="continuous"/>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328295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3282950" cy="26543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NY 10019-6099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 212 728 8000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212 728 8111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West 44th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34" w:lineRule="exact"/>
        <w:rPr>
          <w:sz w:val="20"/>
          <w:szCs w:val="20"/>
          <w:color w:val="auto"/>
        </w:rPr>
      </w:pPr>
    </w:p>
    <w:p>
      <w:pPr>
        <w:jc w:val="right"/>
        <w:ind w:right="8000"/>
        <w:spacing w:after="0"/>
        <w:tabs>
          <w:tab w:leader="none" w:pos="105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Take-Two Interactive Software, Inc.</w:t>
      </w:r>
    </w:p>
    <w:p>
      <w:pPr>
        <w:spacing w:after="0" w:line="27" w:lineRule="exact"/>
        <w:rPr>
          <w:sz w:val="20"/>
          <w:szCs w:val="20"/>
          <w:color w:val="auto"/>
        </w:rPr>
      </w:pPr>
    </w:p>
    <w:p>
      <w:pPr>
        <w:jc w:val="right"/>
        <w:ind w:right="7980"/>
        <w:spacing w:after="0"/>
        <w:rPr>
          <w:sz w:val="20"/>
          <w:szCs w:val="20"/>
          <w:color w:val="auto"/>
        </w:rPr>
      </w:pPr>
      <w:r>
        <w:rPr>
          <w:rFonts w:ascii="Times New Roman" w:cs="Times New Roman" w:eastAsia="Times New Roman" w:hAnsi="Times New Roman"/>
          <w:sz w:val="18"/>
          <w:szCs w:val="18"/>
          <w:color w:val="auto"/>
        </w:rPr>
        <w:t>Registration Statement on Form S-3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360" w:firstLine="440"/>
        <w:spacing w:after="0" w:line="256" w:lineRule="auto"/>
        <w:rPr>
          <w:sz w:val="20"/>
          <w:szCs w:val="20"/>
          <w:color w:val="auto"/>
        </w:rPr>
      </w:pPr>
      <w:r>
        <w:rPr>
          <w:rFonts w:ascii="Times New Roman" w:cs="Times New Roman" w:eastAsia="Times New Roman" w:hAnsi="Times New Roman"/>
          <w:sz w:val="18"/>
          <w:szCs w:val="18"/>
          <w:color w:val="auto"/>
        </w:rPr>
        <w:t>We have acted as counsel to Take-Two Interactive Software, Inc., a Delaware corporation (the “Company”), with respect to the Company’s Registration Statement on Form S-3 (the “Registration Statement”) to be filed by the Company with the Securities and Exchange Commission on or about the date hereof. The Registration Statement relates to the sale by the selling shareholders named in the Registration Statement (the “Selling Shareholders”) of up to 603,817 shares of Common Stock, par value $0.01 per share (the “Shares”), which were issued pursuant to the terms of the Agreement and Plan of Merger, dated as of August 17, 2020, by and among the Company, Dash MS, LLC, Dash MS II, LLC, Playdots, Inc. and Shareholder Representative Services LLC, as amended from time to time.</w:t>
      </w:r>
    </w:p>
    <w:p>
      <w:pPr>
        <w:spacing w:after="0" w:line="187"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We have examined, among other things, originals and/or copies (certified or otherwise identified to our satisfaction) of such documents, papers, statutes, and authorities as we have deemed necessary to form a basis for the opinion hereinafter expressed. In our examination, we have assumed the genuineness of all signatures and the conformity to original documents of all copies submitted to us. As to various questions of fact material to our opinion, we have relied on statements and certificates of officers and representatives of the Company.</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limitations, qualifications, exceptions and assumptions expressed herein, we are of the opinion that the Shares are duly authorized, validly issued, fully paid and non-assessable.</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This opinion is limited to the General Corporation Law of the State of Delaware, and we express no opinion with respect to the laws of any other jurisdiction or any other laws of the State of Delaware.</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firm under the caption “Legal Matters” in the prospectus contained in the Registration Statement. In giving such consent, we do not thereby admit that we are in the category of persons whose consent is required under Section 7 of the Securities Act of 1933, as amended.</w:t>
      </w:r>
    </w:p>
    <w:p>
      <w:pPr>
        <w:spacing w:after="0" w:line="108" w:lineRule="exact"/>
        <w:rPr>
          <w:sz w:val="20"/>
          <w:szCs w:val="20"/>
          <w:color w:val="auto"/>
        </w:rPr>
      </w:pPr>
    </w:p>
    <w:p>
      <w:pPr>
        <w:jc w:val="center"/>
        <w:ind w:right="20"/>
        <w:spacing w:after="0"/>
        <w:tabs>
          <w:tab w:leader="none" w:pos="120" w:val="left"/>
          <w:tab w:leader="none" w:pos="140" w:val="left"/>
          <w:tab w:leader="none" w:pos="180" w:val="left"/>
          <w:tab w:leader="none" w:pos="140" w:val="left"/>
          <w:tab w:leader="none" w:pos="120" w:val="left"/>
          <w:tab w:leader="none" w:pos="140" w:val="left"/>
          <w:tab w:leader="none" w:pos="160" w:val="left"/>
          <w:tab w:leader="none" w:pos="120" w:val="left"/>
          <w:tab w:leader="none" w:pos="140" w:val="left"/>
          <w:tab w:leader="none" w:pos="120" w:val="left"/>
          <w:tab w:leader="none" w:pos="140" w:val="left"/>
        </w:tabs>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18"/>
          <w:szCs w:val="18"/>
          <w:color w:val="auto"/>
        </w:rPr>
        <w:tab/>
        <w:t>W</w:t>
      </w:r>
      <w:r>
        <w:rPr>
          <w:rFonts w:ascii="Times New Roman" w:cs="Times New Roman" w:eastAsia="Times New Roman" w:hAnsi="Times New Roman"/>
          <w:sz w:val="14"/>
          <w:szCs w:val="14"/>
          <w:color w:val="auto"/>
        </w:rPr>
        <w:t>ASHINGTON</w:t>
      </w:r>
      <w:r>
        <w:rPr>
          <w:rFonts w:ascii="Times New Roman" w:cs="Times New Roman" w:eastAsia="Times New Roman" w:hAnsi="Times New Roman"/>
          <w:sz w:val="18"/>
          <w:szCs w:val="18"/>
          <w:color w:val="auto"/>
        </w:rPr>
        <w:tab/>
        <w:t>H</w:t>
      </w:r>
      <w:r>
        <w:rPr>
          <w:rFonts w:ascii="Times New Roman" w:cs="Times New Roman" w:eastAsia="Times New Roman" w:hAnsi="Times New Roman"/>
          <w:sz w:val="14"/>
          <w:szCs w:val="14"/>
          <w:color w:val="auto"/>
        </w:rPr>
        <w:t>OUSTON</w:t>
      </w:r>
      <w:r>
        <w:rPr>
          <w:rFonts w:ascii="Times New Roman" w:cs="Times New Roman" w:eastAsia="Times New Roman" w:hAnsi="Times New Roman"/>
          <w:sz w:val="18"/>
          <w:szCs w:val="18"/>
          <w:color w:val="auto"/>
        </w:rPr>
        <w:tab/>
        <w:t>P</w:t>
      </w:r>
      <w:r>
        <w:rPr>
          <w:rFonts w:ascii="Times New Roman" w:cs="Times New Roman" w:eastAsia="Times New Roman" w:hAnsi="Times New Roman"/>
          <w:sz w:val="14"/>
          <w:szCs w:val="14"/>
          <w:color w:val="auto"/>
        </w:rPr>
        <w:t>ALO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LTO</w:t>
      </w:r>
      <w:r>
        <w:rPr>
          <w:rFonts w:ascii="Times New Roman" w:cs="Times New Roman" w:eastAsia="Times New Roman" w:hAnsi="Times New Roman"/>
          <w:sz w:val="18"/>
          <w:szCs w:val="18"/>
          <w:color w:val="auto"/>
        </w:rPr>
        <w:tab/>
        <w:t>S</w:t>
      </w:r>
      <w:r>
        <w:rPr>
          <w:rFonts w:ascii="Times New Roman" w:cs="Times New Roman" w:eastAsia="Times New Roman" w:hAnsi="Times New Roman"/>
          <w:sz w:val="14"/>
          <w:szCs w:val="14"/>
          <w:color w:val="auto"/>
        </w:rPr>
        <w:t>AN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RANCISCO</w:t>
      </w:r>
      <w:r>
        <w:rPr>
          <w:rFonts w:ascii="Times New Roman" w:cs="Times New Roman" w:eastAsia="Times New Roman" w:hAnsi="Times New Roman"/>
          <w:sz w:val="18"/>
          <w:szCs w:val="18"/>
          <w:color w:val="auto"/>
        </w:rPr>
        <w:tab/>
        <w:t>C</w:t>
      </w:r>
      <w:r>
        <w:rPr>
          <w:rFonts w:ascii="Times New Roman" w:cs="Times New Roman" w:eastAsia="Times New Roman" w:hAnsi="Times New Roman"/>
          <w:sz w:val="14"/>
          <w:szCs w:val="14"/>
          <w:color w:val="auto"/>
        </w:rPr>
        <w:t>HICAGO</w:t>
      </w:r>
      <w:r>
        <w:rPr>
          <w:rFonts w:ascii="Times New Roman" w:cs="Times New Roman" w:eastAsia="Times New Roman" w:hAnsi="Times New Roman"/>
          <w:sz w:val="18"/>
          <w:szCs w:val="18"/>
          <w:color w:val="auto"/>
        </w:rPr>
        <w:tab/>
        <w:t>P</w:t>
      </w:r>
      <w:r>
        <w:rPr>
          <w:rFonts w:ascii="Times New Roman" w:cs="Times New Roman" w:eastAsia="Times New Roman" w:hAnsi="Times New Roman"/>
          <w:sz w:val="14"/>
          <w:szCs w:val="14"/>
          <w:color w:val="auto"/>
        </w:rPr>
        <w:t>ARIS</w:t>
      </w:r>
      <w:r>
        <w:rPr>
          <w:rFonts w:ascii="Times New Roman" w:cs="Times New Roman" w:eastAsia="Times New Roman" w:hAnsi="Times New Roman"/>
          <w:sz w:val="18"/>
          <w:szCs w:val="18"/>
          <w:color w:val="auto"/>
        </w:rPr>
        <w:tab/>
        <w:t>L</w:t>
      </w:r>
      <w:r>
        <w:rPr>
          <w:rFonts w:ascii="Times New Roman" w:cs="Times New Roman" w:eastAsia="Times New Roman" w:hAnsi="Times New Roman"/>
          <w:sz w:val="14"/>
          <w:szCs w:val="14"/>
          <w:color w:val="auto"/>
        </w:rPr>
        <w:t>ONDON</w:t>
      </w:r>
      <w:r>
        <w:rPr>
          <w:rFonts w:ascii="Times New Roman" w:cs="Times New Roman" w:eastAsia="Times New Roman" w:hAnsi="Times New Roman"/>
          <w:sz w:val="18"/>
          <w:szCs w:val="18"/>
          <w:color w:val="auto"/>
        </w:rPr>
        <w:tab/>
        <w:t>F</w:t>
      </w:r>
      <w:r>
        <w:rPr>
          <w:rFonts w:ascii="Times New Roman" w:cs="Times New Roman" w:eastAsia="Times New Roman" w:hAnsi="Times New Roman"/>
          <w:sz w:val="14"/>
          <w:szCs w:val="14"/>
          <w:color w:val="auto"/>
        </w:rPr>
        <w:t>RANKFURT</w:t>
      </w:r>
      <w:r>
        <w:rPr>
          <w:rFonts w:ascii="Times New Roman" w:cs="Times New Roman" w:eastAsia="Times New Roman" w:hAnsi="Times New Roman"/>
          <w:sz w:val="18"/>
          <w:szCs w:val="18"/>
          <w:color w:val="auto"/>
        </w:rPr>
        <w:tab/>
        <w:t>B</w:t>
      </w:r>
      <w:r>
        <w:rPr>
          <w:rFonts w:ascii="Times New Roman" w:cs="Times New Roman" w:eastAsia="Times New Roman" w:hAnsi="Times New Roman"/>
          <w:sz w:val="14"/>
          <w:szCs w:val="14"/>
          <w:color w:val="auto"/>
        </w:rPr>
        <w:t>RUSSELS</w:t>
      </w:r>
      <w:r>
        <w:rPr>
          <w:rFonts w:ascii="Times New Roman" w:cs="Times New Roman" w:eastAsia="Times New Roman" w:hAnsi="Times New Roman"/>
          <w:sz w:val="18"/>
          <w:szCs w:val="18"/>
          <w:color w:val="auto"/>
        </w:rPr>
        <w:tab/>
        <w:t>M</w:t>
      </w:r>
      <w:r>
        <w:rPr>
          <w:rFonts w:ascii="Times New Roman" w:cs="Times New Roman" w:eastAsia="Times New Roman" w:hAnsi="Times New Roman"/>
          <w:sz w:val="14"/>
          <w:szCs w:val="14"/>
          <w:color w:val="auto"/>
        </w:rPr>
        <w:t>ILAN</w:t>
      </w:r>
      <w:r>
        <w:rPr>
          <w:rFonts w:ascii="Times New Roman" w:cs="Times New Roman" w:eastAsia="Times New Roman" w:hAnsi="Times New Roman"/>
          <w:sz w:val="18"/>
          <w:szCs w:val="18"/>
          <w:color w:val="auto"/>
        </w:rPr>
        <w:tab/>
        <w:t>R</w:t>
      </w:r>
      <w:r>
        <w:rPr>
          <w:rFonts w:ascii="Times New Roman" w:cs="Times New Roman" w:eastAsia="Times New Roman" w:hAnsi="Times New Roman"/>
          <w:sz w:val="14"/>
          <w:szCs w:val="14"/>
          <w:color w:val="auto"/>
        </w:rPr>
        <w:t>OME</w:t>
      </w:r>
    </w:p>
    <w:p>
      <w:pPr>
        <w:sectPr>
          <w:pgSz w:w="11900" w:h="16838" w:orient="portrait"/>
          <w:cols w:equalWidth="0" w:num="1">
            <w:col w:w="11020"/>
          </w:cols>
          <w:pgMar w:left="440" w:top="117"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Take-Two Interactive Software,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opinion letter is rendered as of the date first written above and we disclaim any obligation to advise you of facts, circumstances, events or developments that hereafter may be brought to our attention and that may alter, affect or modify the opinion expressed herein. Our opinion is expressly limited to the matters set forth above and we render no opinion, whether by implication or otherwise, as to any other matters relating to the Company, the Selling Shareholders or the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WILLKIE FARR &amp; GALLAGHER LLP</w:t>
      </w:r>
    </w:p>
    <w:p>
      <w:pPr>
        <w:sectPr>
          <w:pgSz w:w="11900" w:h="16838" w:orient="portrait"/>
          <w:cols w:equalWidth="0" w:num="1">
            <w:col w:w="10860"/>
          </w:cols>
          <w:pgMar w:left="440" w:top="270" w:right="59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 of Take-Two Interactive Software, Inc. for the registration of common stock and to the incorporation by reference therein of our reports dated May 22, 2020, with respect to the consolidated financial statements of Take-Two Interactive Software, Inc., and the effectiveness of internal control over financial reporting of Take-Two Interactive Software, Inc., included in its Annual Report (Form 10-K) for the year ended March 31, 2020,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646"/>
    </w:lvl>
  </w:abstractNum>
  <w:abstractNum w:abstractNumId="5">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545E146"/>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7">
    <w:nsid w:val="515F007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8">
    <w:nsid w:val="5BD062C2"/>
    <w:multiLevelType w:val="hybridMultilevel"/>
    <w:lvl w:ilvl="0">
      <w:lvlJc w:val="left"/>
      <w:lvlText w:val="J"/>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jpeg"/><Relationship Id="rId61" Type="http://schemas.openxmlformats.org/officeDocument/2006/relationships/image" Target="media/image46.png"/><Relationship Id="rId36" Type="http://schemas.openxmlformats.org/officeDocument/2006/relationships/hyperlink" Target="http://www.sec.gov/ix?doc=/Archives/edgar/data/946581/000162828020008291/ttwo-20200331.htm" TargetMode="External"/><Relationship Id="rId37" Type="http://schemas.openxmlformats.org/officeDocument/2006/relationships/hyperlink" Target="http://www.sec.gov/Archives/edgar/data/946581/000119312520198591/d940734ddef14a.htm" TargetMode="External"/><Relationship Id="rId38" Type="http://schemas.openxmlformats.org/officeDocument/2006/relationships/hyperlink" Target="http://www.sec.gov/Archives/edgar/data/946581/000119312520232142/d31273ddefa14a.htm" TargetMode="External"/><Relationship Id="rId39" Type="http://schemas.openxmlformats.org/officeDocument/2006/relationships/hyperlink" Target="http://www.sec.gov/ix?doc=/Archives/edgar/data/946581/000162828020011493/ttwo-20200630.htm" TargetMode="External"/><Relationship Id="rId40" Type="http://schemas.openxmlformats.org/officeDocument/2006/relationships/hyperlink" Target="http://www.sec.gov/ix?doc=/Archives/edgar/data/946581/000110465920084100/tm2024847-1_8k.htm" TargetMode="External"/><Relationship Id="rId41" Type="http://schemas.openxmlformats.org/officeDocument/2006/relationships/hyperlink" Target="http://www.sec.gov/ix?doc=/Archives/edgar/data/946581/000119312520223616/d82273d8k.htm" TargetMode="External"/><Relationship Id="rId42" Type="http://schemas.openxmlformats.org/officeDocument/2006/relationships/hyperlink" Target="http://www.sec.gov/Archives/edgar/data/946581/000110465908019702/a08-9031_28a12b.htm" TargetMode="External"/><Relationship Id="rId43" Type="http://schemas.openxmlformats.org/officeDocument/2006/relationships/hyperlink" Target="http://www.sec.gov/Archives/edgar/data/946581/000162828020008291/ex-410331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2020-09-04T15:23:27Z</dcterms:created>
  <dcterms:modified xsi:type="dcterms:W3CDTF">2020-09-04T15:23:27Z</dcterms:modified>
</cp:coreProperties>
</file>