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20,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TAKE-TWO INTERACTIVE SOFTWARE,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52" w:right="33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52" w:right="339" w:bottom="1440" w:gutter="0" w:footer="0" w:header="0"/>
          <w:type w:val="continuous"/>
        </w:sectPr>
      </w:pPr>
    </w:p>
    <w:p>
      <w:pPr>
        <w:spacing w:after="0" w:line="250"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652"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TTWO</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On May 20, 2020, Take-Two Interactive Software, Inc. (the “Company”) issued a press release announcing the financial results of the Company for its fourth fiscal quarter and fiscal year ended March 31, 2020. A copy of the press release is attached to this Current Report as Exhibit 99.1 and is incorporated by reference herein.</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940" w:right="20" w:hanging="647"/>
        <w:spacing w:after="0" w:line="277" w:lineRule="auto"/>
        <w:tabs>
          <w:tab w:leader="none" w:pos="1920" w:val="left"/>
        </w:tabs>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8"/>
            <w:szCs w:val="18"/>
            <w:u w:val="single" w:color="auto"/>
            <w:color w:val="0000EE"/>
          </w:rPr>
          <w:t>Press Release dated May 20, 2020 relating to Take-Two Interactive Software, Inc.’s financial results for its fourth fiscal quarter</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and fiscal year ended March 31, 2020.</w:t>
        </w:r>
      </w:hyperlink>
    </w:p>
    <w:p>
      <w:pPr>
        <w:spacing w:after="0" w:line="386" w:lineRule="exact"/>
        <w:rPr>
          <w:rFonts w:ascii="Arial" w:cs="Arial" w:eastAsia="Arial" w:hAnsi="Arial"/>
          <w:sz w:val="18"/>
          <w:szCs w:val="18"/>
          <w:u w:val="single" w:color="auto"/>
          <w:color w:val="0000EE"/>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ind w:left="840" w:hanging="831"/>
        <w:spacing w:after="0" w:line="277" w:lineRule="auto"/>
        <w:tabs>
          <w:tab w:leader="none" w:pos="820" w:val="left"/>
        </w:tabs>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8"/>
            <w:szCs w:val="18"/>
            <w:u w:val="single" w:color="auto"/>
            <w:color w:val="0000EE"/>
          </w:rPr>
          <w:t>Press Release dated May 20, 2020 relating to Take-Two Interactive Software, Inc.’s financial results for its fourth fiscal quarter and fiscal</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year ended March 31, 2020.</w:t>
        </w:r>
      </w:hyperlink>
    </w:p>
    <w:p>
      <w:pPr>
        <w:spacing w:after="0" w:line="386" w:lineRule="exact"/>
        <w:rPr>
          <w:rFonts w:ascii="Arial" w:cs="Arial" w:eastAsia="Arial" w:hAnsi="Arial"/>
          <w:sz w:val="18"/>
          <w:szCs w:val="18"/>
          <w:u w:val="single" w:color="auto"/>
          <w:color w:val="0000EE"/>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500" w:top="904" w:right="67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Matthew Breitman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General Counsel Americas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&amp;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20, 2020</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54380" cy="728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38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CONTACT:</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rPr>
              <w:t>FOR IMMEDIATE RELEASE</w:t>
            </w:r>
          </w:p>
        </w:tc>
        <w:tc>
          <w:tcPr>
            <w:tcW w:w="0" w:type="dxa"/>
            <w:vAlign w:val="bottom"/>
          </w:tcPr>
          <w:p>
            <w:pPr>
              <w:spacing w:after="0"/>
              <w:rPr>
                <w:sz w:val="1"/>
                <w:szCs w:val="1"/>
                <w:color w:val="auto"/>
              </w:rPr>
            </w:pPr>
          </w:p>
        </w:tc>
      </w:tr>
      <w:tr>
        <w:trPr>
          <w:trHeight w:val="216"/>
        </w:trPr>
        <w:tc>
          <w:tcPr>
            <w:tcW w:w="40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rPr>
              <w:t>(Corporate Press)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Henry A. Diamond</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rPr>
              <w:t>Alan Lewis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2"/>
        </w:trPr>
        <w:tc>
          <w:tcPr>
            <w:tcW w:w="4020" w:type="dxa"/>
            <w:vAlign w:val="bottom"/>
            <w:gridSpan w:val="2"/>
          </w:tcPr>
          <w:p>
            <w:pPr>
              <w:spacing w:after="0"/>
              <w:rPr>
                <w:sz w:val="20"/>
                <w:szCs w:val="20"/>
                <w:color w:val="auto"/>
              </w:rPr>
            </w:pPr>
            <w:r>
              <w:rPr>
                <w:rFonts w:ascii="Arial" w:cs="Arial" w:eastAsia="Arial" w:hAnsi="Arial"/>
                <w:sz w:val="18"/>
                <w:szCs w:val="18"/>
                <w:color w:val="auto"/>
              </w:rPr>
              <w:t>Investor Relations &amp; Corporate Communications</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w w:val="93"/>
              </w:rPr>
              <w:t>Corporate Communications &amp; Public Affairs</w:t>
            </w:r>
          </w:p>
        </w:tc>
        <w:tc>
          <w:tcPr>
            <w:tcW w:w="0" w:type="dxa"/>
            <w:vAlign w:val="bottom"/>
          </w:tcPr>
          <w:p>
            <w:pPr>
              <w:spacing w:after="0"/>
              <w:rPr>
                <w:sz w:val="1"/>
                <w:szCs w:val="1"/>
                <w:color w:val="auto"/>
              </w:rPr>
            </w:pPr>
          </w:p>
        </w:tc>
      </w:tr>
      <w:tr>
        <w:trPr>
          <w:trHeight w:val="220"/>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3720" w:type="dxa"/>
            <w:vAlign w:val="bottom"/>
            <w:gridSpan w:val="3"/>
          </w:tcPr>
          <w:p>
            <w:pPr>
              <w:ind w:left="480"/>
              <w:spacing w:after="0"/>
              <w:rPr>
                <w:sz w:val="20"/>
                <w:szCs w:val="20"/>
                <w:color w:val="auto"/>
              </w:rPr>
            </w:pPr>
            <w:r>
              <w:rPr>
                <w:rFonts w:ascii="Arial" w:cs="Arial" w:eastAsia="Arial" w:hAnsi="Arial"/>
                <w:sz w:val="18"/>
                <w:szCs w:val="18"/>
                <w:b w:val="1"/>
                <w:bCs w:val="1"/>
                <w:color w:val="auto"/>
              </w:rPr>
              <w:t>Take-Two Interactive Software, Inc.</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(646) 536-3005</w:t>
            </w:r>
          </w:p>
        </w:tc>
        <w:tc>
          <w:tcPr>
            <w:tcW w:w="1480" w:type="dxa"/>
            <w:vAlign w:val="bottom"/>
          </w:tcPr>
          <w:p>
            <w:pPr>
              <w:spacing w:after="0"/>
              <w:rPr>
                <w:sz w:val="18"/>
                <w:szCs w:val="18"/>
                <w:color w:val="auto"/>
              </w:rPr>
            </w:pPr>
          </w:p>
        </w:tc>
        <w:tc>
          <w:tcPr>
            <w:tcW w:w="2680" w:type="dxa"/>
            <w:vAlign w:val="bottom"/>
            <w:gridSpan w:val="2"/>
          </w:tcPr>
          <w:p>
            <w:pPr>
              <w:ind w:left="480"/>
              <w:spacing w:after="0"/>
              <w:rPr>
                <w:sz w:val="20"/>
                <w:szCs w:val="20"/>
                <w:color w:val="auto"/>
              </w:rPr>
            </w:pPr>
            <w:r>
              <w:rPr>
                <w:rFonts w:ascii="Arial" w:cs="Arial" w:eastAsia="Arial" w:hAnsi="Arial"/>
                <w:sz w:val="18"/>
                <w:szCs w:val="18"/>
                <w:color w:val="auto"/>
              </w:rPr>
              <w:t>(646) 536-2983</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line="190" w:lineRule="exact"/>
              <w:rPr>
                <w:sz w:val="20"/>
                <w:szCs w:val="20"/>
                <w:color w:val="auto"/>
              </w:rPr>
            </w:pPr>
            <w:r>
              <w:rPr>
                <w:rFonts w:ascii="Arial" w:cs="Arial" w:eastAsia="Arial" w:hAnsi="Arial"/>
                <w:sz w:val="18"/>
                <w:szCs w:val="18"/>
                <w:color w:val="auto"/>
                <w:w w:val="89"/>
              </w:rPr>
              <w:t>Henry.Diamond@take2games.com</w:t>
            </w: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40" w:type="dxa"/>
            <w:vAlign w:val="bottom"/>
            <w:gridSpan w:val="2"/>
          </w:tcPr>
          <w:p>
            <w:pPr>
              <w:spacing w:after="0" w:line="190" w:lineRule="exact"/>
              <w:rPr>
                <w:sz w:val="20"/>
                <w:szCs w:val="20"/>
                <w:color w:val="auto"/>
              </w:rPr>
            </w:pPr>
            <w:r>
              <w:rPr>
                <w:rFonts w:ascii="Arial" w:cs="Arial" w:eastAsia="Arial" w:hAnsi="Arial"/>
                <w:sz w:val="18"/>
                <w:szCs w:val="18"/>
                <w:color w:val="auto"/>
              </w:rPr>
              <w:t>Alan.Lewis@take2games.com</w:t>
            </w: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Reports Strong Results for Fiscal Year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revenue grew 16% to $3.089 billion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income increased 21% to $3.54 per diluted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cash provided by operating activities was $685.7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Adjusted Unrestricted Operating Cash Flow (Non-GAAP) was $615.4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Bookings grew to $2.990 billion</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u w:val="single" w:color="auto"/>
          <w:color w:val="auto"/>
        </w:rPr>
        <w:t>New York, NY – May 20, 2020</w:t>
      </w:r>
      <w:r>
        <w:rPr>
          <w:rFonts w:ascii="Arial" w:cs="Arial" w:eastAsia="Arial" w:hAnsi="Arial"/>
          <w:sz w:val="18"/>
          <w:szCs w:val="18"/>
          <w:b w:val="1"/>
          <w:bCs w:val="1"/>
          <w:color w:val="auto"/>
        </w:rPr>
        <w:t xml:space="preserve"> </w:t>
      </w:r>
      <w:r>
        <w:rPr>
          <w:rFonts w:ascii="Arial" w:cs="Arial" w:eastAsia="Arial" w:hAnsi="Arial"/>
          <w:sz w:val="18"/>
          <w:szCs w:val="18"/>
          <w:color w:val="auto"/>
        </w:rPr>
        <w:t>– Take-Two Interactive Software, Inc. (NASDAQ:TTWO) today reported strong results for its fourth quarter and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2020, ended March 31, 2020, and provided its initial outlook for its fiscal first quarter 2021, ending June 30, 2020, and fiscal year 2021, ending March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Fourth Quarter 2020 Financial Highlights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GAAP net revenue grew 41% to $760.5 million, as compared to $539.0 million in last year’s fiscal fourth quarter. Recurrent consumer spending (which is generated from ongoing consumer engagement and includes virtual currency, add-on content and in-game purchases) increased 40% and accounted for</w:t>
      </w:r>
    </w:p>
    <w:p>
      <w:pPr>
        <w:ind w:right="20"/>
        <w:spacing w:after="0" w:line="255" w:lineRule="auto"/>
        <w:rPr>
          <w:sz w:val="20"/>
          <w:szCs w:val="20"/>
          <w:color w:val="auto"/>
        </w:rPr>
      </w:pPr>
      <w:r>
        <w:rPr>
          <w:rFonts w:ascii="Arial" w:cs="Arial" w:eastAsia="Arial" w:hAnsi="Arial"/>
          <w:sz w:val="18"/>
          <w:szCs w:val="18"/>
          <w:color w:val="auto"/>
        </w:rPr>
        <w:t xml:space="preserve">54% of total GAAP net revenue. The largest contributors to GAAP net revenue in fiscal fourth quarter 2020 were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Social Point’s mobile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games, and </w:t>
      </w:r>
      <w:r>
        <w:rPr>
          <w:rFonts w:ascii="Arial" w:cs="Arial" w:eastAsia="Arial" w:hAnsi="Arial"/>
          <w:sz w:val="18"/>
          <w:szCs w:val="18"/>
          <w:i w:val="1"/>
          <w:iCs w:val="1"/>
          <w:color w:val="auto"/>
        </w:rPr>
        <w:t>WWE® SuperCard</w:t>
      </w:r>
      <w:r>
        <w:rPr>
          <w:rFonts w:ascii="Arial" w:cs="Arial" w:eastAsia="Arial" w:hAnsi="Arial"/>
          <w:sz w:val="18"/>
          <w:szCs w:val="18"/>
          <w:color w:val="auto"/>
        </w:rPr>
        <w:t xml:space="preserve"> and </w:t>
      </w:r>
      <w:r>
        <w:rPr>
          <w:rFonts w:ascii="Arial" w:cs="Arial" w:eastAsia="Arial" w:hAnsi="Arial"/>
          <w:sz w:val="18"/>
          <w:szCs w:val="18"/>
          <w:i w:val="1"/>
          <w:iCs w:val="1"/>
          <w:color w:val="auto"/>
        </w:rPr>
        <w:t>WWE 2K20</w:t>
      </w:r>
      <w:r>
        <w:rPr>
          <w:rFonts w:ascii="Arial" w:cs="Arial" w:eastAsia="Arial" w:hAnsi="Arial"/>
          <w:sz w:val="18"/>
          <w:szCs w:val="18"/>
          <w:color w:val="auto"/>
        </w:rPr>
        <w:t>.</w:t>
      </w:r>
    </w:p>
    <w:p>
      <w:pPr>
        <w:spacing w:after="0" w:line="19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Digitally-delivered GAAP net revenue grew 54% to $634.7 million, as compared to $413.5 million in last year’s fiscal fourth quarter, and accounted for 83% of total GAAP net revenue. The largest contributors to digitally-delivered GAAP net revenue in fiscal fourth quarter 2020 were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NBA 2K20 </w:t>
      </w:r>
      <w:r>
        <w:rPr>
          <w:rFonts w:ascii="Arial" w:cs="Arial" w:eastAsia="Arial" w:hAnsi="Arial"/>
          <w:sz w:val="18"/>
          <w:szCs w:val="18"/>
          <w:color w:val="auto"/>
        </w:rPr>
        <w:t>and</w:t>
      </w:r>
      <w:r>
        <w:rPr>
          <w:rFonts w:ascii="Arial" w:cs="Arial" w:eastAsia="Arial" w:hAnsi="Arial"/>
          <w:sz w:val="18"/>
          <w:szCs w:val="18"/>
          <w:i w:val="1"/>
          <w:iCs w:val="1"/>
          <w:color w:val="auto"/>
        </w:rPr>
        <w:t xml:space="preserve"> NBA 2K19</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Social Point’s mobile games, and </w:t>
      </w:r>
      <w:r>
        <w:rPr>
          <w:rFonts w:ascii="Arial" w:cs="Arial" w:eastAsia="Arial" w:hAnsi="Arial"/>
          <w:sz w:val="18"/>
          <w:szCs w:val="18"/>
          <w:i w:val="1"/>
          <w:iCs w:val="1"/>
          <w:color w:val="auto"/>
        </w:rPr>
        <w:t>WWE SuperCard</w:t>
      </w:r>
      <w:r>
        <w:rPr>
          <w:rFonts w:ascii="Arial" w:cs="Arial" w:eastAsia="Arial" w:hAnsi="Arial"/>
          <w:sz w:val="18"/>
          <w:szCs w:val="18"/>
          <w:color w:val="auto"/>
        </w:rPr>
        <w:t xml:space="preserve"> and </w:t>
      </w:r>
      <w:r>
        <w:rPr>
          <w:rFonts w:ascii="Arial" w:cs="Arial" w:eastAsia="Arial" w:hAnsi="Arial"/>
          <w:sz w:val="18"/>
          <w:szCs w:val="18"/>
          <w:i w:val="1"/>
          <w:iCs w:val="1"/>
          <w:color w:val="auto"/>
        </w:rPr>
        <w:t>WWE 2K20</w:t>
      </w:r>
      <w:r>
        <w:rPr>
          <w:rFonts w:ascii="Arial" w:cs="Arial" w:eastAsia="Arial" w:hAnsi="Arial"/>
          <w:sz w:val="18"/>
          <w:szCs w:val="18"/>
          <w:color w:val="auto"/>
        </w:rPr>
        <w:t>.</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GAAP net income grew 116% to $122.7 million, or $1.07 per diluted share, as compared to $56.8 million, or $0.50 per diluted share, for the year-ago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ind w:right="260"/>
        <w:spacing w:after="0" w:line="263" w:lineRule="auto"/>
        <w:rPr>
          <w:sz w:val="20"/>
          <w:szCs w:val="20"/>
          <w:color w:val="auto"/>
        </w:rPr>
      </w:pPr>
      <w:r>
        <w:rPr>
          <w:rFonts w:ascii="Arial" w:cs="Arial" w:eastAsia="Arial" w:hAnsi="Arial"/>
          <w:sz w:val="18"/>
          <w:szCs w:val="18"/>
          <w:color w:val="auto"/>
        </w:rPr>
        <w:t>The following data, together with a management reporting tax rate of 17%,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w w:val="91"/>
              </w:rPr>
              <w:t>Three Months Ended March 31, 2020</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Financial Data</w:t>
            </w: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Change in</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deferred net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revenue and</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&amp; impairment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related cost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Impact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 acquired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Loss on long-</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Statement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1"/>
              </w:rPr>
              <w:t>of goods</w:t>
            </w:r>
          </w:p>
        </w:tc>
        <w:tc>
          <w:tcPr>
            <w:tcW w:w="14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Stock-based</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business</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intangible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term</w:t>
            </w:r>
          </w:p>
        </w:tc>
      </w:tr>
      <w:tr>
        <w:trPr>
          <w:trHeight w:val="234"/>
        </w:trPr>
        <w:tc>
          <w:tcPr>
            <w:tcW w:w="25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operations</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0"/>
              </w:rPr>
              <w:t>sold</w:t>
            </w: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compensation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reorganization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assets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investments</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760,541</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396,640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(20,743)</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(62,353)</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(3,288)</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364,901</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(10,376)</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62,353</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3,288</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243,017</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(18,930)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(1,658)</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121,884</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(10,376)</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81,283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4,946</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Loss on long-term investments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5,333</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(5,333)</w:t>
            </w:r>
          </w:p>
        </w:tc>
      </w:tr>
      <w:tr>
        <w:trPr>
          <w:trHeight w:val="209"/>
        </w:trPr>
        <w:tc>
          <w:tcPr>
            <w:tcW w:w="2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124,634</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(9,519)</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81,283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4,946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5,333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 order to calculate net income per diluted share for management reporting purposes, the Company uses its fully diluted share count of 114.40 million.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Fiscal Fourth Quarter Operational Metric – Net Bookings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Bookings is defined as the net amount of products and services sold digitally or sold-in physically during the period, and includes licensing fees, merchandise, in-game advertising, strategy guides and publisher incentives.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Total Net Bookings grew 49% to $729.4 million, as compared to $488.4 million during last year’s fiscal fourth quarter. Net Bookings from recurrent consumer spending grew 47% year-over-year and accounted for 61% of total Net Bookings. The largest contributors to Net Bookings were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NBA 2K20</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Social Point’s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mobile games, and </w:t>
      </w:r>
      <w:r>
        <w:rPr>
          <w:rFonts w:ascii="Arial" w:cs="Arial" w:eastAsia="Arial" w:hAnsi="Arial"/>
          <w:sz w:val="18"/>
          <w:szCs w:val="18"/>
          <w:i w:val="1"/>
          <w:iCs w:val="1"/>
          <w:color w:val="auto"/>
        </w:rPr>
        <w:t>WWE SuperCard</w:t>
      </w:r>
      <w:r>
        <w:rPr>
          <w:rFonts w:ascii="Arial" w:cs="Arial" w:eastAsia="Arial" w:hAnsi="Arial"/>
          <w:sz w:val="18"/>
          <w:szCs w:val="18"/>
          <w:color w:val="auto"/>
        </w:rPr>
        <w:t xml:space="preserve"> and </w:t>
      </w:r>
      <w:r>
        <w:rPr>
          <w:rFonts w:ascii="Arial" w:cs="Arial" w:eastAsia="Arial" w:hAnsi="Arial"/>
          <w:sz w:val="18"/>
          <w:szCs w:val="18"/>
          <w:i w:val="1"/>
          <w:iCs w:val="1"/>
          <w:color w:val="auto"/>
        </w:rPr>
        <w:t>WWE 2K20</w:t>
      </w:r>
      <w:r>
        <w:rPr>
          <w:rFonts w:ascii="Arial" w:cs="Arial" w:eastAsia="Arial" w:hAnsi="Arial"/>
          <w:sz w:val="18"/>
          <w:szCs w:val="18"/>
          <w:color w:val="auto"/>
        </w:rPr>
        <w:t>.</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Catalog accounted for $432.1 million of Net Bookings led by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Red Dead Redemption</w:t>
      </w:r>
      <w:r>
        <w:rPr>
          <w:rFonts w:ascii="Arial" w:cs="Arial" w:eastAsia="Arial" w:hAnsi="Arial"/>
          <w:sz w:val="18"/>
          <w:szCs w:val="18"/>
          <w:color w:val="auto"/>
        </w:rPr>
        <w:t xml:space="preserve">, </w:t>
      </w:r>
      <w:r>
        <w:rPr>
          <w:rFonts w:ascii="Arial" w:cs="Arial" w:eastAsia="Arial" w:hAnsi="Arial"/>
          <w:sz w:val="18"/>
          <w:szCs w:val="18"/>
          <w:i w:val="1"/>
          <w:iCs w:val="1"/>
          <w:color w:val="auto"/>
        </w:rPr>
        <w:t>Sid Meier’s Civilization</w:t>
      </w:r>
      <w:r>
        <w:rPr>
          <w:rFonts w:ascii="Arial" w:cs="Arial" w:eastAsia="Arial" w:hAnsi="Arial"/>
          <w:sz w:val="18"/>
          <w:szCs w:val="18"/>
          <w:color w:val="auto"/>
        </w:rPr>
        <w:t>, and Social Point’s mobile offerings.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Digitally-delivered Net Bookings grew 60% to $672.1 million, as compared to $419.0 million in last year’s fiscal fourth quarter, and accounted for 92% of total Net Bookings. The largest contributors to digitally-delivered Net Bookings in fiscal fourth quarter 2020 were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NBA 2K20</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Social Point’s mobile games, and</w:t>
      </w:r>
      <w:r>
        <w:rPr>
          <w:rFonts w:ascii="Arial" w:cs="Arial" w:eastAsia="Arial" w:hAnsi="Arial"/>
          <w:sz w:val="18"/>
          <w:szCs w:val="18"/>
          <w:i w:val="1"/>
          <w:iCs w:val="1"/>
          <w:color w:val="auto"/>
        </w:rPr>
        <w:t xml:space="preserve"> WWE SuperCard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2K20</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2020 Financial Highlights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GAAP net revenue grew 16% to $3.089 billion, as compared to $2.668 billion in fiscal year 2019. Recurrent consumer spending increased 29% and accounted for 45% of total GAAP net revenue. The largest contributors to GAAP net revenue in fiscal year 2020 were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The Outer Worlds</w:t>
      </w:r>
      <w:r>
        <w:rPr>
          <w:rFonts w:ascii="Arial" w:cs="Arial" w:eastAsia="Arial" w:hAnsi="Arial"/>
          <w:sz w:val="18"/>
          <w:szCs w:val="18"/>
          <w:color w:val="auto"/>
        </w:rPr>
        <w:t>,</w:t>
      </w:r>
      <w:r>
        <w:rPr>
          <w:rFonts w:ascii="Arial" w:cs="Arial" w:eastAsia="Arial" w:hAnsi="Arial"/>
          <w:sz w:val="18"/>
          <w:szCs w:val="18"/>
          <w:i w:val="1"/>
          <w:iCs w:val="1"/>
          <w:color w:val="auto"/>
        </w:rPr>
        <w:t xml:space="preserve"> WWE SuperCard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2K20, </w:t>
      </w:r>
      <w:r>
        <w:rPr>
          <w:rFonts w:ascii="Arial" w:cs="Arial" w:eastAsia="Arial" w:hAnsi="Arial"/>
          <w:sz w:val="18"/>
          <w:szCs w:val="18"/>
          <w:color w:val="auto"/>
        </w:rPr>
        <w:t>Social Point’s mobile games, and</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Digitally-delivered GAAP net revenue grew 41% to $2.379 billion, as compared to $1.682 billion in fiscal year 2019, and accounted for 77% of total GAAP net revenue. The largest contributors to digitally-delivered GAAP net revenue in fiscal year 2020 were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and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The Outer Worlds</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Social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Point’s mobile games, and </w:t>
      </w:r>
      <w:r>
        <w:rPr>
          <w:rFonts w:ascii="Arial" w:cs="Arial" w:eastAsia="Arial" w:hAnsi="Arial"/>
          <w:sz w:val="18"/>
          <w:szCs w:val="18"/>
          <w:i w:val="1"/>
          <w:iCs w:val="1"/>
          <w:color w:val="auto"/>
        </w:rPr>
        <w:t>WWE SuperCard</w:t>
      </w:r>
      <w:r>
        <w:rPr>
          <w:rFonts w:ascii="Arial" w:cs="Arial" w:eastAsia="Arial" w:hAnsi="Arial"/>
          <w:sz w:val="18"/>
          <w:szCs w:val="18"/>
          <w:color w:val="auto"/>
        </w:rPr>
        <w:t xml:space="preserve"> and </w:t>
      </w:r>
      <w:r>
        <w:rPr>
          <w:rFonts w:ascii="Arial" w:cs="Arial" w:eastAsia="Arial" w:hAnsi="Arial"/>
          <w:sz w:val="18"/>
          <w:szCs w:val="18"/>
          <w:i w:val="1"/>
          <w:iCs w:val="1"/>
          <w:color w:val="auto"/>
        </w:rPr>
        <w:t>WWE 2K20</w:t>
      </w:r>
      <w:r>
        <w:rPr>
          <w:rFonts w:ascii="Arial" w:cs="Arial" w:eastAsia="Arial" w:hAnsi="Arial"/>
          <w:sz w:val="18"/>
          <w:szCs w:val="18"/>
          <w:color w:val="auto"/>
        </w:rPr>
        <w:t>.</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GAAP net income increased 21% to $404.5 million, or $3.54 per diluted share, as compared to $333.8 million, or $2.90 per diluted share, in fiscal year 2019.</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GAAP net cash provided by operating activities was $685.7 million, as compared to $843.5 million in fiscal year 2019. Adjusted Unrestricted Operating Cash Flow (Non-GAAP), which is defined as GAAP net cash from operating activities, adjusted for changes in restricted cash, was $615.4 million, as compared to $715.5 million last year (please see the section below titled “Non-GAAP Financial Measure” for additional information). As of March 31, 2020, the Company had cash and short-term investments of $2.002 billion.</w:t>
      </w:r>
    </w:p>
    <w:p>
      <w:pPr>
        <w:spacing w:after="0" w:line="18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following data, together with a management reporting tax rate of 17%,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Twelve Months Ended March 31, 2020</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Financial Data</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Change in</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Amortization</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 net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Statement</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revenue and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Impact of</w:t>
            </w: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&amp; impairment</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Loss on</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related cost</w:t>
            </w: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Stock-based</w:t>
            </w:r>
          </w:p>
        </w:tc>
        <w:tc>
          <w:tcPr>
            <w:tcW w:w="11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acquired</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of goods</w:t>
            </w: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related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business</w:t>
            </w: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intangible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operations</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sold</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expenses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reorganization</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142"/>
        </w:trPr>
        <w:tc>
          <w:tcPr>
            <w:tcW w:w="3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revenue</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3,088,970</w:t>
            </w: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(98,612)</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goods sold</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1,542,450</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(87,253)</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(154,031)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(13,598)</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b w:val="1"/>
                <w:bCs w:val="1"/>
                <w:color w:val="auto"/>
              </w:rPr>
              <w:t>Gross profit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1,546,520</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(11,359)</w:t>
            </w:r>
          </w:p>
        </w:tc>
        <w:tc>
          <w:tcPr>
            <w:tcW w:w="120" w:type="dxa"/>
            <w:vAlign w:val="bottom"/>
          </w:tcPr>
          <w:p>
            <w:pPr>
              <w:spacing w:after="0"/>
              <w:rPr>
                <w:sz w:val="12"/>
                <w:szCs w:val="12"/>
                <w:color w:val="auto"/>
              </w:rPr>
            </w:pPr>
          </w:p>
        </w:tc>
        <w:tc>
          <w:tcPr>
            <w:tcW w:w="100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154,031</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13,598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expenses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1,121,253</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(103,850)</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(6,665)</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b w:val="1"/>
                <w:bCs w:val="1"/>
                <w:color w:val="auto"/>
              </w:rPr>
              <w:t>Income from operations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425,267</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(11,359)</w:t>
            </w:r>
          </w:p>
        </w:tc>
        <w:tc>
          <w:tcPr>
            <w:tcW w:w="120" w:type="dxa"/>
            <w:vAlign w:val="bottom"/>
          </w:tcPr>
          <w:p>
            <w:pPr>
              <w:spacing w:after="0"/>
              <w:rPr>
                <w:sz w:val="12"/>
                <w:szCs w:val="12"/>
                <w:color w:val="auto"/>
              </w:rPr>
            </w:pPr>
          </w:p>
        </w:tc>
        <w:tc>
          <w:tcPr>
            <w:tcW w:w="100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257,881</w:t>
            </w:r>
          </w:p>
        </w:tc>
        <w:tc>
          <w:tcPr>
            <w:tcW w:w="100" w:type="dxa"/>
            <w:vAlign w:val="bottom"/>
          </w:tcPr>
          <w:p>
            <w:pPr>
              <w:spacing w:after="0"/>
              <w:rPr>
                <w:sz w:val="12"/>
                <w:szCs w:val="12"/>
                <w:color w:val="auto"/>
              </w:rPr>
            </w:pPr>
          </w:p>
        </w:tc>
        <w:tc>
          <w:tcPr>
            <w:tcW w:w="1000" w:type="dxa"/>
            <w:vAlign w:val="bottom"/>
          </w:tcPr>
          <w:p>
            <w:pPr>
              <w:jc w:val="right"/>
              <w:ind w:right="25"/>
              <w:spacing w:after="0" w:line="149" w:lineRule="exact"/>
              <w:rPr>
                <w:sz w:val="20"/>
                <w:szCs w:val="20"/>
                <w:color w:val="auto"/>
              </w:rPr>
            </w:pPr>
            <w:r>
              <w:rPr>
                <w:rFonts w:ascii="Arial" w:cs="Arial" w:eastAsia="Arial" w:hAnsi="Arial"/>
                <w:sz w:val="14"/>
                <w:szCs w:val="14"/>
                <w:b w:val="1"/>
                <w:bCs w:val="1"/>
                <w:color w:val="auto"/>
              </w:rPr>
              <w:t>367</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83</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20,263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net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38,505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Loss on long-term investments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5,333</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(5,333)</w:t>
            </w: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before income taxes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458,439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(10,883)</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6"/>
              <w:spacing w:after="0" w:line="142" w:lineRule="exact"/>
              <w:rPr>
                <w:sz w:val="20"/>
                <w:szCs w:val="20"/>
                <w:color w:val="auto"/>
              </w:rPr>
            </w:pPr>
            <w:r>
              <w:rPr>
                <w:rFonts w:ascii="Arial" w:cs="Arial" w:eastAsia="Arial" w:hAnsi="Arial"/>
                <w:sz w:val="14"/>
                <w:szCs w:val="14"/>
                <w:b w:val="1"/>
                <w:bCs w:val="1"/>
                <w:color w:val="auto"/>
              </w:rPr>
              <w:t>257,881</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5"/>
              <w:spacing w:after="0" w:line="142" w:lineRule="exact"/>
              <w:rPr>
                <w:sz w:val="20"/>
                <w:szCs w:val="20"/>
                <w:color w:val="auto"/>
              </w:rPr>
            </w:pPr>
            <w:r>
              <w:rPr>
                <w:rFonts w:ascii="Arial" w:cs="Arial" w:eastAsia="Arial" w:hAnsi="Arial"/>
                <w:sz w:val="14"/>
                <w:szCs w:val="14"/>
                <w:b w:val="1"/>
                <w:bCs w:val="1"/>
                <w:color w:val="auto"/>
              </w:rPr>
              <w:t>367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20,263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5,333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order to calculate net income per diluted share for management reporting purposes, the Company uses its fully diluted share count of 114.13 million.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2020 Operational Metric – Net Bookings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Total Net Bookings grew to $2.990 billion, as compared to $2.929 billion in fiscal year 2019. Net Bookings from recurrent consumer spending grew 34% and accounted for 51% of total Net Bookings. The largest contributors to Net Bookings were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The Outer Worlds</w:t>
      </w:r>
      <w:r>
        <w:rPr>
          <w:rFonts w:ascii="Arial" w:cs="Arial" w:eastAsia="Arial" w:hAnsi="Arial"/>
          <w:sz w:val="18"/>
          <w:szCs w:val="18"/>
          <w:color w:val="auto"/>
        </w:rPr>
        <w:t>,</w:t>
      </w:r>
      <w:r>
        <w:rPr>
          <w:rFonts w:ascii="Arial" w:cs="Arial" w:eastAsia="Arial" w:hAnsi="Arial"/>
          <w:sz w:val="18"/>
          <w:szCs w:val="18"/>
          <w:i w:val="1"/>
          <w:iCs w:val="1"/>
          <w:color w:val="auto"/>
        </w:rPr>
        <w:t xml:space="preserve"> WWE 2K20</w:t>
      </w:r>
      <w:r>
        <w:rPr>
          <w:rFonts w:ascii="Arial" w:cs="Arial" w:eastAsia="Arial" w:hAnsi="Arial"/>
          <w:sz w:val="18"/>
          <w:szCs w:val="18"/>
          <w:color w:val="auto"/>
        </w:rPr>
        <w:t>,</w:t>
      </w:r>
      <w:r>
        <w:rPr>
          <w:rFonts w:ascii="Arial" w:cs="Arial" w:eastAsia="Arial" w:hAnsi="Arial"/>
          <w:sz w:val="18"/>
          <w:szCs w:val="18"/>
          <w:i w:val="1"/>
          <w:iCs w:val="1"/>
          <w:color w:val="auto"/>
        </w:rPr>
        <w:t xml:space="preserve"> WWE SuperCard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K19</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Social Point’s mobile games, and </w:t>
      </w:r>
      <w:r>
        <w:rPr>
          <w:rFonts w:ascii="Arial" w:cs="Arial" w:eastAsia="Arial" w:hAnsi="Arial"/>
          <w:sz w:val="18"/>
          <w:szCs w:val="18"/>
          <w:i w:val="1"/>
          <w:iCs w:val="1"/>
          <w:color w:val="auto"/>
        </w:rPr>
        <w:t>Sid Meier’s Civilization VI</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 w:name="page9"/>
    <w:bookmarkEnd w:id="8"/>
    <w:p>
      <w:pPr>
        <w:ind w:right="80"/>
        <w:spacing w:after="0" w:line="259" w:lineRule="auto"/>
        <w:rPr>
          <w:sz w:val="20"/>
          <w:szCs w:val="20"/>
          <w:color w:val="auto"/>
        </w:rPr>
      </w:pPr>
      <w:r>
        <w:rPr>
          <w:rFonts w:ascii="Arial" w:cs="Arial" w:eastAsia="Arial" w:hAnsi="Arial"/>
          <w:sz w:val="18"/>
          <w:szCs w:val="18"/>
          <w:color w:val="auto"/>
        </w:rPr>
        <w:t xml:space="preserve">Digitally-delivered Net Bookings grew 35% to $2.440 billion, as compared to $1.802 billion in fiscal year 2019, and accounted for 82% of total Net Bookings. The largest contributors to digitally-delivered Net Bookings in fiscal year 2020 were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w:t>
      </w:r>
      <w:r>
        <w:rPr>
          <w:rFonts w:ascii="Arial" w:cs="Arial" w:eastAsia="Arial" w:hAnsi="Arial"/>
          <w:sz w:val="18"/>
          <w:szCs w:val="18"/>
          <w:i w:val="1"/>
          <w:iCs w:val="1"/>
          <w:color w:val="auto"/>
        </w:rPr>
        <w:t>NBA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2K20 </w:t>
      </w:r>
      <w:r>
        <w:rPr>
          <w:rFonts w:ascii="Arial" w:cs="Arial" w:eastAsia="Arial" w:hAnsi="Arial"/>
          <w:sz w:val="18"/>
          <w:szCs w:val="18"/>
          <w:color w:val="auto"/>
        </w:rPr>
        <w:t>and</w:t>
      </w:r>
      <w:r>
        <w:rPr>
          <w:rFonts w:ascii="Arial" w:cs="Arial" w:eastAsia="Arial" w:hAnsi="Arial"/>
          <w:sz w:val="18"/>
          <w:szCs w:val="18"/>
          <w:i w:val="1"/>
          <w:iCs w:val="1"/>
          <w:color w:val="auto"/>
        </w:rPr>
        <w:t xml:space="preserve"> NBA 2K19</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The Outer Worlds</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Social Point’s mobile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games, and </w:t>
      </w:r>
      <w:r>
        <w:rPr>
          <w:rFonts w:ascii="Arial" w:cs="Arial" w:eastAsia="Arial" w:hAnsi="Arial"/>
          <w:sz w:val="18"/>
          <w:szCs w:val="18"/>
          <w:i w:val="1"/>
          <w:iCs w:val="1"/>
          <w:color w:val="auto"/>
        </w:rPr>
        <w:t>WWE SuperCard</w:t>
      </w:r>
      <w:r>
        <w:rPr>
          <w:rFonts w:ascii="Arial" w:cs="Arial" w:eastAsia="Arial" w:hAnsi="Arial"/>
          <w:sz w:val="18"/>
          <w:szCs w:val="18"/>
          <w:color w:val="auto"/>
        </w:rPr>
        <w:t xml:space="preserve">, </w:t>
      </w:r>
      <w:r>
        <w:rPr>
          <w:rFonts w:ascii="Arial" w:cs="Arial" w:eastAsia="Arial" w:hAnsi="Arial"/>
          <w:sz w:val="18"/>
          <w:szCs w:val="18"/>
          <w:i w:val="1"/>
          <w:iCs w:val="1"/>
          <w:color w:val="auto"/>
        </w:rPr>
        <w:t>WWE 2K20</w:t>
      </w:r>
      <w:r>
        <w:rPr>
          <w:rFonts w:ascii="Arial" w:cs="Arial" w:eastAsia="Arial" w:hAnsi="Arial"/>
          <w:sz w:val="18"/>
          <w:szCs w:val="18"/>
          <w:color w:val="auto"/>
        </w:rPr>
        <w:t xml:space="preserve">.and </w:t>
      </w:r>
      <w:r>
        <w:rPr>
          <w:rFonts w:ascii="Arial" w:cs="Arial" w:eastAsia="Arial" w:hAnsi="Arial"/>
          <w:sz w:val="18"/>
          <w:szCs w:val="18"/>
          <w:i w:val="1"/>
          <w:iCs w:val="1"/>
          <w:color w:val="auto"/>
        </w:rPr>
        <w:t>WWE 2K19</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significantly better-than-expected fourth quarter results concluded another extraordinary year for Take-Two, during which we achieved numerous milestones, including record Net Bookings of nearly $3 billion, as well as record digitally-delivered Net Bookings, Net Bookings from recurrent consumer spending, and earnings</w:t>
      </w:r>
      <w:r>
        <w:rPr>
          <w:rFonts w:ascii="Arial" w:cs="Arial" w:eastAsia="Arial" w:hAnsi="Arial"/>
          <w:sz w:val="16"/>
          <w:szCs w:val="16"/>
          <w:i w:val="1"/>
          <w:iCs w:val="1"/>
          <w:color w:val="auto"/>
        </w:rPr>
        <w:t>,</w:t>
      </w:r>
      <w:r>
        <w:rPr>
          <w:rFonts w:ascii="Arial" w:cs="Arial" w:eastAsia="Arial" w:hAnsi="Arial"/>
          <w:sz w:val="16"/>
          <w:szCs w:val="16"/>
          <w:color w:val="auto"/>
        </w:rPr>
        <w:t xml:space="preserve">” said Strauss Zelnick, Chairman and CEO of Take-Two. “Nearly all of our titles outperformed in the fourth quarter, including </w:t>
      </w:r>
      <w:r>
        <w:rPr>
          <w:rFonts w:ascii="Arial" w:cs="Arial" w:eastAsia="Arial" w:hAnsi="Arial"/>
          <w:sz w:val="16"/>
          <w:szCs w:val="16"/>
          <w:i w:val="1"/>
          <w:iCs w:val="1"/>
          <w:color w:val="auto"/>
        </w:rPr>
        <w:t>NBA</w:t>
      </w:r>
      <w:r>
        <w:rPr>
          <w:rFonts w:ascii="Arial" w:cs="Arial" w:eastAsia="Arial" w:hAnsi="Arial"/>
          <w:sz w:val="16"/>
          <w:szCs w:val="16"/>
          <w:color w:val="auto"/>
        </w:rPr>
        <w:t xml:space="preserve"> </w:t>
      </w:r>
      <w:r>
        <w:rPr>
          <w:rFonts w:ascii="Arial" w:cs="Arial" w:eastAsia="Arial" w:hAnsi="Arial"/>
          <w:sz w:val="16"/>
          <w:szCs w:val="16"/>
          <w:i w:val="1"/>
          <w:iCs w:val="1"/>
          <w:color w:val="auto"/>
        </w:rPr>
        <w:t>2K20</w:t>
      </w:r>
      <w:r>
        <w:rPr>
          <w:rFonts w:ascii="Arial" w:cs="Arial" w:eastAsia="Arial" w:hAnsi="Arial"/>
          <w:sz w:val="16"/>
          <w:szCs w:val="16"/>
          <w:color w:val="auto"/>
        </w:rPr>
        <w:t>,</w:t>
      </w:r>
      <w:r>
        <w:rPr>
          <w:rFonts w:ascii="Arial" w:cs="Arial" w:eastAsia="Arial" w:hAnsi="Arial"/>
          <w:sz w:val="16"/>
          <w:szCs w:val="16"/>
          <w:i w:val="1"/>
          <w:iCs w:val="1"/>
          <w:color w:val="auto"/>
        </w:rPr>
        <w:t xml:space="preserve"> Grand Theft Auto Online </w:t>
      </w:r>
      <w:r>
        <w:rPr>
          <w:rFonts w:ascii="Arial" w:cs="Arial" w:eastAsia="Arial" w:hAnsi="Arial"/>
          <w:sz w:val="16"/>
          <w:szCs w:val="16"/>
          <w:color w:val="auto"/>
        </w:rPr>
        <w:t>and</w:t>
      </w:r>
      <w:r>
        <w:rPr>
          <w:rFonts w:ascii="Arial" w:cs="Arial" w:eastAsia="Arial" w:hAnsi="Arial"/>
          <w:sz w:val="16"/>
          <w:szCs w:val="16"/>
          <w:i w:val="1"/>
          <w:iCs w:val="1"/>
          <w:color w:val="auto"/>
        </w:rPr>
        <w:t xml:space="preserve"> Grand Theft Auto V</w:t>
      </w:r>
      <w:r>
        <w:rPr>
          <w:rFonts w:ascii="Arial" w:cs="Arial" w:eastAsia="Arial" w:hAnsi="Arial"/>
          <w:sz w:val="16"/>
          <w:szCs w:val="16"/>
          <w:color w:val="auto"/>
        </w:rPr>
        <w:t>,</w:t>
      </w:r>
      <w:r>
        <w:rPr>
          <w:rFonts w:ascii="Arial" w:cs="Arial" w:eastAsia="Arial" w:hAnsi="Arial"/>
          <w:sz w:val="16"/>
          <w:szCs w:val="16"/>
          <w:i w:val="1"/>
          <w:iCs w:val="1"/>
          <w:color w:val="auto"/>
        </w:rPr>
        <w:t xml:space="preserve"> Red Dead Redemption 2</w:t>
      </w:r>
      <w:r>
        <w:rPr>
          <w:rFonts w:ascii="Arial" w:cs="Arial" w:eastAsia="Arial" w:hAnsi="Arial"/>
          <w:sz w:val="16"/>
          <w:szCs w:val="16"/>
          <w:color w:val="auto"/>
        </w:rPr>
        <w:t>,</w:t>
      </w:r>
      <w:r>
        <w:rPr>
          <w:rFonts w:ascii="Arial" w:cs="Arial" w:eastAsia="Arial" w:hAnsi="Arial"/>
          <w:sz w:val="16"/>
          <w:szCs w:val="16"/>
          <w:i w:val="1"/>
          <w:iCs w:val="1"/>
          <w:color w:val="auto"/>
        </w:rPr>
        <w:t xml:space="preserve"> Borderlands 3 </w:t>
      </w:r>
      <w:r>
        <w:rPr>
          <w:rFonts w:ascii="Arial" w:cs="Arial" w:eastAsia="Arial" w:hAnsi="Arial"/>
          <w:sz w:val="16"/>
          <w:szCs w:val="16"/>
          <w:color w:val="auto"/>
        </w:rPr>
        <w:t>and Social Point’s mobile games.</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“Looking ahead, Take-Two has the strongest development pipeline in its history, including sequels from our biggest franchises as well as exciting new IP. While fiscal 2021 will be a light new release year, we expect to deliver strong results, reflecting the diversity and strength of our catalog and live service offerings. We have an array of titles that we will begin to launch in fiscal 2022, which we expect to drive sequential growth that year. Our Company remains superbly positioned – creatively, operationally and financially – to capitalize on the many positive trends in our industry, and to deliver continued growth and returns for our shareholders over the long-term."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Response</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At Take-Two, our number one priority is the health and safety of our employees and their families. All of our offices moved largely to work-from-home environments by mid-March. We are continuing to find ways to support our employees and their families as we navigate through this unprecedented situation, including services to help families balance work and home life. The digital nature of our content means our creative talent can continue to work on game development from home. The shift to remote working adds complexity and challenges in some areas of the game development process; however, based on our work to date, we currently do not expect any delays other than what has been announced.</w:t>
      </w:r>
    </w:p>
    <w:p>
      <w:pPr>
        <w:spacing w:after="0" w:line="1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With more people staying at home, we have experienced, and are continuing to experience, heightened levels of engagement and Net Bookings growth-to-date. The full extent of the impact of the COVID-19 pandemic to our business, operations and financial results will depend on numerous evolving factors that we are not able to predict. The key risks to our business are set forth under the heading “Forward Looking Statements” in this release and will be included in Take-Two’s Annual Report on Form 10-K for the fiscal year ended March 31, 2020.</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previously announced, for the months of April and May, Take-Two’s labels will come together to donate 5% of Net Bookings (after platform fees) from in-game purchases from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from Rockstar Games,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2K19</w:t>
      </w:r>
      <w:r>
        <w:rPr>
          <w:rFonts w:ascii="Arial" w:cs="Arial" w:eastAsia="Arial" w:hAnsi="Arial"/>
          <w:sz w:val="18"/>
          <w:szCs w:val="18"/>
          <w:color w:val="auto"/>
        </w:rPr>
        <w:t xml:space="preserve"> from 2K Games,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from Social Point, as well as from full-game digital sales of </w:t>
      </w:r>
      <w:r>
        <w:rPr>
          <w:rFonts w:ascii="Arial" w:cs="Arial" w:eastAsia="Arial" w:hAnsi="Arial"/>
          <w:sz w:val="18"/>
          <w:szCs w:val="18"/>
          <w:i w:val="1"/>
          <w:iCs w:val="1"/>
          <w:color w:val="auto"/>
        </w:rPr>
        <w:t>The Outer Worlds</w:t>
      </w:r>
      <w:r>
        <w:rPr>
          <w:rFonts w:ascii="Arial" w:cs="Arial" w:eastAsia="Arial" w:hAnsi="Arial"/>
          <w:sz w:val="18"/>
          <w:szCs w:val="18"/>
          <w:color w:val="auto"/>
        </w:rPr>
        <w:t xml:space="preserve"> from Private Division, to support an array of COVID-19 charities and local businesses in need.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Business and Product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Rockstar Games:</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Released new free content updates for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including:</w:t>
      </w:r>
    </w:p>
    <w:p>
      <w:pPr>
        <w:spacing w:after="0" w:line="23" w:lineRule="exact"/>
        <w:rPr>
          <w:rFonts w:ascii="Arial" w:cs="Arial" w:eastAsia="Arial" w:hAnsi="Arial"/>
          <w:sz w:val="18"/>
          <w:szCs w:val="18"/>
          <w:color w:val="auto"/>
        </w:rPr>
      </w:pPr>
    </w:p>
    <w:p>
      <w:pPr>
        <w:ind w:left="660" w:right="80" w:hanging="324"/>
        <w:spacing w:after="0" w:line="250" w:lineRule="auto"/>
        <w:rPr>
          <w:rFonts w:ascii="Arial" w:cs="Arial" w:eastAsia="Arial" w:hAnsi="Arial"/>
          <w:sz w:val="18"/>
          <w:szCs w:val="18"/>
          <w:color w:val="auto"/>
        </w:rPr>
      </w:pPr>
      <w:r>
        <w:rPr>
          <w:rFonts w:ascii="Arial" w:cs="Arial" w:eastAsia="Arial" w:hAnsi="Arial"/>
          <w:sz w:val="18"/>
          <w:szCs w:val="18"/>
          <w:color w:val="auto"/>
        </w:rPr>
        <w:t>o Open Wheel Races, which is a new racing mode featuring seven new tracks and a new vehicle class, which includes two brand new Open Wheel vehicles: the Progen PR4 and Ocelot R88.</w:t>
      </w:r>
    </w:p>
    <w:p>
      <w:pPr>
        <w:ind w:left="340" w:right="8360"/>
        <w:spacing w:after="0" w:line="250" w:lineRule="auto"/>
        <w:rPr>
          <w:rFonts w:ascii="Arial" w:cs="Arial" w:eastAsia="Arial" w:hAnsi="Arial"/>
          <w:sz w:val="18"/>
          <w:szCs w:val="18"/>
          <w:color w:val="auto"/>
        </w:rPr>
      </w:pPr>
      <w:r>
        <w:rPr>
          <w:rFonts w:ascii="Arial" w:cs="Arial" w:eastAsia="Arial" w:hAnsi="Arial"/>
          <w:sz w:val="18"/>
          <w:szCs w:val="18"/>
          <w:color w:val="auto"/>
        </w:rPr>
        <w:t>o Nine additional new vehicles. o New clothing.</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Released new free content updates for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including:</w:t>
      </w:r>
    </w:p>
    <w:p>
      <w:pPr>
        <w:spacing w:after="0" w:line="9" w:lineRule="exact"/>
        <w:rPr>
          <w:rFonts w:ascii="Arial" w:cs="Arial" w:eastAsia="Arial" w:hAnsi="Arial"/>
          <w:sz w:val="18"/>
          <w:szCs w:val="18"/>
          <w:color w:val="auto"/>
        </w:rPr>
      </w:pPr>
    </w:p>
    <w:p>
      <w:pPr>
        <w:ind w:left="660" w:right="60" w:hanging="324"/>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Photo Mode and Story Mode additions, which were originally available on PlayStation 4, PC and Stadia, and brought to Xbox One, alongside new clothing items and emotes for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players.</w:t>
      </w:r>
    </w:p>
    <w:p>
      <w:pPr>
        <w:ind w:left="340"/>
        <w:spacing w:after="0" w:line="250" w:lineRule="auto"/>
        <w:rPr>
          <w:rFonts w:ascii="Arial" w:cs="Arial" w:eastAsia="Arial" w:hAnsi="Arial"/>
          <w:sz w:val="18"/>
          <w:szCs w:val="18"/>
          <w:color w:val="auto"/>
        </w:rPr>
      </w:pPr>
      <w:r>
        <w:rPr>
          <w:rFonts w:ascii="Arial" w:cs="Arial" w:eastAsia="Arial" w:hAnsi="Arial"/>
          <w:sz w:val="18"/>
          <w:szCs w:val="18"/>
          <w:color w:val="auto"/>
        </w:rPr>
        <w:t>o Game play variations and new maps for the following Showdown Series: Overrun, Spoils of War, Plunder, Up in Smoke and Name Your Weapon. o New clothing items.</w:t>
      </w:r>
    </w:p>
    <w:p>
      <w:pPr>
        <w:ind w:left="340" w:right="1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Announced numerous critical and commercial achievements across multiple titles, including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and a record-breaking holiday season with its two online worlds, </w:t>
      </w:r>
      <w:r>
        <w:rPr>
          <w:rFonts w:ascii="Arial" w:cs="Arial" w:eastAsia="Arial" w:hAnsi="Arial"/>
          <w:sz w:val="18"/>
          <w:szCs w:val="18"/>
          <w:i w:val="1"/>
          <w:iCs w:val="1"/>
          <w:color w:val="auto"/>
        </w:rPr>
        <w:t>GTA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Records included:</w:t>
      </w:r>
    </w:p>
    <w:p>
      <w:pPr>
        <w:ind w:left="340" w:right="240"/>
        <w:spacing w:after="0" w:line="265" w:lineRule="auto"/>
        <w:rPr>
          <w:rFonts w:ascii="Arial" w:cs="Arial" w:eastAsia="Arial" w:hAnsi="Arial"/>
          <w:sz w:val="18"/>
          <w:szCs w:val="18"/>
          <w:color w:val="auto"/>
        </w:rPr>
      </w:pPr>
      <w:r>
        <w:rPr>
          <w:rFonts w:ascii="Arial" w:cs="Arial" w:eastAsia="Arial" w:hAnsi="Arial"/>
          <w:sz w:val="17"/>
          <w:szCs w:val="17"/>
          <w:color w:val="auto"/>
        </w:rPr>
        <w:t xml:space="preserve">o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was the best-selling game of the past decade in the U.S., based on both unit and dollar sales, according to the NPD Group. o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was the top title of the last four years based on U.S. dollar sales, according to the NPD Group.</w:t>
      </w:r>
    </w:p>
    <w:p>
      <w:pPr>
        <w:ind w:left="660" w:right="100" w:hanging="324"/>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has had its biggest series of back-to-back updates ever in terms of player numbers, with new records set in December and the quarter ending December 31, 2019, following the release of the </w:t>
      </w:r>
      <w:r>
        <w:rPr>
          <w:rFonts w:ascii="Arial" w:cs="Arial" w:eastAsia="Arial" w:hAnsi="Arial"/>
          <w:sz w:val="18"/>
          <w:szCs w:val="18"/>
          <w:i w:val="1"/>
          <w:iCs w:val="1"/>
          <w:color w:val="auto"/>
        </w:rPr>
        <w:t>Diamond Casino &amp; Resort</w:t>
      </w:r>
      <w:r>
        <w:rPr>
          <w:rFonts w:ascii="Arial" w:cs="Arial" w:eastAsia="Arial" w:hAnsi="Arial"/>
          <w:sz w:val="18"/>
          <w:szCs w:val="18"/>
          <w:color w:val="auto"/>
        </w:rPr>
        <w:t xml:space="preserve"> update in July 2019 and the </w:t>
      </w:r>
      <w:r>
        <w:rPr>
          <w:rFonts w:ascii="Arial" w:cs="Arial" w:eastAsia="Arial" w:hAnsi="Arial"/>
          <w:sz w:val="18"/>
          <w:szCs w:val="18"/>
          <w:i w:val="1"/>
          <w:iCs w:val="1"/>
          <w:color w:val="auto"/>
        </w:rPr>
        <w:t>Diamond Casino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Heist </w:t>
      </w:r>
      <w:r>
        <w:rPr>
          <w:rFonts w:ascii="Arial" w:cs="Arial" w:eastAsia="Arial" w:hAnsi="Arial"/>
          <w:sz w:val="18"/>
          <w:szCs w:val="18"/>
          <w:color w:val="auto"/>
        </w:rPr>
        <w:t>in December 2019.</w:t>
      </w:r>
    </w:p>
    <w:p>
      <w:pPr>
        <w:spacing w:after="0" w:line="1" w:lineRule="exact"/>
        <w:rPr>
          <w:rFonts w:ascii="Arial" w:cs="Arial" w:eastAsia="Arial" w:hAnsi="Arial"/>
          <w:sz w:val="18"/>
          <w:szCs w:val="18"/>
          <w:color w:val="auto"/>
        </w:rPr>
      </w:pPr>
    </w:p>
    <w:p>
      <w:pPr>
        <w:ind w:left="660" w:right="560" w:hanging="324"/>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hit a new peak in player numbers in December following the release of the latest update, Moonshiners, and topped those numbers again in January.</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2K:</w:t>
      </w:r>
    </w:p>
    <w:p>
      <w:pPr>
        <w:spacing w:after="0" w:line="229" w:lineRule="exact"/>
        <w:rPr>
          <w:sz w:val="20"/>
          <w:szCs w:val="20"/>
          <w:color w:val="auto"/>
        </w:rPr>
      </w:pPr>
    </w:p>
    <w:p>
      <w:pPr>
        <w:ind w:left="340" w:right="20" w:hanging="332"/>
        <w:spacing w:after="0" w:line="25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together with The National Football League (NFL), a multi-year partnership encompassing multiple future video games. The partnership marks the return of football-themed games to 2K’s stable of notable sports titles and original IP, as well as an expansion of video game properties for the NFL. The games will be non-simulation football game experiences, which will launch starting in calendar year 2021, during Take-Two’s fiscal year 2022.</w:t>
      </w:r>
    </w:p>
    <w:p>
      <w:pPr>
        <w:spacing w:after="0" w:line="2" w:lineRule="exact"/>
        <w:rPr>
          <w:rFonts w:ascii="Arial" w:cs="Arial" w:eastAsia="Arial" w:hAnsi="Arial"/>
          <w:sz w:val="18"/>
          <w:szCs w:val="18"/>
          <w:color w:val="auto"/>
        </w:rPr>
      </w:pPr>
    </w:p>
    <w:p>
      <w:pPr>
        <w:ind w:left="340" w:right="12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Released </w:t>
      </w:r>
      <w:r>
        <w:rPr>
          <w:rFonts w:ascii="Arial" w:cs="Arial" w:eastAsia="Arial" w:hAnsi="Arial"/>
          <w:sz w:val="18"/>
          <w:szCs w:val="18"/>
          <w:i w:val="1"/>
          <w:iCs w:val="1"/>
          <w:color w:val="auto"/>
        </w:rPr>
        <w:t>XCOM®: Chimera Squad</w:t>
      </w:r>
      <w:r>
        <w:rPr>
          <w:rFonts w:ascii="Arial" w:cs="Arial" w:eastAsia="Arial" w:hAnsi="Arial"/>
          <w:sz w:val="18"/>
          <w:szCs w:val="18"/>
          <w:color w:val="auto"/>
        </w:rPr>
        <w:t xml:space="preserve"> digitally for PC. </w:t>
      </w:r>
      <w:r>
        <w:rPr>
          <w:rFonts w:ascii="Arial" w:cs="Arial" w:eastAsia="Arial" w:hAnsi="Arial"/>
          <w:sz w:val="18"/>
          <w:szCs w:val="18"/>
          <w:i w:val="1"/>
          <w:iCs w:val="1"/>
          <w:color w:val="auto"/>
        </w:rPr>
        <w:t>XCOM: Chimera Squad</w:t>
      </w:r>
      <w:r>
        <w:rPr>
          <w:rFonts w:ascii="Arial" w:cs="Arial" w:eastAsia="Arial" w:hAnsi="Arial"/>
          <w:sz w:val="18"/>
          <w:szCs w:val="18"/>
          <w:color w:val="auto"/>
        </w:rPr>
        <w:t xml:space="preserve"> is an all-new standalone title in the award-winning, turn-based, </w:t>
      </w:r>
      <w:r>
        <w:rPr>
          <w:rFonts w:ascii="Arial" w:cs="Arial" w:eastAsia="Arial" w:hAnsi="Arial"/>
          <w:sz w:val="18"/>
          <w:szCs w:val="18"/>
          <w:i w:val="1"/>
          <w:iCs w:val="1"/>
          <w:color w:val="auto"/>
        </w:rPr>
        <w:t>XCOM</w:t>
      </w:r>
      <w:r>
        <w:rPr>
          <w:rFonts w:ascii="Arial" w:cs="Arial" w:eastAsia="Arial" w:hAnsi="Arial"/>
          <w:sz w:val="18"/>
          <w:szCs w:val="18"/>
          <w:color w:val="auto"/>
        </w:rPr>
        <w:t xml:space="preserve"> tactical series.</w:t>
      </w: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Guns, Love, and Tentacles: The Marriage of Wainwright &amp; Hammerlock</w:t>
      </w:r>
      <w:r>
        <w:rPr>
          <w:rFonts w:ascii="Arial" w:cs="Arial" w:eastAsia="Arial" w:hAnsi="Arial"/>
          <w:sz w:val="18"/>
          <w:szCs w:val="18"/>
          <w:color w:val="auto"/>
        </w:rPr>
        <w:t xml:space="preserve">, the second campaign add-on for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for PC, PlayStation 4, Xbox One and Stadia. The four paid campaign add-ons for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are included with the </w:t>
      </w:r>
      <w:r>
        <w:rPr>
          <w:rFonts w:ascii="Arial" w:cs="Arial" w:eastAsia="Arial" w:hAnsi="Arial"/>
          <w:sz w:val="18"/>
          <w:szCs w:val="18"/>
          <w:i w:val="1"/>
          <w:iCs w:val="1"/>
          <w:color w:val="auto"/>
        </w:rPr>
        <w:t>Borderlands 3 Super Deluxe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Edition </w:t>
      </w:r>
      <w:r>
        <w:rPr>
          <w:rFonts w:ascii="Arial" w:cs="Arial" w:eastAsia="Arial" w:hAnsi="Arial"/>
          <w:sz w:val="18"/>
          <w:szCs w:val="18"/>
          <w:color w:val="auto"/>
        </w:rPr>
        <w:t>and Season Pass, or for purchase separately.</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Launched, together with Gearbox Software, </w:t>
      </w:r>
      <w:r>
        <w:rPr>
          <w:rFonts w:ascii="Arial" w:cs="Arial" w:eastAsia="Arial" w:hAnsi="Arial"/>
          <w:sz w:val="18"/>
          <w:szCs w:val="18"/>
          <w:i w:val="1"/>
          <w:iCs w:val="1"/>
          <w:color w:val="auto"/>
        </w:rPr>
        <w:t>Borderlands Science,</w:t>
      </w:r>
      <w:r>
        <w:rPr>
          <w:rFonts w:ascii="Arial" w:cs="Arial" w:eastAsia="Arial" w:hAnsi="Arial"/>
          <w:sz w:val="18"/>
          <w:szCs w:val="18"/>
          <w:color w:val="auto"/>
        </w:rPr>
        <w:t xml:space="preserve"> an interactive game within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that invites players to map the human gut microbiome to advance vital medical studies while earning in-game rewards. This major initiative is the result of international partnerships with researchers and scientists at McGill University, Massively Multiplayer Online Science (MMOS), and The Microsetta Initiative at UC San Diego School of Medicine. Emmy-nominated Big Bang Theory star and scientist Dr. Mayim Bialik lent her voice to the project, helping guide players on their journey.</w:t>
      </w:r>
    </w:p>
    <w:p>
      <w:pPr>
        <w:spacing w:after="0" w:line="1"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Announced </w:t>
      </w:r>
      <w:r>
        <w:rPr>
          <w:rFonts w:ascii="Arial" w:cs="Arial" w:eastAsia="Arial" w:hAnsi="Arial"/>
          <w:sz w:val="18"/>
          <w:szCs w:val="18"/>
          <w:i w:val="1"/>
          <w:iCs w:val="1"/>
          <w:color w:val="auto"/>
        </w:rPr>
        <w:t>WWE 2K Battlegrounds</w:t>
      </w:r>
      <w:r>
        <w:rPr>
          <w:rFonts w:ascii="Arial" w:cs="Arial" w:eastAsia="Arial" w:hAnsi="Arial"/>
          <w:sz w:val="18"/>
          <w:szCs w:val="18"/>
          <w:color w:val="auto"/>
        </w:rPr>
        <w:t xml:space="preserve">, a completely new WWE gaming experience that will feature arcade-style action and over-the-top Superstar designs, environments and moves. </w:t>
      </w:r>
      <w:r>
        <w:rPr>
          <w:rFonts w:ascii="Arial" w:cs="Arial" w:eastAsia="Arial" w:hAnsi="Arial"/>
          <w:sz w:val="18"/>
          <w:szCs w:val="18"/>
          <w:i w:val="1"/>
          <w:iCs w:val="1"/>
          <w:color w:val="auto"/>
        </w:rPr>
        <w:t>WWE 2K Battlegrounds</w:t>
      </w:r>
      <w:r>
        <w:rPr>
          <w:rFonts w:ascii="Arial" w:cs="Arial" w:eastAsia="Arial" w:hAnsi="Arial"/>
          <w:sz w:val="18"/>
          <w:szCs w:val="18"/>
          <w:color w:val="auto"/>
        </w:rPr>
        <w:t xml:space="preserve"> is being developed by Saber Interactive, the studio behind </w:t>
      </w:r>
      <w:r>
        <w:rPr>
          <w:rFonts w:ascii="Arial" w:cs="Arial" w:eastAsia="Arial" w:hAnsi="Arial"/>
          <w:sz w:val="18"/>
          <w:szCs w:val="18"/>
          <w:i w:val="1"/>
          <w:iCs w:val="1"/>
          <w:color w:val="auto"/>
        </w:rPr>
        <w:t>NBA 2K Playgrounds</w:t>
      </w:r>
      <w:r>
        <w:rPr>
          <w:rFonts w:ascii="Arial" w:cs="Arial" w:eastAsia="Arial" w:hAnsi="Arial"/>
          <w:sz w:val="18"/>
          <w:szCs w:val="18"/>
          <w:color w:val="auto"/>
        </w:rPr>
        <w:t xml:space="preserve">, and is scheduled to launch this fall. In conjunction with this announcement, 2K said they are extending the production timeline and will not be releasing a </w:t>
      </w:r>
      <w:r>
        <w:rPr>
          <w:rFonts w:ascii="Arial" w:cs="Arial" w:eastAsia="Arial" w:hAnsi="Arial"/>
          <w:sz w:val="18"/>
          <w:szCs w:val="18"/>
          <w:i w:val="1"/>
          <w:iCs w:val="1"/>
          <w:color w:val="auto"/>
        </w:rPr>
        <w:t xml:space="preserve">WWE 2K </w:t>
      </w:r>
      <w:r>
        <w:rPr>
          <w:rFonts w:ascii="Arial" w:cs="Arial" w:eastAsia="Arial" w:hAnsi="Arial"/>
          <w:sz w:val="18"/>
          <w:szCs w:val="18"/>
          <w:color w:val="auto"/>
        </w:rPr>
        <w:t>simulation game in fiscal year 2021.</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that 2K Silicon Valley, the label’s wholly-owned development studio founded in February 2019 and led by video game industry veteran Michael Condrey, will officially be known as 31st Union. Along with revealing its new state-of-the-art development facility, branding, core values, and commitment to further establish its identity, the studio also plans to expand its presence internationally, beginning with a European location based in Spain.</w:t>
      </w:r>
    </w:p>
    <w:p>
      <w:pPr>
        <w:spacing w:after="0" w:line="1" w:lineRule="exact"/>
        <w:rPr>
          <w:rFonts w:ascii="Arial" w:cs="Arial" w:eastAsia="Arial" w:hAnsi="Arial"/>
          <w:sz w:val="18"/>
          <w:szCs w:val="18"/>
          <w:color w:val="auto"/>
        </w:rPr>
      </w:pPr>
    </w:p>
    <w:p>
      <w:pPr>
        <w:ind w:left="340" w:right="3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NBA 2K League</w:t>
      </w:r>
      <w:r>
        <w:rPr>
          <w:rFonts w:ascii="Arial" w:cs="Arial" w:eastAsia="Arial" w:hAnsi="Arial"/>
          <w:sz w:val="18"/>
          <w:szCs w:val="18"/>
          <w:color w:val="auto"/>
        </w:rPr>
        <w:t xml:space="preserve"> started its 2020 regular season on May 5, 2020 with at least six weeks of remote gameplay. All 23 </w:t>
      </w:r>
      <w:r>
        <w:rPr>
          <w:rFonts w:ascii="Arial" w:cs="Arial" w:eastAsia="Arial" w:hAnsi="Arial"/>
          <w:sz w:val="18"/>
          <w:szCs w:val="18"/>
          <w:i w:val="1"/>
          <w:iCs w:val="1"/>
          <w:color w:val="auto"/>
        </w:rPr>
        <w:t>NBA 2K League</w:t>
      </w:r>
      <w:r>
        <w:rPr>
          <w:rFonts w:ascii="Arial" w:cs="Arial" w:eastAsia="Arial" w:hAnsi="Arial"/>
          <w:sz w:val="18"/>
          <w:szCs w:val="18"/>
          <w:color w:val="auto"/>
        </w:rPr>
        <w:t xml:space="preserve"> teams will participate in regular-season gameplay in their local markets from their homes with games simulcast live on the </w:t>
      </w:r>
      <w:r>
        <w:rPr>
          <w:rFonts w:ascii="Arial" w:cs="Arial" w:eastAsia="Arial" w:hAnsi="Arial"/>
          <w:sz w:val="18"/>
          <w:szCs w:val="18"/>
          <w:i w:val="1"/>
          <w:iCs w:val="1"/>
          <w:color w:val="auto"/>
        </w:rPr>
        <w:t>NBA 2K League</w:t>
      </w:r>
      <w:r>
        <w:rPr>
          <w:rFonts w:ascii="Arial" w:cs="Arial" w:eastAsia="Arial" w:hAnsi="Arial"/>
          <w:sz w:val="18"/>
          <w:szCs w:val="18"/>
          <w:color w:val="auto"/>
        </w:rPr>
        <w:t>’s Twitch and YouTube channels.</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Announced the </w:t>
      </w:r>
      <w:r>
        <w:rPr>
          <w:rFonts w:ascii="Arial" w:cs="Arial" w:eastAsia="Arial" w:hAnsi="Arial"/>
          <w:sz w:val="18"/>
          <w:szCs w:val="18"/>
          <w:i w:val="1"/>
          <w:iCs w:val="1"/>
          <w:color w:val="auto"/>
        </w:rPr>
        <w:t>Sid Meier's Civilization VI – New Frontier Pass</w:t>
      </w:r>
      <w:r>
        <w:rPr>
          <w:rFonts w:ascii="Arial" w:cs="Arial" w:eastAsia="Arial" w:hAnsi="Arial"/>
          <w:sz w:val="18"/>
          <w:szCs w:val="18"/>
          <w:color w:val="auto"/>
        </w:rPr>
        <w:t xml:space="preserve"> that will provide eight new civilizations, nine new leaders, and a variety of new gameplay modes and content for the strategy title from Firaxis Games. The new content will be delivered to consumers via six downloadable packs on a bimonthly basis from May 2020 to March 2021.</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Announced </w:t>
      </w:r>
      <w:r>
        <w:rPr>
          <w:rFonts w:ascii="Arial" w:cs="Arial" w:eastAsia="Arial" w:hAnsi="Arial"/>
          <w:sz w:val="18"/>
          <w:szCs w:val="18"/>
          <w:i w:val="1"/>
          <w:iCs w:val="1"/>
          <w:color w:val="auto"/>
        </w:rPr>
        <w:t>PGA Tour 2K21</w:t>
      </w:r>
      <w:r>
        <w:rPr>
          <w:rFonts w:ascii="Arial" w:cs="Arial" w:eastAsia="Arial" w:hAnsi="Arial"/>
          <w:sz w:val="18"/>
          <w:szCs w:val="18"/>
          <w:color w:val="auto"/>
        </w:rPr>
        <w:t xml:space="preserve"> from HB Studios is planned for launch on August 21, 2020 for PlayStation 4, Xbox One, Switch (digital), PC and Stadia. The game will feature PGA Tour professional Justin Thomas as its cover athlete; officially licensed pro players, courses and gear; the most realistic course scanning to date; play-by-play commentary by Luke Elvy and Rich Beem; a new PGA TOUR Career Mode, online and local multiplayer; course and player customization; and online societies.</w:t>
      </w:r>
    </w:p>
    <w:p>
      <w:pPr>
        <w:spacing w:after="0" w:line="1" w:lineRule="exact"/>
        <w:rPr>
          <w:rFonts w:ascii="Arial" w:cs="Arial" w:eastAsia="Arial" w:hAnsi="Arial"/>
          <w:sz w:val="18"/>
          <w:szCs w:val="18"/>
          <w:color w:val="auto"/>
        </w:rPr>
      </w:pPr>
    </w:p>
    <w:p>
      <w:pPr>
        <w:jc w:val="both"/>
        <w:ind w:left="340" w:right="2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Announced </w:t>
      </w:r>
      <w:r>
        <w:rPr>
          <w:rFonts w:ascii="Arial" w:cs="Arial" w:eastAsia="Arial" w:hAnsi="Arial"/>
          <w:sz w:val="18"/>
          <w:szCs w:val="18"/>
          <w:i w:val="1"/>
          <w:iCs w:val="1"/>
          <w:color w:val="auto"/>
        </w:rPr>
        <w:t>Mafia Trilogy</w:t>
      </w:r>
      <w:r>
        <w:rPr>
          <w:rFonts w:ascii="Arial" w:cs="Arial" w:eastAsia="Arial" w:hAnsi="Arial"/>
          <w:sz w:val="18"/>
          <w:szCs w:val="18"/>
          <w:color w:val="auto"/>
        </w:rPr>
        <w:t xml:space="preserve">, which combines all three previously released </w:t>
      </w:r>
      <w:r>
        <w:rPr>
          <w:rFonts w:ascii="Arial" w:cs="Arial" w:eastAsia="Arial" w:hAnsi="Arial"/>
          <w:sz w:val="18"/>
          <w:szCs w:val="18"/>
          <w:i w:val="1"/>
          <w:iCs w:val="1"/>
          <w:color w:val="auto"/>
        </w:rPr>
        <w:t>Mafia</w:t>
      </w:r>
      <w:r>
        <w:rPr>
          <w:rFonts w:ascii="Arial" w:cs="Arial" w:eastAsia="Arial" w:hAnsi="Arial"/>
          <w:sz w:val="18"/>
          <w:szCs w:val="18"/>
          <w:color w:val="auto"/>
        </w:rPr>
        <w:t xml:space="preserve"> titles into a single package for PlayStation 4, Xbox One and PC. On May 19, 2020, </w:t>
      </w:r>
      <w:r>
        <w:rPr>
          <w:rFonts w:ascii="Arial" w:cs="Arial" w:eastAsia="Arial" w:hAnsi="Arial"/>
          <w:sz w:val="18"/>
          <w:szCs w:val="18"/>
          <w:i w:val="1"/>
          <w:iCs w:val="1"/>
          <w:color w:val="auto"/>
        </w:rPr>
        <w:t>Mafia II</w:t>
      </w:r>
      <w:r>
        <w:rPr>
          <w:rFonts w:ascii="Arial" w:cs="Arial" w:eastAsia="Arial" w:hAnsi="Arial"/>
          <w:sz w:val="18"/>
          <w:szCs w:val="18"/>
          <w:color w:val="auto"/>
        </w:rPr>
        <w:t xml:space="preserve"> and </w:t>
      </w:r>
      <w:r>
        <w:rPr>
          <w:rFonts w:ascii="Arial" w:cs="Arial" w:eastAsia="Arial" w:hAnsi="Arial"/>
          <w:sz w:val="18"/>
          <w:szCs w:val="18"/>
          <w:i w:val="1"/>
          <w:iCs w:val="1"/>
          <w:color w:val="auto"/>
        </w:rPr>
        <w:t>Mafia III</w:t>
      </w:r>
      <w:r>
        <w:rPr>
          <w:rFonts w:ascii="Arial" w:cs="Arial" w:eastAsia="Arial" w:hAnsi="Arial"/>
          <w:sz w:val="18"/>
          <w:szCs w:val="18"/>
          <w:color w:val="auto"/>
        </w:rPr>
        <w:t xml:space="preserve"> launched as part of the collection, while Mafia I will become available later this summer, as the game is being completely remade, including new technology, new voice acting, new game mechanics, and more.</w:t>
      </w:r>
    </w:p>
    <w:p>
      <w:pPr>
        <w:spacing w:after="0" w:line="1" w:lineRule="exact"/>
        <w:rPr>
          <w:rFonts w:ascii="Arial" w:cs="Arial" w:eastAsia="Arial" w:hAnsi="Arial"/>
          <w:sz w:val="18"/>
          <w:szCs w:val="18"/>
          <w:color w:val="auto"/>
        </w:rPr>
      </w:pPr>
    </w:p>
    <w:p>
      <w:pPr>
        <w:ind w:left="340" w:right="62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Announced </w:t>
      </w:r>
      <w:r>
        <w:rPr>
          <w:rFonts w:ascii="Arial" w:cs="Arial" w:eastAsia="Arial" w:hAnsi="Arial"/>
          <w:sz w:val="18"/>
          <w:szCs w:val="18"/>
          <w:i w:val="1"/>
          <w:iCs w:val="1"/>
          <w:color w:val="auto"/>
        </w:rPr>
        <w:t>BioShock: The Collection</w:t>
      </w:r>
      <w:r>
        <w:rPr>
          <w:rFonts w:ascii="Arial" w:cs="Arial" w:eastAsia="Arial" w:hAnsi="Arial"/>
          <w:sz w:val="18"/>
          <w:szCs w:val="18"/>
          <w:color w:val="auto"/>
        </w:rPr>
        <w:t xml:space="preserve">, </w:t>
      </w:r>
      <w:r>
        <w:rPr>
          <w:rFonts w:ascii="Arial" w:cs="Arial" w:eastAsia="Arial" w:hAnsi="Arial"/>
          <w:sz w:val="18"/>
          <w:szCs w:val="18"/>
          <w:i w:val="1"/>
          <w:iCs w:val="1"/>
          <w:color w:val="auto"/>
        </w:rPr>
        <w:t>XCOM 2 Collection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Borderlands Legendary Collection</w:t>
      </w:r>
      <w:r>
        <w:rPr>
          <w:rFonts w:ascii="Arial" w:cs="Arial" w:eastAsia="Arial" w:hAnsi="Arial"/>
          <w:sz w:val="18"/>
          <w:szCs w:val="18"/>
          <w:color w:val="auto"/>
        </w:rPr>
        <w:t xml:space="preserve"> are planned for launch on Nintendo Switch worldwide on May 29, 2020.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Private Division:</w:t>
      </w:r>
    </w:p>
    <w:p>
      <w:pPr>
        <w:spacing w:after="0" w:line="229" w:lineRule="exact"/>
        <w:rPr>
          <w:sz w:val="20"/>
          <w:szCs w:val="20"/>
          <w:color w:val="auto"/>
        </w:rPr>
      </w:pPr>
    </w:p>
    <w:p>
      <w:pPr>
        <w:ind w:left="340" w:hanging="332"/>
        <w:spacing w:after="0" w:line="274"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Announced that </w:t>
      </w:r>
      <w:r>
        <w:rPr>
          <w:rFonts w:ascii="Arial" w:cs="Arial" w:eastAsia="Arial" w:hAnsi="Arial"/>
          <w:sz w:val="17"/>
          <w:szCs w:val="17"/>
          <w:i w:val="1"/>
          <w:iCs w:val="1"/>
          <w:color w:val="auto"/>
        </w:rPr>
        <w:t>Kerbal Space Program 2</w:t>
      </w:r>
      <w:r>
        <w:rPr>
          <w:rFonts w:ascii="Arial" w:cs="Arial" w:eastAsia="Arial" w:hAnsi="Arial"/>
          <w:sz w:val="17"/>
          <w:szCs w:val="17"/>
          <w:color w:val="auto"/>
        </w:rPr>
        <w:t xml:space="preserve"> is being moved to Fall 2021 and will launch on PlayStation 4, Xbox One and PC due to delays from COVID-19, in order to provide the development team with the time they need to create the best </w:t>
      </w:r>
      <w:r>
        <w:rPr>
          <w:rFonts w:ascii="Arial" w:cs="Arial" w:eastAsia="Arial" w:hAnsi="Arial"/>
          <w:sz w:val="17"/>
          <w:szCs w:val="17"/>
          <w:i w:val="1"/>
          <w:iCs w:val="1"/>
          <w:color w:val="auto"/>
        </w:rPr>
        <w:t>Kerbal Space Program</w:t>
      </w:r>
      <w:r>
        <w:rPr>
          <w:rFonts w:ascii="Arial" w:cs="Arial" w:eastAsia="Arial" w:hAnsi="Arial"/>
          <w:sz w:val="17"/>
          <w:szCs w:val="17"/>
          <w:color w:val="auto"/>
        </w:rPr>
        <w:t xml:space="preserve"> experience possible.</w:t>
      </w:r>
    </w:p>
    <w:p>
      <w:pPr>
        <w:ind w:left="340" w:right="6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Announced a partnership with the European Space Agency to launch a new </w:t>
      </w:r>
      <w:r>
        <w:rPr>
          <w:rFonts w:ascii="Arial" w:cs="Arial" w:eastAsia="Arial" w:hAnsi="Arial"/>
          <w:sz w:val="18"/>
          <w:szCs w:val="18"/>
          <w:i w:val="1"/>
          <w:iCs w:val="1"/>
          <w:color w:val="auto"/>
        </w:rPr>
        <w:t>Kerbal Space Program</w:t>
      </w:r>
      <w:r>
        <w:rPr>
          <w:rFonts w:ascii="Arial" w:cs="Arial" w:eastAsia="Arial" w:hAnsi="Arial"/>
          <w:sz w:val="18"/>
          <w:szCs w:val="18"/>
          <w:color w:val="auto"/>
        </w:rPr>
        <w:t xml:space="preserve"> update, entitled </w:t>
      </w:r>
      <w:r>
        <w:rPr>
          <w:rFonts w:ascii="Arial" w:cs="Arial" w:eastAsia="Arial" w:hAnsi="Arial"/>
          <w:sz w:val="18"/>
          <w:szCs w:val="18"/>
          <w:i w:val="1"/>
          <w:iCs w:val="1"/>
          <w:color w:val="auto"/>
        </w:rPr>
        <w:t>Shared Horizons</w:t>
      </w:r>
      <w:r>
        <w:rPr>
          <w:rFonts w:ascii="Arial" w:cs="Arial" w:eastAsia="Arial" w:hAnsi="Arial"/>
          <w:sz w:val="18"/>
          <w:szCs w:val="18"/>
          <w:color w:val="auto"/>
        </w:rPr>
        <w:t>, which is planned to launch on PC on July 1, 2020. The update will also be available later this year on consoles.</w:t>
      </w:r>
    </w:p>
    <w:p>
      <w:pPr>
        <w:ind w:left="340" w:right="6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Announced that </w:t>
      </w:r>
      <w:r>
        <w:rPr>
          <w:rFonts w:ascii="Arial" w:cs="Arial" w:eastAsia="Arial" w:hAnsi="Arial"/>
          <w:sz w:val="18"/>
          <w:szCs w:val="18"/>
          <w:i w:val="1"/>
          <w:iCs w:val="1"/>
          <w:color w:val="auto"/>
        </w:rPr>
        <w:t>Disintegration</w:t>
      </w:r>
      <w:r>
        <w:rPr>
          <w:rFonts w:ascii="Arial" w:cs="Arial" w:eastAsia="Arial" w:hAnsi="Arial"/>
          <w:sz w:val="18"/>
          <w:szCs w:val="18"/>
          <w:color w:val="auto"/>
        </w:rPr>
        <w:t xml:space="preserve">, the debut title from V1 Interactive, the independent studio founded by Marcus Lehto, co-creator of </w:t>
      </w:r>
      <w:r>
        <w:rPr>
          <w:rFonts w:ascii="Arial" w:cs="Arial" w:eastAsia="Arial" w:hAnsi="Arial"/>
          <w:sz w:val="18"/>
          <w:szCs w:val="18"/>
          <w:i w:val="1"/>
          <w:iCs w:val="1"/>
          <w:color w:val="auto"/>
        </w:rPr>
        <w:t>Halo</w:t>
      </w:r>
      <w:r>
        <w:rPr>
          <w:rFonts w:ascii="Arial" w:cs="Arial" w:eastAsia="Arial" w:hAnsi="Arial"/>
          <w:sz w:val="18"/>
          <w:szCs w:val="18"/>
          <w:color w:val="auto"/>
        </w:rPr>
        <w:t xml:space="preserve">, will release digitally for PlayStation 4, Xbox One and PC on June 16, 2020. </w:t>
      </w:r>
      <w:r>
        <w:rPr>
          <w:rFonts w:ascii="Arial" w:cs="Arial" w:eastAsia="Arial" w:hAnsi="Arial"/>
          <w:sz w:val="18"/>
          <w:szCs w:val="18"/>
          <w:i w:val="1"/>
          <w:iCs w:val="1"/>
          <w:color w:val="auto"/>
        </w:rPr>
        <w:t>Disintegration</w:t>
      </w:r>
      <w:r>
        <w:rPr>
          <w:rFonts w:ascii="Arial" w:cs="Arial" w:eastAsia="Arial" w:hAnsi="Arial"/>
          <w:sz w:val="18"/>
          <w:szCs w:val="18"/>
          <w:color w:val="auto"/>
        </w:rPr>
        <w:t xml:space="preserve"> is a sci-fi, first-person shooter that blends real-time tactical elements to create an entirely new experience.</w:t>
      </w:r>
    </w:p>
    <w:p>
      <w:pPr>
        <w:spacing w:after="0" w:line="1" w:lineRule="exact"/>
        <w:rPr>
          <w:rFonts w:ascii="Arial" w:cs="Arial" w:eastAsia="Arial" w:hAnsi="Arial"/>
          <w:sz w:val="18"/>
          <w:szCs w:val="18"/>
          <w:color w:val="auto"/>
        </w:rPr>
      </w:pPr>
    </w:p>
    <w:p>
      <w:pPr>
        <w:ind w:left="340" w:right="36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Announced that </w:t>
      </w:r>
      <w:r>
        <w:rPr>
          <w:rFonts w:ascii="Arial" w:cs="Arial" w:eastAsia="Arial" w:hAnsi="Arial"/>
          <w:sz w:val="18"/>
          <w:szCs w:val="18"/>
          <w:i w:val="1"/>
          <w:iCs w:val="1"/>
          <w:color w:val="auto"/>
        </w:rPr>
        <w:t>The Outer Worlds</w:t>
      </w:r>
      <w:r>
        <w:rPr>
          <w:rFonts w:ascii="Arial" w:cs="Arial" w:eastAsia="Arial" w:hAnsi="Arial"/>
          <w:sz w:val="18"/>
          <w:szCs w:val="18"/>
          <w:color w:val="auto"/>
        </w:rPr>
        <w:t xml:space="preserve">, the award-winning title created by renowned RPG developer Obsidian Entertainment, will launch for Nintendo Switch on June 5, 2020. </w:t>
      </w:r>
      <w:r>
        <w:rPr>
          <w:rFonts w:ascii="Arial" w:cs="Arial" w:eastAsia="Arial" w:hAnsi="Arial"/>
          <w:sz w:val="18"/>
          <w:szCs w:val="18"/>
          <w:i w:val="1"/>
          <w:iCs w:val="1"/>
          <w:color w:val="auto"/>
        </w:rPr>
        <w:t>The Outer Worlds</w:t>
      </w:r>
      <w:r>
        <w:rPr>
          <w:rFonts w:ascii="Arial" w:cs="Arial" w:eastAsia="Arial" w:hAnsi="Arial"/>
          <w:sz w:val="18"/>
          <w:szCs w:val="18"/>
          <w:color w:val="auto"/>
        </w:rPr>
        <w:t xml:space="preserve"> is currently available on PlayStation 4, Xbox One and PC.</w:t>
      </w:r>
    </w:p>
    <w:p>
      <w:pPr>
        <w:ind w:left="340" w:right="80" w:hanging="332"/>
        <w:spacing w:after="0" w:line="290"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Announced the founding of a new studio located in the greater Seattle area, that is wholly focused on bringing to life the next generation of the </w:t>
      </w:r>
      <w:r>
        <w:rPr>
          <w:rFonts w:ascii="Arial" w:cs="Arial" w:eastAsia="Arial" w:hAnsi="Arial"/>
          <w:sz w:val="17"/>
          <w:szCs w:val="17"/>
          <w:i w:val="1"/>
          <w:iCs w:val="1"/>
          <w:color w:val="auto"/>
        </w:rPr>
        <w:t>Kerbal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Space Program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Kerbal Space Program 2 </w:t>
      </w:r>
      <w:r>
        <w:rPr>
          <w:rFonts w:ascii="Arial" w:cs="Arial" w:eastAsia="Arial" w:hAnsi="Arial"/>
          <w:sz w:val="17"/>
          <w:szCs w:val="17"/>
          <w:color w:val="auto"/>
        </w:rPr>
        <w:t>is scheduled to release during Fall 2021 on PlayStation 4, Xbox One and PC.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 for Fiscal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Take-Two is providing its initial outlook for its fiscal first quarter ending June 30, 2020 and its fiscal year ending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Ending June 30, 2020</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net revenue is expected to range from $775 to $825 million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net income is expected to range from $103 to $116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$0.90 to $1.00</w:t>
      </w:r>
    </w:p>
    <w:p>
      <w:pPr>
        <w:spacing w:after="0" w:line="9"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6"/>
        </w:numPr>
        <w:rPr>
          <w:rFonts w:ascii="Arial" w:cs="Arial" w:eastAsia="Arial" w:hAnsi="Arial"/>
          <w:sz w:val="28"/>
          <w:szCs w:val="28"/>
          <w:color w:val="auto"/>
          <w:vertAlign w:val="superscript"/>
        </w:rPr>
      </w:pPr>
      <w:r>
        <w:rPr>
          <w:rFonts w:ascii="Arial" w:cs="Arial" w:eastAsia="Arial" w:hAnsi="Arial"/>
          <w:sz w:val="15"/>
          <w:szCs w:val="15"/>
          <w:color w:val="auto"/>
        </w:rPr>
        <w:t xml:space="preserve">Share count used to calculate both GAAP and management reporting diluted net income per share is expected to be 114.8 million </w:t>
      </w:r>
      <w:r>
        <w:rPr>
          <w:rFonts w:ascii="Arial" w:cs="Arial" w:eastAsia="Arial" w:hAnsi="Arial"/>
          <w:sz w:val="23"/>
          <w:szCs w:val="23"/>
          <w:color w:val="auto"/>
          <w:vertAlign w:val="superscript"/>
        </w:rPr>
        <w:t>(1)</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$800 to $850 million</w:t>
      </w:r>
    </w:p>
    <w:p>
      <w:pPr>
        <w:spacing w:after="0" w:line="20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w w:val="91"/>
              </w:rPr>
              <w:t>Three Months Ending June 30, 2020</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3"/>
              </w:rPr>
              <w:t>Financial Data</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deferred net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Amortization of</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revenue and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acquired</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GAAP outlook</w:t>
            </w:r>
          </w:p>
        </w:tc>
        <w:tc>
          <w:tcPr>
            <w:tcW w:w="12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related cost of</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Stock-based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intangible</w:t>
            </w:r>
          </w:p>
        </w:tc>
      </w:tr>
      <w:tr>
        <w:trPr>
          <w:trHeight w:val="234"/>
        </w:trPr>
        <w:tc>
          <w:tcPr>
            <w:tcW w:w="540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53"/>
              <w:spacing w:after="0"/>
              <w:rPr>
                <w:sz w:val="20"/>
                <w:szCs w:val="20"/>
                <w:color w:val="auto"/>
              </w:rPr>
            </w:pPr>
            <w:r>
              <w:rPr>
                <w:rFonts w:ascii="Arial" w:cs="Arial" w:eastAsia="Arial" w:hAnsi="Arial"/>
                <w:sz w:val="15"/>
                <w:szCs w:val="15"/>
                <w:b w:val="1"/>
                <w:bCs w:val="1"/>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goods sold</w:t>
            </w: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compensation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8"/>
              </w:rPr>
              <w:t>assets</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$775 to $825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$392 to $418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$267 to $277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$119 to $133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w:t>
            </w:r>
          </w:p>
        </w:tc>
      </w:tr>
      <w:tr>
        <w:trPr>
          <w:trHeight w:val="648"/>
        </w:trPr>
        <w:tc>
          <w:tcPr>
            <w:tcW w:w="5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8</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Fiscal Year Ending March 31, 2021</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net revenue is expected to range from $2.63 to $2.73 billion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net income is expected to range from $299 to $329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$2.60 to $2.85</w:t>
      </w:r>
    </w:p>
    <w:p>
      <w:pPr>
        <w:spacing w:after="0" w:line="9"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5"/>
          <w:szCs w:val="15"/>
          <w:color w:val="auto"/>
        </w:rPr>
        <w:t xml:space="preserve">Share count used to calculate both GAAP and management reporting diluted net income per share is expected to be 115.1 million </w:t>
      </w:r>
      <w:r>
        <w:rPr>
          <w:rFonts w:ascii="Arial" w:cs="Arial" w:eastAsia="Arial" w:hAnsi="Arial"/>
          <w:sz w:val="23"/>
          <w:szCs w:val="23"/>
          <w:color w:val="auto"/>
          <w:vertAlign w:val="superscript"/>
        </w:rPr>
        <w:t>(3)</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over $560 million</w:t>
      </w:r>
    </w:p>
    <w:p>
      <w:pPr>
        <w:spacing w:after="0" w:line="7"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5"/>
          <w:szCs w:val="15"/>
          <w:color w:val="auto"/>
        </w:rPr>
        <w:t xml:space="preserve">Adjusted Unrestricted Operating Cash Flow (Non-GAAP) is expected to be over $350 million </w:t>
      </w:r>
      <w:r>
        <w:rPr>
          <w:rFonts w:ascii="Arial" w:cs="Arial" w:eastAsia="Arial" w:hAnsi="Arial"/>
          <w:sz w:val="23"/>
          <w:szCs w:val="23"/>
          <w:color w:val="auto"/>
          <w:vertAlign w:val="superscript"/>
        </w:rPr>
        <w:t>(4)</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$75 million</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$2.55 to $2.65 billion</w:t>
      </w:r>
    </w:p>
    <w:p>
      <w:pPr>
        <w:spacing w:after="0" w:line="21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w w:val="92"/>
              </w:rPr>
              <w:t>Twelve Months Ending March 31, 2021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3"/>
              </w:rPr>
              <w:t>Financial Data</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deferred net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Amortization of</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revenue and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acquired</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6"/>
              </w:rPr>
              <w:t>GAAP outlook</w:t>
            </w:r>
          </w:p>
        </w:tc>
        <w:tc>
          <w:tcPr>
            <w:tcW w:w="2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related cost of</w:t>
            </w: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Stock-based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intangible</w:t>
            </w:r>
          </w:p>
        </w:tc>
      </w:tr>
      <w:tr>
        <w:trPr>
          <w:trHeight w:val="234"/>
        </w:trPr>
        <w:tc>
          <w:tcPr>
            <w:tcW w:w="540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5"/>
                <w:szCs w:val="15"/>
                <w:b w:val="1"/>
                <w:bCs w:val="1"/>
                <w:color w:val="auto"/>
              </w:rPr>
              <w:t>(2)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goods sold</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compensation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8"/>
              </w:rPr>
              <w:t>assets</w:t>
            </w:r>
          </w:p>
        </w:tc>
      </w:tr>
      <w:tr>
        <w:trPr>
          <w:trHeight w:val="191"/>
        </w:trPr>
        <w:tc>
          <w:tcPr>
            <w:tcW w:w="5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$2,630 to</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b w:val="1"/>
                <w:bCs w:val="1"/>
                <w:color w:val="auto"/>
              </w:rPr>
              <w:t>$1,192 to</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b w:val="1"/>
                <w:bCs w:val="1"/>
                <w:color w:val="auto"/>
              </w:rPr>
              <w:t>$1,101 to</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$1,121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$344 to $378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r>
    </w:tbl>
    <w:p>
      <w:pPr>
        <w:spacing w:after="0" w:line="202" w:lineRule="exact"/>
        <w:rPr>
          <w:sz w:val="20"/>
          <w:szCs w:val="20"/>
          <w:color w:val="auto"/>
        </w:rPr>
      </w:pPr>
    </w:p>
    <w:p>
      <w:pPr>
        <w:ind w:left="720" w:hanging="334"/>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113.9 million basic shares and 0.9 million shares representing the potential dilution from unvested employee stock grants.</w:t>
      </w:r>
    </w:p>
    <w:p>
      <w:pPr>
        <w:spacing w:after="0" w:line="23" w:lineRule="exact"/>
        <w:rPr>
          <w:rFonts w:ascii="Arial" w:cs="Arial" w:eastAsia="Arial" w:hAnsi="Arial"/>
          <w:sz w:val="18"/>
          <w:szCs w:val="18"/>
          <w:color w:val="auto"/>
        </w:rPr>
      </w:pPr>
    </w:p>
    <w:p>
      <w:pPr>
        <w:ind w:left="720" w:right="40" w:hanging="334"/>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individual components of the financial outlook may not foot to the totals, as the Company does not expect actual results for every component to be at the low end or high end of the outlook range simultaneously.</w:t>
      </w:r>
    </w:p>
    <w:p>
      <w:pPr>
        <w:ind w:left="720" w:hanging="334"/>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114.2 million basic shares and 0.9 million shares representing the potential dilution from unvested employee stock grants.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$210 million net increase in restricted cash for fiscal 2021.</w:t>
      </w:r>
    </w:p>
    <w:p>
      <w:pPr>
        <w:spacing w:after="0" w:line="21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Key assumptions and dependencies underlying the Company’s outlook include: the timely delivery of the titles included in this financial outlook; a stable economic environment; continued consumer acceptance of Xbox One and PlayStation 4; the ability to develop and publish products that capture market share for these current generation systems while also leveraging opportunities on next-gen consoles, PC, mobile and other platforms; and stable foreign exchange rates. See also “Cautionary Note Regarding Forward Looking Statements”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Product Releases</w:t>
            </w:r>
          </w:p>
        </w:tc>
        <w:tc>
          <w:tcPr>
            <w:tcW w:w="44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53"/>
        </w:trPr>
        <w:tc>
          <w:tcPr>
            <w:tcW w:w="680" w:type="dxa"/>
            <w:vAlign w:val="bottom"/>
          </w:tcPr>
          <w:p>
            <w:pPr>
              <w:spacing w:after="0"/>
              <w:rPr>
                <w:sz w:val="24"/>
                <w:szCs w:val="24"/>
                <w:color w:val="auto"/>
              </w:rPr>
            </w:pPr>
          </w:p>
        </w:tc>
        <w:tc>
          <w:tcPr>
            <w:tcW w:w="5060" w:type="dxa"/>
            <w:vAlign w:val="bottom"/>
            <w:gridSpan w:val="4"/>
          </w:tcPr>
          <w:p>
            <w:pPr>
              <w:jc w:val="right"/>
              <w:ind w:right="270"/>
              <w:spacing w:after="0"/>
              <w:rPr>
                <w:sz w:val="20"/>
                <w:szCs w:val="20"/>
                <w:color w:val="auto"/>
              </w:rPr>
            </w:pPr>
            <w:r>
              <w:rPr>
                <w:rFonts w:ascii="Arial" w:cs="Arial" w:eastAsia="Arial" w:hAnsi="Arial"/>
                <w:sz w:val="18"/>
                <w:szCs w:val="18"/>
                <w:color w:val="auto"/>
                <w:w w:val="94"/>
              </w:rPr>
              <w:t>The following titles have been released since January 1, 2020:</w:t>
            </w: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b w:val="1"/>
                <w:bCs w:val="1"/>
                <w:color w:val="auto"/>
              </w:rPr>
              <w:t>Label</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2760" w:type="dxa"/>
            <w:vAlign w:val="bottom"/>
            <w:gridSpan w:val="2"/>
          </w:tcPr>
          <w:p>
            <w:pPr>
              <w:ind w:left="120"/>
              <w:spacing w:after="0"/>
              <w:rPr>
                <w:sz w:val="20"/>
                <w:szCs w:val="20"/>
                <w:color w:val="auto"/>
              </w:rPr>
            </w:pPr>
            <w:r>
              <w:rPr>
                <w:rFonts w:ascii="Arial" w:cs="Arial" w:eastAsia="Arial" w:hAnsi="Arial"/>
                <w:sz w:val="18"/>
                <w:szCs w:val="18"/>
                <w:b w:val="1"/>
                <w:bCs w:val="1"/>
                <w:color w:val="auto"/>
              </w:rPr>
              <w:t>Platforms</w:t>
            </w:r>
          </w:p>
        </w:tc>
        <w:tc>
          <w:tcPr>
            <w:tcW w:w="2740" w:type="dxa"/>
            <w:vAlign w:val="bottom"/>
            <w:gridSpan w:val="2"/>
          </w:tcPr>
          <w:p>
            <w:pPr>
              <w:ind w:left="100"/>
              <w:spacing w:after="0"/>
              <w:rPr>
                <w:sz w:val="20"/>
                <w:szCs w:val="20"/>
                <w:color w:val="auto"/>
              </w:rPr>
            </w:pPr>
            <w:r>
              <w:rPr>
                <w:rFonts w:ascii="Arial" w:cs="Arial" w:eastAsia="Arial" w:hAnsi="Arial"/>
                <w:sz w:val="18"/>
                <w:szCs w:val="18"/>
                <w:b w:val="1"/>
                <w:bCs w:val="1"/>
                <w:color w:val="auto"/>
              </w:rPr>
              <w:t>Release Date</w:t>
            </w: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2K</w:t>
            </w: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w w:val="91"/>
              </w:rPr>
              <w:t>WWE 2K20 Originals: Southpaw Regional Wrestling (DLC)</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PS4, Xbox One, PC</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7, 2020</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2K</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i w:val="1"/>
                <w:iCs w:val="1"/>
                <w:color w:val="auto"/>
              </w:rPr>
              <w:t>Borderlands 3 (for Steam and other retailers)</w:t>
            </w:r>
          </w:p>
        </w:tc>
        <w:tc>
          <w:tcPr>
            <w:tcW w:w="2760" w:type="dxa"/>
            <w:vAlign w:val="bottom"/>
            <w:gridSpan w:val="2"/>
          </w:tcPr>
          <w:p>
            <w:pPr>
              <w:ind w:left="120"/>
              <w:spacing w:after="0"/>
              <w:rPr>
                <w:sz w:val="20"/>
                <w:szCs w:val="20"/>
                <w:color w:val="auto"/>
              </w:rPr>
            </w:pPr>
            <w:r>
              <w:rPr>
                <w:rFonts w:ascii="Arial" w:cs="Arial" w:eastAsia="Arial" w:hAnsi="Arial"/>
                <w:sz w:val="18"/>
                <w:szCs w:val="18"/>
                <w:color w:val="auto"/>
              </w:rPr>
              <w:t>PC</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March 13, 2020</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WWE 2K20 Originals: Empire of Tomorrow (DLC)</w:t>
            </w:r>
          </w:p>
        </w:tc>
        <w:tc>
          <w:tcPr>
            <w:tcW w:w="2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PS4, Xbox One, PC</w:t>
            </w:r>
          </w:p>
        </w:tc>
        <w:tc>
          <w:tcPr>
            <w:tcW w:w="2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March 13, 2020</w:t>
            </w:r>
          </w:p>
        </w:tc>
      </w:tr>
      <w:tr>
        <w:trPr>
          <w:trHeight w:val="202"/>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i w:val="1"/>
                <w:iCs w:val="1"/>
                <w:color w:val="auto"/>
                <w:w w:val="90"/>
              </w:rPr>
              <w:t>Borderlands 3: Guns, Love, and Tentacles: The Marriage of</w:t>
            </w: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2K</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i w:val="1"/>
                <w:iCs w:val="1"/>
                <w:color w:val="auto"/>
              </w:rPr>
              <w:t>Wainwright &amp; Hammerlock (DLC)</w:t>
            </w:r>
          </w:p>
        </w:tc>
        <w:tc>
          <w:tcPr>
            <w:tcW w:w="2760" w:type="dxa"/>
            <w:vAlign w:val="bottom"/>
            <w:gridSpan w:val="2"/>
          </w:tcPr>
          <w:p>
            <w:pPr>
              <w:ind w:left="120"/>
              <w:spacing w:after="0"/>
              <w:rPr>
                <w:sz w:val="20"/>
                <w:szCs w:val="20"/>
                <w:color w:val="auto"/>
              </w:rPr>
            </w:pPr>
            <w:r>
              <w:rPr>
                <w:rFonts w:ascii="Arial" w:cs="Arial" w:eastAsia="Arial" w:hAnsi="Arial"/>
                <w:sz w:val="18"/>
                <w:szCs w:val="18"/>
                <w:color w:val="auto"/>
              </w:rPr>
              <w:t>PS4, Xbox One, PC, Stadia</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March 26, 2020</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XCOM: Chimera Squad</w:t>
            </w:r>
          </w:p>
        </w:tc>
        <w:tc>
          <w:tcPr>
            <w:tcW w:w="2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PC</w:t>
            </w:r>
          </w:p>
        </w:tc>
        <w:tc>
          <w:tcPr>
            <w:tcW w:w="2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April 24, 2020</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2K</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i w:val="1"/>
                <w:iCs w:val="1"/>
                <w:color w:val="auto"/>
              </w:rPr>
              <w:t>Mafia II and Mafia III</w:t>
            </w:r>
          </w:p>
        </w:tc>
        <w:tc>
          <w:tcPr>
            <w:tcW w:w="2760" w:type="dxa"/>
            <w:vAlign w:val="bottom"/>
            <w:gridSpan w:val="2"/>
          </w:tcPr>
          <w:p>
            <w:pPr>
              <w:ind w:left="120"/>
              <w:spacing w:after="0"/>
              <w:rPr>
                <w:sz w:val="20"/>
                <w:szCs w:val="20"/>
                <w:color w:val="auto"/>
              </w:rPr>
            </w:pPr>
            <w:r>
              <w:rPr>
                <w:rFonts w:ascii="Arial" w:cs="Arial" w:eastAsia="Arial" w:hAnsi="Arial"/>
                <w:sz w:val="18"/>
                <w:szCs w:val="18"/>
                <w:color w:val="auto"/>
              </w:rPr>
              <w:t>PS4, Xbox One, PC</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May 19, 2020</w:t>
            </w:r>
          </w:p>
        </w:tc>
      </w:tr>
      <w:tr>
        <w:trPr>
          <w:trHeight w:val="634"/>
        </w:trPr>
        <w:tc>
          <w:tcPr>
            <w:tcW w:w="6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Take-Two's lineup of future titles announced to-date includes: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Label</w:t>
            </w:r>
          </w:p>
        </w:tc>
        <w:tc>
          <w:tcPr>
            <w:tcW w:w="4400" w:type="dxa"/>
            <w:vAlign w:val="bottom"/>
            <w:gridSpan w:val="3"/>
          </w:tcPr>
          <w:p>
            <w:pPr>
              <w:ind w:left="120"/>
              <w:spacing w:after="0"/>
              <w:rPr>
                <w:sz w:val="20"/>
                <w:szCs w:val="20"/>
                <w:color w:val="auto"/>
              </w:rPr>
            </w:pPr>
            <w:r>
              <w:rPr>
                <w:rFonts w:ascii="Arial" w:cs="Arial" w:eastAsia="Arial" w:hAnsi="Arial"/>
                <w:sz w:val="18"/>
                <w:szCs w:val="18"/>
                <w:b w:val="1"/>
                <w:bCs w:val="1"/>
                <w:color w:val="auto"/>
              </w:rPr>
              <w:t>Title</w:t>
            </w:r>
          </w:p>
        </w:tc>
        <w:tc>
          <w:tcPr>
            <w:tcW w:w="2680" w:type="dxa"/>
            <w:vAlign w:val="bottom"/>
          </w:tcPr>
          <w:p>
            <w:pPr>
              <w:spacing w:after="0"/>
              <w:rPr>
                <w:sz w:val="20"/>
                <w:szCs w:val="20"/>
                <w:color w:val="auto"/>
              </w:rPr>
            </w:pPr>
            <w:r>
              <w:rPr>
                <w:rFonts w:ascii="Arial" w:cs="Arial" w:eastAsia="Arial" w:hAnsi="Arial"/>
                <w:sz w:val="18"/>
                <w:szCs w:val="18"/>
                <w:b w:val="1"/>
                <w:bCs w:val="1"/>
                <w:color w:val="auto"/>
              </w:rPr>
              <w:t>Platforms</w:t>
            </w:r>
          </w:p>
        </w:tc>
        <w:tc>
          <w:tcPr>
            <w:tcW w:w="28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Release Date</w:t>
            </w:r>
          </w:p>
        </w:tc>
      </w:tr>
      <w:tr>
        <w:trPr>
          <w:trHeight w:val="209"/>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2K</w:t>
            </w:r>
          </w:p>
        </w:tc>
        <w:tc>
          <w:tcPr>
            <w:tcW w:w="12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Sid Meier's Civilization VI -Frontier Pass (DLC)</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PS4, Xbox One, Switch, PC</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21, 2020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2K</w:t>
            </w:r>
          </w:p>
        </w:tc>
        <w:tc>
          <w:tcPr>
            <w:tcW w:w="4400" w:type="dxa"/>
            <w:vAlign w:val="bottom"/>
            <w:gridSpan w:val="3"/>
          </w:tcPr>
          <w:p>
            <w:pPr>
              <w:ind w:left="120"/>
              <w:spacing w:after="0"/>
              <w:rPr>
                <w:sz w:val="20"/>
                <w:szCs w:val="20"/>
                <w:color w:val="auto"/>
              </w:rPr>
            </w:pPr>
            <w:r>
              <w:rPr>
                <w:rFonts w:ascii="Arial" w:cs="Arial" w:eastAsia="Arial" w:hAnsi="Arial"/>
                <w:sz w:val="18"/>
                <w:szCs w:val="18"/>
                <w:i w:val="1"/>
                <w:iCs w:val="1"/>
                <w:color w:val="auto"/>
              </w:rPr>
              <w:t>BioShock: The Collection</w:t>
            </w:r>
          </w:p>
        </w:tc>
        <w:tc>
          <w:tcPr>
            <w:tcW w:w="2680" w:type="dxa"/>
            <w:vAlign w:val="bottom"/>
          </w:tcPr>
          <w:p>
            <w:pPr>
              <w:spacing w:after="0"/>
              <w:rPr>
                <w:sz w:val="20"/>
                <w:szCs w:val="20"/>
                <w:color w:val="auto"/>
              </w:rPr>
            </w:pPr>
            <w:r>
              <w:rPr>
                <w:rFonts w:ascii="Arial" w:cs="Arial" w:eastAsia="Arial" w:hAnsi="Arial"/>
                <w:sz w:val="18"/>
                <w:szCs w:val="18"/>
                <w:color w:val="auto"/>
              </w:rPr>
              <w:t>Switch</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May 29, 2020</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440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Borderlands Legendary Collection</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Switch</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29, 2020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2K</w:t>
            </w:r>
          </w:p>
        </w:tc>
        <w:tc>
          <w:tcPr>
            <w:tcW w:w="4400" w:type="dxa"/>
            <w:vAlign w:val="bottom"/>
            <w:gridSpan w:val="3"/>
          </w:tcPr>
          <w:p>
            <w:pPr>
              <w:ind w:left="120"/>
              <w:spacing w:after="0"/>
              <w:rPr>
                <w:sz w:val="20"/>
                <w:szCs w:val="20"/>
                <w:color w:val="auto"/>
              </w:rPr>
            </w:pPr>
            <w:r>
              <w:rPr>
                <w:rFonts w:ascii="Arial" w:cs="Arial" w:eastAsia="Arial" w:hAnsi="Arial"/>
                <w:sz w:val="18"/>
                <w:szCs w:val="18"/>
                <w:i w:val="1"/>
                <w:iCs w:val="1"/>
                <w:color w:val="auto"/>
              </w:rPr>
              <w:t>XCOM 2 Collection</w:t>
            </w:r>
          </w:p>
        </w:tc>
        <w:tc>
          <w:tcPr>
            <w:tcW w:w="2680" w:type="dxa"/>
            <w:vAlign w:val="bottom"/>
          </w:tcPr>
          <w:p>
            <w:pPr>
              <w:spacing w:after="0"/>
              <w:rPr>
                <w:sz w:val="20"/>
                <w:szCs w:val="20"/>
                <w:color w:val="auto"/>
              </w:rPr>
            </w:pPr>
            <w:r>
              <w:rPr>
                <w:rFonts w:ascii="Arial" w:cs="Arial" w:eastAsia="Arial" w:hAnsi="Arial"/>
                <w:sz w:val="18"/>
                <w:szCs w:val="18"/>
                <w:color w:val="auto"/>
              </w:rPr>
              <w:t>Switch</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May 29, 2020</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Private Division</w:t>
            </w:r>
          </w:p>
        </w:tc>
        <w:tc>
          <w:tcPr>
            <w:tcW w:w="440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The Outer Worlds</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Switch</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June 5, 2020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Private Division</w:t>
            </w:r>
          </w:p>
        </w:tc>
        <w:tc>
          <w:tcPr>
            <w:tcW w:w="4400" w:type="dxa"/>
            <w:vAlign w:val="bottom"/>
            <w:gridSpan w:val="3"/>
          </w:tcPr>
          <w:p>
            <w:pPr>
              <w:ind w:left="120"/>
              <w:spacing w:after="0"/>
              <w:rPr>
                <w:sz w:val="20"/>
                <w:szCs w:val="20"/>
                <w:color w:val="auto"/>
              </w:rPr>
            </w:pPr>
            <w:r>
              <w:rPr>
                <w:rFonts w:ascii="Arial" w:cs="Arial" w:eastAsia="Arial" w:hAnsi="Arial"/>
                <w:sz w:val="18"/>
                <w:szCs w:val="18"/>
                <w:i w:val="1"/>
                <w:iCs w:val="1"/>
                <w:color w:val="auto"/>
              </w:rPr>
              <w:t>Disintegration</w:t>
            </w:r>
          </w:p>
        </w:tc>
        <w:tc>
          <w:tcPr>
            <w:tcW w:w="2680" w:type="dxa"/>
            <w:vAlign w:val="bottom"/>
          </w:tcPr>
          <w:p>
            <w:pPr>
              <w:spacing w:after="0"/>
              <w:rPr>
                <w:sz w:val="20"/>
                <w:szCs w:val="20"/>
                <w:color w:val="auto"/>
              </w:rPr>
            </w:pPr>
            <w:r>
              <w:rPr>
                <w:rFonts w:ascii="Arial" w:cs="Arial" w:eastAsia="Arial" w:hAnsi="Arial"/>
                <w:sz w:val="18"/>
                <w:szCs w:val="18"/>
                <w:color w:val="auto"/>
              </w:rPr>
              <w:t>PS4, Xbox One, PC</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June 16, 2020</w:t>
            </w:r>
          </w:p>
        </w:tc>
      </w:tr>
      <w:tr>
        <w:trPr>
          <w:trHeight w:val="216"/>
        </w:trPr>
        <w:tc>
          <w:tcPr>
            <w:tcW w:w="5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Private Division   </w:t>
            </w:r>
            <w:r>
              <w:rPr>
                <w:rFonts w:ascii="Arial" w:cs="Arial" w:eastAsia="Arial" w:hAnsi="Arial"/>
                <w:sz w:val="18"/>
                <w:szCs w:val="18"/>
                <w:i w:val="1"/>
                <w:iCs w:val="1"/>
                <w:color w:val="auto"/>
              </w:rPr>
              <w:t>Kerbal Space Program: Shared Horizons (free update)</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PC</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1, 2020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2K</w:t>
            </w:r>
          </w:p>
        </w:tc>
        <w:tc>
          <w:tcPr>
            <w:tcW w:w="4400" w:type="dxa"/>
            <w:vAlign w:val="bottom"/>
            <w:gridSpan w:val="3"/>
          </w:tcPr>
          <w:p>
            <w:pPr>
              <w:ind w:left="120"/>
              <w:spacing w:after="0"/>
              <w:rPr>
                <w:sz w:val="20"/>
                <w:szCs w:val="20"/>
                <w:color w:val="auto"/>
              </w:rPr>
            </w:pPr>
            <w:r>
              <w:rPr>
                <w:rFonts w:ascii="Arial" w:cs="Arial" w:eastAsia="Arial" w:hAnsi="Arial"/>
                <w:sz w:val="18"/>
                <w:szCs w:val="18"/>
                <w:i w:val="1"/>
                <w:iCs w:val="1"/>
                <w:color w:val="auto"/>
              </w:rPr>
              <w:t>PGA Tour 2K21</w:t>
            </w:r>
          </w:p>
        </w:tc>
        <w:tc>
          <w:tcPr>
            <w:tcW w:w="2680" w:type="dxa"/>
            <w:vAlign w:val="bottom"/>
          </w:tcPr>
          <w:p>
            <w:pPr>
              <w:spacing w:after="0"/>
              <w:rPr>
                <w:sz w:val="20"/>
                <w:szCs w:val="20"/>
                <w:color w:val="auto"/>
              </w:rPr>
            </w:pPr>
            <w:r>
              <w:rPr>
                <w:rFonts w:ascii="Arial" w:cs="Arial" w:eastAsia="Arial" w:hAnsi="Arial"/>
                <w:sz w:val="18"/>
                <w:szCs w:val="18"/>
                <w:color w:val="auto"/>
                <w:w w:val="95"/>
              </w:rPr>
              <w:t>PS4, Xbox One, Switch, PC Stadia</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August 21, 2020</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440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Mafia I</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PS4, Xbox One, PC</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August 28, 2020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2K</w:t>
            </w:r>
          </w:p>
        </w:tc>
        <w:tc>
          <w:tcPr>
            <w:tcW w:w="4400" w:type="dxa"/>
            <w:vAlign w:val="bottom"/>
            <w:gridSpan w:val="3"/>
          </w:tcPr>
          <w:p>
            <w:pPr>
              <w:ind w:left="120"/>
              <w:spacing w:after="0"/>
              <w:rPr>
                <w:sz w:val="20"/>
                <w:szCs w:val="20"/>
                <w:color w:val="auto"/>
              </w:rPr>
            </w:pPr>
            <w:r>
              <w:rPr>
                <w:rFonts w:ascii="Arial" w:cs="Arial" w:eastAsia="Arial" w:hAnsi="Arial"/>
                <w:sz w:val="18"/>
                <w:szCs w:val="18"/>
                <w:i w:val="1"/>
                <w:iCs w:val="1"/>
                <w:color w:val="auto"/>
              </w:rPr>
              <w:t>NBA 2K21</w:t>
            </w:r>
          </w:p>
        </w:tc>
        <w:tc>
          <w:tcPr>
            <w:tcW w:w="2680" w:type="dxa"/>
            <w:vAlign w:val="bottom"/>
          </w:tcPr>
          <w:p>
            <w:pPr>
              <w:spacing w:after="0"/>
              <w:rPr>
                <w:sz w:val="20"/>
                <w:szCs w:val="20"/>
                <w:color w:val="auto"/>
              </w:rPr>
            </w:pPr>
            <w:r>
              <w:rPr>
                <w:rFonts w:ascii="Arial" w:cs="Arial" w:eastAsia="Arial" w:hAnsi="Arial"/>
                <w:sz w:val="18"/>
                <w:szCs w:val="18"/>
                <w:color w:val="auto"/>
              </w:rPr>
              <w:t>TBA</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Fall 2020</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440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WWE 2K Battlegrounds</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TBA</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Fall 2020</w:t>
            </w:r>
          </w:p>
        </w:tc>
      </w:tr>
      <w:tr>
        <w:trPr>
          <w:trHeight w:val="230"/>
        </w:trPr>
        <w:tc>
          <w:tcPr>
            <w:tcW w:w="5760" w:type="dxa"/>
            <w:vAlign w:val="bottom"/>
            <w:gridSpan w:val="4"/>
          </w:tcPr>
          <w:p>
            <w:pPr>
              <w:spacing w:after="0"/>
              <w:rPr>
                <w:sz w:val="20"/>
                <w:szCs w:val="20"/>
                <w:color w:val="auto"/>
              </w:rPr>
            </w:pPr>
            <w:r>
              <w:rPr>
                <w:rFonts w:ascii="Arial" w:cs="Arial" w:eastAsia="Arial" w:hAnsi="Arial"/>
                <w:sz w:val="18"/>
                <w:szCs w:val="18"/>
                <w:color w:val="auto"/>
              </w:rPr>
              <w:t xml:space="preserve">Private Division   </w:t>
            </w:r>
            <w:r>
              <w:rPr>
                <w:rFonts w:ascii="Arial" w:cs="Arial" w:eastAsia="Arial" w:hAnsi="Arial"/>
                <w:sz w:val="18"/>
                <w:szCs w:val="18"/>
                <w:i w:val="1"/>
                <w:iCs w:val="1"/>
                <w:color w:val="auto"/>
              </w:rPr>
              <w:t>Kerbal Space Program 2</w:t>
            </w:r>
          </w:p>
        </w:tc>
        <w:tc>
          <w:tcPr>
            <w:tcW w:w="2680" w:type="dxa"/>
            <w:vAlign w:val="bottom"/>
          </w:tcPr>
          <w:p>
            <w:pPr>
              <w:spacing w:after="0"/>
              <w:rPr>
                <w:sz w:val="20"/>
                <w:szCs w:val="20"/>
                <w:color w:val="auto"/>
              </w:rPr>
            </w:pPr>
            <w:r>
              <w:rPr>
                <w:rFonts w:ascii="Arial" w:cs="Arial" w:eastAsia="Arial" w:hAnsi="Arial"/>
                <w:sz w:val="18"/>
                <w:szCs w:val="18"/>
                <w:color w:val="auto"/>
              </w:rPr>
              <w:t>PS4, Xbox One, PC</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Fall 2021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Take-Two will host a conference call today at 4:30 p.m. Eastern Time to review these results and discuss other topics. The call can be accessed by dialing</w:t>
      </w:r>
    </w:p>
    <w:p>
      <w:pPr>
        <w:spacing w:after="0" w:line="46" w:lineRule="exact"/>
        <w:rPr>
          <w:sz w:val="20"/>
          <w:szCs w:val="20"/>
          <w:color w:val="auto"/>
        </w:rPr>
      </w:pPr>
    </w:p>
    <w:p>
      <w:pPr>
        <w:ind w:right="680" w:firstLine="8"/>
        <w:spacing w:after="0" w:line="260"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407-0984 or (201) 689-8577. A live listen-only webcast of the call will be available by visiting </w:t>
      </w:r>
      <w:r>
        <w:rPr>
          <w:rFonts w:ascii="Arial" w:cs="Arial" w:eastAsia="Arial" w:hAnsi="Arial"/>
          <w:sz w:val="18"/>
          <w:szCs w:val="18"/>
          <w:u w:val="single" w:color="auto"/>
          <w:color w:val="auto"/>
        </w:rPr>
        <w:t>http://ir.take2games.com</w:t>
      </w:r>
      <w:r>
        <w:rPr>
          <w:rFonts w:ascii="Arial" w:cs="Arial" w:eastAsia="Arial" w:hAnsi="Arial"/>
          <w:sz w:val="18"/>
          <w:szCs w:val="18"/>
          <w:color w:val="auto"/>
        </w:rPr>
        <w:t xml:space="preserve"> and a replay will be available following the call at the same location.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In addition to reporting financial results in accordance with U.S. generally accepted accounting principles (GAAP), the Company uses a Non-GAAP measure of financial performance: </w:t>
      </w:r>
      <w:r>
        <w:rPr>
          <w:rFonts w:ascii="Arial" w:cs="Arial" w:eastAsia="Arial" w:hAnsi="Arial"/>
          <w:sz w:val="17"/>
          <w:szCs w:val="17"/>
          <w:b w:val="1"/>
          <w:bCs w:val="1"/>
          <w:i w:val="1"/>
          <w:iCs w:val="1"/>
          <w:color w:val="auto"/>
        </w:rPr>
        <w:t>Adjusted Unrestricted Operating Cash Flow</w:t>
      </w:r>
      <w:r>
        <w:rPr>
          <w:rFonts w:ascii="Arial" w:cs="Arial" w:eastAsia="Arial" w:hAnsi="Arial"/>
          <w:sz w:val="17"/>
          <w:szCs w:val="17"/>
          <w:color w:val="auto"/>
        </w:rPr>
        <w:t>, which is defined as GAAP net cash from operating activities, adjusted for changes in restricted cash. The Company’s management believes it is important to consider Adjusted Unrestricted Operating Cash Flow, in addition to net cash from operating activities, as it provides more transparency into current business trends without regard to the timing of payments from restricted cash, which is primarily related to a dedicated account limited to the payment of certain internal royalty obligations.</w:t>
      </w:r>
    </w:p>
    <w:p>
      <w:pPr>
        <w:spacing w:after="0" w:line="1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Non-GAAP financial measure is not intended to be considered in isolation from, as a substitute for, or superior to, GAAP results. This Non-GAAP financial measure may be different from similarly titled measures used by other companies. In the future, Take-Two may also consider whether other items 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Final Results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financial results discussed herein are presented on a preliminary basis; final data will be included in Take-Two’s Annual Report on Form 10−K for the year ended March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Arial" w:cs="Arial" w:eastAsia="Arial" w:hAnsi="Arial"/>
          <w:sz w:val="17"/>
          <w:szCs w:val="17"/>
          <w:u w:val="single" w:color="auto"/>
          <w:color w:val="auto"/>
        </w:rPr>
        <w:t>http://www.take2games.com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7"/>
          <w:szCs w:val="17"/>
          <w:i w:val="1"/>
          <w:iCs w:val="1"/>
          <w:color w:val="auto"/>
        </w:rPr>
        <w:t xml:space="preserve">Grand Theft Auto </w:t>
      </w:r>
      <w:r>
        <w:rPr>
          <w:rFonts w:ascii="Arial" w:cs="Arial" w:eastAsia="Arial" w:hAnsi="Arial"/>
          <w:sz w:val="17"/>
          <w:szCs w:val="17"/>
          <w:color w:val="auto"/>
        </w:rPr>
        <w:t>products and our ability to develop other hit titles; the timely release and significant market acceptance of our games; the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acceptable pricing levels on our games; and risks associated with international operations.</w:t>
      </w:r>
    </w:p>
    <w:p>
      <w:pPr>
        <w:spacing w:after="0" w:line="18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Other important factors and information are contained in the Company's most recent Annual Report on Form 10-K and will be included in Take-Two’s annual report on 10-K for the fiscal year ended March 31, 2020,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2"/>
              </w:rPr>
              <w:t>Three months ended March 31,</w:t>
            </w:r>
          </w:p>
        </w:tc>
        <w:tc>
          <w:tcPr>
            <w:tcW w:w="100" w:type="dxa"/>
            <w:vAlign w:val="bottom"/>
          </w:tcPr>
          <w:p>
            <w:pPr>
              <w:spacing w:after="0"/>
              <w:rPr>
                <w:sz w:val="20"/>
                <w:szCs w:val="20"/>
                <w:color w:val="auto"/>
              </w:rPr>
            </w:pPr>
          </w:p>
        </w:tc>
        <w:tc>
          <w:tcPr>
            <w:tcW w:w="27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Twelve months ended March 31,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760,541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539,007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3,088,970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Software development costs and royalties</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159,776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111,596</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611,198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449,198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Internal royalties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144,385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74,142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483,697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610,804</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Product costs</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51,985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44,914</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277,147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322,148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Licenses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39,494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28,263</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170,408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141,494</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goods sold</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395,640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258,915</w:t>
            </w:r>
          </w:p>
        </w:tc>
        <w:tc>
          <w:tcPr>
            <w:tcW w:w="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1,542,450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1,523,644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364,901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280,092</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1,546,520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1,144,750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79,969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77,607</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458,424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391,400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82,212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75,541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318,235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281,234</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68,718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56,588</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296,398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230,170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12,502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11,081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48,113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40,232</w:t>
            </w:r>
          </w:p>
        </w:tc>
        <w:tc>
          <w:tcPr>
            <w:tcW w:w="0" w:type="dxa"/>
            <w:vAlign w:val="bottom"/>
          </w:tcPr>
          <w:p>
            <w:pPr>
              <w:spacing w:after="0"/>
              <w:rPr>
                <w:sz w:val="1"/>
                <w:szCs w:val="1"/>
                <w:color w:val="auto"/>
              </w:rPr>
            </w:pPr>
          </w:p>
        </w:tc>
      </w:tr>
      <w:tr>
        <w:trPr>
          <w:trHeight w:val="229"/>
        </w:trPr>
        <w:tc>
          <w:tcPr>
            <w:tcW w:w="5200" w:type="dxa"/>
            <w:vAlign w:val="bottom"/>
          </w:tcPr>
          <w:p>
            <w:pPr>
              <w:ind w:left="200"/>
              <w:spacing w:after="0"/>
              <w:rPr>
                <w:sz w:val="20"/>
                <w:szCs w:val="20"/>
                <w:color w:val="auto"/>
              </w:rPr>
            </w:pPr>
            <w:r>
              <w:rPr>
                <w:rFonts w:ascii="Arial" w:cs="Arial" w:eastAsia="Arial" w:hAnsi="Arial"/>
                <w:sz w:val="18"/>
                <w:szCs w:val="18"/>
                <w:color w:val="auto"/>
              </w:rPr>
              <w:t>Business reorganization</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243,017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222,031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1,121,253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121,884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425,267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8,083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38,505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26,113</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Loss on long-term investments</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5,333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124,634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458,439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53,980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(101,052)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404,459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FFFFFF"/>
              </w:rPr>
              <w:t>173,533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3.58</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3.54</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113,394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112,614</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113,096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113,176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114,400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113,939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114,136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115,198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Basic EPS: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122,722</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56,829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404,459</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333,837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Weighted average shares outstanding - basic</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113,394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112,614</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113,096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113,176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3.58</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Computation of Diluted EPS: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122,722</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56,829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404,459</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333,837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 - basic</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113,394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112,614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113,096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113,176</w:t>
            </w:r>
          </w:p>
        </w:tc>
        <w:tc>
          <w:tcPr>
            <w:tcW w:w="0" w:type="dxa"/>
            <w:vAlign w:val="bottom"/>
          </w:tcPr>
          <w:p>
            <w:pPr>
              <w:spacing w:after="0"/>
              <w:rPr>
                <w:sz w:val="1"/>
                <w:szCs w:val="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Add: dilutive effect of common stock equivalents</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1,040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114,400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113,939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114,136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3.54</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675"/>
        </w:trPr>
        <w:tc>
          <w:tcPr>
            <w:tcW w:w="5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1,357,664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644,003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744,485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546,604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Accounts receivable, net of allowances of $443 and $995 at March 31, 2020 and 2019,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592,555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19,108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28,200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Software development costs and licenses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40,316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28,880</w:t>
            </w:r>
          </w:p>
        </w:tc>
        <w:tc>
          <w:tcPr>
            <w:tcW w:w="0" w:type="dxa"/>
            <w:vAlign w:val="bottom"/>
          </w:tcPr>
          <w:p>
            <w:pPr>
              <w:spacing w:after="0"/>
              <w:rPr>
                <w:sz w:val="1"/>
                <w:szCs w:val="1"/>
                <w:color w:val="auto"/>
              </w:rPr>
            </w:pPr>
          </w:p>
        </w:tc>
      </w:tr>
      <w:tr>
        <w:trPr>
          <w:trHeight w:val="216"/>
        </w:trPr>
        <w:tc>
          <w:tcPr>
            <w:tcW w:w="8200" w:type="dxa"/>
            <w:vAlign w:val="bottom"/>
          </w:tcPr>
          <w:p>
            <w:pPr>
              <w:ind w:left="60"/>
              <w:spacing w:after="0"/>
              <w:rPr>
                <w:sz w:val="20"/>
                <w:szCs w:val="20"/>
                <w:color w:val="auto"/>
              </w:rPr>
            </w:pPr>
            <w:r>
              <w:rPr>
                <w:rFonts w:ascii="Arial" w:cs="Arial" w:eastAsia="Arial" w:hAnsi="Arial"/>
                <w:sz w:val="18"/>
                <w:szCs w:val="18"/>
                <w:color w:val="auto"/>
              </w:rPr>
              <w:t>Deferred cost of goods sold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19,598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51,867</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273,503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186,688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3,493,351</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2,827,835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Fixed assets,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131,888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127,882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154,284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Software development costs and licenses, net of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401,778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603,436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386,494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60"/>
              <w:spacing w:after="0"/>
              <w:rPr>
                <w:sz w:val="20"/>
                <w:szCs w:val="20"/>
                <w:color w:val="auto"/>
              </w:rPr>
            </w:pPr>
            <w:r>
              <w:rPr>
                <w:rFonts w:ascii="Arial" w:cs="Arial" w:eastAsia="Arial" w:hAnsi="Arial"/>
                <w:sz w:val="18"/>
                <w:szCs w:val="18"/>
                <w:color w:val="auto"/>
              </w:rPr>
              <w:t>Other intangibles,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51,260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73,115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116,676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89,124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123,977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94,348</w:t>
            </w:r>
          </w:p>
        </w:tc>
        <w:tc>
          <w:tcPr>
            <w:tcW w:w="0" w:type="dxa"/>
            <w:vAlign w:val="bottom"/>
          </w:tcPr>
          <w:p>
            <w:pPr>
              <w:spacing w:after="0"/>
              <w:rPr>
                <w:sz w:val="1"/>
                <w:szCs w:val="1"/>
                <w:color w:val="auto"/>
              </w:rPr>
            </w:pPr>
          </w:p>
        </w:tc>
      </w:tr>
      <w:tr>
        <w:trPr>
          <w:trHeight w:val="263"/>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4,948,832</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4,243,065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1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65,684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72,797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1,169,884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777,784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843,302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25,187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2,038,539</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1,951,794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Non-current deferred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28,339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21,058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152,059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190,651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229,633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2,409,588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2,202,485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Preferred stock, $.01 par value, 5,000 shares authorized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00" w:type="dxa"/>
            <w:vAlign w:val="bottom"/>
          </w:tcPr>
          <w:p>
            <w:pPr>
              <w:ind w:left="60"/>
              <w:spacing w:after="0" w:line="201" w:lineRule="exact"/>
              <w:rPr>
                <w:sz w:val="20"/>
                <w:szCs w:val="20"/>
                <w:color w:val="auto"/>
              </w:rPr>
            </w:pPr>
            <w:r>
              <w:rPr>
                <w:rFonts w:ascii="Arial" w:cs="Arial" w:eastAsia="Arial" w:hAnsi="Arial"/>
                <w:sz w:val="18"/>
                <w:szCs w:val="18"/>
                <w:color w:val="auto"/>
                <w:w w:val="89"/>
              </w:rPr>
              <w:t>Common stock, $.01 par value, 200,000 shares authorized; 135,927 and 134,602 shares issued and 113,506 and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1,359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112,181 outstanding at March 31, 2020 and 2019,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2,134,748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2,019,369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Treasury stock, at cost; 22,421 common shares at March 31, 2020 and, 2019,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(820,572)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(820,572)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1,282,085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(58,376)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(37,189)</w:t>
            </w: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2,539,244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4,948,832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4,243,065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0" w:right="33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jc w:val="right"/>
              <w:ind w:right="61"/>
              <w:spacing w:after="0"/>
              <w:rPr>
                <w:sz w:val="20"/>
                <w:szCs w:val="20"/>
                <w:color w:val="auto"/>
              </w:rPr>
            </w:pPr>
            <w:r>
              <w:rPr>
                <w:rFonts w:ascii="Arial" w:cs="Arial" w:eastAsia="Arial" w:hAnsi="Arial"/>
                <w:sz w:val="18"/>
                <w:szCs w:val="18"/>
                <w:b w:val="1"/>
                <w:bCs w:val="1"/>
                <w:color w:val="auto"/>
                <w:w w:val="90"/>
              </w:rPr>
              <w:t>Twelve months ended March 31,</w:t>
            </w:r>
          </w:p>
        </w:tc>
      </w:tr>
      <w:tr>
        <w:trPr>
          <w:trHeight w:val="209"/>
        </w:trPr>
        <w:tc>
          <w:tcPr>
            <w:tcW w:w="74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404,459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333,837</w:t>
            </w: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40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167,925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201,221</w:t>
            </w:r>
          </w:p>
        </w:tc>
      </w:tr>
      <w:tr>
        <w:trPr>
          <w:trHeight w:val="216"/>
        </w:trPr>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47,628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39,726</w:t>
            </w:r>
          </w:p>
        </w:tc>
      </w:tr>
      <w:tr>
        <w:trPr>
          <w:trHeight w:val="216"/>
        </w:trPr>
        <w:tc>
          <w:tcPr>
            <w:tcW w:w="7480" w:type="dxa"/>
            <w:vAlign w:val="bottom"/>
          </w:tcPr>
          <w:p>
            <w:pPr>
              <w:ind w:left="400"/>
              <w:spacing w:after="0"/>
              <w:rPr>
                <w:sz w:val="20"/>
                <w:szCs w:val="20"/>
                <w:color w:val="auto"/>
              </w:rPr>
            </w:pPr>
            <w:r>
              <w:rPr>
                <w:rFonts w:ascii="Arial" w:cs="Arial" w:eastAsia="Arial" w:hAnsi="Arial"/>
                <w:sz w:val="18"/>
                <w:szCs w:val="18"/>
                <w:color w:val="auto"/>
              </w:rPr>
              <w:t>Amortization of intellectual property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20,990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23,879</w:t>
            </w:r>
          </w:p>
        </w:tc>
      </w:tr>
      <w:tr>
        <w:trPr>
          <w:trHeight w:val="216"/>
        </w:trPr>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257,881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247,700</w:t>
            </w:r>
          </w:p>
        </w:tc>
      </w:tr>
      <w:tr>
        <w:trPr>
          <w:trHeight w:val="216"/>
        </w:trPr>
        <w:tc>
          <w:tcPr>
            <w:tcW w:w="74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(3,486)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110,603</w:t>
            </w:r>
          </w:p>
        </w:tc>
      </w:tr>
      <w:tr>
        <w:trPr>
          <w:trHeight w:val="216"/>
        </w:trPr>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discount on Convertible Notes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w:t>
            </w:r>
          </w:p>
        </w:tc>
      </w:tr>
      <w:tr>
        <w:trPr>
          <w:trHeight w:val="216"/>
        </w:trPr>
        <w:tc>
          <w:tcPr>
            <w:tcW w:w="7480" w:type="dxa"/>
            <w:vAlign w:val="bottom"/>
          </w:tcPr>
          <w:p>
            <w:pPr>
              <w:ind w:left="400"/>
              <w:spacing w:after="0"/>
              <w:rPr>
                <w:sz w:val="20"/>
                <w:szCs w:val="20"/>
                <w:color w:val="auto"/>
              </w:rPr>
            </w:pPr>
            <w:r>
              <w:rPr>
                <w:rFonts w:ascii="Arial" w:cs="Arial" w:eastAsia="Arial" w:hAnsi="Arial"/>
                <w:sz w:val="18"/>
                <w:szCs w:val="18"/>
                <w:color w:val="auto"/>
              </w:rPr>
              <w:t>Impairment of long-term investments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5,333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3,741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584</w:t>
            </w: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(195,484)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(98,075)</w:t>
            </w:r>
          </w:p>
        </w:tc>
      </w:tr>
      <w:tr>
        <w:trPr>
          <w:trHeight w:val="216"/>
        </w:trPr>
        <w:tc>
          <w:tcPr>
            <w:tcW w:w="748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8,489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(14,403)</w:t>
            </w:r>
          </w:p>
        </w:tc>
      </w:tr>
      <w:tr>
        <w:trPr>
          <w:trHeight w:val="216"/>
        </w:trPr>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Software development costs and licenses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(48,434)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(206,831)</w:t>
            </w:r>
          </w:p>
        </w:tc>
      </w:tr>
      <w:tr>
        <w:trPr>
          <w:trHeight w:val="216"/>
        </w:trPr>
        <w:tc>
          <w:tcPr>
            <w:tcW w:w="7480" w:type="dxa"/>
            <w:vAlign w:val="bottom"/>
          </w:tcPr>
          <w:p>
            <w:pPr>
              <w:ind w:left="400"/>
              <w:spacing w:after="0"/>
              <w:rPr>
                <w:sz w:val="20"/>
                <w:szCs w:val="20"/>
                <w:color w:val="auto"/>
              </w:rPr>
            </w:pPr>
            <w:r>
              <w:rPr>
                <w:rFonts w:ascii="Arial" w:cs="Arial" w:eastAsia="Arial" w:hAnsi="Arial"/>
                <w:sz w:val="18"/>
                <w:szCs w:val="18"/>
                <w:color w:val="auto"/>
              </w:rPr>
              <w:t>Prepaid expenses and other current and other non-current assets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(259,817)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(275,800)</w:t>
            </w:r>
          </w:p>
        </w:tc>
      </w:tr>
      <w:tr>
        <w:trPr>
          <w:trHeight w:val="216"/>
        </w:trPr>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(55,460)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304,713</w:t>
            </w:r>
          </w:p>
        </w:tc>
      </w:tr>
      <w:tr>
        <w:trPr>
          <w:trHeight w:val="216"/>
        </w:trPr>
        <w:tc>
          <w:tcPr>
            <w:tcW w:w="7480" w:type="dxa"/>
            <w:vAlign w:val="bottom"/>
          </w:tcPr>
          <w:p>
            <w:pPr>
              <w:ind w:left="400"/>
              <w:spacing w:after="0"/>
              <w:rPr>
                <w:sz w:val="20"/>
                <w:szCs w:val="20"/>
                <w:color w:val="auto"/>
              </w:rPr>
            </w:pPr>
            <w:r>
              <w:rPr>
                <w:rFonts w:ascii="Arial" w:cs="Arial" w:eastAsia="Arial" w:hAnsi="Arial"/>
                <w:sz w:val="18"/>
                <w:szCs w:val="18"/>
                <w:color w:val="auto"/>
              </w:rPr>
              <w:t>Deferred cost of goods sold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32,180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(24,882)</w:t>
            </w:r>
          </w:p>
        </w:tc>
      </w:tr>
      <w:tr>
        <w:trPr>
          <w:trHeight w:val="229"/>
        </w:trPr>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accrued expenses and other liabilities</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299,733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201,152</w:t>
            </w:r>
          </w:p>
        </w:tc>
      </w:tr>
      <w:tr>
        <w:trPr>
          <w:trHeight w:val="210"/>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685,678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843,515</w:t>
            </w:r>
          </w:p>
        </w:tc>
        <w:tc>
          <w:tcPr>
            <w:tcW w:w="100" w:type="dxa"/>
            <w:vAlign w:val="bottom"/>
            <w:tcBorders>
              <w:bottom w:val="single" w:sz="8" w:color="CCEEFF"/>
            </w:tcBorders>
          </w:tcPr>
          <w:p>
            <w:pPr>
              <w:spacing w:after="0"/>
              <w:rPr>
                <w:sz w:val="18"/>
                <w:szCs w:val="18"/>
                <w:color w:val="auto"/>
              </w:rPr>
            </w:pPr>
          </w:p>
        </w:tc>
      </w:tr>
      <w:tr>
        <w:trPr>
          <w:trHeight w:val="210"/>
        </w:trPr>
        <w:tc>
          <w:tcPr>
            <w:tcW w:w="7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bank time deposits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196,720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(171,057)</w:t>
            </w: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Proceeds from available-for-sale securities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400,635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325,133</w:t>
            </w: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(499,991)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(282,534)</w:t>
            </w: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Purchases of fixed assets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(53,384)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(66,969)</w:t>
            </w: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long-term investments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(27,891)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tcPr>
          <w:p>
            <w:pPr>
              <w:ind w:left="180"/>
              <w:spacing w:after="0"/>
              <w:rPr>
                <w:sz w:val="20"/>
                <w:szCs w:val="20"/>
                <w:color w:val="auto"/>
              </w:rPr>
            </w:pPr>
            <w:r>
              <w:rPr>
                <w:rFonts w:ascii="Arial" w:cs="Arial" w:eastAsia="Arial" w:hAnsi="Arial"/>
                <w:sz w:val="18"/>
                <w:szCs w:val="18"/>
                <w:color w:val="auto"/>
              </w:rPr>
              <w:t>Business acquisitions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(12,040)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(28,149)</w:t>
            </w:r>
          </w:p>
        </w:tc>
      </w:tr>
      <w:tr>
        <w:trPr>
          <w:trHeight w:val="210"/>
        </w:trPr>
        <w:tc>
          <w:tcPr>
            <w:tcW w:w="7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Tax payment related to net share settlements on restricted stock awards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(87,968)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(101,293)</w:t>
            </w: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10,515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(362,392)</w:t>
            </w:r>
          </w:p>
        </w:tc>
      </w:tr>
      <w:tr>
        <w:trPr>
          <w:trHeight w:val="210"/>
        </w:trPr>
        <w:tc>
          <w:tcPr>
            <w:tcW w:w="7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(77,453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Effects of foreign currency exchange rates on cash, cash equivalents, and restricted cash</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(10,868)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(10,639)</w:t>
            </w:r>
          </w:p>
        </w:tc>
      </w:tr>
      <w:tr>
        <w:trPr>
          <w:trHeight w:val="20"/>
        </w:trPr>
        <w:tc>
          <w:tcPr>
            <w:tcW w:w="7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336" w:right="339" w:bottom="1440" w:gutter="0" w:footer="0" w:header="0"/>
        </w:sectPr>
      </w:pPr>
    </w:p>
    <w:p>
      <w:pPr>
        <w:spacing w:after="0" w:line="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change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cash equivalents, and restricted cash, beginning of year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601,406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145,616</w:t>
            </w: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1,391,986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1,246,371</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1,993,392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1,391,987</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20" w:space="720"/>
            <w:col w:w="2800"/>
          </w:cols>
          <w:pgMar w:left="320" w:top="1336"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right="3900"/>
        <w:spacing w:after="0" w:line="260" w:lineRule="auto"/>
        <w:rPr>
          <w:sz w:val="20"/>
          <w:szCs w:val="20"/>
          <w:color w:val="auto"/>
        </w:rPr>
      </w:pPr>
      <w:r>
        <w:rPr>
          <w:rFonts w:ascii="Arial" w:cs="Arial" w:eastAsia="Arial" w:hAnsi="Arial"/>
          <w:sz w:val="18"/>
          <w:szCs w:val="18"/>
          <w:b w:val="1"/>
          <w:bCs w:val="1"/>
          <w:color w:val="auto"/>
        </w:rPr>
        <w:t>Net Revenue and Net Bookings by Geographic Region, Distribution Channel, and Platform Mix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center"/>
              <w:ind w:right="43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8"/>
                <w:szCs w:val="18"/>
                <w:color w:val="auto"/>
              </w:rPr>
            </w:pPr>
          </w:p>
        </w:tc>
        <w:tc>
          <w:tcPr>
            <w:tcW w:w="2640" w:type="dxa"/>
            <w:vAlign w:val="bottom"/>
            <w:gridSpan w:val="4"/>
          </w:tcPr>
          <w:p>
            <w:pPr>
              <w:jc w:val="center"/>
              <w:ind w:right="310"/>
              <w:spacing w:after="0"/>
              <w:rPr>
                <w:sz w:val="20"/>
                <w:szCs w:val="20"/>
                <w:color w:val="auto"/>
              </w:rPr>
            </w:pPr>
            <w:r>
              <w:rPr>
                <w:rFonts w:ascii="Arial" w:cs="Arial" w:eastAsia="Arial" w:hAnsi="Arial"/>
                <w:sz w:val="18"/>
                <w:szCs w:val="18"/>
                <w:color w:val="auto"/>
                <w:w w:val="90"/>
              </w:rPr>
              <w:t>Three Months Ended</w:t>
            </w: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2"/>
              </w:rPr>
              <w:t>March 31, 2020</w:t>
            </w:r>
          </w:p>
        </w:tc>
        <w:tc>
          <w:tcPr>
            <w:tcW w:w="20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Arial" w:cs="Arial" w:eastAsia="Arial" w:hAnsi="Arial"/>
                <w:sz w:val="18"/>
                <w:szCs w:val="18"/>
                <w:color w:val="auto"/>
                <w:w w:val="92"/>
              </w:rPr>
              <w:t>March 31, 2019</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9"/>
                <w:szCs w:val="19"/>
                <w:color w:val="auto"/>
              </w:rPr>
            </w:pPr>
          </w:p>
        </w:tc>
      </w:tr>
      <w:tr>
        <w:trPr>
          <w:trHeight w:val="209"/>
        </w:trPr>
        <w:tc>
          <w:tcPr>
            <w:tcW w:w="5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geographic region</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413,701</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274,621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346,840</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264,386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760,541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539,007</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Net bookings by geographic region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406,592</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284,209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544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322,831</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44%</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204,201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729,423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488,410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407"/>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43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640" w:type="dxa"/>
            <w:vAlign w:val="bottom"/>
            <w:gridSpan w:val="4"/>
          </w:tcPr>
          <w:p>
            <w:pPr>
              <w:jc w:val="center"/>
              <w:ind w:right="310"/>
              <w:spacing w:after="0"/>
              <w:rPr>
                <w:sz w:val="20"/>
                <w:szCs w:val="20"/>
                <w:color w:val="auto"/>
              </w:rPr>
            </w:pPr>
            <w:r>
              <w:rPr>
                <w:rFonts w:ascii="Arial" w:cs="Arial" w:eastAsia="Arial" w:hAnsi="Arial"/>
                <w:sz w:val="18"/>
                <w:szCs w:val="18"/>
                <w:color w:val="auto"/>
                <w:w w:val="90"/>
              </w:rPr>
              <w:t>Three Months Ended</w:t>
            </w: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2"/>
              </w:rPr>
              <w:t>March 31, 2020</w:t>
            </w:r>
          </w:p>
        </w:tc>
        <w:tc>
          <w:tcPr>
            <w:tcW w:w="20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Arial" w:cs="Arial" w:eastAsia="Arial" w:hAnsi="Arial"/>
                <w:sz w:val="18"/>
                <w:szCs w:val="18"/>
                <w:color w:val="auto"/>
                <w:w w:val="92"/>
              </w:rPr>
              <w:t>March 31, 2019</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9"/>
                <w:szCs w:val="19"/>
                <w:color w:val="auto"/>
              </w:rPr>
            </w:pPr>
          </w:p>
        </w:tc>
      </w:tr>
      <w:tr>
        <w:trPr>
          <w:trHeight w:val="210"/>
        </w:trPr>
        <w:tc>
          <w:tcPr>
            <w:tcW w:w="5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distribution channel</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Digital online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634,687</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413,469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Physical retail and other</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125,854</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125,538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760,541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539,007</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Net bookings by distribution channel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Digital online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672,053</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418,993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440" w:type="dxa"/>
            <w:vAlign w:val="bottom"/>
          </w:tcPr>
          <w:p>
            <w:pPr>
              <w:ind w:left="340"/>
              <w:spacing w:after="0"/>
              <w:rPr>
                <w:sz w:val="20"/>
                <w:szCs w:val="20"/>
                <w:color w:val="auto"/>
              </w:rPr>
            </w:pPr>
            <w:r>
              <w:rPr>
                <w:rFonts w:ascii="Arial" w:cs="Arial" w:eastAsia="Arial" w:hAnsi="Arial"/>
                <w:sz w:val="18"/>
                <w:szCs w:val="18"/>
                <w:color w:val="auto"/>
              </w:rPr>
              <w:t>Physical retail and other</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57,370</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69,417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729,423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488,410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407"/>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43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640" w:type="dxa"/>
            <w:vAlign w:val="bottom"/>
            <w:gridSpan w:val="4"/>
          </w:tcPr>
          <w:p>
            <w:pPr>
              <w:jc w:val="center"/>
              <w:ind w:right="310"/>
              <w:spacing w:after="0"/>
              <w:rPr>
                <w:sz w:val="20"/>
                <w:szCs w:val="20"/>
                <w:color w:val="auto"/>
              </w:rPr>
            </w:pPr>
            <w:r>
              <w:rPr>
                <w:rFonts w:ascii="Arial" w:cs="Arial" w:eastAsia="Arial" w:hAnsi="Arial"/>
                <w:sz w:val="18"/>
                <w:szCs w:val="18"/>
                <w:color w:val="auto"/>
                <w:w w:val="90"/>
              </w:rPr>
              <w:t>Three Months Ended</w:t>
            </w: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2"/>
              </w:rPr>
              <w:t>March 31, 2020</w:t>
            </w:r>
          </w:p>
        </w:tc>
        <w:tc>
          <w:tcPr>
            <w:tcW w:w="20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Arial" w:cs="Arial" w:eastAsia="Arial" w:hAnsi="Arial"/>
                <w:sz w:val="18"/>
                <w:szCs w:val="18"/>
                <w:color w:val="auto"/>
                <w:w w:val="92"/>
              </w:rPr>
              <w:t>March 31, 2019</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9"/>
                <w:szCs w:val="19"/>
                <w:color w:val="auto"/>
              </w:rPr>
            </w:pPr>
          </w:p>
        </w:tc>
      </w:tr>
      <w:tr>
        <w:trPr>
          <w:trHeight w:val="209"/>
        </w:trPr>
        <w:tc>
          <w:tcPr>
            <w:tcW w:w="5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platform mix</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Console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542,171</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422,432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PC and other</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218,370</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116,575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760,541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539,007</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Net bookings by platform mix</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507,612</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364,873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5440" w:type="dxa"/>
            <w:vAlign w:val="bottom"/>
          </w:tcPr>
          <w:p>
            <w:pPr>
              <w:ind w:left="340"/>
              <w:spacing w:after="0"/>
              <w:rPr>
                <w:sz w:val="20"/>
                <w:szCs w:val="20"/>
                <w:color w:val="auto"/>
              </w:rPr>
            </w:pPr>
            <w:r>
              <w:rPr>
                <w:rFonts w:ascii="Arial" w:cs="Arial" w:eastAsia="Arial" w:hAnsi="Arial"/>
                <w:sz w:val="18"/>
                <w:szCs w:val="18"/>
                <w:color w:val="auto"/>
              </w:rPr>
              <w:t>PC and other</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221,811</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123,537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729,423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488,410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668"/>
        </w:trPr>
        <w:tc>
          <w:tcPr>
            <w:tcW w:w="5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right="3900"/>
        <w:spacing w:after="0" w:line="260" w:lineRule="auto"/>
        <w:rPr>
          <w:sz w:val="20"/>
          <w:szCs w:val="20"/>
          <w:color w:val="auto"/>
        </w:rPr>
      </w:pPr>
      <w:r>
        <w:rPr>
          <w:rFonts w:ascii="Arial" w:cs="Arial" w:eastAsia="Arial" w:hAnsi="Arial"/>
          <w:sz w:val="18"/>
          <w:szCs w:val="18"/>
          <w:b w:val="1"/>
          <w:bCs w:val="1"/>
          <w:color w:val="auto"/>
        </w:rPr>
        <w:t>Net Revenue and Net Bookings by Geographic Region, Distribution Channel, and Platform Mix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Twelve Months Ended</w:t>
            </w:r>
          </w:p>
        </w:tc>
        <w:tc>
          <w:tcPr>
            <w:tcW w:w="200" w:type="dxa"/>
            <w:vAlign w:val="bottom"/>
          </w:tcPr>
          <w:p>
            <w:pPr>
              <w:spacing w:after="0"/>
              <w:rPr>
                <w:sz w:val="18"/>
                <w:szCs w:val="18"/>
                <w:color w:val="auto"/>
              </w:rPr>
            </w:pPr>
          </w:p>
        </w:tc>
        <w:tc>
          <w:tcPr>
            <w:tcW w:w="2640" w:type="dxa"/>
            <w:vAlign w:val="bottom"/>
            <w:gridSpan w:val="4"/>
          </w:tcPr>
          <w:p>
            <w:pPr>
              <w:jc w:val="right"/>
              <w:ind w:right="700"/>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0"/>
                <w:szCs w:val="20"/>
                <w:color w:val="auto"/>
              </w:rPr>
            </w:pPr>
          </w:p>
        </w:tc>
        <w:tc>
          <w:tcPr>
            <w:tcW w:w="2640" w:type="dxa"/>
            <w:vAlign w:val="bottom"/>
            <w:gridSpan w:val="4"/>
          </w:tcPr>
          <w:p>
            <w:pPr>
              <w:jc w:val="right"/>
              <w:ind w:right="920"/>
              <w:spacing w:after="0"/>
              <w:rPr>
                <w:sz w:val="20"/>
                <w:szCs w:val="20"/>
                <w:color w:val="auto"/>
              </w:rPr>
            </w:pPr>
            <w:r>
              <w:rPr>
                <w:rFonts w:ascii="Arial" w:cs="Arial" w:eastAsia="Arial" w:hAnsi="Arial"/>
                <w:sz w:val="18"/>
                <w:szCs w:val="18"/>
                <w:color w:val="auto"/>
              </w:rPr>
              <w:t>March 31, 2019</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geographic region</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1,775,682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1,426,907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1,313,288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1,241,487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3,088,970</w:t>
            </w:r>
          </w:p>
        </w:tc>
        <w:tc>
          <w:tcPr>
            <w:tcW w:w="220" w:type="dxa"/>
            <w:vAlign w:val="bottom"/>
            <w:vMerge w:val="continue"/>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2,668,394</w:t>
            </w:r>
          </w:p>
        </w:tc>
        <w:tc>
          <w:tcPr>
            <w:tcW w:w="20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Net bookings by geographic region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1,733,313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1,606,675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1,257,045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1,322,049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2,990,358</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2,928,724</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Twelve Months Ended</w:t>
            </w:r>
          </w:p>
        </w:tc>
        <w:tc>
          <w:tcPr>
            <w:tcW w:w="200" w:type="dxa"/>
            <w:vAlign w:val="bottom"/>
          </w:tcPr>
          <w:p>
            <w:pPr>
              <w:spacing w:after="0"/>
              <w:rPr>
                <w:sz w:val="24"/>
                <w:szCs w:val="24"/>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Twelve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March 31, 2020</w:t>
            </w:r>
          </w:p>
        </w:tc>
        <w:tc>
          <w:tcPr>
            <w:tcW w:w="200" w:type="dxa"/>
            <w:vAlign w:val="bottom"/>
          </w:tcPr>
          <w:p>
            <w:pPr>
              <w:spacing w:after="0"/>
              <w:rPr>
                <w:sz w:val="20"/>
                <w:szCs w:val="20"/>
                <w:color w:val="auto"/>
              </w:rPr>
            </w:pPr>
          </w:p>
        </w:tc>
        <w:tc>
          <w:tcPr>
            <w:tcW w:w="264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March 31, 2019</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distribution channel</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Digital online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2,378,563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1,681,609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Physical retail and other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710,407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986,785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3,088,970</w:t>
            </w:r>
          </w:p>
        </w:tc>
        <w:tc>
          <w:tcPr>
            <w:tcW w:w="220" w:type="dxa"/>
            <w:vAlign w:val="bottom"/>
            <w:vMerge w:val="continue"/>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2,668,394</w:t>
            </w:r>
          </w:p>
        </w:tc>
        <w:tc>
          <w:tcPr>
            <w:tcW w:w="20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Net bookings by distribution channel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Digital online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2,440,435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1,801,710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Physical retail and other</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549,923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1,127,014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2,990,358</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2,928,724</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Twelve Months Ended</w:t>
            </w:r>
          </w:p>
        </w:tc>
        <w:tc>
          <w:tcPr>
            <w:tcW w:w="200" w:type="dxa"/>
            <w:vAlign w:val="bottom"/>
          </w:tcPr>
          <w:p>
            <w:pPr>
              <w:spacing w:after="0"/>
              <w:rPr>
                <w:sz w:val="24"/>
                <w:szCs w:val="24"/>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Twelve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March 31, 2020</w:t>
            </w:r>
          </w:p>
        </w:tc>
        <w:tc>
          <w:tcPr>
            <w:tcW w:w="200" w:type="dxa"/>
            <w:vAlign w:val="bottom"/>
          </w:tcPr>
          <w:p>
            <w:pPr>
              <w:spacing w:after="0"/>
              <w:rPr>
                <w:sz w:val="20"/>
                <w:szCs w:val="20"/>
                <w:color w:val="auto"/>
              </w:rPr>
            </w:pPr>
          </w:p>
        </w:tc>
        <w:tc>
          <w:tcPr>
            <w:tcW w:w="264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March 31, 2019</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Platform Mix</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Console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2,308,602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2,233,861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PC and other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780,368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434,533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3,088,970</w:t>
            </w:r>
          </w:p>
        </w:tc>
        <w:tc>
          <w:tcPr>
            <w:tcW w:w="220" w:type="dxa"/>
            <w:vAlign w:val="bottom"/>
            <w:vMerge w:val="continue"/>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2,668,394</w:t>
            </w:r>
          </w:p>
        </w:tc>
        <w:tc>
          <w:tcPr>
            <w:tcW w:w="20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Net bookings by platform mix</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Console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2,195,843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2,497,157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PC and other</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794,515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431,567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2,990,358</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2,928,724</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68"/>
        </w:trPr>
        <w:tc>
          <w:tcPr>
            <w:tcW w:w="54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Cost of goods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Cost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sold- Software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goods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development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sold-</w:t>
            </w: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Cost of goods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Internal</w:t>
            </w: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sold- Product</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Cost of goods</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Selling and</w:t>
            </w:r>
          </w:p>
        </w:tc>
      </w:tr>
      <w:tr>
        <w:trPr>
          <w:trHeight w:val="234"/>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 revenue</w:t>
            </w:r>
          </w:p>
        </w:tc>
        <w:tc>
          <w:tcPr>
            <w:tcW w:w="10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royalties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royalties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costs</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sold- Licenses</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marketing</w:t>
            </w: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760,541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6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Net effect from deferral and related cost of</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goods sold</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(31,119)</w:t>
            </w: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(8,204)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(12,755)</w:t>
            </w: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(4,347)</w:t>
            </w:r>
          </w:p>
        </w:tc>
      </w:tr>
      <w:tr>
        <w:trPr>
          <w:trHeight w:val="202"/>
        </w:trPr>
        <w:tc>
          <w:tcPr>
            <w:tcW w:w="36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9"/>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Depreciation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Loss on</w:t>
            </w: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General and</w:t>
            </w: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Research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1"/>
              </w:rPr>
              <w:t>Business</w:t>
            </w:r>
          </w:p>
        </w:tc>
        <w:tc>
          <w:tcPr>
            <w:tcW w:w="1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Interest and</w:t>
            </w: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long-term</w:t>
            </w: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13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administrative</w:t>
            </w: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development</w:t>
            </w:r>
          </w:p>
        </w:tc>
        <w:tc>
          <w:tcPr>
            <w:tcW w:w="8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amortization</w:t>
            </w: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reorganization</w:t>
            </w: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other, net</w:t>
            </w: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investments</w:t>
            </w:r>
          </w:p>
        </w:tc>
      </w:tr>
      <w:tr>
        <w:trPr>
          <w:trHeight w:val="199"/>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82,212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68,718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8,083</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5,333</w:t>
            </w:r>
          </w:p>
        </w:tc>
        <w:tc>
          <w:tcPr>
            <w:tcW w:w="100" w:type="dxa"/>
            <w:vAlign w:val="bottom"/>
            <w:tcBorders>
              <w:top w:val="single" w:sz="8" w:color="CCEEFF"/>
            </w:tcBorders>
            <w:shd w:val="clear" w:color="auto" w:fill="CCEEFF"/>
          </w:tcPr>
          <w:p>
            <w:pPr>
              <w:spacing w:after="0"/>
              <w:rPr>
                <w:sz w:val="17"/>
                <w:szCs w:val="17"/>
                <w:color w:val="auto"/>
              </w:rPr>
            </w:pPr>
          </w:p>
        </w:tc>
      </w:tr>
      <w:tr>
        <w:trPr>
          <w:trHeight w:val="193"/>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Net effect from deferral and related cost of goods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sold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857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(11,553)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Amortization and impairment of acquired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intangibles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(1,538)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Impact of business reorganization</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Loss on long-term investments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(5,333)</w:t>
            </w:r>
          </w:p>
        </w:tc>
      </w:tr>
      <w:tr>
        <w:trPr>
          <w:trHeight w:val="333"/>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Cost of goods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sold- Software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development</w:t>
            </w:r>
          </w:p>
        </w:tc>
        <w:tc>
          <w:tcPr>
            <w:tcW w:w="8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Cost of goods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Cost of goods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costs and</w:t>
            </w:r>
          </w:p>
        </w:tc>
        <w:tc>
          <w:tcPr>
            <w:tcW w:w="8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sold- Internal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sold- Product</w:t>
            </w: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7"/>
              </w:rPr>
              <w:t>Cost of goods</w:t>
            </w:r>
          </w:p>
        </w:tc>
        <w:tc>
          <w:tcPr>
            <w:tcW w:w="8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Selling and</w:t>
            </w: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Three Months Ended March 31, 2019</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Net revenue</w:t>
            </w: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royalties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royalties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1"/>
              </w:rPr>
              <w:t>costs</w:t>
            </w: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4"/>
              </w:rPr>
              <w:t>sold- Licenses</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marketing</w:t>
            </w:r>
          </w:p>
        </w:tc>
      </w:tr>
      <w:tr>
        <w:trPr>
          <w:trHeight w:val="199"/>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539,007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111,596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74,142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44,914</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28,263</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77,607</w:t>
            </w:r>
          </w:p>
        </w:tc>
        <w:tc>
          <w:tcPr>
            <w:tcW w:w="100" w:type="dxa"/>
            <w:vAlign w:val="bottom"/>
            <w:tcBorders>
              <w:top w:val="single" w:sz="8" w:color="CCEEFF"/>
            </w:tcBorders>
            <w:shd w:val="clear" w:color="auto" w:fill="CCEEFF"/>
          </w:tcPr>
          <w:p>
            <w:pPr>
              <w:spacing w:after="0"/>
              <w:rPr>
                <w:sz w:val="17"/>
                <w:szCs w:val="17"/>
                <w:color w:val="auto"/>
              </w:rPr>
            </w:pPr>
          </w:p>
        </w:tc>
      </w:tr>
      <w:tr>
        <w:trPr>
          <w:trHeight w:val="193"/>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Net effect from deferral and related cost of goods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sold</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(50,596)</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(5,455)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(12,205)</w:t>
            </w: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(41,335)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(7,363)</w:t>
            </w:r>
          </w:p>
        </w:tc>
      </w:tr>
      <w:tr>
        <w:trPr>
          <w:trHeight w:val="193"/>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Amortization and impairment of acquired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intangibles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(3,919)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 related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00"/>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Depreciation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General and</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Research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Business</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Interest and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administrative</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development</w:t>
            </w:r>
          </w:p>
        </w:tc>
        <w:tc>
          <w:tcPr>
            <w:tcW w:w="80" w:type="dxa"/>
            <w:vAlign w:val="bottom"/>
          </w:tcPr>
          <w:p>
            <w:pPr>
              <w:spacing w:after="0"/>
              <w:rPr>
                <w:sz w:val="20"/>
                <w:szCs w:val="20"/>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amortization</w:t>
            </w:r>
          </w:p>
        </w:tc>
        <w:tc>
          <w:tcPr>
            <w:tcW w:w="14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reorganization</w:t>
            </w: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other, net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6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Net effect from deferral and related cost of</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goods sold</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3,419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6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Impact of business reorganization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702"/>
        </w:trPr>
        <w:tc>
          <w:tcPr>
            <w:tcW w:w="3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-5442585</wp:posOffset>
            </wp:positionV>
            <wp:extent cx="71323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-1833880</wp:posOffset>
            </wp:positionV>
            <wp:extent cx="771525" cy="557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55753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-1002030</wp:posOffset>
            </wp:positionV>
            <wp:extent cx="77152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13716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-590550</wp:posOffset>
            </wp:positionV>
            <wp:extent cx="77152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13716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Cost of goods</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Cost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b w:val="1"/>
                <w:bCs w:val="1"/>
                <w:color w:val="auto"/>
              </w:rPr>
              <w:t>sold- Software</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goods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development</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sold-</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Cost of goods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costs and</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Internal</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sold- Product</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Cost of goods</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Selling and</w:t>
            </w: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Twelve Months Ended March 31, 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Net revenue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royalties</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royalties</w:t>
            </w:r>
          </w:p>
        </w:tc>
        <w:tc>
          <w:tcPr>
            <w:tcW w:w="16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costs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sold- Licenses</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marketing</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3,088,970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483,697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277,147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170,408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w w:val="99"/>
              </w:rPr>
              <w:t>Net effect from deferral and related cost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goods sold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(98,612)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(54,515)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(33,339)</w:t>
            </w: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(154,031)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(18,680)</w:t>
            </w: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(13,598)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FFFFFF"/>
              </w:rPr>
              <w:t>-</w:t>
            </w:r>
          </w:p>
        </w:tc>
      </w:tr>
      <w:tr>
        <w:trPr>
          <w:trHeight w:val="414"/>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Depreciation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Loss on</w:t>
            </w: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General and</w:t>
            </w:r>
          </w:p>
        </w:tc>
        <w:tc>
          <w:tcPr>
            <w:tcW w:w="6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Research and</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and</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Business</w:t>
            </w: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Interest and</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long-term</w:t>
            </w: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Twelve Months Ended March 31, 2020</w:t>
            </w:r>
          </w:p>
        </w:tc>
        <w:tc>
          <w:tcPr>
            <w:tcW w:w="1360" w:type="dxa"/>
            <w:vAlign w:val="bottom"/>
            <w:gridSpan w:val="4"/>
          </w:tcPr>
          <w:p>
            <w:pPr>
              <w:ind w:left="100"/>
              <w:spacing w:after="0"/>
              <w:rPr>
                <w:sz w:val="20"/>
                <w:szCs w:val="20"/>
                <w:color w:val="auto"/>
              </w:rPr>
            </w:pPr>
            <w:r>
              <w:rPr>
                <w:rFonts w:ascii="Arial" w:cs="Arial" w:eastAsia="Arial" w:hAnsi="Arial"/>
                <w:sz w:val="18"/>
                <w:szCs w:val="18"/>
                <w:b w:val="1"/>
                <w:bCs w:val="1"/>
                <w:color w:val="auto"/>
              </w:rPr>
              <w:t>administrative</w:t>
            </w:r>
          </w:p>
        </w:tc>
        <w:tc>
          <w:tcPr>
            <w:tcW w:w="6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reorganization</w:t>
            </w: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other, net</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investments</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w w:val="99"/>
              </w:rPr>
              <w:t>Net effect from deferral and related cost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goods sold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(31,563)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Acquisition related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Impact of business reorganization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long-term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(5,333)</w:t>
            </w:r>
          </w:p>
        </w:tc>
      </w:tr>
      <w:tr>
        <w:trPr>
          <w:trHeight w:val="414"/>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Cost of goods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sold-</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Cost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Software</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goods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sold-</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Cost of goods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costs and</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Internal</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sold- Product</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Cost of goods</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Selling and</w:t>
            </w: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Twelve Months Ended March 31, 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Net revenue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royalties</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royalties</w:t>
            </w:r>
          </w:p>
        </w:tc>
        <w:tc>
          <w:tcPr>
            <w:tcW w:w="16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costs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sold- Licenses</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marketing</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2,668,394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322,148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141,494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w w:val="99"/>
              </w:rPr>
              <w:t>Net effect from deferral and related cost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goods sold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260,330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40,943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24,882</w:t>
            </w: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(149,075)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(23,685)</w:t>
            </w: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(16,290)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Depreciation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General and</w:t>
            </w:r>
          </w:p>
        </w:tc>
        <w:tc>
          <w:tcPr>
            <w:tcW w:w="6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Research and</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and</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Business</w:t>
            </w: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Interest and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Twelve Months Ended March 31, 2019</w:t>
            </w:r>
          </w:p>
        </w:tc>
        <w:tc>
          <w:tcPr>
            <w:tcW w:w="1360" w:type="dxa"/>
            <w:vAlign w:val="bottom"/>
            <w:gridSpan w:val="4"/>
          </w:tcPr>
          <w:p>
            <w:pPr>
              <w:ind w:left="100"/>
              <w:spacing w:after="0"/>
              <w:rPr>
                <w:sz w:val="20"/>
                <w:szCs w:val="20"/>
                <w:color w:val="auto"/>
              </w:rPr>
            </w:pPr>
            <w:r>
              <w:rPr>
                <w:rFonts w:ascii="Arial" w:cs="Arial" w:eastAsia="Arial" w:hAnsi="Arial"/>
                <w:sz w:val="18"/>
                <w:szCs w:val="18"/>
                <w:b w:val="1"/>
                <w:bCs w:val="1"/>
                <w:color w:val="auto"/>
              </w:rPr>
              <w:t>administrative</w:t>
            </w:r>
          </w:p>
        </w:tc>
        <w:tc>
          <w:tcPr>
            <w:tcW w:w="6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reorganization</w:t>
            </w: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other, net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281,234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230,170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w w:val="99"/>
              </w:rPr>
              <w:t>Net effect from deferral and related cost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goods sold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2,508</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(23,037)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w w:val="90"/>
              </w:rPr>
              <w:t>Non-cash amounts related to convertible notes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Impact of business reorganization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61"/>
        </w:trPr>
        <w:tc>
          <w:tcPr>
            <w:tcW w:w="3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968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96837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-1122680</wp:posOffset>
            </wp:positionV>
            <wp:extent cx="77152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13716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-847725</wp:posOffset>
            </wp:positionV>
            <wp:extent cx="77152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27432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MEASURE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10"/>
          </w:tcPr>
          <w:p>
            <w:pPr>
              <w:jc w:val="right"/>
              <w:ind w:right="260"/>
              <w:spacing w:after="0"/>
              <w:rPr>
                <w:sz w:val="20"/>
                <w:szCs w:val="20"/>
                <w:color w:val="auto"/>
              </w:rPr>
            </w:pPr>
            <w:r>
              <w:rPr>
                <w:rFonts w:ascii="Arial" w:cs="Arial" w:eastAsia="Arial" w:hAnsi="Arial"/>
                <w:sz w:val="18"/>
                <w:szCs w:val="18"/>
                <w:b w:val="1"/>
                <w:bCs w:val="1"/>
                <w:color w:val="auto"/>
                <w:w w:val="94"/>
              </w:rPr>
              <w:t>Twelve months ended March 31,</w:t>
            </w:r>
          </w:p>
        </w:tc>
      </w:tr>
      <w:tr>
        <w:trPr>
          <w:trHeight w:val="223"/>
        </w:trPr>
        <w:tc>
          <w:tcPr>
            <w:tcW w:w="86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8"/>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685,678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843,515</w:t>
            </w:r>
          </w:p>
        </w:tc>
        <w:tc>
          <w:tcPr>
            <w:tcW w:w="100" w:type="dxa"/>
            <w:vAlign w:val="bottom"/>
            <w:shd w:val="clear" w:color="auto" w:fill="CCEEFF"/>
          </w:tcPr>
          <w:p>
            <w:pPr>
              <w:spacing w:after="0"/>
              <w:rPr>
                <w:sz w:val="18"/>
                <w:szCs w:val="18"/>
                <w:color w:val="auto"/>
              </w:rPr>
            </w:pPr>
          </w:p>
        </w:tc>
      </w:tr>
      <w:tr>
        <w:trPr>
          <w:trHeight w:val="270"/>
        </w:trPr>
        <w:tc>
          <w:tcPr>
            <w:tcW w:w="5880" w:type="dxa"/>
            <w:vAlign w:val="bottom"/>
            <w:gridSpan w:val="2"/>
          </w:tcPr>
          <w:p>
            <w:pPr>
              <w:ind w:left="600"/>
              <w:spacing w:after="0" w:line="270" w:lineRule="exact"/>
              <w:rPr>
                <w:sz w:val="20"/>
                <w:szCs w:val="20"/>
                <w:color w:val="auto"/>
              </w:rPr>
            </w:pPr>
            <w:r>
              <w:rPr>
                <w:rFonts w:ascii="Arial" w:cs="Arial" w:eastAsia="Arial" w:hAnsi="Arial"/>
                <w:sz w:val="18"/>
                <w:szCs w:val="18"/>
                <w:color w:val="auto"/>
              </w:rPr>
              <w:t xml:space="preserve">Net change in Restricted cash </w:t>
            </w:r>
            <w:r>
              <w:rPr>
                <w:rFonts w:ascii="Arial" w:cs="Arial" w:eastAsia="Arial" w:hAnsi="Arial"/>
                <w:sz w:val="29"/>
                <w:szCs w:val="29"/>
                <w:color w:val="auto"/>
                <w:vertAlign w:val="superscript"/>
              </w:rPr>
              <w:t>(1)</w:t>
            </w:r>
          </w:p>
        </w:tc>
        <w:tc>
          <w:tcPr>
            <w:tcW w:w="2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(70,267)</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(128,063)</w:t>
            </w:r>
          </w:p>
        </w:tc>
      </w:tr>
      <w:tr>
        <w:trPr>
          <w:trHeight w:val="223"/>
        </w:trPr>
        <w:tc>
          <w:tcPr>
            <w:tcW w:w="5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Unrestricted Operating Cash Flow</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615,411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715,452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60" w:type="dxa"/>
            <w:vAlign w:val="bottom"/>
          </w:tcPr>
          <w:p>
            <w:pPr>
              <w:spacing w:after="0"/>
              <w:rPr>
                <w:sz w:val="24"/>
                <w:szCs w:val="24"/>
                <w:color w:val="auto"/>
              </w:rPr>
            </w:pPr>
          </w:p>
        </w:tc>
        <w:tc>
          <w:tcPr>
            <w:tcW w:w="502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8"/>
                <w:szCs w:val="18"/>
                <w:b w:val="1"/>
                <w:bCs w:val="1"/>
                <w:color w:val="auto"/>
              </w:rPr>
              <w:t>FY 2020</w:t>
            </w: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FY 2019</w:t>
            </w:r>
          </w:p>
        </w:tc>
        <w:tc>
          <w:tcPr>
            <w:tcW w:w="100" w:type="dxa"/>
            <w:vAlign w:val="bottom"/>
            <w:tcBorders>
              <w:bottom w:val="single" w:sz="8" w:color="CCEEFF"/>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6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beginning of period (4/1)</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565,461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437,398</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end of period (3/31)</w:t>
            </w:r>
          </w:p>
        </w:tc>
        <w:tc>
          <w:tcPr>
            <w:tcW w:w="2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635,728</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565,461</w:t>
            </w:r>
          </w:p>
        </w:tc>
        <w:tc>
          <w:tcPr>
            <w:tcW w:w="100" w:type="dxa"/>
            <w:vAlign w:val="bottom"/>
            <w:tcBorders>
              <w:bottom w:val="single" w:sz="8" w:color="CCEEFF"/>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9"/>
        </w:trPr>
        <w:tc>
          <w:tcPr>
            <w:tcW w:w="86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24"/>
                <w:szCs w:val="24"/>
                <w:color w:val="auto"/>
                <w:vertAlign w:val="superscript"/>
              </w:rPr>
              <w:t>(1)</w:t>
            </w:r>
            <w:r>
              <w:rPr>
                <w:rFonts w:ascii="Arial" w:cs="Arial" w:eastAsia="Arial" w:hAnsi="Arial"/>
                <w:sz w:val="15"/>
                <w:szCs w:val="15"/>
                <w:color w:val="auto"/>
              </w:rPr>
              <w:t xml:space="preserve"> Net change in Restricted cash</w:t>
            </w:r>
          </w:p>
        </w:tc>
        <w:tc>
          <w:tcPr>
            <w:tcW w:w="222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(70,267</w:t>
            </w: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(128,063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86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2020-05-20T15:21:38Z</dcterms:created>
  <dcterms:modified xsi:type="dcterms:W3CDTF">2020-05-20T15:21:38Z</dcterms:modified>
</cp:coreProperties>
</file>