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13,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TAKE-TWO INTERACTIVE SOFTWARE,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110 West 44</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Street, New York, New York</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00" w:space="720"/>
            <w:col w:w="3240"/>
          </w:cols>
          <w:pgMar w:left="240" w:top="544" w:right="199" w:bottom="1440" w:gutter="0" w:footer="0" w:header="0"/>
          <w:type w:val="continuous"/>
        </w:sectPr>
      </w:pPr>
    </w:p>
    <w:p>
      <w:pPr>
        <w:spacing w:after="0" w:line="11"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(646) 536-2842</w:t>
      </w:r>
    </w:p>
    <w:p>
      <w:pPr>
        <w:spacing w:after="0" w:line="204" w:lineRule="exact"/>
        <w:rPr>
          <w:sz w:val="24"/>
          <w:szCs w:val="24"/>
          <w:color w:val="auto"/>
        </w:rPr>
      </w:pPr>
    </w:p>
    <w:p>
      <w:pPr>
        <w:sectPr>
          <w:pgSz w:w="11900" w:h="16838" w:orient="portrait"/>
          <w:cols w:equalWidth="0" w:num="2">
            <w:col w:w="6960" w:space="80"/>
            <w:col w:w="4420"/>
          </w:cols>
          <w:pgMar w:left="240" w:top="544" w:right="199" w:bottom="1440" w:gutter="0" w:footer="0" w:header="0"/>
          <w:type w:val="continuous"/>
        </w:sectPr>
      </w:pP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TTWO</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May 13, 2019, Take-Two Interactive Software, Inc. (the “Company”) issued a press release announcing the financial results of the Company for its fourth fiscal quarter and fiscal year ended March 31, 2019. A copy of the press release is attached to this Current Report as Exhibit 99.1 and is incorporated by reference herein.</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60" w:hanging="648"/>
        <w:spacing w:after="0" w:line="277" w:lineRule="auto"/>
        <w:rPr>
          <w:rFonts w:ascii="Arial" w:cs="Arial" w:eastAsia="Arial" w:hAnsi="Arial"/>
          <w:sz w:val="18"/>
          <w:szCs w:val="18"/>
          <w:color w:val="auto"/>
        </w:rPr>
      </w:pPr>
      <w:r>
        <w:rPr>
          <w:rFonts w:ascii="Arial" w:cs="Arial" w:eastAsia="Arial" w:hAnsi="Arial"/>
          <w:sz w:val="18"/>
          <w:szCs w:val="18"/>
          <w:color w:val="auto"/>
        </w:rPr>
        <w:t>99.1 Press Release dated May 13, 2019 relating to Take-Two Interactive Software, Inc.’s financial results for its fourth fiscal quarter and fiscal year ended March 31,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16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0" w:type="dxa"/>
            <w:vAlign w:val="bottom"/>
            <w:gridSpan w:val="3"/>
          </w:tcPr>
          <w:p>
            <w:pPr>
              <w:ind w:left="9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8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Press Release dated May 13, 2019 relating to Take-Two Interactive Software, Inc.’s financial results for its fourth fiscal quarter and fiscal</w:t>
              </w:r>
            </w:hyperlink>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year ended March 31, 2019.</w:t>
              </w:r>
            </w:hyperlink>
          </w:p>
        </w:tc>
        <w:tc>
          <w:tcPr>
            <w:tcW w:w="40" w:type="dxa"/>
            <w:vAlign w:val="bottom"/>
          </w:tcPr>
          <w:p>
            <w:pPr>
              <w:spacing w:after="0"/>
              <w:rPr>
                <w:sz w:val="17"/>
                <w:szCs w:val="17"/>
                <w:color w:val="auto"/>
              </w:rPr>
            </w:pPr>
          </w:p>
        </w:tc>
      </w:tr>
      <w:tr>
        <w:trPr>
          <w:trHeight w:val="453"/>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3160" w:type="dxa"/>
            <w:vAlign w:val="bottom"/>
            <w:gridSpan w:val="2"/>
          </w:tcPr>
          <w:p>
            <w:pPr>
              <w:jc w:val="right"/>
              <w:ind w:right="588"/>
              <w:spacing w:after="0"/>
              <w:rPr>
                <w:sz w:val="20"/>
                <w:szCs w:val="20"/>
                <w:color w:val="auto"/>
              </w:rPr>
            </w:pPr>
            <w:r>
              <w:rPr>
                <w:rFonts w:ascii="Arial" w:cs="Arial" w:eastAsia="Arial" w:hAnsi="Arial"/>
                <w:sz w:val="18"/>
                <w:szCs w:val="18"/>
                <w:color w:val="auto"/>
              </w:rPr>
              <w:t>3</w:t>
            </w: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Matthew Breitman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Deputy General Counsel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&amp;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341"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7467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Henry A. Diamond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&amp;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536-3005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Henry.Diamond@take2games.com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(Corporate 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Alan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Communications &amp; Public Affairs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536-2983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Alan.Lewis@take2games.com</w:t>
      </w:r>
    </w:p>
    <w:p>
      <w:pPr>
        <w:spacing w:after="0" w:line="200" w:lineRule="exact"/>
        <w:rPr>
          <w:sz w:val="20"/>
          <w:szCs w:val="20"/>
          <w:color w:val="auto"/>
        </w:rPr>
      </w:pPr>
    </w:p>
    <w:p>
      <w:pPr>
        <w:sectPr>
          <w:pgSz w:w="11900" w:h="16838" w:orient="portrait"/>
          <w:cols w:equalWidth="0" w:num="2">
            <w:col w:w="5000" w:space="720"/>
            <w:col w:w="5700"/>
          </w:cols>
          <w:pgMar w:left="240" w:top="121"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Reports Strong Results for Fiscal Year 2019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GAAP net revenue grew to $2.668 billion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GAAP net income increased to $2.90 per diluted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GAAP net cash provided by operating activities increased 71% to $843.5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Adjusted Operating Cash Flow (Non-GAAP) increased 82% to $715.5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Net Bookings grew 47% to $2.929 billion</w:t>
      </w:r>
    </w:p>
    <w:p>
      <w:pPr>
        <w:spacing w:after="0" w:line="225" w:lineRule="exact"/>
        <w:rPr>
          <w:sz w:val="20"/>
          <w:szCs w:val="20"/>
          <w:color w:val="auto"/>
        </w:rPr>
      </w:pPr>
    </w:p>
    <w:p>
      <w:pPr>
        <w:jc w:val="center"/>
        <w:ind w:left="280" w:right="160"/>
        <w:spacing w:after="0" w:line="277" w:lineRule="auto"/>
        <w:rPr>
          <w:sz w:val="20"/>
          <w:szCs w:val="20"/>
          <w:color w:val="auto"/>
        </w:rPr>
      </w:pPr>
      <w:r>
        <w:rPr>
          <w:rFonts w:ascii="Arial" w:cs="Arial" w:eastAsia="Arial" w:hAnsi="Arial"/>
          <w:sz w:val="18"/>
          <w:szCs w:val="18"/>
          <w:i w:val="1"/>
          <w:iCs w:val="1"/>
          <w:color w:val="auto"/>
        </w:rPr>
        <w:t>Repurchased 3.72 million shares of common stock for $362.4 million during fiscal year 2019, including 1.12 million shares for $100.0 million during the fiscal fourth quarter</w:t>
      </w:r>
    </w:p>
    <w:p>
      <w:pPr>
        <w:spacing w:after="0" w:line="166"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u w:val="single" w:color="auto"/>
          <w:color w:val="auto"/>
        </w:rPr>
        <w:t>New York, NY — May 13, 2019</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strong results for its fourth quarter and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2019, ended March 31, 2019, and provided its initial outlook for its fiscal first quarter 2020, ending June 30, 2019, and fiscal year 2020, ending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Fourth Quarter 2019 Financial Highlights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On April 1, 2018, the Company adopted FASB ASU 2014-09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Topic 606 significantly changes how the Company recognizes and reports net revenue and net income; however, it does not materially impact Net Bookings (our operational metric). Financial data for periods prior to April 1, 2018 have not been restated.</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GAAP net revenue grew to $539.0 million, as compared to $450.3 million in last year’s fiscal fourth quarter. Recurrent consumer spending (virtual currency, add-on content and in-game purchases) increased and accounted for 54% of total GAAP net revenue. The largest contributors to GAAP net revenue in fiscal fourth quarter 2019 were </w:t>
      </w:r>
      <w:r>
        <w:rPr>
          <w:rFonts w:ascii="Arial" w:cs="Arial" w:eastAsia="Arial" w:hAnsi="Arial"/>
          <w:sz w:val="17"/>
          <w:szCs w:val="17"/>
          <w:i w:val="1"/>
          <w:iCs w:val="1"/>
          <w:color w:val="auto"/>
        </w:rPr>
        <w:t>NBA® 2K19</w:t>
      </w:r>
      <w:r>
        <w:rPr>
          <w:rFonts w:ascii="Arial" w:cs="Arial" w:eastAsia="Arial" w:hAnsi="Arial"/>
          <w:sz w:val="17"/>
          <w:szCs w:val="17"/>
          <w:color w:val="auto"/>
        </w:rPr>
        <w:t xml:space="preserve">,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 Online</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w:t>
      </w:r>
      <w:r>
        <w:rPr>
          <w:rFonts w:ascii="Arial" w:cs="Arial" w:eastAsia="Arial" w:hAnsi="Arial"/>
          <w:sz w:val="17"/>
          <w:szCs w:val="17"/>
          <w:color w:val="auto"/>
        </w:rPr>
        <w:t xml:space="preserve"> </w:t>
      </w:r>
      <w:r>
        <w:rPr>
          <w:rFonts w:ascii="Arial" w:cs="Arial" w:eastAsia="Arial" w:hAnsi="Arial"/>
          <w:sz w:val="17"/>
          <w:szCs w:val="17"/>
          <w:i w:val="1"/>
          <w:iCs w:val="1"/>
          <w:color w:val="auto"/>
        </w:rPr>
        <w:t>Civilization® VI</w:t>
      </w:r>
      <w:r>
        <w:rPr>
          <w:rFonts w:ascii="Arial" w:cs="Arial" w:eastAsia="Arial" w:hAnsi="Arial"/>
          <w:sz w:val="17"/>
          <w:szCs w:val="17"/>
          <w:color w:val="auto"/>
        </w:rPr>
        <w:t>,</w:t>
      </w:r>
      <w:r>
        <w:rPr>
          <w:rFonts w:ascii="Arial" w:cs="Arial" w:eastAsia="Arial" w:hAnsi="Arial"/>
          <w:sz w:val="17"/>
          <w:szCs w:val="17"/>
          <w:i w:val="1"/>
          <w:iCs w:val="1"/>
          <w:color w:val="auto"/>
        </w:rPr>
        <w:t xml:space="preserve"> Dragon City </w:t>
      </w:r>
      <w:r>
        <w:rPr>
          <w:rFonts w:ascii="Arial" w:cs="Arial" w:eastAsia="Arial" w:hAnsi="Arial"/>
          <w:sz w:val="17"/>
          <w:szCs w:val="17"/>
          <w:color w:val="auto"/>
        </w:rPr>
        <w:t>and</w:t>
      </w:r>
      <w:r>
        <w:rPr>
          <w:rFonts w:ascii="Arial" w:cs="Arial" w:eastAsia="Arial" w:hAnsi="Arial"/>
          <w:sz w:val="17"/>
          <w:szCs w:val="17"/>
          <w:i w:val="1"/>
          <w:iCs w:val="1"/>
          <w:color w:val="auto"/>
        </w:rPr>
        <w:t xml:space="preserve"> Monster Legends</w:t>
      </w:r>
      <w:r>
        <w:rPr>
          <w:rFonts w:ascii="Arial" w:cs="Arial" w:eastAsia="Arial" w:hAnsi="Arial"/>
          <w:sz w:val="17"/>
          <w:szCs w:val="17"/>
          <w:color w:val="auto"/>
        </w:rPr>
        <w:t>, and</w:t>
      </w:r>
      <w:r>
        <w:rPr>
          <w:rFonts w:ascii="Arial" w:cs="Arial" w:eastAsia="Arial" w:hAnsi="Arial"/>
          <w:sz w:val="17"/>
          <w:szCs w:val="17"/>
          <w:i w:val="1"/>
          <w:iCs w:val="1"/>
          <w:color w:val="auto"/>
        </w:rPr>
        <w:t xml:space="preserve"> WWE® SuperCard </w:t>
      </w:r>
      <w:r>
        <w:rPr>
          <w:rFonts w:ascii="Arial" w:cs="Arial" w:eastAsia="Arial" w:hAnsi="Arial"/>
          <w:sz w:val="17"/>
          <w:szCs w:val="17"/>
          <w:color w:val="auto"/>
        </w:rPr>
        <w:t>and</w:t>
      </w:r>
      <w:r>
        <w:rPr>
          <w:rFonts w:ascii="Arial" w:cs="Arial" w:eastAsia="Arial" w:hAnsi="Arial"/>
          <w:sz w:val="17"/>
          <w:szCs w:val="17"/>
          <w:i w:val="1"/>
          <w:iCs w:val="1"/>
          <w:color w:val="auto"/>
        </w:rPr>
        <w:t xml:space="preserve"> WWE 2K19</w:t>
      </w:r>
      <w:r>
        <w:rPr>
          <w:rFonts w:ascii="Arial" w:cs="Arial" w:eastAsia="Arial" w:hAnsi="Arial"/>
          <w:sz w:val="17"/>
          <w:szCs w:val="17"/>
          <w:color w:val="auto"/>
        </w:rPr>
        <w:t>.</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 xml:space="preserve">Digitally-delivered GAAP net revenue grew to $413.5 million, as compared to $301.4 million in last year’s fiscal fourth quarter, and accounted for 77% of total GAAP net revenue. The largest contributors to digitally-delivered GAAP net revenue in fiscal fourth quarter 2019 were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Dragon City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 and</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2K19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GAAP net income was $56.8 million, or $0.50 per diluted share, as compared to $90.9 million, or $0.77 per diluted share, for the year-ago period.</w:t>
      </w:r>
    </w:p>
    <w:p>
      <w:pPr>
        <w:spacing w:after="0" w:line="2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data, together with a management reporting tax rate of 20%,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 March 31, 2019</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1240"/>
              <w:spacing w:after="0" w:line="142" w:lineRule="exact"/>
              <w:rPr>
                <w:sz w:val="20"/>
                <w:szCs w:val="20"/>
                <w:color w:val="auto"/>
              </w:rPr>
            </w:pPr>
            <w:r>
              <w:rPr>
                <w:rFonts w:ascii="Arial" w:cs="Arial" w:eastAsia="Arial" w:hAnsi="Arial"/>
                <w:sz w:val="14"/>
                <w:szCs w:val="14"/>
                <w:b w:val="1"/>
                <w:bCs w:val="1"/>
                <w:color w:val="auto"/>
              </w:rPr>
              <w:t>Financial Data</w:t>
            </w:r>
          </w:p>
        </w:tc>
        <w:tc>
          <w:tcPr>
            <w:tcW w:w="1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Change in deferred</w:t>
            </w: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Impact of</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Amortization &amp;</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Statement of</w:t>
            </w: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net revenue and</w:t>
            </w: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Stock-based</w:t>
            </w:r>
          </w:p>
        </w:tc>
        <w:tc>
          <w:tcPr>
            <w:tcW w:w="142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business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operations</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goods sold</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reorganization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intangible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539,007</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(50,596)</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258,915</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(17,606)</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(41,335)</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280,092</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(32,990)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41,335</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222,031</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(27,754)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58,061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(32,990)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69,089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3,419</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64,527</w:t>
            </w:r>
          </w:p>
        </w:tc>
        <w:tc>
          <w:tcPr>
            <w:tcW w:w="3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(29,571)</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69,089</w:t>
            </w:r>
          </w:p>
        </w:tc>
        <w:tc>
          <w:tcPr>
            <w:tcW w:w="3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2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order to calculate net income per diluted share for management reporting purposes, the Company uses its fully diluted share count of 113.9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Fourth Quarter Operational Metric — Net Bookings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7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Total Net Bookings grew 19% to $488.4 million, as compared to $411.4 million during last year’s fiscal fourth quarter. Net Bookings from recurrent consumer spending grew 27% year-over-year and accounted for 62% of total Net Bookings. The largest contributors to Net Bookings were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Grand 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Dragon City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 and</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2K19</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Catalog accounted for $254.5 million of Net Bookings led by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 VI</w:t>
      </w:r>
      <w:r>
        <w:rPr>
          <w:rFonts w:ascii="Arial" w:cs="Arial" w:eastAsia="Arial" w:hAnsi="Arial"/>
          <w:sz w:val="17"/>
          <w:szCs w:val="17"/>
          <w:color w:val="auto"/>
        </w:rPr>
        <w:t xml:space="preserve">, and </w:t>
      </w:r>
      <w:r>
        <w:rPr>
          <w:rFonts w:ascii="Arial" w:cs="Arial" w:eastAsia="Arial" w:hAnsi="Arial"/>
          <w:sz w:val="17"/>
          <w:szCs w:val="17"/>
          <w:i w:val="1"/>
          <w:iCs w:val="1"/>
          <w:color w:val="auto"/>
        </w:rPr>
        <w:t>Dragon City</w:t>
      </w:r>
      <w:r>
        <w:rPr>
          <w:rFonts w:ascii="Arial" w:cs="Arial" w:eastAsia="Arial" w:hAnsi="Arial"/>
          <w:sz w:val="17"/>
          <w:szCs w:val="17"/>
          <w:color w:val="auto"/>
        </w:rPr>
        <w:t xml:space="preserve"> and </w:t>
      </w:r>
      <w:r>
        <w:rPr>
          <w:rFonts w:ascii="Arial" w:cs="Arial" w:eastAsia="Arial" w:hAnsi="Arial"/>
          <w:sz w:val="17"/>
          <w:szCs w:val="17"/>
          <w:i w:val="1"/>
          <w:iCs w:val="1"/>
          <w:color w:val="auto"/>
        </w:rPr>
        <w:t>Monster Legends</w:t>
      </w:r>
      <w:r>
        <w:rPr>
          <w:rFonts w:ascii="Arial" w:cs="Arial" w:eastAsia="Arial" w:hAnsi="Arial"/>
          <w:sz w:val="17"/>
          <w:szCs w:val="17"/>
          <w:color w:val="auto"/>
        </w:rPr>
        <w:t>.</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Digitally-delivered Net Bookings grew 26% to $419.0 million, as compared to $333.1 million in last year’s fiscal fourth quarter, and accounted for 86% of total Net Bookings. The largest contributors to digitally-delivered Net Bookings in fiscal fourth quarter 2019 were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Dragon City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 and</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2K19</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2019 Financial Highlights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GAAP net revenue grew to $2.668 billion, as compared to $1.793 billion in fiscal year 2018. Recurrent consumer spending increased and accounted for 40% of total GAAP net revenue. The largest contributors to GAAP net revenue in fiscal year 2019 were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2K19 </w:t>
      </w:r>
      <w:r>
        <w:rPr>
          <w:rFonts w:ascii="Arial" w:cs="Arial" w:eastAsia="Arial" w:hAnsi="Arial"/>
          <w:sz w:val="18"/>
          <w:szCs w:val="18"/>
          <w:color w:val="auto"/>
        </w:rPr>
        <w:t>and</w:t>
      </w:r>
      <w:r>
        <w:rPr>
          <w:rFonts w:ascii="Arial" w:cs="Arial" w:eastAsia="Arial" w:hAnsi="Arial"/>
          <w:sz w:val="18"/>
          <w:szCs w:val="18"/>
          <w:i w:val="1"/>
          <w:iCs w:val="1"/>
          <w:color w:val="auto"/>
        </w:rPr>
        <w:t xml:space="preserve"> NBA 2K18</w:t>
      </w:r>
      <w:r>
        <w:rPr>
          <w:rFonts w:ascii="Arial" w:cs="Arial" w:eastAsia="Arial" w:hAnsi="Arial"/>
          <w:sz w:val="18"/>
          <w:szCs w:val="18"/>
          <w:color w:val="auto"/>
        </w:rPr>
        <w:t>,</w:t>
      </w:r>
      <w:r>
        <w:rPr>
          <w:rFonts w:ascii="Arial" w:cs="Arial" w:eastAsia="Arial" w:hAnsi="Arial"/>
          <w:sz w:val="18"/>
          <w:szCs w:val="18"/>
          <w:i w:val="1"/>
          <w:iCs w:val="1"/>
          <w:color w:val="auto"/>
        </w:rPr>
        <w:t xml:space="preserve"> WWE 2K19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SuperCard</w:t>
      </w:r>
      <w:r>
        <w:rPr>
          <w:rFonts w:ascii="Arial" w:cs="Arial" w:eastAsia="Arial" w:hAnsi="Arial"/>
          <w:sz w:val="18"/>
          <w:szCs w:val="18"/>
          <w:color w:val="auto"/>
        </w:rPr>
        <w:t>,</w:t>
      </w:r>
      <w:r>
        <w:rPr>
          <w:rFonts w:ascii="Arial" w:cs="Arial" w:eastAsia="Arial" w:hAnsi="Arial"/>
          <w:sz w:val="18"/>
          <w:szCs w:val="18"/>
          <w:i w:val="1"/>
          <w:iCs w:val="1"/>
          <w:color w:val="auto"/>
        </w:rPr>
        <w:t xml:space="preserve"> Dragon City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 and</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Digitally-delivered GAAP net revenue grew to $1.682 billion, as compared to $1.131 billion in fiscal year 2018, and accounted for 63% of total GAAP net revenue. The largest contributors to digitally-delivered GAAP net revenue in fiscal year 2019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NBA</w:t>
      </w:r>
      <w:r>
        <w:rPr>
          <w:rFonts w:ascii="Arial" w:cs="Arial" w:eastAsia="Arial" w:hAnsi="Arial"/>
          <w:sz w:val="18"/>
          <w:szCs w:val="18"/>
          <w:color w:val="auto"/>
        </w:rPr>
        <w:t xml:space="preserve"> </w:t>
      </w:r>
      <w:r>
        <w:rPr>
          <w:rFonts w:ascii="Arial" w:cs="Arial" w:eastAsia="Arial" w:hAnsi="Arial"/>
          <w:sz w:val="18"/>
          <w:szCs w:val="18"/>
          <w:i w:val="1"/>
          <w:iCs w:val="1"/>
          <w:color w:val="auto"/>
        </w:rPr>
        <w:t>2K19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right="560"/>
        <w:spacing w:after="0" w:line="27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NBA 2K18</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w:t>
      </w:r>
      <w:r>
        <w:rPr>
          <w:rFonts w:ascii="Arial" w:cs="Arial" w:eastAsia="Arial" w:hAnsi="Arial"/>
          <w:sz w:val="18"/>
          <w:szCs w:val="18"/>
          <w:i w:val="1"/>
          <w:iCs w:val="1"/>
          <w:color w:val="auto"/>
        </w:rPr>
        <w:t>Monster Legends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WWE 2K19</w:t>
      </w:r>
      <w:r>
        <w:rPr>
          <w:rFonts w:ascii="Arial" w:cs="Arial" w:eastAsia="Arial" w:hAnsi="Arial"/>
          <w:sz w:val="18"/>
          <w:szCs w:val="18"/>
          <w:color w:val="auto"/>
        </w:rPr>
        <w:t xml:space="preserve">, and </w:t>
      </w:r>
      <w:r>
        <w:rPr>
          <w:rFonts w:ascii="Arial" w:cs="Arial" w:eastAsia="Arial" w:hAnsi="Arial"/>
          <w:sz w:val="18"/>
          <w:szCs w:val="18"/>
          <w:i w:val="1"/>
          <w:iCs w:val="1"/>
          <w:color w:val="auto"/>
        </w:rPr>
        <w:t>Sid Meier’s</w:t>
      </w:r>
      <w:r>
        <w:rPr>
          <w:rFonts w:ascii="Arial" w:cs="Arial" w:eastAsia="Arial" w:hAnsi="Arial"/>
          <w:sz w:val="18"/>
          <w:szCs w:val="18"/>
          <w:color w:val="auto"/>
        </w:rPr>
        <w:t xml:space="preserve"> </w:t>
      </w:r>
      <w:r>
        <w:rPr>
          <w:rFonts w:ascii="Arial" w:cs="Arial" w:eastAsia="Arial" w:hAnsi="Arial"/>
          <w:sz w:val="18"/>
          <w:szCs w:val="18"/>
          <w:i w:val="1"/>
          <w:iCs w:val="1"/>
          <w:color w:val="auto"/>
        </w:rPr>
        <w:t>Civilization VI</w:t>
      </w:r>
      <w:r>
        <w:rPr>
          <w:rFonts w:ascii="Arial" w:cs="Arial" w:eastAsia="Arial" w:hAnsi="Arial"/>
          <w:sz w:val="18"/>
          <w:szCs w:val="18"/>
          <w:color w:val="auto"/>
        </w:rPr>
        <w:t>.</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GAAP net income increased to $333.8 million, or $2.90 per diluted share, as compared to $173.5 million, or $1.54 per diluted share, in fiscal year 2018. GAAP net income for fiscal year 2019 included a favorable impact from the release of certain valuation allowances on the Company’s deferred tax assets resulting in the recognition of a $107.1 million tax benefit.</w:t>
      </w:r>
    </w:p>
    <w:p>
      <w:pPr>
        <w:spacing w:after="0" w:line="18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GAAP net cash provided by operating activities increased 71% to $843.5 million, as compared to $493.5 million in fiscal year 2018. Adjusted Operating Cash Flow (Non-GAAP), which is defined as GAAP net cash from operating activities, adjusted for changes in restricted cash, increased 82% to $715.5 million, as compared to $393.9 million in the same period last year (please see the section below titled “Non-GAAP Financial Measure” for additional information). As of March 31, 2019, the Company had cash and short-term investments of $1.571 billion.</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data, together with a management reporting tax rate of 20%,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7"/>
              </w:rPr>
              <w:t>Twelve Months Ended March 31, 2019</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Financial Data</w:t>
            </w: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Change in</w:t>
            </w: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deferred</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Non-cash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net</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Impact of</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&amp; impairment</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amounts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Statement of</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Stock-based</w:t>
            </w: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acquired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related to</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cost of</w:t>
            </w: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business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operations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goods sold</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reorganization</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assets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notes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2,668,394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260,330</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1,523,644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66,614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(149,075)</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(16,290)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1,144,750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193,716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149,075</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16,290</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938,078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(98,625)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4,958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(6,943)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206,672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193,716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247,700</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23,233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232,785</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196,224</w:t>
            </w:r>
          </w:p>
        </w:tc>
        <w:tc>
          <w:tcPr>
            <w:tcW w:w="2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247,700</w:t>
            </w:r>
          </w:p>
        </w:tc>
        <w:tc>
          <w:tcPr>
            <w:tcW w:w="2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(4,958)</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23,233</w:t>
            </w:r>
          </w:p>
        </w:tc>
        <w:tc>
          <w:tcPr>
            <w:tcW w:w="2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order to calculate net income per diluted share for management reporting purposes, the Company uses its fully diluted share count of 115.2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2019 Operational Metric — Net Bookings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Total Net Bookings grew 47% to $2.929 billion, as compared to $1.991 billion in fiscal year 2018. Net Bookings from recurrent consumer spending grew 20% and accounted for 39% of total Net Bookings. The largest contributors to Net Bookings were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2K18</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WWE 2K19</w:t>
      </w:r>
      <w:r>
        <w:rPr>
          <w:rFonts w:ascii="Arial" w:cs="Arial" w:eastAsia="Arial" w:hAnsi="Arial"/>
          <w:sz w:val="18"/>
          <w:szCs w:val="18"/>
          <w:color w:val="auto"/>
        </w:rPr>
        <w:t xml:space="preserve"> and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Sid Meier’s</w:t>
      </w:r>
      <w:r>
        <w:rPr>
          <w:rFonts w:ascii="Arial" w:cs="Arial" w:eastAsia="Arial" w:hAnsi="Arial"/>
          <w:sz w:val="18"/>
          <w:szCs w:val="18"/>
          <w:color w:val="auto"/>
        </w:rPr>
        <w:t xml:space="preserve"> </w:t>
      </w:r>
      <w:r>
        <w:rPr>
          <w:rFonts w:ascii="Arial" w:cs="Arial" w:eastAsia="Arial" w:hAnsi="Arial"/>
          <w:sz w:val="18"/>
          <w:szCs w:val="18"/>
          <w:i w:val="1"/>
          <w:iCs w:val="1"/>
          <w:color w:val="auto"/>
        </w:rPr>
        <w:t>Civilization VI</w:t>
      </w:r>
      <w:r>
        <w:rPr>
          <w:rFonts w:ascii="Arial" w:cs="Arial" w:eastAsia="Arial" w:hAnsi="Arial"/>
          <w:sz w:val="18"/>
          <w:szCs w:val="18"/>
          <w:color w:val="auto"/>
        </w:rPr>
        <w:t>.</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Digitally-delivered Net Bookings grew 33% to $1.802 billion, as compared to $1.350 billion in fiscal year 2018, and accounted for 62% of total Net Bookings. The largest contributors to digitally-delivered Net Bookings in fiscal year 2019 were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2K18</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Dragon City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2K19</w:t>
      </w:r>
      <w:r>
        <w:rPr>
          <w:rFonts w:ascii="Arial" w:cs="Arial" w:eastAsia="Arial" w:hAnsi="Arial"/>
          <w:sz w:val="18"/>
          <w:szCs w:val="18"/>
          <w:color w:val="auto"/>
        </w:rPr>
        <w:t>, and</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“Take-Two finished a stellar year with strong fourth quarter operating results highlighted by the outperformance of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Auto V</w:t>
      </w:r>
      <w:r>
        <w:rPr>
          <w:rFonts w:ascii="Arial" w:cs="Arial" w:eastAsia="Arial" w:hAnsi="Arial"/>
          <w:sz w:val="18"/>
          <w:szCs w:val="18"/>
          <w:color w:val="auto"/>
        </w:rPr>
        <w:t>, as well as</w:t>
      </w:r>
      <w:r>
        <w:rPr>
          <w:rFonts w:ascii="Arial" w:cs="Arial" w:eastAsia="Arial" w:hAnsi="Arial"/>
          <w:sz w:val="18"/>
          <w:szCs w:val="18"/>
          <w:i w:val="1"/>
          <w:iCs w:val="1"/>
          <w:color w:val="auto"/>
        </w:rPr>
        <w:t xml:space="preserve"> NBA 2K19</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180"/>
        <w:spacing w:after="0" w:line="259" w:lineRule="auto"/>
        <w:rPr>
          <w:sz w:val="20"/>
          <w:szCs w:val="20"/>
          <w:color w:val="auto"/>
        </w:rPr>
      </w:pPr>
      <w:r>
        <w:rPr>
          <w:rFonts w:ascii="Arial" w:cs="Arial" w:eastAsia="Arial" w:hAnsi="Arial"/>
          <w:sz w:val="18"/>
          <w:szCs w:val="18"/>
          <w:color w:val="auto"/>
        </w:rPr>
        <w:t xml:space="preserve">significant ongoing sales of our blockbuster hit,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said Strauss Zelnick, Chairman and CEO of Take-Two. “For the full fiscal year, our Company delivered record Net Bookings and Adjusted Operating Cash Flow, which exceeded our outlook at the start of the year, along with strong earnings growth driven by the record-breaking launch of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the outstanding performance of </w:t>
      </w:r>
      <w:r>
        <w:rPr>
          <w:rFonts w:ascii="Arial" w:cs="Arial" w:eastAsia="Arial" w:hAnsi="Arial"/>
          <w:sz w:val="18"/>
          <w:szCs w:val="18"/>
          <w:i w:val="1"/>
          <w:iCs w:val="1"/>
          <w:color w:val="auto"/>
        </w:rPr>
        <w:t>NBA 2K</w:t>
      </w:r>
      <w:r>
        <w:rPr>
          <w:rFonts w:ascii="Arial" w:cs="Arial" w:eastAsia="Arial" w:hAnsi="Arial"/>
          <w:sz w:val="18"/>
          <w:szCs w:val="18"/>
          <w:color w:val="auto"/>
        </w:rPr>
        <w:t xml:space="preserve">, and better-than expected results from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 xml:space="preserve">“We expect fiscal 2020 to be another strong year for Take-Two, with operating results currently forecasted to be lower than fiscal 2019, due to the extraordinary success of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2, and growing as compared to fiscal 2018.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“Take-Two has the strongest development pipeline in its history, including sequels from our biggest franchises as well as exciting new IP. In addition, we are actively investing in emerging opportunities such as Private Division, mobile games, eSports and geographic expansion that have the potential to be enormous drivers of growth. We are exceedingly well positioned to generate significant growth and margin expansion over the long-term.”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Product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w:t>
      </w:r>
    </w:p>
    <w:p>
      <w:pPr>
        <w:spacing w:after="0" w:line="229" w:lineRule="exact"/>
        <w:rPr>
          <w:sz w:val="20"/>
          <w:szCs w:val="20"/>
          <w:color w:val="auto"/>
        </w:rPr>
      </w:pPr>
    </w:p>
    <w:p>
      <w:pPr>
        <w:ind w:left="340" w:right="400" w:hanging="332"/>
        <w:spacing w:after="0" w:line="277"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fiscal year 2019, the Company repurchased 3.72 million shares of common stock for $362.4 million, including 1.12 million shares for $100.0 million during the fiscal fourth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Rockstar Games:</w:t>
      </w:r>
    </w:p>
    <w:p>
      <w:pPr>
        <w:spacing w:after="0" w:line="229"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Continued to update the </w:t>
      </w:r>
      <w:r>
        <w:rPr>
          <w:rFonts w:ascii="Arial" w:cs="Arial" w:eastAsia="Arial" w:hAnsi="Arial"/>
          <w:sz w:val="18"/>
          <w:szCs w:val="18"/>
          <w:i w:val="1"/>
          <w:iCs w:val="1"/>
          <w:color w:val="auto"/>
        </w:rPr>
        <w:t>Red Dead Online Beta</w:t>
      </w:r>
      <w:r>
        <w:rPr>
          <w:rFonts w:ascii="Arial" w:cs="Arial" w:eastAsia="Arial" w:hAnsi="Arial"/>
          <w:sz w:val="18"/>
          <w:szCs w:val="18"/>
          <w:color w:val="auto"/>
        </w:rPr>
        <w:t xml:space="preserve"> with new content, gameplay balancing and bug fixes, including the following:</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2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Showdown Modes, including </w:t>
      </w:r>
      <w:r>
        <w:rPr>
          <w:rFonts w:ascii="Arial" w:cs="Arial" w:eastAsia="Arial" w:hAnsi="Arial"/>
          <w:sz w:val="18"/>
          <w:szCs w:val="18"/>
          <w:i w:val="1"/>
          <w:iCs w:val="1"/>
          <w:color w:val="auto"/>
        </w:rPr>
        <w:t>Plunder</w:t>
      </w:r>
      <w:r>
        <w:rPr>
          <w:rFonts w:ascii="Arial" w:cs="Arial" w:eastAsia="Arial" w:hAnsi="Arial"/>
          <w:sz w:val="18"/>
          <w:szCs w:val="18"/>
          <w:color w:val="auto"/>
        </w:rPr>
        <w:t xml:space="preserve">, </w:t>
      </w:r>
      <w:r>
        <w:rPr>
          <w:rFonts w:ascii="Arial" w:cs="Arial" w:eastAsia="Arial" w:hAnsi="Arial"/>
          <w:sz w:val="18"/>
          <w:szCs w:val="18"/>
          <w:i w:val="1"/>
          <w:iCs w:val="1"/>
          <w:color w:val="auto"/>
        </w:rPr>
        <w:t>Up in Smoke</w:t>
      </w:r>
      <w:r>
        <w:rPr>
          <w:rFonts w:ascii="Arial" w:cs="Arial" w:eastAsia="Arial" w:hAnsi="Arial"/>
          <w:sz w:val="18"/>
          <w:szCs w:val="18"/>
          <w:color w:val="auto"/>
        </w:rPr>
        <w:t xml:space="preserve"> and </w:t>
      </w:r>
      <w:r>
        <w:rPr>
          <w:rFonts w:ascii="Arial" w:cs="Arial" w:eastAsia="Arial" w:hAnsi="Arial"/>
          <w:sz w:val="18"/>
          <w:szCs w:val="18"/>
          <w:i w:val="1"/>
          <w:iCs w:val="1"/>
          <w:color w:val="auto"/>
        </w:rPr>
        <w:t>Spoils of War</w:t>
      </w:r>
      <w:r>
        <w:rPr>
          <w:rFonts w:ascii="Arial" w:cs="Arial" w:eastAsia="Arial" w:hAnsi="Arial"/>
          <w:sz w:val="18"/>
          <w:szCs w:val="18"/>
          <w:color w:val="auto"/>
        </w:rPr>
        <w:t>. These player-versus-player modes are tight, dramatic competitive matches that allow for quick structured gameplay sessions;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Target Races</w:t>
      </w:r>
      <w:r>
        <w:rPr>
          <w:rFonts w:ascii="Arial" w:cs="Arial" w:eastAsia="Arial" w:hAnsi="Arial"/>
          <w:sz w:val="18"/>
          <w:szCs w:val="18"/>
          <w:color w:val="auto"/>
        </w:rPr>
        <w:t>, where players shoot targets while on horseback to pass checkpoints while racing and be first to finish;</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Fishing Challenge</w:t>
      </w:r>
      <w:r>
        <w:rPr>
          <w:rFonts w:ascii="Arial" w:cs="Arial" w:eastAsia="Arial" w:hAnsi="Arial"/>
          <w:sz w:val="17"/>
          <w:szCs w:val="17"/>
          <w:color w:val="auto"/>
        </w:rPr>
        <w:t>, a new Competitive Challenge to the Free Roam Event rotation, in which players compete to catch the most weight in fish;</w:t>
      </w:r>
    </w:p>
    <w:p>
      <w:pPr>
        <w:spacing w:after="0" w:line="236" w:lineRule="exact"/>
        <w:rPr>
          <w:rFonts w:ascii="Arial" w:cs="Arial" w:eastAsia="Arial" w:hAnsi="Arial"/>
          <w:sz w:val="17"/>
          <w:szCs w:val="17"/>
          <w:color w:val="auto"/>
        </w:rPr>
      </w:pPr>
    </w:p>
    <w:p>
      <w:pPr>
        <w:ind w:left="660" w:right="260" w:hanging="328"/>
        <w:spacing w:after="0" w:line="277" w:lineRule="auto"/>
        <w:tabs>
          <w:tab w:leader="none" w:pos="624"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Gun Rush</w:t>
      </w:r>
      <w:r>
        <w:rPr>
          <w:rFonts w:ascii="Arial" w:cs="Arial" w:eastAsia="Arial" w:hAnsi="Arial"/>
          <w:sz w:val="18"/>
          <w:szCs w:val="18"/>
          <w:color w:val="auto"/>
        </w:rPr>
        <w:t>, where players gather weapons and ammunition while the play area shrinks in this mode for up to 32 players. Available to play in Free-for-All and Team variations, where the last one standing wins;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Numerous new Weapons, Clothing, Emotes and more.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Released new numerous new missions, vehicles, weapons and other content for </w:t>
      </w:r>
      <w:r>
        <w:rPr>
          <w:rFonts w:ascii="Arial" w:cs="Arial" w:eastAsia="Arial" w:hAnsi="Arial"/>
          <w:sz w:val="18"/>
          <w:szCs w:val="18"/>
          <w:i w:val="1"/>
          <w:iCs w:val="1"/>
          <w:color w:val="auto"/>
        </w:rPr>
        <w:t>Grand Theft Auto Online</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2K:</w:t>
      </w:r>
    </w:p>
    <w:p>
      <w:pPr>
        <w:spacing w:after="0" w:line="229" w:lineRule="exact"/>
        <w:rPr>
          <w:sz w:val="20"/>
          <w:szCs w:val="20"/>
          <w:color w:val="auto"/>
        </w:rPr>
      </w:pPr>
    </w:p>
    <w:p>
      <w:pPr>
        <w:ind w:left="340" w:right="160" w:hanging="332"/>
        <w:spacing w:after="0" w:line="297"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Announced that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the next installment in the critically acclaimed shooter-looter series from Gearbox Software, will launch worldwide on September 13, 2019 for PlayStation 4, Xbox One and Windows PC. At launch,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will be available for PC exclusively through the Epic Games store and will be available on additional PC digital storefronts in April 2020. The franchise, which combines the exhilarating action of a first-person shooter with the rich progression and loot systems of a role-playing game, has sold-in more than 43 million units worldwide, and </w:t>
      </w:r>
      <w:r>
        <w:rPr>
          <w:rFonts w:ascii="Arial" w:cs="Arial" w:eastAsia="Arial" w:hAnsi="Arial"/>
          <w:sz w:val="16"/>
          <w:szCs w:val="16"/>
          <w:i w:val="1"/>
          <w:iCs w:val="1"/>
          <w:color w:val="auto"/>
        </w:rPr>
        <w:t>Borderlands 2</w:t>
      </w:r>
      <w:r>
        <w:rPr>
          <w:rFonts w:ascii="Arial" w:cs="Arial" w:eastAsia="Arial" w:hAnsi="Arial"/>
          <w:sz w:val="16"/>
          <w:szCs w:val="16"/>
          <w:color w:val="auto"/>
        </w:rPr>
        <w:t xml:space="preserve"> still draws in more than one million unique monthly users more than six years after the game’s initial release in 2012.</w:t>
      </w:r>
    </w:p>
    <w:p>
      <w:pPr>
        <w:spacing w:after="0" w:line="158" w:lineRule="exact"/>
        <w:rPr>
          <w:rFonts w:ascii="Arial" w:cs="Arial" w:eastAsia="Arial" w:hAnsi="Arial"/>
          <w:sz w:val="16"/>
          <w:szCs w:val="16"/>
          <w:color w:val="auto"/>
        </w:rPr>
      </w:pPr>
    </w:p>
    <w:p>
      <w:pPr>
        <w:ind w:left="340" w:hanging="332"/>
        <w:spacing w:after="0" w:line="259"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Launched the </w:t>
      </w:r>
      <w:r>
        <w:rPr>
          <w:rFonts w:ascii="Arial" w:cs="Arial" w:eastAsia="Arial" w:hAnsi="Arial"/>
          <w:sz w:val="18"/>
          <w:szCs w:val="18"/>
          <w:i w:val="1"/>
          <w:iCs w:val="1"/>
          <w:color w:val="auto"/>
        </w:rPr>
        <w:t>Borderlands: Game of the Year Edition</w:t>
      </w:r>
      <w:r>
        <w:rPr>
          <w:rFonts w:ascii="Arial" w:cs="Arial" w:eastAsia="Arial" w:hAnsi="Arial"/>
          <w:sz w:val="18"/>
          <w:szCs w:val="18"/>
          <w:color w:val="auto"/>
        </w:rPr>
        <w:t xml:space="preserve"> on PlayStation 4, Xbox One, and Windows PC. This brand new definitive version of the original game boasts ultra HD remastered graphics, significant quality-of-life content updates, and includes all add-on content. In addition, Gearbox and 2K released an Ultra HD Texture Pack that increases the visual fidelity of </w:t>
      </w:r>
      <w:r>
        <w:rPr>
          <w:rFonts w:ascii="Arial" w:cs="Arial" w:eastAsia="Arial" w:hAnsi="Arial"/>
          <w:sz w:val="18"/>
          <w:szCs w:val="18"/>
          <w:i w:val="1"/>
          <w:iCs w:val="1"/>
          <w:color w:val="auto"/>
        </w:rPr>
        <w:t>Borderlands: The Handsome Collection</w:t>
      </w:r>
      <w:r>
        <w:rPr>
          <w:rFonts w:ascii="Arial" w:cs="Arial" w:eastAsia="Arial" w:hAnsi="Arial"/>
          <w:sz w:val="18"/>
          <w:szCs w:val="18"/>
          <w:color w:val="auto"/>
        </w:rPr>
        <w:t xml:space="preserve"> on consoles, and provides a visual upgrade for </w:t>
      </w:r>
      <w:r>
        <w:rPr>
          <w:rFonts w:ascii="Arial" w:cs="Arial" w:eastAsia="Arial" w:hAnsi="Arial"/>
          <w:sz w:val="18"/>
          <w:szCs w:val="18"/>
          <w:i w:val="1"/>
          <w:iCs w:val="1"/>
          <w:color w:val="auto"/>
        </w:rPr>
        <w:t>Borderlands 2</w:t>
      </w:r>
      <w:r>
        <w:rPr>
          <w:rFonts w:ascii="Arial" w:cs="Arial" w:eastAsia="Arial" w:hAnsi="Arial"/>
          <w:sz w:val="18"/>
          <w:szCs w:val="18"/>
          <w:color w:val="auto"/>
        </w:rPr>
        <w:t xml:space="preserve">, </w:t>
      </w:r>
      <w:r>
        <w:rPr>
          <w:rFonts w:ascii="Arial" w:cs="Arial" w:eastAsia="Arial" w:hAnsi="Arial"/>
          <w:sz w:val="18"/>
          <w:szCs w:val="18"/>
          <w:i w:val="1"/>
          <w:iCs w:val="1"/>
          <w:color w:val="auto"/>
        </w:rPr>
        <w:t>Borderlands: The Pre-Sequel</w:t>
      </w:r>
      <w:r>
        <w:rPr>
          <w:rFonts w:ascii="Arial" w:cs="Arial" w:eastAsia="Arial" w:hAnsi="Arial"/>
          <w:sz w:val="18"/>
          <w:szCs w:val="18"/>
          <w:color w:val="auto"/>
        </w:rPr>
        <w:t>, and all the game add-ons for both titles on PC.</w:t>
      </w:r>
    </w:p>
    <w:p>
      <w:pPr>
        <w:spacing w:after="0" w:line="186" w:lineRule="exact"/>
        <w:rPr>
          <w:rFonts w:ascii="Arial" w:cs="Arial" w:eastAsia="Arial" w:hAnsi="Arial"/>
          <w:sz w:val="18"/>
          <w:szCs w:val="18"/>
          <w:color w:val="auto"/>
        </w:rPr>
      </w:pPr>
    </w:p>
    <w:p>
      <w:pPr>
        <w:ind w:left="340" w:right="500" w:hanging="332"/>
        <w:spacing w:after="0" w:line="264"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Sid Meier’s Civilization VI: Gathering Storm</w:t>
      </w:r>
      <w:r>
        <w:rPr>
          <w:rFonts w:ascii="Arial" w:cs="Arial" w:eastAsia="Arial" w:hAnsi="Arial"/>
          <w:sz w:val="18"/>
          <w:szCs w:val="18"/>
          <w:color w:val="auto"/>
        </w:rPr>
        <w:t xml:space="preserve"> for Windows PC. Developed by Firaxis Games, </w:t>
      </w:r>
      <w:r>
        <w:rPr>
          <w:rFonts w:ascii="Arial" w:cs="Arial" w:eastAsia="Arial" w:hAnsi="Arial"/>
          <w:sz w:val="18"/>
          <w:szCs w:val="18"/>
          <w:i w:val="1"/>
          <w:iCs w:val="1"/>
          <w:color w:val="auto"/>
        </w:rPr>
        <w:t>Gathering Storm</w:t>
      </w:r>
      <w:r>
        <w:rPr>
          <w:rFonts w:ascii="Arial" w:cs="Arial" w:eastAsia="Arial" w:hAnsi="Arial"/>
          <w:sz w:val="18"/>
          <w:szCs w:val="18"/>
          <w:color w:val="auto"/>
        </w:rPr>
        <w:t xml:space="preserve"> is the largest and most financially successful expansion pack ever created for a </w:t>
      </w:r>
      <w:r>
        <w:rPr>
          <w:rFonts w:ascii="Arial" w:cs="Arial" w:eastAsia="Arial" w:hAnsi="Arial"/>
          <w:sz w:val="18"/>
          <w:szCs w:val="18"/>
          <w:i w:val="1"/>
          <w:iCs w:val="1"/>
          <w:color w:val="auto"/>
        </w:rPr>
        <w:t>Civilization</w:t>
      </w:r>
      <w:r>
        <w:rPr>
          <w:rFonts w:ascii="Arial" w:cs="Arial" w:eastAsia="Arial" w:hAnsi="Arial"/>
          <w:sz w:val="18"/>
          <w:szCs w:val="18"/>
          <w:color w:val="auto"/>
        </w:rPr>
        <w:t xml:space="preserve"> game, and the second pack for the critically-acclaimed and award-winning </w:t>
      </w:r>
      <w:r>
        <w:rPr>
          <w:rFonts w:ascii="Arial" w:cs="Arial" w:eastAsia="Arial" w:hAnsi="Arial"/>
          <w:sz w:val="18"/>
          <w:szCs w:val="18"/>
          <w:i w:val="1"/>
          <w:iCs w:val="1"/>
          <w:color w:val="auto"/>
        </w:rPr>
        <w:t>Sid</w:t>
      </w:r>
      <w:r>
        <w:rPr>
          <w:rFonts w:ascii="Arial" w:cs="Arial" w:eastAsia="Arial" w:hAnsi="Arial"/>
          <w:sz w:val="18"/>
          <w:szCs w:val="18"/>
          <w:color w:val="auto"/>
        </w:rPr>
        <w:t xml:space="preserve"> </w:t>
      </w:r>
      <w:r>
        <w:rPr>
          <w:rFonts w:ascii="Arial" w:cs="Arial" w:eastAsia="Arial" w:hAnsi="Arial"/>
          <w:sz w:val="18"/>
          <w:szCs w:val="18"/>
          <w:i w:val="1"/>
          <w:iCs w:val="1"/>
          <w:color w:val="auto"/>
        </w:rPr>
        <w:t>Meier’s Civilization VI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340" w:right="30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Released </w:t>
      </w:r>
      <w:r>
        <w:rPr>
          <w:rFonts w:ascii="Arial" w:cs="Arial" w:eastAsia="Arial" w:hAnsi="Arial"/>
          <w:sz w:val="18"/>
          <w:szCs w:val="18"/>
          <w:i w:val="1"/>
          <w:iCs w:val="1"/>
          <w:color w:val="auto"/>
        </w:rPr>
        <w:t>NBA 2K Mobile</w:t>
      </w:r>
      <w:r>
        <w:rPr>
          <w:rFonts w:ascii="Arial" w:cs="Arial" w:eastAsia="Arial" w:hAnsi="Arial"/>
          <w:sz w:val="18"/>
          <w:szCs w:val="18"/>
          <w:color w:val="auto"/>
        </w:rPr>
        <w:t xml:space="preserve"> as a free download for Android devices. Previously launched on iOS phones and tablets, </w:t>
      </w:r>
      <w:r>
        <w:rPr>
          <w:rFonts w:ascii="Arial" w:cs="Arial" w:eastAsia="Arial" w:hAnsi="Arial"/>
          <w:sz w:val="18"/>
          <w:szCs w:val="18"/>
          <w:i w:val="1"/>
          <w:iCs w:val="1"/>
          <w:color w:val="auto"/>
        </w:rPr>
        <w:t>NBA 2K Mobile</w:t>
      </w:r>
      <w:r>
        <w:rPr>
          <w:rFonts w:ascii="Arial" w:cs="Arial" w:eastAsia="Arial" w:hAnsi="Arial"/>
          <w:sz w:val="18"/>
          <w:szCs w:val="18"/>
          <w:color w:val="auto"/>
        </w:rPr>
        <w:t xml:space="preserve"> enables players to experience console quality graphics on the 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while they collect their favorite NBA players, build dream teams, and step onto the court in lifelike 5v5 match-ups.</w:t>
      </w:r>
    </w:p>
    <w:p>
      <w:pPr>
        <w:spacing w:after="0" w:line="225" w:lineRule="exact"/>
        <w:rPr>
          <w:sz w:val="20"/>
          <w:szCs w:val="20"/>
          <w:color w:val="auto"/>
        </w:rPr>
      </w:pPr>
    </w:p>
    <w:p>
      <w:pPr>
        <w:ind w:left="340" w:right="140" w:hanging="332"/>
        <w:spacing w:after="0" w:line="279"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Announced that video game industry veteran Michael Condrey has joined 2K as President of the label’s new game development studio based in Silicon Valley. Condrey is best known for co-founding Sledgehammer Games and leading development for the renowned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franchise, including </w:t>
      </w:r>
      <w:r>
        <w:rPr>
          <w:rFonts w:ascii="Arial" w:cs="Arial" w:eastAsia="Arial" w:hAnsi="Arial"/>
          <w:sz w:val="17"/>
          <w:szCs w:val="17"/>
          <w:i w:val="1"/>
          <w:iCs w:val="1"/>
          <w:color w:val="auto"/>
        </w:rPr>
        <w:t>Call</w:t>
      </w:r>
      <w:r>
        <w:rPr>
          <w:rFonts w:ascii="Arial" w:cs="Arial" w:eastAsia="Arial" w:hAnsi="Arial"/>
          <w:sz w:val="17"/>
          <w:szCs w:val="17"/>
          <w:color w:val="auto"/>
        </w:rPr>
        <w:t xml:space="preserve"> </w:t>
      </w:r>
      <w:r>
        <w:rPr>
          <w:rFonts w:ascii="Arial" w:cs="Arial" w:eastAsia="Arial" w:hAnsi="Arial"/>
          <w:sz w:val="17"/>
          <w:szCs w:val="17"/>
          <w:i w:val="1"/>
          <w:iCs w:val="1"/>
          <w:color w:val="auto"/>
        </w:rPr>
        <w:t>of Duty: Modern Warfare 3</w:t>
      </w:r>
      <w:r>
        <w:rPr>
          <w:rFonts w:ascii="Arial" w:cs="Arial" w:eastAsia="Arial" w:hAnsi="Arial"/>
          <w:sz w:val="17"/>
          <w:szCs w:val="17"/>
          <w:color w:val="auto"/>
        </w:rPr>
        <w:t>. Condrey also served as Chief Operating Officer and Director at Visceral Games in establishing the popular</w:t>
      </w:r>
      <w:r>
        <w:rPr>
          <w:rFonts w:ascii="Arial" w:cs="Arial" w:eastAsia="Arial" w:hAnsi="Arial"/>
          <w:sz w:val="17"/>
          <w:szCs w:val="17"/>
          <w:i w:val="1"/>
          <w:iCs w:val="1"/>
          <w:color w:val="auto"/>
        </w:rPr>
        <w:t xml:space="preserve"> Dead Space </w:t>
      </w:r>
      <w:r>
        <w:rPr>
          <w:rFonts w:ascii="Arial" w:cs="Arial" w:eastAsia="Arial" w:hAnsi="Arial"/>
          <w:sz w:val="17"/>
          <w:szCs w:val="17"/>
          <w:color w:val="auto"/>
        </w:rPr>
        <w:t>franchise. In his new role with 2K, Condrey will build and lead a new development team to work on an unannounced project.</w:t>
      </w:r>
    </w:p>
    <w:p>
      <w:pPr>
        <w:spacing w:after="0" w:line="171" w:lineRule="exact"/>
        <w:rPr>
          <w:rFonts w:ascii="Arial" w:cs="Arial" w:eastAsia="Arial" w:hAnsi="Arial"/>
          <w:sz w:val="17"/>
          <w:szCs w:val="17"/>
          <w:color w:val="auto"/>
        </w:rPr>
      </w:pPr>
    </w:p>
    <w:p>
      <w:pPr>
        <w:ind w:left="340" w:right="220" w:hanging="332"/>
        <w:spacing w:after="0" w:line="264"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Announced, together with The National Basketball Association (NBA) and National Basketball Players Association (NBPA), a significant, multiyear global partnership extension. The agreement expands upon the success of </w:t>
      </w:r>
      <w:r>
        <w:rPr>
          <w:rFonts w:ascii="Arial" w:cs="Arial" w:eastAsia="Arial" w:hAnsi="Arial"/>
          <w:sz w:val="18"/>
          <w:szCs w:val="18"/>
          <w:i w:val="1"/>
          <w:iCs w:val="1"/>
          <w:color w:val="auto"/>
        </w:rPr>
        <w:t>NBA 2K</w:t>
      </w:r>
      <w:r>
        <w:rPr>
          <w:rFonts w:ascii="Arial" w:cs="Arial" w:eastAsia="Arial" w:hAnsi="Arial"/>
          <w:sz w:val="18"/>
          <w:szCs w:val="18"/>
          <w:color w:val="auto"/>
        </w:rPr>
        <w:t>, the top-rated and top-selling NBA video game simulation series for the past 17 years* that has sold-in over 90 million units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Division:</w:t>
      </w:r>
    </w:p>
    <w:p>
      <w:pPr>
        <w:spacing w:after="0" w:line="229" w:lineRule="exact"/>
        <w:rPr>
          <w:sz w:val="20"/>
          <w:szCs w:val="20"/>
          <w:color w:val="auto"/>
        </w:rPr>
      </w:pPr>
    </w:p>
    <w:p>
      <w:pPr>
        <w:ind w:left="340" w:right="200" w:hanging="332"/>
        <w:spacing w:after="0" w:line="286" w:lineRule="auto"/>
        <w:tabs>
          <w:tab w:leader="none" w:pos="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Revealed that </w:t>
      </w:r>
      <w:r>
        <w:rPr>
          <w:rFonts w:ascii="Arial" w:cs="Arial" w:eastAsia="Arial" w:hAnsi="Arial"/>
          <w:sz w:val="17"/>
          <w:szCs w:val="17"/>
          <w:i w:val="1"/>
          <w:iCs w:val="1"/>
          <w:color w:val="auto"/>
        </w:rPr>
        <w:t>The Outer Worlds</w:t>
      </w:r>
      <w:r>
        <w:rPr>
          <w:rFonts w:ascii="Arial" w:cs="Arial" w:eastAsia="Arial" w:hAnsi="Arial"/>
          <w:sz w:val="17"/>
          <w:szCs w:val="17"/>
          <w:color w:val="auto"/>
        </w:rPr>
        <w:t xml:space="preserve">, a new intellectual property created by Obsidian Entertainment, and </w:t>
      </w:r>
      <w:r>
        <w:rPr>
          <w:rFonts w:ascii="Arial" w:cs="Arial" w:eastAsia="Arial" w:hAnsi="Arial"/>
          <w:sz w:val="17"/>
          <w:szCs w:val="17"/>
          <w:i w:val="1"/>
          <w:iCs w:val="1"/>
          <w:color w:val="auto"/>
        </w:rPr>
        <w:t>Ancestors: The Humankind Odyssey</w:t>
      </w:r>
      <w:r>
        <w:rPr>
          <w:rFonts w:ascii="Arial" w:cs="Arial" w:eastAsia="Arial" w:hAnsi="Arial"/>
          <w:sz w:val="17"/>
          <w:szCs w:val="17"/>
          <w:color w:val="auto"/>
        </w:rPr>
        <w:t xml:space="preserve">, the debut title from Panache Digital Games, which are both planned for launch in calendar 2019 on PC, PlayStation 4 and Xbox One, will be available for PC exclusively through Epic Games store for 12-months. </w:t>
      </w:r>
      <w:r>
        <w:rPr>
          <w:rFonts w:ascii="Arial" w:cs="Arial" w:eastAsia="Arial" w:hAnsi="Arial"/>
          <w:sz w:val="17"/>
          <w:szCs w:val="17"/>
          <w:i w:val="1"/>
          <w:iCs w:val="1"/>
          <w:color w:val="auto"/>
        </w:rPr>
        <w:t>The Outer Worlds</w:t>
      </w:r>
      <w:r>
        <w:rPr>
          <w:rFonts w:ascii="Arial" w:cs="Arial" w:eastAsia="Arial" w:hAnsi="Arial"/>
          <w:sz w:val="17"/>
          <w:szCs w:val="17"/>
          <w:color w:val="auto"/>
        </w:rPr>
        <w:t xml:space="preserve"> can also be purchased at the Microsoft Windows store.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Point:</w:t>
      </w:r>
    </w:p>
    <w:p>
      <w:pPr>
        <w:spacing w:after="0" w:line="229" w:lineRule="exact"/>
        <w:rPr>
          <w:sz w:val="20"/>
          <w:szCs w:val="20"/>
          <w:color w:val="auto"/>
        </w:rPr>
      </w:pPr>
    </w:p>
    <w:p>
      <w:pPr>
        <w:ind w:left="340" w:right="260" w:hanging="332"/>
        <w:spacing w:after="0" w:line="308" w:lineRule="auto"/>
        <w:tabs>
          <w:tab w:leader="none" w:pos="30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Launched </w:t>
      </w:r>
      <w:r>
        <w:rPr>
          <w:rFonts w:ascii="Arial" w:cs="Arial" w:eastAsia="Arial" w:hAnsi="Arial"/>
          <w:sz w:val="17"/>
          <w:szCs w:val="17"/>
          <w:i w:val="1"/>
          <w:iCs w:val="1"/>
          <w:color w:val="auto"/>
        </w:rPr>
        <w:t>Word Life</w:t>
      </w:r>
      <w:r>
        <w:rPr>
          <w:rFonts w:ascii="Arial" w:cs="Arial" w:eastAsia="Arial" w:hAnsi="Arial"/>
          <w:sz w:val="17"/>
          <w:szCs w:val="17"/>
          <w:color w:val="auto"/>
        </w:rPr>
        <w:t>, our latest free-to-play mobile offering, for iOS and Android devices. The game brings a new dimension to traditional word puzzle games, boasting a multiplayer mode where players can battle with words in exciting match-offs to see who is the most-skilled competitor.</w:t>
      </w:r>
    </w:p>
    <w:p>
      <w:pPr>
        <w:spacing w:after="0" w:line="146" w:lineRule="exact"/>
        <w:rPr>
          <w:rFonts w:ascii="Arial" w:cs="Arial" w:eastAsia="Arial" w:hAnsi="Arial"/>
          <w:sz w:val="17"/>
          <w:szCs w:val="17"/>
          <w:color w:val="auto"/>
        </w:rPr>
      </w:pPr>
    </w:p>
    <w:p>
      <w:pPr>
        <w:ind w:left="340" w:right="280" w:hanging="332"/>
        <w:spacing w:after="0" w:line="277"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Tasty Town</w:t>
      </w:r>
      <w:r>
        <w:rPr>
          <w:rFonts w:ascii="Arial" w:cs="Arial" w:eastAsia="Arial" w:hAnsi="Arial"/>
          <w:sz w:val="18"/>
          <w:szCs w:val="18"/>
          <w:color w:val="auto"/>
        </w:rPr>
        <w:t xml:space="preserve"> for iOS and Android devices. This all-new free-to-play mobile game enables players to fulfill their culinary dreams of designing and managing their own restaurant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According to 2000 - 2019 Metacritic.com and Gamerankings.com.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 for Fiscal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Take-Two is providing its initial outlook for its fiscal first quarter ending June 30, 2019 and its fiscal year ending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Ending June 30, 2019</w:t>
      </w:r>
    </w:p>
    <w:p>
      <w:pPr>
        <w:spacing w:after="0" w:line="22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revenue is expected to range from $485 to $535 million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income is expected to range from $74 to $86 million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$0.65 to $0.75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count used to calculate GAAP diluted net income per share is expected to be 113.7 million (1)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count used to calculate management reporting diluted net income per share is expected to be 112.7 million (2)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$310 to $360 million</w:t>
      </w:r>
    </w:p>
    <w:p>
      <w:pPr>
        <w:spacing w:after="0" w:line="22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The Company is also providing selected data and its management reporting tax rate of 17%,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w w:val="99"/>
              </w:rPr>
              <w:t>Three Months Ending June 30, 2019</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Financial Data</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Change in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Amortization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deferred net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revenue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Stock-based</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acquired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GAAP outlook (3)</w:t>
            </w:r>
          </w:p>
        </w:tc>
        <w:tc>
          <w:tcPr>
            <w:tcW w:w="18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goods sold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$485 to $535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$165 to $191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$246 to $256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Interest and other, net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9"/>
              </w:rPr>
              <w:t>$85 to $99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Fiscal Year Ending March 31, 2020</w:t>
      </w:r>
    </w:p>
    <w:p>
      <w:pPr>
        <w:spacing w:after="0" w:line="225"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net revenue is expected to range from $2.7 to $2.8 billion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net income is expected to range from $389 to $418 million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$3.39 to $3.65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 count used to calculate both GAAP and management reporting diluted net income per share is expected to be 114.6 million (4)</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$430 million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Cash Flow (Non-GAAP) is expected to be over $450 million (5)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$90 million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$2.5 to $2.6 billion</w:t>
      </w:r>
    </w:p>
    <w:p>
      <w:pPr>
        <w:spacing w:after="0" w:line="225"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Company is also providing selected data and its management reporting tax rate of 17%,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w w:val="93"/>
              </w:rPr>
              <w:t>Twelve Months Ending March 31, 2020</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Financial Data</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Change in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Amortization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deferred net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revenue 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Stock-based</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GAAP outlook (3)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goods sold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$2,700 to $2,800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$1,241 to $1,287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$1,056 to $1,076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Interest and other, net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5"/>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$447 to $481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hanging="323"/>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112.7 million basic shares and 1.0 million shares representing the potential dilution from unvested employee stock grants.</w:t>
      </w:r>
    </w:p>
    <w:p>
      <w:pPr>
        <w:spacing w:after="0" w:line="23" w:lineRule="exact"/>
        <w:rPr>
          <w:rFonts w:ascii="Arial" w:cs="Arial" w:eastAsia="Arial" w:hAnsi="Arial"/>
          <w:sz w:val="18"/>
          <w:szCs w:val="18"/>
          <w:color w:val="auto"/>
        </w:rPr>
      </w:pPr>
    </w:p>
    <w:p>
      <w:pPr>
        <w:ind w:left="720" w:hanging="323"/>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112.7 million basic shares.</w:t>
      </w:r>
    </w:p>
    <w:p>
      <w:pPr>
        <w:spacing w:after="0" w:line="9" w:lineRule="exact"/>
        <w:rPr>
          <w:rFonts w:ascii="Arial" w:cs="Arial" w:eastAsia="Arial" w:hAnsi="Arial"/>
          <w:sz w:val="18"/>
          <w:szCs w:val="18"/>
          <w:color w:val="auto"/>
        </w:rPr>
      </w:pPr>
    </w:p>
    <w:p>
      <w:pPr>
        <w:ind w:left="720" w:hanging="323"/>
        <w:spacing w:after="0" w:line="250" w:lineRule="auto"/>
        <w:tabs>
          <w:tab w:leader="none" w:pos="7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individual components of the financial outlook may not foot to the totals, as the Company does not expect actual results for every component to be at the low end or high end of the outlook range simultaneously.</w:t>
      </w:r>
    </w:p>
    <w:p>
      <w:pPr>
        <w:ind w:left="720" w:hanging="323"/>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113.1 million basic shares and 1.5 million shares representing the potential dilution from unvested employee stock grants.</w:t>
      </w:r>
    </w:p>
    <w:p>
      <w:pPr>
        <w:spacing w:after="0" w:line="9" w:lineRule="exact"/>
        <w:rPr>
          <w:rFonts w:ascii="Arial" w:cs="Arial" w:eastAsia="Arial" w:hAnsi="Arial"/>
          <w:sz w:val="18"/>
          <w:szCs w:val="18"/>
          <w:color w:val="auto"/>
        </w:rPr>
      </w:pPr>
    </w:p>
    <w:p>
      <w:pPr>
        <w:ind w:left="720" w:hanging="323"/>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$20.0 million net decrease in restricted cash for fiscal 2020.</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Key assumptions and dependencies underlying the Company’s outlook include: the timely delivery of the titles included in this financial outlook; continued consumer acceptance of Xbox One and PlayStation 4; the ability to develop and publish products that capture market share for these current generation systems while also leveraging opportunities on PC, mobile and other platforms; and stable foreign exchange rates. See also “Cautionary Note Regarding Forward Looking Statements”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titles were released since January 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Label</w:t>
            </w:r>
          </w:p>
        </w:tc>
        <w:tc>
          <w:tcPr>
            <w:tcW w:w="4020" w:type="dxa"/>
            <w:vAlign w:val="bottom"/>
            <w:gridSpan w:val="2"/>
          </w:tcPr>
          <w:p>
            <w:pPr>
              <w:ind w:left="1720"/>
              <w:spacing w:after="0"/>
              <w:rPr>
                <w:sz w:val="20"/>
                <w:szCs w:val="20"/>
                <w:color w:val="auto"/>
              </w:rPr>
            </w:pPr>
            <w:r>
              <w:rPr>
                <w:rFonts w:ascii="Arial" w:cs="Arial" w:eastAsia="Arial" w:hAnsi="Arial"/>
                <w:sz w:val="14"/>
                <w:szCs w:val="14"/>
                <w:b w:val="1"/>
                <w:bCs w:val="1"/>
                <w:color w:val="auto"/>
              </w:rPr>
              <w:t>Title</w:t>
            </w: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Platforms</w:t>
            </w:r>
          </w:p>
        </w:tc>
        <w:tc>
          <w:tcPr>
            <w:tcW w:w="300" w:type="dxa"/>
            <w:vAlign w:val="bottom"/>
          </w:tcPr>
          <w:p>
            <w:pPr>
              <w:spacing w:after="0"/>
              <w:rPr>
                <w:sz w:val="14"/>
                <w:szCs w:val="14"/>
                <w:color w:val="auto"/>
              </w:rPr>
            </w:pPr>
          </w:p>
        </w:tc>
        <w:tc>
          <w:tcPr>
            <w:tcW w:w="2400" w:type="dxa"/>
            <w:vAlign w:val="bottom"/>
          </w:tcPr>
          <w:p>
            <w:pPr>
              <w:ind w:left="800"/>
              <w:spacing w:after="0"/>
              <w:rPr>
                <w:sz w:val="20"/>
                <w:szCs w:val="20"/>
                <w:color w:val="auto"/>
              </w:rPr>
            </w:pPr>
            <w:r>
              <w:rPr>
                <w:rFonts w:ascii="Arial" w:cs="Arial" w:eastAsia="Arial" w:hAnsi="Arial"/>
                <w:sz w:val="14"/>
                <w:szCs w:val="14"/>
                <w:b w:val="1"/>
                <w:bCs w:val="1"/>
                <w:color w:val="auto"/>
              </w:rPr>
              <w:t>Release Date</w:t>
            </w:r>
          </w:p>
        </w:tc>
      </w:tr>
      <w:tr>
        <w:trPr>
          <w:trHeight w:val="210"/>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3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 xml:space="preserve">WWE 2K19: Rising Stars Pack </w:t>
            </w:r>
            <w:r>
              <w:rPr>
                <w:rFonts w:ascii="Arial" w:cs="Arial" w:eastAsia="Arial" w:hAnsi="Arial"/>
                <w:sz w:val="18"/>
                <w:szCs w:val="18"/>
                <w:color w:val="auto"/>
              </w:rPr>
              <w:t>(DLC)</w:t>
            </w:r>
          </w:p>
        </w:tc>
        <w:tc>
          <w:tcPr>
            <w:tcW w:w="3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PS4, Xbox One, PC</w:t>
            </w:r>
          </w:p>
        </w:tc>
        <w:tc>
          <w:tcPr>
            <w:tcW w:w="3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2019</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Social Point</w:t>
            </w:r>
          </w:p>
        </w:tc>
        <w:tc>
          <w:tcPr>
            <w:tcW w:w="4020" w:type="dxa"/>
            <w:vAlign w:val="bottom"/>
            <w:gridSpan w:val="2"/>
          </w:tcPr>
          <w:p>
            <w:pPr>
              <w:spacing w:after="0"/>
              <w:rPr>
                <w:sz w:val="20"/>
                <w:szCs w:val="20"/>
                <w:color w:val="auto"/>
              </w:rPr>
            </w:pPr>
            <w:r>
              <w:rPr>
                <w:rFonts w:ascii="Arial" w:cs="Arial" w:eastAsia="Arial" w:hAnsi="Arial"/>
                <w:sz w:val="18"/>
                <w:szCs w:val="18"/>
                <w:i w:val="1"/>
                <w:iCs w:val="1"/>
                <w:color w:val="auto"/>
              </w:rPr>
              <w:t>Tasty Town</w:t>
            </w:r>
          </w:p>
        </w:tc>
        <w:tc>
          <w:tcPr>
            <w:tcW w:w="2400" w:type="dxa"/>
            <w:vAlign w:val="bottom"/>
          </w:tcPr>
          <w:p>
            <w:pPr>
              <w:spacing w:after="0"/>
              <w:rPr>
                <w:sz w:val="20"/>
                <w:szCs w:val="20"/>
                <w:color w:val="auto"/>
              </w:rPr>
            </w:pPr>
            <w:r>
              <w:rPr>
                <w:rFonts w:ascii="Arial" w:cs="Arial" w:eastAsia="Arial" w:hAnsi="Arial"/>
                <w:sz w:val="18"/>
                <w:szCs w:val="18"/>
                <w:color w:val="auto"/>
              </w:rPr>
              <w:t>iOS, Android</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January 31, 2019</w:t>
            </w: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2K</w:t>
            </w: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Sid Meier’s Civilization VI: Gathering Storm</w:t>
            </w: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PC</w:t>
            </w:r>
          </w:p>
        </w:tc>
        <w:tc>
          <w:tcPr>
            <w:tcW w:w="27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February 14, 2019</w:t>
            </w:r>
          </w:p>
        </w:tc>
      </w:tr>
      <w:tr>
        <w:trPr>
          <w:trHeight w:val="230"/>
        </w:trPr>
        <w:tc>
          <w:tcPr>
            <w:tcW w:w="2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(Expansion Pack)</w:t>
            </w:r>
          </w:p>
        </w:tc>
        <w:tc>
          <w:tcPr>
            <w:tcW w:w="2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Private Division</w:t>
            </w:r>
          </w:p>
        </w:tc>
        <w:tc>
          <w:tcPr>
            <w:tcW w:w="40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Kerbal Space Program: History &amp; Parts Pack</w:t>
            </w: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PS4, Xbox One</w:t>
            </w:r>
          </w:p>
        </w:tc>
        <w:tc>
          <w:tcPr>
            <w:tcW w:w="270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March 28, 2019</w:t>
            </w:r>
          </w:p>
        </w:tc>
      </w:tr>
      <w:tr>
        <w:trPr>
          <w:trHeight w:val="230"/>
        </w:trPr>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(DLC)</w:t>
            </w:r>
          </w:p>
        </w:tc>
        <w:tc>
          <w:tcPr>
            <w:tcW w:w="2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2K</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Borderlands: Game of the Year Edition</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PS4, Xbox One, PC</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April 3, 2019</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2K</w:t>
            </w:r>
          </w:p>
        </w:tc>
        <w:tc>
          <w:tcPr>
            <w:tcW w:w="4020" w:type="dxa"/>
            <w:vAlign w:val="bottom"/>
            <w:gridSpan w:val="2"/>
          </w:tcPr>
          <w:p>
            <w:pPr>
              <w:spacing w:after="0"/>
              <w:rPr>
                <w:sz w:val="20"/>
                <w:szCs w:val="20"/>
                <w:color w:val="auto"/>
              </w:rPr>
            </w:pPr>
            <w:r>
              <w:rPr>
                <w:rFonts w:ascii="Arial" w:cs="Arial" w:eastAsia="Arial" w:hAnsi="Arial"/>
                <w:sz w:val="18"/>
                <w:szCs w:val="18"/>
                <w:i w:val="1"/>
                <w:iCs w:val="1"/>
                <w:color w:val="auto"/>
              </w:rPr>
              <w:t>NBA 2K Mobile</w:t>
            </w:r>
          </w:p>
        </w:tc>
        <w:tc>
          <w:tcPr>
            <w:tcW w:w="2400" w:type="dxa"/>
            <w:vAlign w:val="bottom"/>
          </w:tcPr>
          <w:p>
            <w:pPr>
              <w:spacing w:after="0"/>
              <w:rPr>
                <w:sz w:val="20"/>
                <w:szCs w:val="20"/>
                <w:color w:val="auto"/>
              </w:rPr>
            </w:pPr>
            <w:r>
              <w:rPr>
                <w:rFonts w:ascii="Arial" w:cs="Arial" w:eastAsia="Arial" w:hAnsi="Arial"/>
                <w:sz w:val="18"/>
                <w:szCs w:val="18"/>
                <w:color w:val="auto"/>
              </w:rPr>
              <w:t>Android</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April 17,2019</w:t>
            </w: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Social Point</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Word Life</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iOS, Android</w:t>
            </w:r>
          </w:p>
        </w:tc>
        <w:tc>
          <w:tcPr>
            <w:tcW w:w="2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May 9, 2019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Take-Two’s lineup of future titles announced to date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20"/>
                <w:szCs w:val="20"/>
                <w:color w:val="auto"/>
              </w:rPr>
            </w:pPr>
            <w:r>
              <w:rPr>
                <w:rFonts w:ascii="Arial" w:cs="Arial" w:eastAsia="Arial" w:hAnsi="Arial"/>
                <w:sz w:val="14"/>
                <w:szCs w:val="14"/>
                <w:b w:val="1"/>
                <w:bCs w:val="1"/>
                <w:color w:val="auto"/>
              </w:rPr>
              <w:t>Label</w:t>
            </w:r>
          </w:p>
        </w:tc>
        <w:tc>
          <w:tcPr>
            <w:tcW w:w="300" w:type="dxa"/>
            <w:vAlign w:val="bottom"/>
          </w:tcPr>
          <w:p>
            <w:pPr>
              <w:spacing w:after="0"/>
              <w:rPr>
                <w:sz w:val="14"/>
                <w:szCs w:val="14"/>
                <w:color w:val="auto"/>
              </w:rPr>
            </w:pPr>
          </w:p>
        </w:tc>
        <w:tc>
          <w:tcPr>
            <w:tcW w:w="4040" w:type="dxa"/>
            <w:vAlign w:val="bottom"/>
            <w:gridSpan w:val="2"/>
          </w:tcPr>
          <w:p>
            <w:pPr>
              <w:ind w:left="1740"/>
              <w:spacing w:after="0"/>
              <w:rPr>
                <w:sz w:val="20"/>
                <w:szCs w:val="20"/>
                <w:color w:val="auto"/>
              </w:rPr>
            </w:pPr>
            <w:r>
              <w:rPr>
                <w:rFonts w:ascii="Arial" w:cs="Arial" w:eastAsia="Arial" w:hAnsi="Arial"/>
                <w:sz w:val="14"/>
                <w:szCs w:val="14"/>
                <w:b w:val="1"/>
                <w:bCs w:val="1"/>
                <w:color w:val="auto"/>
              </w:rPr>
              <w:t>Title</w:t>
            </w:r>
          </w:p>
        </w:tc>
        <w:tc>
          <w:tcPr>
            <w:tcW w:w="3040" w:type="dxa"/>
            <w:vAlign w:val="bottom"/>
            <w:gridSpan w:val="2"/>
          </w:tcPr>
          <w:p>
            <w:pPr>
              <w:ind w:left="1100"/>
              <w:spacing w:after="0"/>
              <w:rPr>
                <w:sz w:val="20"/>
                <w:szCs w:val="20"/>
                <w:color w:val="auto"/>
              </w:rPr>
            </w:pPr>
            <w:r>
              <w:rPr>
                <w:rFonts w:ascii="Arial" w:cs="Arial" w:eastAsia="Arial" w:hAnsi="Arial"/>
                <w:sz w:val="14"/>
                <w:szCs w:val="14"/>
                <w:b w:val="1"/>
                <w:bCs w:val="1"/>
                <w:color w:val="auto"/>
              </w:rPr>
              <w:t>Platforms</w:t>
            </w:r>
          </w:p>
        </w:tc>
        <w:tc>
          <w:tcPr>
            <w:tcW w:w="2220" w:type="dxa"/>
            <w:vAlign w:val="bottom"/>
          </w:tcPr>
          <w:p>
            <w:pPr>
              <w:ind w:left="720"/>
              <w:spacing w:after="0"/>
              <w:rPr>
                <w:sz w:val="20"/>
                <w:szCs w:val="20"/>
                <w:color w:val="auto"/>
              </w:rPr>
            </w:pPr>
            <w:r>
              <w:rPr>
                <w:rFonts w:ascii="Arial" w:cs="Arial" w:eastAsia="Arial" w:hAnsi="Arial"/>
                <w:sz w:val="14"/>
                <w:szCs w:val="14"/>
                <w:b w:val="1"/>
                <w:bCs w:val="1"/>
                <w:color w:val="auto"/>
              </w:rPr>
              <w:t>Release Date</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Private Division</w:t>
            </w:r>
          </w:p>
        </w:tc>
        <w:tc>
          <w:tcPr>
            <w:tcW w:w="30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w w:val="98"/>
              </w:rPr>
              <w:t xml:space="preserve">Kerbal Space Program: Breaking Ground </w:t>
            </w:r>
            <w:r>
              <w:rPr>
                <w:rFonts w:ascii="Arial" w:cs="Arial" w:eastAsia="Arial" w:hAnsi="Arial"/>
                <w:sz w:val="18"/>
                <w:szCs w:val="18"/>
                <w:color w:val="auto"/>
                <w:w w:val="98"/>
              </w:rPr>
              <w:t>(DLC)</w:t>
            </w:r>
          </w:p>
        </w:tc>
        <w:tc>
          <w:tcPr>
            <w:tcW w:w="26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PC</w:t>
            </w: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30, 2019</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2K</w:t>
            </w:r>
          </w:p>
        </w:tc>
        <w:tc>
          <w:tcPr>
            <w:tcW w:w="4340" w:type="dxa"/>
            <w:vAlign w:val="bottom"/>
            <w:gridSpan w:val="3"/>
          </w:tcPr>
          <w:p>
            <w:pPr>
              <w:ind w:left="300"/>
              <w:spacing w:after="0"/>
              <w:rPr>
                <w:sz w:val="20"/>
                <w:szCs w:val="20"/>
                <w:color w:val="auto"/>
              </w:rPr>
            </w:pPr>
            <w:r>
              <w:rPr>
                <w:rFonts w:ascii="Arial" w:cs="Arial" w:eastAsia="Arial" w:hAnsi="Arial"/>
                <w:sz w:val="18"/>
                <w:szCs w:val="18"/>
                <w:i w:val="1"/>
                <w:iCs w:val="1"/>
                <w:color w:val="auto"/>
              </w:rPr>
              <w:t>Borderlands 3</w:t>
            </w:r>
          </w:p>
        </w:tc>
        <w:tc>
          <w:tcPr>
            <w:tcW w:w="3040" w:type="dxa"/>
            <w:vAlign w:val="bottom"/>
            <w:gridSpan w:val="2"/>
          </w:tcPr>
          <w:p>
            <w:pPr>
              <w:spacing w:after="0"/>
              <w:rPr>
                <w:sz w:val="20"/>
                <w:szCs w:val="20"/>
                <w:color w:val="auto"/>
              </w:rPr>
            </w:pPr>
            <w:r>
              <w:rPr>
                <w:rFonts w:ascii="Arial" w:cs="Arial" w:eastAsia="Arial" w:hAnsi="Arial"/>
                <w:sz w:val="18"/>
                <w:szCs w:val="18"/>
                <w:color w:val="auto"/>
              </w:rPr>
              <w:t>PS4, Xbox One, PC</w:t>
            </w:r>
          </w:p>
        </w:tc>
        <w:tc>
          <w:tcPr>
            <w:tcW w:w="2220" w:type="dxa"/>
            <w:vAlign w:val="bottom"/>
          </w:tcPr>
          <w:p>
            <w:pPr>
              <w:spacing w:after="0"/>
              <w:rPr>
                <w:sz w:val="20"/>
                <w:szCs w:val="20"/>
                <w:color w:val="auto"/>
              </w:rPr>
            </w:pPr>
            <w:r>
              <w:rPr>
                <w:rFonts w:ascii="Arial" w:cs="Arial" w:eastAsia="Arial" w:hAnsi="Arial"/>
                <w:sz w:val="18"/>
                <w:szCs w:val="18"/>
                <w:color w:val="auto"/>
              </w:rPr>
              <w:t>September 13, 2019</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8"/>
                <w:szCs w:val="18"/>
                <w:i w:val="1"/>
                <w:iCs w:val="1"/>
                <w:color w:val="auto"/>
              </w:rPr>
              <w:t>NBA 2K20</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TBA</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TBA</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2K</w:t>
            </w:r>
          </w:p>
        </w:tc>
        <w:tc>
          <w:tcPr>
            <w:tcW w:w="4340" w:type="dxa"/>
            <w:vAlign w:val="bottom"/>
            <w:gridSpan w:val="3"/>
          </w:tcPr>
          <w:p>
            <w:pPr>
              <w:ind w:left="300"/>
              <w:spacing w:after="0"/>
              <w:rPr>
                <w:sz w:val="20"/>
                <w:szCs w:val="20"/>
                <w:color w:val="auto"/>
              </w:rPr>
            </w:pPr>
            <w:r>
              <w:rPr>
                <w:rFonts w:ascii="Arial" w:cs="Arial" w:eastAsia="Arial" w:hAnsi="Arial"/>
                <w:sz w:val="18"/>
                <w:szCs w:val="18"/>
                <w:i w:val="1"/>
                <w:iCs w:val="1"/>
                <w:color w:val="auto"/>
              </w:rPr>
              <w:t>WWE 2K20</w:t>
            </w:r>
          </w:p>
        </w:tc>
        <w:tc>
          <w:tcPr>
            <w:tcW w:w="3040" w:type="dxa"/>
            <w:vAlign w:val="bottom"/>
            <w:gridSpan w:val="2"/>
          </w:tcPr>
          <w:p>
            <w:pPr>
              <w:spacing w:after="0"/>
              <w:rPr>
                <w:sz w:val="20"/>
                <w:szCs w:val="20"/>
                <w:color w:val="auto"/>
              </w:rPr>
            </w:pPr>
            <w:r>
              <w:rPr>
                <w:rFonts w:ascii="Arial" w:cs="Arial" w:eastAsia="Arial" w:hAnsi="Arial"/>
                <w:sz w:val="18"/>
                <w:szCs w:val="18"/>
                <w:color w:val="auto"/>
              </w:rPr>
              <w:t>TBA</w:t>
            </w:r>
          </w:p>
        </w:tc>
        <w:tc>
          <w:tcPr>
            <w:tcW w:w="2220" w:type="dxa"/>
            <w:vAlign w:val="bottom"/>
          </w:tcPr>
          <w:p>
            <w:pPr>
              <w:spacing w:after="0"/>
              <w:rPr>
                <w:sz w:val="20"/>
                <w:szCs w:val="20"/>
                <w:color w:val="auto"/>
              </w:rPr>
            </w:pPr>
            <w:r>
              <w:rPr>
                <w:rFonts w:ascii="Arial" w:cs="Arial" w:eastAsia="Arial" w:hAnsi="Arial"/>
                <w:sz w:val="18"/>
                <w:szCs w:val="18"/>
                <w:color w:val="auto"/>
              </w:rPr>
              <w:t>TBA</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Private Division</w:t>
            </w: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8"/>
                <w:szCs w:val="18"/>
                <w:i w:val="1"/>
                <w:iCs w:val="1"/>
                <w:color w:val="auto"/>
              </w:rPr>
              <w:t>Ancestors: The Humankind Odyssey</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PS4, Xbox One, PC (digital only)</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2019 (fiscal 2020)</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Private Division</w:t>
            </w:r>
          </w:p>
        </w:tc>
        <w:tc>
          <w:tcPr>
            <w:tcW w:w="4340" w:type="dxa"/>
            <w:vAlign w:val="bottom"/>
            <w:gridSpan w:val="3"/>
          </w:tcPr>
          <w:p>
            <w:pPr>
              <w:ind w:left="300"/>
              <w:spacing w:after="0"/>
              <w:rPr>
                <w:sz w:val="20"/>
                <w:szCs w:val="20"/>
                <w:color w:val="auto"/>
              </w:rPr>
            </w:pPr>
            <w:r>
              <w:rPr>
                <w:rFonts w:ascii="Arial" w:cs="Arial" w:eastAsia="Arial" w:hAnsi="Arial"/>
                <w:sz w:val="18"/>
                <w:szCs w:val="18"/>
                <w:i w:val="1"/>
                <w:iCs w:val="1"/>
                <w:color w:val="auto"/>
              </w:rPr>
              <w:t>The Outer Worlds</w:t>
            </w:r>
          </w:p>
        </w:tc>
        <w:tc>
          <w:tcPr>
            <w:tcW w:w="3040" w:type="dxa"/>
            <w:vAlign w:val="bottom"/>
            <w:gridSpan w:val="2"/>
          </w:tcPr>
          <w:p>
            <w:pPr>
              <w:spacing w:after="0"/>
              <w:rPr>
                <w:sz w:val="20"/>
                <w:szCs w:val="20"/>
                <w:color w:val="auto"/>
              </w:rPr>
            </w:pPr>
            <w:r>
              <w:rPr>
                <w:rFonts w:ascii="Arial" w:cs="Arial" w:eastAsia="Arial" w:hAnsi="Arial"/>
                <w:sz w:val="18"/>
                <w:szCs w:val="18"/>
                <w:color w:val="auto"/>
              </w:rPr>
              <w:t>PS4, Xbox One, PC</w:t>
            </w:r>
          </w:p>
        </w:tc>
        <w:tc>
          <w:tcPr>
            <w:tcW w:w="2220" w:type="dxa"/>
            <w:vAlign w:val="bottom"/>
          </w:tcPr>
          <w:p>
            <w:pPr>
              <w:spacing w:after="0"/>
              <w:rPr>
                <w:sz w:val="20"/>
                <w:szCs w:val="20"/>
                <w:color w:val="auto"/>
              </w:rPr>
            </w:pPr>
            <w:r>
              <w:rPr>
                <w:rFonts w:ascii="Arial" w:cs="Arial" w:eastAsia="Arial" w:hAnsi="Arial"/>
                <w:sz w:val="18"/>
                <w:szCs w:val="18"/>
                <w:color w:val="auto"/>
              </w:rPr>
              <w:t>2019 (fiscal 2020)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Take-Two will host a conference call today at 4:30 p.m. Eastern Time to review these results and discuss other topics. The call can be accessed by dialing</w:t>
      </w:r>
    </w:p>
    <w:p>
      <w:pPr>
        <w:spacing w:after="0" w:line="46" w:lineRule="exact"/>
        <w:rPr>
          <w:sz w:val="20"/>
          <w:szCs w:val="20"/>
          <w:color w:val="auto"/>
        </w:rPr>
      </w:pPr>
    </w:p>
    <w:p>
      <w:pPr>
        <w:ind w:right="100" w:firstLine="8"/>
        <w:spacing w:after="0" w:line="261"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407-0984 or (201) 689-8577. A live listen-only webcast of the call will be available by visiting http://ir.take2games.com and a replay will be available following the call at the same location.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8"/>
          <w:szCs w:val="18"/>
          <w:b w:val="1"/>
          <w:bCs w:val="1"/>
          <w:i w:val="1"/>
          <w:iCs w:val="1"/>
          <w:color w:val="auto"/>
        </w:rPr>
        <w:t>Adjusted Operating Cash Flow</w:t>
      </w:r>
      <w:r>
        <w:rPr>
          <w:rFonts w:ascii="Arial" w:cs="Arial" w:eastAsia="Arial" w:hAnsi="Arial"/>
          <w:sz w:val="18"/>
          <w:szCs w:val="18"/>
          <w:color w:val="auto"/>
        </w:rPr>
        <w:t>, which is defined as GAAP net cash from operating activities, adjusted for changes in restricted cash. The Company’s management believes it is important to consider Adjusted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w:t>
      </w:r>
    </w:p>
    <w:p>
      <w:pPr>
        <w:spacing w:after="0" w:line="188"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 xml:space="preserve">This Non-GAAP financial measure is not intended to be considered in isolation from, as a substitute for, or superior to, GAAP results. This Non-GAAP financial measure may be different from similarly </w:t>
      </w:r>
      <w:r>
        <w:rPr>
          <w:rFonts w:ascii="Arial" w:cs="Arial" w:eastAsia="Arial" w:hAnsi="Arial"/>
          <w:sz w:val="16"/>
          <w:szCs w:val="16"/>
          <w:color w:val="auto"/>
        </w:rPr>
        <w:t>titled measures used by other companies. In the future, Take-Two may also consider whether other items</w:t>
      </w:r>
      <w:r>
        <w:rPr>
          <w:rFonts w:ascii="Arial" w:cs="Arial" w:eastAsia="Arial" w:hAnsi="Arial"/>
          <w:sz w:val="17"/>
          <w:szCs w:val="17"/>
          <w:color w:val="auto"/>
        </w:rPr>
        <w:t xml:space="preserve"> </w:t>
      </w:r>
      <w:r>
        <w:rPr>
          <w:rFonts w:ascii="Arial" w:cs="Arial" w:eastAsia="Arial" w:hAnsi="Arial"/>
          <w:sz w:val="16"/>
          <w:szCs w:val="16"/>
          <w:color w:val="auto"/>
        </w:rPr>
        <w:t>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Annual Report on Form 10-K for the period ended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Headquartered in New York City, Take-Two Interactive Software, Inc. is a leading developer, publisher and marketer of interactive entertainment for consumers around the globe. The Company develops and publishes products principally through its wholly-owned labels Rockstar Games and 2K, as well as its Private Division label and Social Point, a leading developer of mobile games.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http://www.take2games.com.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t xml:space="preserve">them, which are subject to inherent uncertainties, risks and changes in circumstances that are difficult to predict. Actual outcomes and results may vary materially from these forward-looking statements based on a variety of risks and uncertainties including: our dependence on key management and product development personnel, our dependence on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products and our ability to develop other hit titles, the timely release and significant market acceptance of our games, the ability to maintain acceptable pricing levels on our games, and risks associated with international operations. 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Twelve months ended 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539,007</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2,668,394</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1,792,892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Internal royalties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74,142</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88,271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610,804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383,020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royalties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111,596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449,198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44,914</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322,148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28,263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141,494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258,915</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189,211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1,523,644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898,311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280,092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261,063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1,144,750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894,581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77,607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47,451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391,400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75,541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281,234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56,588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230,170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11,081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40,232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Business reorganization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222,031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938,078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58,061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206,672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135,577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26,113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64,527</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232,785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(101,052)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56,829</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90,853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333,837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173,533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113,176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113,939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118,675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115,198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Computation of Basic EPS: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56,829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90,853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333,837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for basic EPS calculation</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333,837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113,176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Less: weighted average participating shares outstanding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4"/>
              </w:rPr>
              <w:t>Weighted average common shares outstanding - basic</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112,614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EPS: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56,829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90,853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333,837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Add: interest expense, net of tax, on Convertible Notes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for diluted EPS calculation</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333,837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113,176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Add: dilutive effect of common stock equivalents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1,325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weighted average shares outstanding - diluted</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113,939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weighted average participating shares outstanding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Weighted average common shares outstanding - diluted</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113,939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118,573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112,763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ind w:left="366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826,525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808,973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744,485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615,406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565,461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437,398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w w:val="96"/>
              </w:rPr>
              <w:t>Accounts receivable, net of allowances of $995 and $54,290 at March 31, 2019 and 2018,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395,729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247,649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28,200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Software development costs and licenses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28,880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33,284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cost of goods sold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51,867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117,851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186,688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133,454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2,827,835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2,409,177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127,882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Software development costs and licenses, net of current portion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603,436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639,369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cost of goods sold, net of current portion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381,717</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399,530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73,115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103,681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134,732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93,320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51,957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4,243,065</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3,737,841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72,797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35,029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1,035,695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914,748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843,302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777,152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1,951,794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1,726,929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21,058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355,589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229,633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158,285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2,202,485</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2,248,871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 shares authorized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180"/>
              <w:spacing w:after="0" w:line="201" w:lineRule="exact"/>
              <w:rPr>
                <w:sz w:val="20"/>
                <w:szCs w:val="20"/>
                <w:color w:val="auto"/>
              </w:rPr>
            </w:pPr>
            <w:r>
              <w:rPr>
                <w:rFonts w:ascii="Arial" w:cs="Arial" w:eastAsia="Arial" w:hAnsi="Arial"/>
                <w:sz w:val="18"/>
                <w:szCs w:val="18"/>
                <w:color w:val="auto"/>
                <w:w w:val="90"/>
              </w:rPr>
              <w:t>Common stock, $.01 par value, 200,000 shares authorized; 134,602 and 132,743 shares issued and 112,181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1,346</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and 114,038 outstanding at March 31, 2019 and, 2018,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1,327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2,019,369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1,888,039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w w:val="96"/>
              </w:rPr>
              <w:t>Treasury stock, at cost; 22,421 and 18,705 common shares at March 31, 2019 and, 2018,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(820,572)</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(458,180)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877,626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73,516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(37,189)</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2,040,580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4,243,065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3,737,841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Twelve months ended March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451"/>
              <w:spacing w:after="0" w:line="119"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(as adjusted)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333,837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173,533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201,221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39,726</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intellectual property</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23,879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Impairment of in-process research and development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247,700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110,603</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discount on Convertible Notes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Gain on redemption of Convertible Notes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809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(225)</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Changes in assets and liabilities, net of impact of adoption of </w:t>
            </w:r>
            <w:r>
              <w:rPr>
                <w:rFonts w:ascii="Arial" w:cs="Arial" w:eastAsia="Arial" w:hAnsi="Arial"/>
                <w:sz w:val="18"/>
                <w:szCs w:val="18"/>
                <w:i w:val="1"/>
                <w:iCs w:val="1"/>
                <w:color w:val="auto"/>
              </w:rPr>
              <w:t>Topic 606</w:t>
            </w: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(98,075)</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(14,403)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Software development costs and licenses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(206,831)</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and other non-current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(275,800)</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304,713</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198,397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cost of goods sold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(24,882)</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201,152</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198,733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843,515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Change in bank time deposits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(171,057)</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available-for-sale securities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325,133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(282,534)</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(369,998)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fixed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(66,969)</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Purchase of long-term investments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acquisition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Business acquisition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(28,149)</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(223,576)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(101,293)</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(112,884)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(362,392)</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(13,791)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(463,685)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(281,467)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Effects of foreign currency exchange rates on cash and cash equivalents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(10,639)</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change in cash and cash equivalents and restricted cash</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145,615</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and restricted cash, beginning of year</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1,246,371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Cash and cash equivalents and restricted cash, end of period</w:t>
            </w:r>
          </w:p>
        </w:tc>
        <w:tc>
          <w:tcPr>
            <w:tcW w:w="1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1,391,986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1,246,371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0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During Q1 FY19, the Company adopted Accounting Standards Update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and applied that standard retroactively. The application of this new standard resulted in a decrease to net cash from operating activities of $128.1 million in FY19 and a decrease of $99.6 million in FY18, which are reflected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right="4120"/>
        <w:spacing w:after="0" w:line="261"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2019</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2018</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revenue by geographic region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274,621</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255,710</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264,386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194,564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539,007</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450,274</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Net bookings by geographic region</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284,209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232,272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204,201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179,096</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488,410</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411,369</w:t>
            </w:r>
          </w:p>
        </w:tc>
        <w:tc>
          <w:tcPr>
            <w:tcW w:w="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6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2019</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2018</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distribution channel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413,469</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301,382</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125,538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148,892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539,007</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450,274</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Net bookings by distribution channel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418,993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333,135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69,417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78,233</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488,410</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411,369</w:t>
            </w:r>
          </w:p>
        </w:tc>
        <w:tc>
          <w:tcPr>
            <w:tcW w:w="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6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2019</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2018</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Net revenue by platform mix</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Console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422,432</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363,464</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PC and 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116,575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86,810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539,007</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450,274</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Net bookings by platform mix</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364,873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313,368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PC and other</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123,537</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98,000</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488,410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w:t>
            </w:r>
          </w:p>
        </w:tc>
        <w:tc>
          <w:tcPr>
            <w:tcW w:w="34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411,368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20" w:right="4100"/>
        <w:spacing w:after="0" w:line="261"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2"/>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2019</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6"/>
              </w:rPr>
              <w:t>March 31, 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geographic region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1,426,907</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1,052,313</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1,241,487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740,579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w w:val="87"/>
              </w:rPr>
              <w:t>2,668,394</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1,792,892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b w:val="1"/>
                <w:bCs w:val="1"/>
                <w:color w:val="auto"/>
              </w:rPr>
              <w:t>Net bookings by geographic region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1,606,675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1,161,502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1,322,049</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829,100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87"/>
              </w:rPr>
              <w:t>2,928,724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1,990,602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2"/>
              </w:rPr>
              <w:t>Twelve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2019</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6"/>
              </w:rPr>
              <w:t>March 31, 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revenue by distribution channel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1,681,609</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1,130,946</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986,785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661,946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w w:val="87"/>
              </w:rPr>
              <w:t>2,668,394</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1,792,892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b w:val="1"/>
                <w:bCs w:val="1"/>
                <w:color w:val="auto"/>
              </w:rPr>
              <w:t>Net bookings by distribution channel</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1,801,710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1,349,508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1,127,014</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641,094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87"/>
              </w:rPr>
              <w:t>2,928,724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1,990,602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2"/>
              </w:rPr>
              <w:t>Twelve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6"/>
              </w:rPr>
              <w:t>March 31, 2019</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6"/>
              </w:rPr>
              <w:t>March 31, 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Net revenue by Platform Mix</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Console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2,233,861</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1,463,307</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PC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434,533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329,586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w w:val="87"/>
              </w:rPr>
              <w:t>2,668,394</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1,792,892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Net bookings by platform mix</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2,497,157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1,611,625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PC and other</w:t>
            </w:r>
          </w:p>
        </w:tc>
        <w:tc>
          <w:tcPr>
            <w:tcW w:w="26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431,567</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378,977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87"/>
              </w:rPr>
              <w:t>2,928,724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1,990,602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 of goods sold-</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Cost of goods sold-</w:t>
            </w: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Software</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Cost of goods sold-</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 of goods sold-</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Selling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Net revenue</w:t>
            </w:r>
          </w:p>
        </w:tc>
        <w:tc>
          <w:tcPr>
            <w:tcW w:w="1400" w:type="dxa"/>
            <w:vAlign w:val="bottom"/>
            <w:gridSpan w:val="3"/>
            <w:vMerge w:val="continue"/>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development costs</w:t>
            </w: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Internal royalties</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and royalties</w:t>
            </w:r>
          </w:p>
        </w:tc>
        <w:tc>
          <w:tcPr>
            <w:tcW w:w="12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Product costs</w:t>
            </w: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Licenses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539,007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Net effect from deferral and related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(50,596)</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(5,455)</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(12,205)</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(41,335)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intangibles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General and</w:t>
            </w:r>
          </w:p>
        </w:tc>
        <w:tc>
          <w:tcPr>
            <w:tcW w:w="1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Research and</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 and</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 reorganization</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and other,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administrative</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amortization</w:t>
            </w:r>
          </w:p>
        </w:tc>
        <w:tc>
          <w:tcPr>
            <w:tcW w:w="1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net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w w:val="93"/>
              </w:rPr>
              <w:t>Net effect from deferral and related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3,419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(13,669)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acquired intangibles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Impact of business reorganization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Cost of goods sold-</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Cost of goods sold-</w:t>
            </w: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Software</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Cost of goods sold-</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 of goods sold-</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Selling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Net revenue</w:t>
            </w:r>
          </w:p>
        </w:tc>
        <w:tc>
          <w:tcPr>
            <w:tcW w:w="1400" w:type="dxa"/>
            <w:vAlign w:val="bottom"/>
            <w:gridSpan w:val="3"/>
            <w:vMerge w:val="continue"/>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development costs</w:t>
            </w: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Internal royalties</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and royalties</w:t>
            </w:r>
          </w:p>
        </w:tc>
        <w:tc>
          <w:tcPr>
            <w:tcW w:w="12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Product costs</w:t>
            </w: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Licenses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450,274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w w:val="93"/>
              </w:rPr>
              <w:t>Net effect from deferral and related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(38,905)</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(12,397)</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acquired intangibles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General and</w:t>
            </w:r>
          </w:p>
        </w:tc>
        <w:tc>
          <w:tcPr>
            <w:tcW w:w="1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Research and</w:t>
            </w: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 reorganization</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and other,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administrative</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amortization</w:t>
            </w:r>
          </w:p>
        </w:tc>
        <w:tc>
          <w:tcPr>
            <w:tcW w:w="1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net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(9,408)</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(5,030)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intangibles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160"/>
              <w:spacing w:after="0" w:line="201" w:lineRule="exact"/>
              <w:rPr>
                <w:sz w:val="20"/>
                <w:szCs w:val="20"/>
                <w:color w:val="auto"/>
              </w:rPr>
            </w:pPr>
            <w:r>
              <w:rPr>
                <w:rFonts w:ascii="Arial" w:cs="Arial" w:eastAsia="Arial" w:hAnsi="Arial"/>
                <w:sz w:val="18"/>
                <w:szCs w:val="18"/>
                <w:color w:val="auto"/>
              </w:rPr>
              <w:t>Non-cash amounts related to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Impact of business reorganization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Acquisition related expenses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 of goods sold-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Cost of goods sold-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Software</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Cost of goods sold-</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 of goods sold-</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Selling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Twelve Months Ended March 31,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revenue</w:t>
            </w: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development costs</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Internal royalties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and royalties</w:t>
            </w:r>
          </w:p>
        </w:tc>
        <w:tc>
          <w:tcPr>
            <w:tcW w:w="1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Product costs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Licenses</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marketing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2,668,394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610,804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322,148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160"/>
              <w:spacing w:after="0" w:line="201" w:lineRule="exact"/>
              <w:rPr>
                <w:sz w:val="20"/>
                <w:szCs w:val="20"/>
                <w:color w:val="auto"/>
              </w:rPr>
            </w:pPr>
            <w:r>
              <w:rPr>
                <w:rFonts w:ascii="Arial" w:cs="Arial" w:eastAsia="Arial" w:hAnsi="Arial"/>
                <w:sz w:val="18"/>
                <w:szCs w:val="18"/>
                <w:color w:val="auto"/>
                <w:w w:val="93"/>
              </w:rPr>
              <w:t>Net effect from deferral and related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260,330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40,943</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24,882</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(149,075)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acquired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(16,290)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Twelve Months Ended March 31, 2019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General and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Research and</w:t>
            </w:r>
          </w:p>
        </w:tc>
        <w:tc>
          <w:tcPr>
            <w:tcW w:w="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Business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and other,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administrative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reorganization</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net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281,234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230,170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160"/>
              <w:spacing w:after="0" w:line="201" w:lineRule="exact"/>
              <w:rPr>
                <w:sz w:val="20"/>
                <w:szCs w:val="20"/>
                <w:color w:val="auto"/>
              </w:rPr>
            </w:pPr>
            <w:r>
              <w:rPr>
                <w:rFonts w:ascii="Arial" w:cs="Arial" w:eastAsia="Arial" w:hAnsi="Arial"/>
                <w:sz w:val="18"/>
                <w:szCs w:val="18"/>
                <w:color w:val="auto"/>
                <w:w w:val="93"/>
              </w:rPr>
              <w:t>Net effect from deferral and related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160"/>
              <w:spacing w:after="0" w:line="201" w:lineRule="exact"/>
              <w:rPr>
                <w:sz w:val="20"/>
                <w:szCs w:val="20"/>
                <w:color w:val="auto"/>
              </w:rPr>
            </w:pPr>
            <w:r>
              <w:rPr>
                <w:rFonts w:ascii="Arial" w:cs="Arial" w:eastAsia="Arial" w:hAnsi="Arial"/>
                <w:sz w:val="18"/>
                <w:szCs w:val="18"/>
                <w:color w:val="auto"/>
              </w:rPr>
              <w:t>Non-cash amounts related to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convertible notes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Non-cash (gain) loss on redemption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Convertible Notes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acquired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(6,437)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Impact of business reorganization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Cost of goods sold-</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Cost of goods sold-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Software</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Cost of goods sold-</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 of goods sold-</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Selling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Twelve Months Ended March 31, 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Net Revenue</w:t>
            </w: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development costs</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Internal royalties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and royalties</w:t>
            </w:r>
          </w:p>
        </w:tc>
        <w:tc>
          <w:tcPr>
            <w:tcW w:w="1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Product costs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Licenses</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marketing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1,792,892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ind w:left="160"/>
              <w:spacing w:after="0" w:line="201" w:lineRule="exact"/>
              <w:rPr>
                <w:sz w:val="20"/>
                <w:szCs w:val="20"/>
                <w:color w:val="auto"/>
              </w:rPr>
            </w:pPr>
            <w:r>
              <w:rPr>
                <w:rFonts w:ascii="Arial" w:cs="Arial" w:eastAsia="Arial" w:hAnsi="Arial"/>
                <w:sz w:val="18"/>
                <w:szCs w:val="18"/>
                <w:color w:val="auto"/>
                <w:w w:val="93"/>
              </w:rPr>
              <w:t>Net effect from deferral and related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197,710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(5,812)</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6,912</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(24,610)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(19,719)</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Twelve Months Ended March 31, 2018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General and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Research and</w:t>
            </w:r>
          </w:p>
        </w:tc>
        <w:tc>
          <w:tcPr>
            <w:tcW w:w="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Business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and other,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administrative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reorganization</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net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247,828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196,373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(58,037)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(18,020)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Non-cash amounts related to</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Acquisition related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and impairment of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intangibles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w w:val="97"/>
              </w:rPr>
              <w:t>Impact of business reorganization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(12,318)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TO NON-GAAP MEASURE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Twelve months ended March 31,</w:t>
            </w:r>
          </w:p>
        </w:tc>
        <w:tc>
          <w:tcPr>
            <w:tcW w:w="40" w:type="dxa"/>
            <w:vAlign w:val="bottom"/>
          </w:tcPr>
          <w:p>
            <w:pPr>
              <w:spacing w:after="0"/>
              <w:rPr>
                <w:sz w:val="14"/>
                <w:szCs w:val="14"/>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843,515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Net change in Restricted cash (1)</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(128,063)</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(99,580)</w:t>
            </w:r>
          </w:p>
        </w:tc>
        <w:tc>
          <w:tcPr>
            <w:tcW w:w="40" w:type="dxa"/>
            <w:vAlign w:val="bottom"/>
          </w:tcPr>
          <w:p>
            <w:pPr>
              <w:spacing w:after="0"/>
              <w:rPr>
                <w:sz w:val="18"/>
                <w:szCs w:val="18"/>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Cash Flow</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715,452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1"/>
        </w:trPr>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FY 2019</w:t>
            </w: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FY 2018</w:t>
            </w:r>
          </w:p>
        </w:tc>
        <w:tc>
          <w:tcPr>
            <w:tcW w:w="40" w:type="dxa"/>
            <w:vAlign w:val="bottom"/>
          </w:tcPr>
          <w:p>
            <w:pPr>
              <w:spacing w:after="0"/>
              <w:rPr>
                <w:sz w:val="24"/>
                <w:szCs w:val="24"/>
                <w:color w:val="auto"/>
              </w:rPr>
            </w:pPr>
          </w:p>
        </w:tc>
      </w:tr>
      <w:tr>
        <w:trPr>
          <w:trHeight w:val="210"/>
        </w:trPr>
        <w:tc>
          <w:tcPr>
            <w:tcW w:w="8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beginning of period (4/1)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437,398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Restricted cash end of period (3/31)</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565,461</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437,398</w:t>
            </w:r>
          </w:p>
        </w:tc>
        <w:tc>
          <w:tcPr>
            <w:tcW w:w="40" w:type="dxa"/>
            <w:vAlign w:val="bottom"/>
          </w:tcPr>
          <w:p>
            <w:pPr>
              <w:spacing w:after="0"/>
              <w:rPr>
                <w:sz w:val="18"/>
                <w:szCs w:val="18"/>
                <w:color w:val="auto"/>
              </w:rPr>
            </w:pPr>
          </w:p>
        </w:tc>
      </w:tr>
      <w:tr>
        <w:trPr>
          <w:trHeight w:val="223"/>
        </w:trPr>
        <w:tc>
          <w:tcPr>
            <w:tcW w:w="8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 Net change in Restricted cash</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(128,063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8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877"/>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2019-12-28T12:27:17Z</dcterms:created>
  <dcterms:modified xsi:type="dcterms:W3CDTF">2019-12-28T12:27:17Z</dcterms:modified>
</cp:coreProperties>
</file>