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April 15, 2019</w:t>
      </w:r>
    </w:p>
    <w:p>
      <w:pPr>
        <w:spacing w:after="0" w:line="4" w:lineRule="exact"/>
        <w:rPr>
          <w:sz w:val="24"/>
          <w:szCs w:val="24"/>
          <w:color w:val="auto"/>
        </w:rPr>
      </w:pPr>
    </w:p>
    <w:p>
      <w:pPr>
        <w:ind w:left="99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S-3</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TAKE-TWO INTERACTIVE SOFTWARE, INC.</w:t>
      </w:r>
    </w:p>
    <w:p>
      <w:pPr>
        <w:spacing w:after="0" w:line="29" w:lineRule="exact"/>
        <w:rPr>
          <w:sz w:val="24"/>
          <w:szCs w:val="24"/>
          <w:color w:val="auto"/>
        </w:rPr>
      </w:pPr>
    </w:p>
    <w:tbl>
      <w:tblPr>
        <w:tblLayout w:type="fixed"/>
        <w:tblInd w:w="1940" w:type="dxa"/>
        <w:tblCellMar>
          <w:top w:w="0" w:type="dxa"/>
          <w:left w:w="0" w:type="dxa"/>
          <w:bottom w:w="0" w:type="dxa"/>
          <w:right w:w="0" w:type="dxa"/>
        </w:tblCellMar>
      </w:tblPr>
      <w:tr>
        <w:trPr>
          <w:trHeight w:val="173"/>
        </w:trPr>
        <w:tc>
          <w:tcPr>
            <w:tcW w:w="2020" w:type="dxa"/>
            <w:vAlign w:val="bottom"/>
          </w:tcPr>
          <w:p>
            <w:pPr>
              <w:spacing w:after="0"/>
              <w:rPr>
                <w:sz w:val="15"/>
                <w:szCs w:val="15"/>
                <w:color w:val="auto"/>
              </w:rPr>
            </w:pPr>
          </w:p>
        </w:tc>
        <w:tc>
          <w:tcPr>
            <w:tcW w:w="5320" w:type="dxa"/>
            <w:vAlign w:val="bottom"/>
          </w:tcPr>
          <w:p>
            <w:pPr>
              <w:ind w:left="260"/>
              <w:spacing w:after="0"/>
              <w:rPr>
                <w:sz w:val="20"/>
                <w:szCs w:val="20"/>
                <w:color w:val="auto"/>
              </w:rPr>
            </w:pPr>
            <w:r>
              <w:rPr>
                <w:rFonts w:ascii="Arial" w:cs="Arial" w:eastAsia="Arial" w:hAnsi="Arial"/>
                <w:sz w:val="14"/>
                <w:szCs w:val="14"/>
                <w:color w:val="auto"/>
              </w:rPr>
              <w:t>(Exact name of registrant as specified in its charter)</w:t>
            </w:r>
          </w:p>
        </w:tc>
      </w:tr>
      <w:tr>
        <w:trPr>
          <w:trHeight w:val="153"/>
        </w:trPr>
        <w:tc>
          <w:tcPr>
            <w:tcW w:w="2020" w:type="dxa"/>
            <w:vAlign w:val="bottom"/>
          </w:tcPr>
          <w:p>
            <w:pPr>
              <w:jc w:val="center"/>
              <w:ind w:right="208"/>
              <w:spacing w:after="0" w:line="153" w:lineRule="exact"/>
              <w:rPr>
                <w:sz w:val="20"/>
                <w:szCs w:val="20"/>
                <w:color w:val="auto"/>
              </w:rPr>
            </w:pPr>
            <w:r>
              <w:rPr>
                <w:rFonts w:ascii="Arial" w:cs="Arial" w:eastAsia="Arial" w:hAnsi="Arial"/>
                <w:sz w:val="14"/>
                <w:szCs w:val="14"/>
                <w:b w:val="1"/>
                <w:bCs w:val="1"/>
                <w:color w:val="auto"/>
                <w:w w:val="94"/>
              </w:rPr>
              <w:t>Delaware</w:t>
            </w:r>
          </w:p>
        </w:tc>
        <w:tc>
          <w:tcPr>
            <w:tcW w:w="5320" w:type="dxa"/>
            <w:vAlign w:val="bottom"/>
          </w:tcPr>
          <w:p>
            <w:pPr>
              <w:jc w:val="center"/>
              <w:ind w:left="3948"/>
              <w:spacing w:after="0" w:line="153" w:lineRule="exact"/>
              <w:rPr>
                <w:sz w:val="20"/>
                <w:szCs w:val="20"/>
                <w:color w:val="auto"/>
              </w:rPr>
            </w:pPr>
            <w:r>
              <w:rPr>
                <w:rFonts w:ascii="Arial" w:cs="Arial" w:eastAsia="Arial" w:hAnsi="Arial"/>
                <w:sz w:val="14"/>
                <w:szCs w:val="14"/>
                <w:b w:val="1"/>
                <w:bCs w:val="1"/>
                <w:color w:val="auto"/>
                <w:w w:val="93"/>
              </w:rPr>
              <w:t>51-0350842</w:t>
            </w:r>
          </w:p>
        </w:tc>
      </w:tr>
      <w:tr>
        <w:trPr>
          <w:trHeight w:val="149"/>
        </w:trPr>
        <w:tc>
          <w:tcPr>
            <w:tcW w:w="2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4"/>
              </w:rPr>
              <w:t>(State or other jurisdiction of</w:t>
            </w:r>
          </w:p>
        </w:tc>
        <w:tc>
          <w:tcPr>
            <w:tcW w:w="5320" w:type="dxa"/>
            <w:vAlign w:val="bottom"/>
          </w:tcPr>
          <w:p>
            <w:pPr>
              <w:jc w:val="center"/>
              <w:ind w:left="394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020" w:type="dxa"/>
            <w:vAlign w:val="bottom"/>
          </w:tcPr>
          <w:p>
            <w:pPr>
              <w:jc w:val="center"/>
              <w:ind w:right="208"/>
              <w:spacing w:after="0"/>
              <w:rPr>
                <w:sz w:val="20"/>
                <w:szCs w:val="20"/>
                <w:color w:val="auto"/>
              </w:rPr>
            </w:pPr>
            <w:r>
              <w:rPr>
                <w:rFonts w:ascii="Arial" w:cs="Arial" w:eastAsia="Arial" w:hAnsi="Arial"/>
                <w:sz w:val="14"/>
                <w:szCs w:val="14"/>
                <w:color w:val="auto"/>
                <w:w w:val="95"/>
              </w:rPr>
              <w:t>incorporation or organization)</w:t>
            </w:r>
          </w:p>
        </w:tc>
        <w:tc>
          <w:tcPr>
            <w:tcW w:w="5320" w:type="dxa"/>
            <w:vAlign w:val="bottom"/>
          </w:tcPr>
          <w:p>
            <w:pPr>
              <w:jc w:val="center"/>
              <w:ind w:left="3928"/>
              <w:spacing w:after="0"/>
              <w:rPr>
                <w:sz w:val="20"/>
                <w:szCs w:val="20"/>
                <w:color w:val="auto"/>
              </w:rPr>
            </w:pPr>
            <w:r>
              <w:rPr>
                <w:rFonts w:ascii="Arial" w:cs="Arial" w:eastAsia="Arial" w:hAnsi="Arial"/>
                <w:sz w:val="14"/>
                <w:szCs w:val="14"/>
                <w:color w:val="auto"/>
                <w:w w:val="96"/>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85090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110 West 44th Street</w:t>
      </w:r>
    </w:p>
    <w:p>
      <w:pPr>
        <w:jc w:val="center"/>
        <w:spacing w:after="0" w:line="226" w:lineRule="auto"/>
        <w:rPr>
          <w:sz w:val="20"/>
          <w:szCs w:val="20"/>
          <w:color w:val="auto"/>
        </w:rPr>
      </w:pPr>
      <w:r>
        <w:rPr>
          <w:rFonts w:ascii="Arial" w:cs="Arial" w:eastAsia="Arial" w:hAnsi="Arial"/>
          <w:sz w:val="14"/>
          <w:szCs w:val="14"/>
          <w:b w:val="1"/>
          <w:bCs w:val="1"/>
          <w:color w:val="auto"/>
        </w:rPr>
        <w:t>New York, New York 10036</w:t>
      </w:r>
    </w:p>
    <w:p>
      <w:pPr>
        <w:jc w:val="center"/>
        <w:spacing w:after="0" w:line="222" w:lineRule="auto"/>
        <w:rPr>
          <w:sz w:val="20"/>
          <w:szCs w:val="20"/>
          <w:color w:val="auto"/>
        </w:rPr>
      </w:pPr>
      <w:r>
        <w:rPr>
          <w:rFonts w:ascii="Arial" w:cs="Arial" w:eastAsia="Arial" w:hAnsi="Arial"/>
          <w:sz w:val="14"/>
          <w:szCs w:val="14"/>
          <w:b w:val="1"/>
          <w:bCs w:val="1"/>
          <w:color w:val="auto"/>
        </w:rPr>
        <w:t>(646) 536-2842</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90805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Strauss Zelnick</w:t>
      </w:r>
    </w:p>
    <w:p>
      <w:pPr>
        <w:jc w:val="center"/>
        <w:spacing w:after="0" w:line="226" w:lineRule="auto"/>
        <w:rPr>
          <w:sz w:val="20"/>
          <w:szCs w:val="20"/>
          <w:color w:val="auto"/>
        </w:rPr>
      </w:pPr>
      <w:r>
        <w:rPr>
          <w:rFonts w:ascii="Arial" w:cs="Arial" w:eastAsia="Arial" w:hAnsi="Arial"/>
          <w:sz w:val="14"/>
          <w:szCs w:val="14"/>
          <w:b w:val="1"/>
          <w:bCs w:val="1"/>
          <w:color w:val="auto"/>
        </w:rPr>
        <w:t>Chairman and 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Take-Two Interactive Software, Inc.</w:t>
      </w:r>
    </w:p>
    <w:p>
      <w:pPr>
        <w:jc w:val="center"/>
        <w:spacing w:after="0" w:line="221" w:lineRule="auto"/>
        <w:rPr>
          <w:sz w:val="20"/>
          <w:szCs w:val="20"/>
          <w:color w:val="auto"/>
        </w:rPr>
      </w:pPr>
      <w:r>
        <w:rPr>
          <w:rFonts w:ascii="Arial" w:cs="Arial" w:eastAsia="Arial" w:hAnsi="Arial"/>
          <w:sz w:val="14"/>
          <w:szCs w:val="14"/>
          <w:b w:val="1"/>
          <w:bCs w:val="1"/>
          <w:color w:val="auto"/>
        </w:rPr>
        <w:t>110 West 44th Street</w:t>
      </w:r>
    </w:p>
    <w:p>
      <w:pPr>
        <w:jc w:val="center"/>
        <w:spacing w:after="0" w:line="222" w:lineRule="auto"/>
        <w:rPr>
          <w:sz w:val="20"/>
          <w:szCs w:val="20"/>
          <w:color w:val="auto"/>
        </w:rPr>
      </w:pPr>
      <w:r>
        <w:rPr>
          <w:rFonts w:ascii="Arial" w:cs="Arial" w:eastAsia="Arial" w:hAnsi="Arial"/>
          <w:sz w:val="14"/>
          <w:szCs w:val="14"/>
          <w:b w:val="1"/>
          <w:bCs w:val="1"/>
          <w:color w:val="auto"/>
        </w:rPr>
        <w:t>New York, New York 10036</w:t>
      </w:r>
    </w:p>
    <w:p>
      <w:pPr>
        <w:jc w:val="center"/>
        <w:spacing w:after="0" w:line="221" w:lineRule="auto"/>
        <w:rPr>
          <w:sz w:val="20"/>
          <w:szCs w:val="20"/>
          <w:color w:val="auto"/>
        </w:rPr>
      </w:pPr>
      <w:r>
        <w:rPr>
          <w:rFonts w:ascii="Arial" w:cs="Arial" w:eastAsia="Arial" w:hAnsi="Arial"/>
          <w:sz w:val="14"/>
          <w:szCs w:val="14"/>
          <w:b w:val="1"/>
          <w:bCs w:val="1"/>
          <w:color w:val="auto"/>
        </w:rPr>
        <w:t>(646) 536-2842</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90805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Please address a copy of all communications to:</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Adam M. Turteltaub, Esq.</w:t>
      </w:r>
    </w:p>
    <w:p>
      <w:pPr>
        <w:jc w:val="center"/>
        <w:spacing w:after="0" w:line="226" w:lineRule="auto"/>
        <w:rPr>
          <w:sz w:val="20"/>
          <w:szCs w:val="20"/>
          <w:color w:val="auto"/>
        </w:rPr>
      </w:pPr>
      <w:r>
        <w:rPr>
          <w:rFonts w:ascii="Arial" w:cs="Arial" w:eastAsia="Arial" w:hAnsi="Arial"/>
          <w:sz w:val="14"/>
          <w:szCs w:val="14"/>
          <w:color w:val="auto"/>
        </w:rPr>
        <w:t>Willkie Farr &amp; Gallagher LLP</w:t>
      </w:r>
    </w:p>
    <w:p>
      <w:pPr>
        <w:jc w:val="center"/>
        <w:spacing w:after="0" w:line="222" w:lineRule="auto"/>
        <w:rPr>
          <w:sz w:val="20"/>
          <w:szCs w:val="20"/>
          <w:color w:val="auto"/>
        </w:rPr>
      </w:pPr>
      <w:r>
        <w:rPr>
          <w:rFonts w:ascii="Arial" w:cs="Arial" w:eastAsia="Arial" w:hAnsi="Arial"/>
          <w:sz w:val="14"/>
          <w:szCs w:val="14"/>
          <w:color w:val="auto"/>
        </w:rPr>
        <w:t>787 Seventh Avenue</w:t>
      </w:r>
    </w:p>
    <w:p>
      <w:pPr>
        <w:jc w:val="center"/>
        <w:spacing w:after="0" w:line="221" w:lineRule="auto"/>
        <w:rPr>
          <w:sz w:val="20"/>
          <w:szCs w:val="20"/>
          <w:color w:val="auto"/>
        </w:rPr>
      </w:pPr>
      <w:r>
        <w:rPr>
          <w:rFonts w:ascii="Arial" w:cs="Arial" w:eastAsia="Arial" w:hAnsi="Arial"/>
          <w:sz w:val="14"/>
          <w:szCs w:val="14"/>
          <w:color w:val="auto"/>
        </w:rPr>
        <w:t>New York, New York 10019</w:t>
      </w:r>
    </w:p>
    <w:p>
      <w:pPr>
        <w:jc w:val="center"/>
        <w:spacing w:after="0"/>
        <w:rPr>
          <w:sz w:val="20"/>
          <w:szCs w:val="20"/>
          <w:color w:val="auto"/>
        </w:rPr>
      </w:pPr>
      <w:r>
        <w:rPr>
          <w:rFonts w:ascii="Arial" w:cs="Arial" w:eastAsia="Arial" w:hAnsi="Arial"/>
          <w:sz w:val="14"/>
          <w:szCs w:val="14"/>
          <w:color w:val="auto"/>
        </w:rPr>
        <w:t>(212) 728-8000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90805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6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Approximate date of commencement of proposed sale to the public: From time to time after the effective date of this registration statement.</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 o</w:t>
      </w:r>
    </w:p>
    <w:p>
      <w:pPr>
        <w:spacing w:after="0" w:line="28" w:lineRule="exact"/>
        <w:rPr>
          <w:sz w:val="24"/>
          <w:szCs w:val="24"/>
          <w:color w:val="auto"/>
        </w:rPr>
      </w:pPr>
    </w:p>
    <w:p>
      <w:pPr>
        <w:ind w:right="240"/>
        <w:spacing w:after="0" w:line="251"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 w:lineRule="exact"/>
        <w:rPr>
          <w:sz w:val="24"/>
          <w:szCs w:val="24"/>
          <w:color w:val="auto"/>
        </w:rPr>
      </w:pPr>
    </w:p>
    <w:p>
      <w:pPr>
        <w:ind w:right="120"/>
        <w:spacing w:after="0" w:line="251"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right="340"/>
        <w:spacing w:after="0" w:line="251"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right="700"/>
        <w:spacing w:after="0" w:line="251"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check the following box. x</w:t>
      </w:r>
    </w:p>
    <w:p>
      <w:pPr>
        <w:spacing w:after="0" w:line="1" w:lineRule="exact"/>
        <w:rPr>
          <w:sz w:val="24"/>
          <w:szCs w:val="24"/>
          <w:color w:val="auto"/>
        </w:rPr>
      </w:pPr>
    </w:p>
    <w:p>
      <w:pPr>
        <w:ind w:right="320"/>
        <w:spacing w:after="0" w:line="251"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 w:lineRule="exact"/>
        <w:rPr>
          <w:sz w:val="24"/>
          <w:szCs w:val="24"/>
          <w:color w:val="auto"/>
        </w:rPr>
      </w:pPr>
    </w:p>
    <w:p>
      <w:pPr>
        <w:ind w:right="6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660" w:type="dxa"/>
        <w:tblCellMar>
          <w:top w:w="0" w:type="dxa"/>
          <w:left w:w="0" w:type="dxa"/>
          <w:bottom w:w="0" w:type="dxa"/>
          <w:right w:w="0" w:type="dxa"/>
        </w:tblCellMar>
      </w:tblPr>
      <w:tr>
        <w:trPr>
          <w:trHeight w:val="160"/>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100" w:type="dxa"/>
            <w:vAlign w:val="bottom"/>
          </w:tcPr>
          <w:p>
            <w:pPr>
              <w:ind w:left="360"/>
              <w:spacing w:after="0"/>
              <w:rPr>
                <w:sz w:val="20"/>
                <w:szCs w:val="20"/>
                <w:color w:val="auto"/>
              </w:rPr>
            </w:pPr>
            <w:r>
              <w:rPr>
                <w:rFonts w:ascii="Arial" w:cs="Arial" w:eastAsia="Arial" w:hAnsi="Arial"/>
                <w:sz w:val="14"/>
                <w:szCs w:val="14"/>
                <w:color w:val="auto"/>
              </w:rPr>
              <w:t>x</w:t>
            </w:r>
          </w:p>
        </w:tc>
        <w:tc>
          <w:tcPr>
            <w:tcW w:w="3600" w:type="dxa"/>
            <w:vAlign w:val="bottom"/>
          </w:tcPr>
          <w:p>
            <w:pPr>
              <w:ind w:left="166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60"/>
              <w:spacing w:after="0"/>
              <w:rPr>
                <w:sz w:val="20"/>
                <w:szCs w:val="20"/>
                <w:color w:val="auto"/>
              </w:rPr>
            </w:pPr>
            <w:r>
              <w:rPr>
                <w:rFonts w:ascii="Arial" w:cs="Arial" w:eastAsia="Arial" w:hAnsi="Arial"/>
                <w:sz w:val="14"/>
                <w:szCs w:val="14"/>
                <w:color w:val="auto"/>
                <w:w w:val="76"/>
              </w:rPr>
              <w:t>o</w:t>
            </w: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Non-accelerated filer</w:t>
            </w:r>
          </w:p>
        </w:tc>
        <w:tc>
          <w:tcPr>
            <w:tcW w:w="2100" w:type="dxa"/>
            <w:vAlign w:val="bottom"/>
          </w:tcPr>
          <w:p>
            <w:pPr>
              <w:ind w:left="360"/>
              <w:spacing w:after="0" w:line="149" w:lineRule="exact"/>
              <w:rPr>
                <w:sz w:val="20"/>
                <w:szCs w:val="20"/>
                <w:color w:val="auto"/>
              </w:rPr>
            </w:pPr>
            <w:r>
              <w:rPr>
                <w:rFonts w:ascii="Arial" w:cs="Arial" w:eastAsia="Arial" w:hAnsi="Arial"/>
                <w:sz w:val="14"/>
                <w:szCs w:val="14"/>
                <w:color w:val="auto"/>
              </w:rPr>
              <w:t>o</w:t>
            </w:r>
          </w:p>
        </w:tc>
        <w:tc>
          <w:tcPr>
            <w:tcW w:w="3600" w:type="dxa"/>
            <w:vAlign w:val="bottom"/>
          </w:tcPr>
          <w:p>
            <w:pPr>
              <w:ind w:left="1660"/>
              <w:spacing w:after="0" w:line="149" w:lineRule="exact"/>
              <w:rPr>
                <w:sz w:val="20"/>
                <w:szCs w:val="20"/>
                <w:color w:val="auto"/>
              </w:rPr>
            </w:pPr>
            <w:r>
              <w:rPr>
                <w:rFonts w:ascii="Arial" w:cs="Arial" w:eastAsia="Arial" w:hAnsi="Arial"/>
                <w:sz w:val="14"/>
                <w:szCs w:val="14"/>
                <w:color w:val="auto"/>
              </w:rPr>
              <w:t>Smaller reporting company</w:t>
            </w:r>
          </w:p>
        </w:tc>
        <w:tc>
          <w:tcPr>
            <w:tcW w:w="440" w:type="dxa"/>
            <w:vAlign w:val="bottom"/>
          </w:tcPr>
          <w:p>
            <w:pPr>
              <w:ind w:left="360"/>
              <w:spacing w:after="0" w:line="149" w:lineRule="exact"/>
              <w:rPr>
                <w:sz w:val="20"/>
                <w:szCs w:val="20"/>
                <w:color w:val="auto"/>
              </w:rPr>
            </w:pPr>
            <w:r>
              <w:rPr>
                <w:rFonts w:ascii="Arial" w:cs="Arial" w:eastAsia="Arial" w:hAnsi="Arial"/>
                <w:sz w:val="14"/>
                <w:szCs w:val="14"/>
                <w:color w:val="auto"/>
                <w:w w:val="76"/>
              </w:rPr>
              <w:t>o</w:t>
            </w:r>
          </w:p>
        </w:tc>
      </w:tr>
      <w:tr>
        <w:trPr>
          <w:trHeight w:val="182"/>
        </w:trPr>
        <w:tc>
          <w:tcPr>
            <w:tcW w:w="19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100" w:type="dxa"/>
            <w:vAlign w:val="bottom"/>
          </w:tcPr>
          <w:p>
            <w:pPr>
              <w:ind w:left="360"/>
              <w:spacing w:after="0"/>
              <w:rPr>
                <w:sz w:val="20"/>
                <w:szCs w:val="20"/>
                <w:color w:val="auto"/>
              </w:rPr>
            </w:pPr>
            <w:r>
              <w:rPr>
                <w:rFonts w:ascii="Arial" w:cs="Arial" w:eastAsia="Arial" w:hAnsi="Arial"/>
                <w:sz w:val="14"/>
                <w:szCs w:val="14"/>
                <w:color w:val="auto"/>
              </w:rPr>
              <w:t>o</w:t>
            </w:r>
          </w:p>
        </w:tc>
        <w:tc>
          <w:tcPr>
            <w:tcW w:w="3600" w:type="dxa"/>
            <w:vAlign w:val="bottom"/>
          </w:tcPr>
          <w:p>
            <w:pPr>
              <w:spacing w:after="0"/>
              <w:rPr>
                <w:sz w:val="15"/>
                <w:szCs w:val="15"/>
                <w:color w:val="auto"/>
              </w:rPr>
            </w:pPr>
          </w:p>
        </w:tc>
        <w:tc>
          <w:tcPr>
            <w:tcW w:w="440" w:type="dxa"/>
            <w:vAlign w:val="bottom"/>
          </w:tcPr>
          <w:p>
            <w:pPr>
              <w:spacing w:after="0"/>
              <w:rPr>
                <w:sz w:val="15"/>
                <w:szCs w:val="15"/>
                <w:color w:val="auto"/>
              </w:rPr>
            </w:pPr>
          </w:p>
        </w:tc>
      </w:tr>
    </w:tbl>
    <w:p>
      <w:pPr>
        <w:spacing w:after="0" w:line="7" w:lineRule="exact"/>
        <w:rPr>
          <w:sz w:val="24"/>
          <w:szCs w:val="24"/>
          <w:color w:val="auto"/>
        </w:rPr>
      </w:pPr>
    </w:p>
    <w:p>
      <w:pPr>
        <w:ind w:right="16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79375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20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42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89"/>
              </w:rPr>
              <w:t>Proposed</w:t>
            </w:r>
          </w:p>
        </w:tc>
        <w:tc>
          <w:tcPr>
            <w:tcW w:w="280" w:type="dxa"/>
            <w:vAlign w:val="bottom"/>
          </w:tcPr>
          <w:p>
            <w:pPr>
              <w:spacing w:after="0"/>
              <w:rPr>
                <w:sz w:val="9"/>
                <w:szCs w:val="9"/>
                <w:color w:val="auto"/>
              </w:rPr>
            </w:pPr>
          </w:p>
        </w:tc>
        <w:tc>
          <w:tcPr>
            <w:tcW w:w="1620" w:type="dxa"/>
            <w:vAlign w:val="bottom"/>
          </w:tcPr>
          <w:p>
            <w:pPr>
              <w:jc w:val="center"/>
              <w:ind w:right="250"/>
              <w:spacing w:after="0" w:line="106" w:lineRule="exact"/>
              <w:rPr>
                <w:sz w:val="20"/>
                <w:szCs w:val="20"/>
                <w:color w:val="auto"/>
              </w:rPr>
            </w:pPr>
            <w:r>
              <w:rPr>
                <w:rFonts w:ascii="Arial" w:cs="Arial" w:eastAsia="Arial" w:hAnsi="Arial"/>
                <w:sz w:val="12"/>
                <w:szCs w:val="12"/>
                <w:b w:val="1"/>
                <w:bCs w:val="1"/>
                <w:color w:val="auto"/>
              </w:rPr>
              <w:t>Proposed</w:t>
            </w:r>
          </w:p>
        </w:tc>
        <w:tc>
          <w:tcPr>
            <w:tcW w:w="3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89"/>
              </w:rPr>
              <w:t>Title of each class of securities to</w:t>
            </w:r>
          </w:p>
        </w:tc>
        <w:tc>
          <w:tcPr>
            <w:tcW w:w="19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Amount to be</w:t>
            </w:r>
          </w:p>
        </w:tc>
        <w:tc>
          <w:tcPr>
            <w:tcW w:w="14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tcPr>
          <w:p>
            <w:pPr>
              <w:jc w:val="center"/>
              <w:ind w:right="250"/>
              <w:spacing w:after="0" w:line="149" w:lineRule="exact"/>
              <w:rPr>
                <w:sz w:val="20"/>
                <w:szCs w:val="20"/>
                <w:color w:val="auto"/>
              </w:rPr>
            </w:pPr>
            <w:r>
              <w:rPr>
                <w:rFonts w:ascii="Arial" w:cs="Arial" w:eastAsia="Arial" w:hAnsi="Arial"/>
                <w:sz w:val="14"/>
                <w:szCs w:val="14"/>
                <w:b w:val="1"/>
                <w:bCs w:val="1"/>
                <w:color w:val="auto"/>
                <w:w w:val="94"/>
              </w:rPr>
              <w:t>maximum</w:t>
            </w:r>
          </w:p>
        </w:tc>
        <w:tc>
          <w:tcPr>
            <w:tcW w:w="380" w:type="dxa"/>
            <w:vAlign w:val="bottom"/>
          </w:tcPr>
          <w:p>
            <w:pPr>
              <w:spacing w:after="0"/>
              <w:rPr>
                <w:sz w:val="12"/>
                <w:szCs w:val="12"/>
                <w:color w:val="auto"/>
              </w:rPr>
            </w:pPr>
          </w:p>
        </w:tc>
        <w:tc>
          <w:tcPr>
            <w:tcW w:w="1580" w:type="dxa"/>
            <w:vAlign w:val="bottom"/>
            <w:vMerge w:val="restart"/>
          </w:tcPr>
          <w:p>
            <w:pPr>
              <w:jc w:val="center"/>
              <w:ind w:right="24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142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3"/>
              </w:rPr>
              <w:t>maximum offering</w:t>
            </w:r>
          </w:p>
        </w:tc>
        <w:tc>
          <w:tcPr>
            <w:tcW w:w="280" w:type="dxa"/>
            <w:vAlign w:val="bottom"/>
          </w:tcPr>
          <w:p>
            <w:pPr>
              <w:spacing w:after="0"/>
              <w:rPr>
                <w:sz w:val="12"/>
                <w:szCs w:val="12"/>
                <w:color w:val="auto"/>
              </w:rPr>
            </w:pPr>
          </w:p>
        </w:tc>
        <w:tc>
          <w:tcPr>
            <w:tcW w:w="1620" w:type="dxa"/>
            <w:vAlign w:val="bottom"/>
          </w:tcPr>
          <w:p>
            <w:pPr>
              <w:jc w:val="center"/>
              <w:ind w:right="230"/>
              <w:spacing w:after="0" w:line="149" w:lineRule="exact"/>
              <w:rPr>
                <w:sz w:val="20"/>
                <w:szCs w:val="20"/>
                <w:color w:val="auto"/>
              </w:rPr>
            </w:pPr>
            <w:r>
              <w:rPr>
                <w:rFonts w:ascii="Arial" w:cs="Arial" w:eastAsia="Arial" w:hAnsi="Arial"/>
                <w:sz w:val="14"/>
                <w:szCs w:val="14"/>
                <w:b w:val="1"/>
                <w:bCs w:val="1"/>
                <w:color w:val="auto"/>
                <w:w w:val="91"/>
              </w:rPr>
              <w:t>aggregate offering</w:t>
            </w:r>
          </w:p>
        </w:tc>
        <w:tc>
          <w:tcPr>
            <w:tcW w:w="3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8"/>
              </w:rPr>
              <w:t>be registered</w:t>
            </w:r>
          </w:p>
        </w:tc>
        <w:tc>
          <w:tcPr>
            <w:tcW w:w="19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registered (1)</w:t>
            </w:r>
          </w:p>
        </w:tc>
        <w:tc>
          <w:tcPr>
            <w:tcW w:w="14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3"/>
              </w:rPr>
              <w:t>price per share(3)</w:t>
            </w: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230"/>
              <w:spacing w:after="0"/>
              <w:rPr>
                <w:sz w:val="20"/>
                <w:szCs w:val="20"/>
                <w:color w:val="auto"/>
              </w:rPr>
            </w:pPr>
            <w:r>
              <w:rPr>
                <w:rFonts w:ascii="Arial" w:cs="Arial" w:eastAsia="Arial" w:hAnsi="Arial"/>
                <w:sz w:val="14"/>
                <w:szCs w:val="14"/>
                <w:b w:val="1"/>
                <w:bCs w:val="1"/>
                <w:color w:val="auto"/>
                <w:w w:val="94"/>
              </w:rPr>
              <w:t>price(3)</w:t>
            </w:r>
          </w:p>
        </w:tc>
        <w:tc>
          <w:tcPr>
            <w:tcW w:w="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00" w:type="dxa"/>
            <w:vAlign w:val="bottom"/>
          </w:tcPr>
          <w:p>
            <w:pPr>
              <w:spacing w:after="0" w:line="123" w:lineRule="exact"/>
              <w:rPr>
                <w:sz w:val="20"/>
                <w:szCs w:val="20"/>
                <w:color w:val="auto"/>
              </w:rPr>
            </w:pPr>
            <w:r>
              <w:rPr>
                <w:rFonts w:ascii="Arial" w:cs="Arial" w:eastAsia="Arial" w:hAnsi="Arial"/>
                <w:sz w:val="14"/>
                <w:szCs w:val="14"/>
                <w:color w:val="auto"/>
              </w:rPr>
              <w:t>Common Stock of Take-Two Interactive Software, Inc., par value</w:t>
            </w:r>
          </w:p>
        </w:tc>
        <w:tc>
          <w:tcPr>
            <w:tcW w:w="19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w w:val="99"/>
              </w:rPr>
              <w:t>$.01 per share, to be issued under the 2017 Stock Incentive Plan</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315,315(2)   $</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92.97</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29,314,835.55</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3,552.96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4"/>
          <w:szCs w:val="24"/>
          <w:color w:val="auto"/>
        </w:rPr>
      </w:pPr>
    </w:p>
    <w:p>
      <w:pPr>
        <w:ind w:right="20" w:firstLine="8"/>
        <w:spacing w:after="0" w:line="251" w:lineRule="auto"/>
        <w:tabs>
          <w:tab w:leader="none" w:pos="204"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addition to the shares set forth in the table, pursuant to Rule 416(a) under the Securities Act of 1933, as amended (“Securities Act”), the number of shares registered includes an indeterminable number of common shares issuable under the plan, as this amount may be adjusted as a result of stock splits, stock dividends, capitalizations or similar events.</w:t>
      </w:r>
    </w:p>
    <w:p>
      <w:pPr>
        <w:ind w:right="280" w:firstLine="8"/>
        <w:spacing w:after="0" w:line="251" w:lineRule="auto"/>
        <w:tabs>
          <w:tab w:leader="none" w:pos="204"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shares issuable upon the settlement of outstanding restricted units granted under the 2017 Stock Incentive Plan pursuant to the terms of the Restricted Unit Agreement, dated as of April 15, 2019, by and between ZelnickMedia Corporation and the registrant.</w:t>
      </w:r>
    </w:p>
    <w:p>
      <w:pPr>
        <w:ind w:right="140" w:firstLine="8"/>
        <w:spacing w:after="0" w:line="253" w:lineRule="auto"/>
        <w:tabs>
          <w:tab w:leader="none" w:pos="204"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purposes of calculating the registration fee. Pursuant to Rule 457(c) under the Securities Act, the registration fee has been calculated based upon the average of the high and low prices, as reported by the NASDAQ Global Select Market, for our common stock on April 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This Registration Statement registers shares of common stock of Take-Two Interactive Software, Inc. (the “Company”), par value $0.01 per share (“Common Stock”), that may be issued upon settlement of restricted units (the “Restricted Units”) granted by us on April 15, 2019 to ZelnickMedia Corporation (“ZelnickMedia”) under the Company’s 2017 Stock Incentive Plan (the “2017 Plan”). The Restricted Units consist of time-based restricted units under which up to 91,543 shares of Common Stock are issuable, and performance-based restricted units under which up to 223,772 shares of Common Stock are issuable. The Restricted Units were granted pursuant to the terms of a Restricted Unit Agreement, dated as of April 15, 2019, by and between the Company and ZelnickMedia (the “Restricted Unit Agreement”) and represent additional equity awards under the terms of the Management Agreement, dated as of November 17, 2017, and effective January 1, 2018 (the “Management Agreement”), with ZelnickMedia. Pursuant to the Management Agreement and Restricted Unit Agreement, the Company will have the right to elect to settle the Restricted Units in shares of Common Stock that will be issued pursuant to the 2017 Plan.</w:t>
      </w:r>
    </w:p>
    <w:p>
      <w:pPr>
        <w:spacing w:after="0" w:line="19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This Registration Statement is on Form S-3 rather than Form S-8 because a Compliance and Disclosure Interpretation of the Securities and Exchange Commission (the “Commission”) on Securities Act Forms indicates that employees or consultants of an issuer may use Form S-8 to register securities issued under an employee benefit plan only if the consultant is a natural person.</w:t>
      </w:r>
    </w:p>
    <w:p>
      <w:pPr>
        <w:spacing w:after="0" w:line="181"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This Registration Statement contains the form of prospectus to be used in connection with these offers. The form of prospectus is to be used by us in connection with the offer and issuance by us of shares of Common Stock upon settlement of the Restricted Units under the 2017 Plan.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TAKE-TWO INTERACTIVE SOFTWARE, INC.</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315,315 Shares of Common Stock</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under 2017 Stock Incentive Plan</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This prospectus, dated April 15, 2019, covers the offer and issuance by us of up to 315,315 shares of our common stock (“Common Stock”) upon the settlement of restricted units (the “Restricted Units”) that are currently outstanding and held by ZelnickMedia Corporation (“ZelnickMedia”). The Restricted Units were granted by us to ZelnickMedia on April 15, 2019 under the Company’s 2017 Stock Incentive Plan (the “2017 Plan”) pursuant to the terms of a Restricted Unit Agreement, dated as of April 15, 2019, by and between the Company and ZelnickMedia (the “Restricted Unit Agreement”). The Restricted Units represent additional equity awards granted pursuant to the terms of the Management Agreement, dated as of November 17, 2017, and effective January 1, 2018 (the “Management Agreement”), with ZelnickMedia. Pursuant to the Management Agreement and Restricted Unit Agreement, the Company will have the right to elect to settle the Restricted Units in shares of Common Stock that will be issued pursuant to the 2017 Plan. The Restricted Units consist of time-based restricted units under which up to 91,543 shares of Common Stock are issuable and performance-based restricted units under which up to 223,772 shares of Common Stock are issuable.</w:t>
      </w:r>
    </w:p>
    <w:p>
      <w:pPr>
        <w:spacing w:after="0" w:line="18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“TTWO.” The last reported sale price on April 12, 2019 was $94.11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186055</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Investing in our securities involves risks. See “Risk Factors” beginning on page 2 of this prospectus.</w:t>
      </w:r>
    </w:p>
    <w:p>
      <w:pPr>
        <w:spacing w:after="0" w:line="215"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or any applicable prospectus supplement.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191770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April 15,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92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500" w:type="dxa"/>
            <w:vAlign w:val="bottom"/>
          </w:tcPr>
          <w:p>
            <w:pPr>
              <w:spacing w:after="0"/>
              <w:rPr>
                <w:sz w:val="17"/>
                <w:szCs w:val="17"/>
                <w:color w:val="auto"/>
              </w:rPr>
            </w:pPr>
          </w:p>
        </w:tc>
      </w:tr>
      <w:tr>
        <w:trPr>
          <w:trHeight w:val="453"/>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00" w:type="dxa"/>
            <w:vAlign w:val="bottom"/>
            <w:gridSpan w:val="2"/>
          </w:tcPr>
          <w:p>
            <w:pPr>
              <w:ind w:left="74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24"/>
                <w:szCs w:val="24"/>
                <w:color w:val="auto"/>
              </w:rPr>
            </w:pPr>
          </w:p>
        </w:tc>
      </w:tr>
      <w:tr>
        <w:trPr>
          <w:trHeight w:val="392"/>
        </w:trPr>
        <w:tc>
          <w:tcPr>
            <w:tcW w:w="22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ABOUT THIS PROSPECTUS</w:t>
              </w:r>
            </w:hyperlink>
          </w:p>
        </w:tc>
        <w:tc>
          <w:tcPr>
            <w:tcW w:w="6680" w:type="dxa"/>
            <w:vAlign w:val="bottom"/>
            <w:gridSpan w:val="5"/>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8920" w:type="dxa"/>
            <w:vAlign w:val="bottom"/>
            <w:gridSpan w:val="1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CAUTIONARY STATEMENT REGARDING FORWARD-LOOKING STATEMENTS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21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PROSPECTUS SUMMARY</w:t>
              </w:r>
            </w:hyperlink>
          </w:p>
        </w:tc>
        <w:tc>
          <w:tcPr>
            <w:tcW w:w="4240" w:type="dxa"/>
            <w:vAlign w:val="bottom"/>
            <w:tcBorders>
              <w:top w:val="single" w:sz="8" w:color="0000EE"/>
            </w:tcBorders>
            <w:gridSpan w:val="5"/>
          </w:tcPr>
          <w:p>
            <w:pPr>
              <w:spacing w:after="0"/>
              <w:rPr>
                <w:sz w:val="24"/>
                <w:szCs w:val="24"/>
                <w:color w:val="auto"/>
              </w:rPr>
            </w:pPr>
          </w:p>
        </w:tc>
        <w:tc>
          <w:tcPr>
            <w:tcW w:w="25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126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RISK FACTORS</w:t>
              </w:r>
            </w:hyperlink>
          </w:p>
        </w:tc>
        <w:tc>
          <w:tcPr>
            <w:tcW w:w="7660" w:type="dxa"/>
            <w:vAlign w:val="bottom"/>
            <w:gridSpan w:val="10"/>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892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USE OF PROCEEDS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412"/>
        </w:trPr>
        <w:tc>
          <w:tcPr>
            <w:tcW w:w="892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RESTRICTED UNIT AWARD</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LEGAL MATTERS</w:t>
              </w:r>
            </w:hyperlink>
          </w:p>
        </w:tc>
        <w:tc>
          <w:tcPr>
            <w:tcW w:w="6660" w:type="dxa"/>
            <w:vAlign w:val="bottom"/>
            <w:gridSpan w:val="4"/>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78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EXPERTS</w:t>
              </w:r>
            </w:hyperlink>
          </w:p>
        </w:tc>
        <w:tc>
          <w:tcPr>
            <w:tcW w:w="680" w:type="dxa"/>
            <w:vAlign w:val="bottom"/>
            <w:tcBorders>
              <w:top w:val="single" w:sz="8" w:color="0000EE"/>
            </w:tcBorders>
            <w:gridSpan w:val="3"/>
          </w:tcPr>
          <w:p>
            <w:pPr>
              <w:spacing w:after="0"/>
              <w:rPr>
                <w:sz w:val="24"/>
                <w:szCs w:val="24"/>
                <w:color w:val="auto"/>
              </w:rPr>
            </w:pPr>
          </w:p>
        </w:tc>
        <w:tc>
          <w:tcPr>
            <w:tcW w:w="7460" w:type="dxa"/>
            <w:vAlign w:val="bottom"/>
            <w:gridSpan w:val="8"/>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8920" w:type="dxa"/>
            <w:vAlign w:val="bottom"/>
            <w:gridSpan w:val="1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WHERE YOU CAN FIND MORE INFORMATION</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3820" w:type="dxa"/>
            <w:vAlign w:val="bottom"/>
            <w:gridSpan w:val="9"/>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412"/>
        </w:trPr>
        <w:tc>
          <w:tcPr>
            <w:tcW w:w="402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10">
              <w:r>
                <w:rPr>
                  <w:rFonts w:ascii="Arial" w:cs="Arial" w:eastAsia="Arial" w:hAnsi="Arial"/>
                  <w:sz w:val="18"/>
                  <w:szCs w:val="18"/>
                  <w:color w:val="0000EE"/>
                  <w:w w:val="94"/>
                </w:rPr>
                <w:t>INFORMATION NOT REQUIRED IN PROSPECTUS</w:t>
              </w:r>
            </w:hyperlink>
          </w:p>
        </w:tc>
        <w:tc>
          <w:tcPr>
            <w:tcW w:w="4900" w:type="dxa"/>
            <w:vAlign w:val="bottom"/>
            <w:gridSpan w:val="2"/>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II-1</w:t>
            </w:r>
          </w:p>
        </w:tc>
      </w:tr>
    </w:tbl>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References in this prospectus to “Take-Two,” “we,” “us,” “our,” the “Company” or similar references mean Take-Two Interactive Software, Inc. and its subsidiaries. References to “Common Stock” refer to the Company’s Common Stock, par value $.01 per share.</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You should rely on the information contained or incorporated by reference in this prospectus and any applicable prospectus supplement. Neither we nor any of our affiliates have authorized anyone else to provide you with different information. The securities are not being offered in any jurisdiction where the offer or sale is not permitted. You should not assume that the information contained in this prospectus and any accompanying prospectus supplement is accurate on any date subsequent to the date set forth on the front of the document or that any information we have incorporated by reference is correct on any date subsequent to the date of the document incorporated by reference, even though this prospectus and any accompanying prospectus supplement is delivered or securities are sold on a later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This prospectus is part of a registration statement on Form S-3 that we filed with the Securities and Exchange Commission (the “SEC”) using the “shelf” registration process. Under this shelf registration process, we may offer the offered securities in one or more offerings or resales.</w:t>
      </w:r>
    </w:p>
    <w:p>
      <w:pPr>
        <w:spacing w:after="0" w:line="14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certain circumstances, we may provide a prospectus supplement that will contain specific information about the terms of a particular offering by us. We may also provide a prospectus supplement to add information to, or update or change information contained in, this prospectus. To the extent there is a conflict between the information contained in this prospectus and the prospectus supplement, you should rely on the information in the prospectus supplement, provided that if any statement in one of these documents is inconsistent with a statement in another document having a later date — for example, a document incorporated by reference in this prospectus or any prospectus supplement — the statement in the later-dated document modifies or supersedes the earlier statement.</w:t>
      </w:r>
    </w:p>
    <w:p>
      <w:pPr>
        <w:spacing w:after="0" w:line="1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You should read both this prospectus and any applicable prospectus supplement together with the additional information about our company to which we refer you in the section of this prospectus entitled “Where You Can Find More Information.”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This prospectus and the documents incorporated by reference contain statements that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but not limited to, our dependence on key management and product development personnel, our dependence on our Grand Theft Auto products and our ability to develop other hit titles for current and next-generation platforms, the timely release and significant market acceptance of our games, the ability to maintain acceptable pricing levels on our games and risks associated with international operations. Other important factors and information are discussed under the heading “Risk Factors” beginning on page 2 of this prospectus and contained in the Company’s Annual Report on Form 10-K for the fiscal year ended March 31, 2018 and the Company’s other periodic filings with the SEC, which are incorporated herein by reference. All forward-looking statements are qualified by these cautionary statements and speak only as of the date they are made. The Company undertakes no obligation to update any forward-looking statement, whether as a result of new information, future events or otherwise.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This prospectus relates to the offer and issuance by us of shares of our Common Stock upon the settlement of Restricted Units that are currently outstanding and held by ZelnickMedia. The Restricted Units were granted by us on April 15, 2019 to ZelnickMedia under the 2017 Plan pursuant to the terms of a Restricted Unit Agreement, dated April 15, 2019, by and between the Company and ZelnickMedia. This summary highlights selected information appearing elsewhere in this prospectus or in documents incorporated herein by reference. You should carefully read the entire prospectus, including the information set forth in the section entitled “Risk Factors” and the information that is incorporated by reference into this prospectus. See the sections entitled “Where You Can Find More Information” for a further discussion on incorporation by reference.</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a leading developer, publisher and marketer of interactive entertainment for consumers around the globe. We develop and publish products principally through our two wholly-owned labels Rockstar Games and 2K, as well as our Private Division label and Social Point, a leading developer of mobile games. Our products are currently designed for console gaming systems such as Sony’s PlayStation®4 and PlayStation®3, Microsoft’s Xbox One® and Xbox 360®, the Nintendo Switch, and personal computers, including smartphones and tablets. We deliver our products through physical retail, digital download, online platforms, and cloud streaming services.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endeavor to be the most creative, innovative and efficient company in our industry. Our core strategy is to capitalize on the popularity of video games by developing and publishing high-quality interactive entertainment experiences across a range of genres. We focus on building compelling entertainment franchises by publishing a select number of titles for which we can create sequels and incremental revenue opportunities through virtual currency, add-on content, and in-game purchases. Most of our intellectual property is internally owned and developed, which we believe best positions us financially and competitively. We have established a portfolio of proprietary software content for the major hardware platforms in a wide range of genres, including action, adventure, family/casual, racing, role-playing, shooter, sports and strategy, which we distribute worldwide. We believe that our commitment to creativity and innovation is a distinguishing strength, enabling us to differentiate our products in the marketplace by combining advanced technology with compelling storylines and characters that provide unique gameplay experiences for consumers. We have created, acquired, or licensed a group of highly recognizable brands to match the broad consumer demographics that we serve, ranging from adults to children and game enthusiasts to casual gamers. Another cornerstone of our strategy is to support the success of our products in the marketplace through innovative marketing programs and global distribution on platforms and through channels that are relevant to our target audience.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were incorporated under the laws of the State of Delaware in 1993 and are headquartered at 110 West 44th Street, New York, New York 10036.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telephone number is (646) 536-2842.</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Investment in our Common Stock involves risks. Before you invest in our Common Stock, you should carefully consider the risk factors incorporated into this prospectus by reference to our most recent Annual Report on Form 10-K, and the other information contained in this prospectus, as updated by our subsequent filings under the Exchange Act, and risk factors and other information contained in any applicable prospectus supplement before acquiring any of such shares of Common Stock. For a description of these reports and documents, and information about where you can find them, see the section entitled “Where You Can Find More Information.” The occurrence of any of the events described in the risk factors might cause you to lose all or part of your investment in the Common Stock. Please also refer to the section above entitled “Cautionary Statement Regarding Forward-Looking Statements.”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will not receive any proceeds from the offer and issuance by us of the Common Stock to ZelnickMedia pursuant to this registration statement on Form S-3.</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UNIT AWARD</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As described above, this registration statement on Form S-3 registers shares of Common Stock that may be issued upon the settlement of restricted units (the “Restricted Units”) that are currently outstanding and held by ZelnickMedia Corporation (“ZelnickMedia”). The Restricted Units were granted by us to ZelnickMedia on April 15, 2019 under the Company’s 2017 Stock Incentive Plan (the “2017 Plan”). The Restricted Units, comprising both timed-based and performance-based restricted units as described below, were granted pursuant to the terms of a Restricted Unit Agreement, dated April 15, 2019, by and between the Company and ZelnickMedia (the “Restricted Unit Agreement”).</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is party to a Management Agreement, dated as of November 17, 2017, and effective January 1, 2018 (the “Management Agreement”), with ZelnickMedia. The Restricted Units represent equity awards granted pursuant to the terms of the Management Agreement. Pursuant to the Management Agreement and Restricted Unit Agreement, the Company will have the right to elect to settle the Restricted Units in shares of Common Stock that will be issued pursuant to the 2017 Plan.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u w:val="single" w:color="auto"/>
          <w:color w:val="auto"/>
        </w:rPr>
        <w:t>Time-Based Award</w:t>
      </w:r>
      <w:r>
        <w:rPr>
          <w:rFonts w:ascii="Arial" w:cs="Arial" w:eastAsia="Arial" w:hAnsi="Arial"/>
          <w:sz w:val="16"/>
          <w:szCs w:val="16"/>
          <w:color w:val="auto"/>
        </w:rPr>
        <w:t>. On April 15, 2019, the Company issued to ZelnickMedia 91,543 time-based restricted units (such number determined by dividing $8,775,000 by the average of the closing prices of the Company’s common stock for each trading day during the 10 trading day period immediately prior to April 1, 2019), which units will vest on April 13, 2021, provided that the Management Agreement has not been terminated prior to such date (the “Time-Based Award”). Notwithstanding the foregoing, the Time-Based Award will immediately vest in full if the Management Agreement is terminated by the Company without Cause or by ZelnickMedia for Good Reason. Conversely, ZelnickMedia will forfeit to the Company all Restricted Units under the Time-Based Award if the Management Agreement is terminated by the Company for Cause or by ZelnickMedia without Good Reason prior to April 13, 2021.</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Performance-Based Award</w:t>
      </w:r>
      <w:r>
        <w:rPr>
          <w:rFonts w:ascii="Arial" w:cs="Arial" w:eastAsia="Arial" w:hAnsi="Arial"/>
          <w:sz w:val="16"/>
          <w:szCs w:val="16"/>
          <w:color w:val="auto"/>
        </w:rPr>
        <w:t>. On April 15, 2019 the Company issued to ZelnickMedia 223,772 performance-based restricted units (the “Performance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Award”), representing the maximum number of performance-based units that are eligible to vest (with the target number of units of 111,886 based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$10,725,000 divided by the average of the closing prices of the Company’s common stock for each trading day during the 10 trading day period immediately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prior to April 1, 2019), which units have been divided into three categories of vesting as follows: (i) on April 13, 2021, a number of Recurrent Consumer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Spending Performance-Based Units (as defined in the Restricted Unit Agreement) will vest equal to the product of (x) the target number of Recurrent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Consumer Spending Performance-Based Units in such vesting tranche (13,986) multiplied by (y) the Recurrent Consumer Spending Vesting Percentage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defined in the Restricted Unit Agreement) on March 31, 2021, which ranges from 0% to 200% (ii) on April 13, 2021, a number of IP Performance-Based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Units (as defined in the Restricted Unit Agreement) will vest equal to the product of (x) the target number of IP Performance-Based Units in such vesting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tranche (13,985) multiplied by (y) the IP Vesting Percentage (as defined in the Restricted Unit Agreement) on March 31, 2021, which ranges from 0%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 and (iii) on April 13, 2021, a number of TSR Performance-Based Units (as defined in the Restricted Unit Agreement) will vest equal to the product of</w:t>
      </w:r>
    </w:p>
    <w:p>
      <w:pPr>
        <w:spacing w:after="0" w:line="32" w:lineRule="exact"/>
        <w:rPr>
          <w:sz w:val="20"/>
          <w:szCs w:val="20"/>
          <w:color w:val="auto"/>
        </w:rPr>
      </w:pPr>
    </w:p>
    <w:p>
      <w:pPr>
        <w:ind w:right="440" w:firstLine="8"/>
        <w:spacing w:after="0" w:line="261"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target number of TSR Performance-Based Units in such vesting tranche (83,915) multiplied by (y) the TSR Vesting Percentage (as defined in the Restricted Unit Agreement) on March 31, 2021, which ranges from 0% to 200%.</w:t>
      </w:r>
    </w:p>
    <w:p>
      <w:pPr>
        <w:spacing w:after="0" w:line="18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the event that any portion of the Performance Award will not have vested as of April 13, 2021 or upon a termination of the Management Agreement by the Company for Cause or by ZelnickMedia without Good Reason, ZelnickMedia will forfeit to the Company any and all Restricted Units that have not vested as of such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of Awards.</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Upon a termination of the Management Agreement by the Company without Cause or by ZelnickMedia for Good Reason, any then-unvested restricted units granted pursuant to the Performance Award (including any restricted units granted to ZelnickMedia during the term of the Management Agreement on or after April 13, 2018) will vest on the assumption that the applicable performance measure was achieved at the target level of performance for the applicable performance period or, prior to a Change in Control (as defined in the Management Agreement), for TSR Performance-Based Units, based on the actual level of performance achieved for each applicable performance measure as of the date of termination.</w:t>
      </w:r>
    </w:p>
    <w:p>
      <w:pPr>
        <w:spacing w:after="0" w:line="17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If the Company and ZelnickMedia fail to enter into a new management agreement on substantially similar terms in the aggregate as those provided under the Management Agreement upon the expiration of the term of the Management Agreement or otherwise fail to agree to extend the term of the Management Agreement, all unvested time-vesting restricted units granted during the term of the Management Agreement on or after April 13, 2018 will vest upon such expiration and all then-unvested performance-vesting restricted units will vest based on the assumption that the applicable performance measure was achieved at the target level of performance for the applicable performance period or, prior to a Change in Control, for TSR Performance-Based Units, based on the actual level of performance achieved for each applicable performance measure as of the date of termination.</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a Change in Control occurs during the term of the Management Agreement, the Management Agreement will not automatically terminate and all unvested restricted units granted pursuant to the Restricted Unit Agreement will vest as set forth in the Restricted Unit Agreement, except that any restricted units granted to ZelnickMedia on or after April 13, 2018 will vest upon the earlier to occur of (x) a termination of the Management Agreement by the Company without Cause or by ZelnickMedia for Good Reason or (y) the second anniversary of the applicable date of grant, and, with respect to any performance-based restricted units, in each case, based on the assumption that the applicable performance measure was achieved at the target level of performance for the applicable performance period.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foregoing descriptions of the Management Agreement and the Restricted Unit Agreement (including the Time-Based Award and the Performance Award issuable to ZelnickMedia thereunder) are only a summary and are qualified in their entirety by reference to the full text of the Management Agreement, which is attached as Exhibit 10.1 to the Company’s Current Report on Form 8-K dated November 22, 2017 and incorporated herein by reference, and the Restricted Unit Agreement, which is attached hereto as Exhibit 10.2 and incorporated herein by reference.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Unless otherwise specified in a prospectus supplement, the validity of our Common Stock shares have been passed upon for us by Willkie Farr &amp; Gallagher LLP.</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consolidated financial statements of Take-Two Interactive Software, Inc. appearing in Take-Two Interactive Software, Inc.’s Annual Report (Form 10-K) for the year ended March 31, 2018 and the effectiveness of Take-Two Interactive Software, Inc.’s internal control over financial reporting as of March 31, 2018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are subject to the information reporting requirements of the Securities Exchange Act of 1934, as amended, and, in accordance with these requirements, we are required to file periodic reports and other information with the SEC. You may read and copy any materials that we file with the SEC at the SEC’s Public Reference Room at 100 F Street, N.E., Washington, D.C. 20549. Please call the SEC at 1-800-SEC-0330 for further information about the operation of the Public Reference Room. The SEC also maintains an Internet website at http://www.sec.gov that contains our filed reports, proxy and information statements, and other information we file electronically with the SEC.</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Additionally, we make our SEC filings available, free of charge, on our website at www.take2games.com as soon as reasonably practicable after we electronically file such materials with, or furnish them to, the SEC. The information on our website, other than the filings incorporated by reference in this prospectus, is not, and should not be, considered part of this prospectus, is not incorporated by reference into this document, and should not be relied upon in connection with making any investment decision with respect to our Common Stock.</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“incorporating by reference” into this prospectus certain information we file with the SEC, which means that we are disclosing important information to you by referring you to those documents. The information we incorporate by reference in this prospectus is legally deemed to be a part of this prospectus, and later information that we file with the SEC will automatically update and supersede the information included in this prospectus and the documents listed below. We incorporate the documents listed below:</w:t>
      </w:r>
    </w:p>
    <w:p>
      <w:pPr>
        <w:spacing w:after="0" w:line="187" w:lineRule="exact"/>
        <w:rPr>
          <w:sz w:val="20"/>
          <w:szCs w:val="20"/>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March 31, 2018, filed with the SEC on May 17, 2018;</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Reports on Form 10-Q for the fiscal quarters ended June 30, 2018, filed with the SEC on August 3, 2018, September 30, 2018, filed with the SEC on November 8, 2018 and December 31, 2018, filed with the SEC on February 6, 2019;</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Proxy Statement on Schedule 14A filed with the SEC on July 26, 2018;</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Reports on Form 8-K filed with the SEC on April 24, 2018, May 18, 2018, September 25, 2018 and February 14, 2019;</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Description of our common stock contained in our Registration Statement on Form 8-A, filed with the SEC on March 26, 2008, including any subsequent amendment or any report filed for the purpose of updating such description; and</w:t>
      </w:r>
    </w:p>
    <w:p>
      <w:pPr>
        <w:spacing w:after="0" w:line="170" w:lineRule="exact"/>
        <w:rPr>
          <w:rFonts w:ascii="Arial" w:cs="Arial" w:eastAsia="Arial" w:hAnsi="Arial"/>
          <w:sz w:val="18"/>
          <w:szCs w:val="18"/>
          <w:color w:val="auto"/>
        </w:rPr>
      </w:pPr>
    </w:p>
    <w:p>
      <w:pPr>
        <w:ind w:left="980" w:right="16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documents filed by us pursuant to Sections 13(a), 13(c), 14 or 15(d) of the Exchange Act subsequent to the date of the initial registration statement of which this prospectus forms a part until all of the securities being offered under this prospectus or any prospectus supplement are sold (other than reports, documents or information that is furnished and not filed with the SEC).</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herein, other than exhibits to such documents that are not specifically incorporated by reference therein. You should direct any requests for documents to us at the following address or telephone number:</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Take-Two Interactive Software, Inc.</w:t>
      </w:r>
    </w:p>
    <w:p>
      <w:pPr>
        <w:jc w:val="center"/>
        <w:ind w:right="-79"/>
        <w:spacing w:after="0" w:line="218" w:lineRule="auto"/>
        <w:rPr>
          <w:sz w:val="20"/>
          <w:szCs w:val="20"/>
          <w:color w:val="auto"/>
        </w:rPr>
      </w:pPr>
      <w:r>
        <w:rPr>
          <w:rFonts w:ascii="Arial" w:cs="Arial" w:eastAsia="Arial" w:hAnsi="Arial"/>
          <w:sz w:val="18"/>
          <w:szCs w:val="18"/>
          <w:color w:val="auto"/>
        </w:rPr>
        <w:t>110 West 44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ind w:left="5580" w:hanging="428"/>
        <w:spacing w:after="0"/>
        <w:tabs>
          <w:tab w:leader="none" w:pos="5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536-2842</w:t>
      </w:r>
    </w:p>
    <w:p>
      <w:pPr>
        <w:spacing w:after="0" w:line="9" w:lineRule="exact"/>
        <w:rPr>
          <w:rFonts w:ascii="Arial" w:cs="Arial" w:eastAsia="Arial" w:hAnsi="Arial"/>
          <w:sz w:val="18"/>
          <w:szCs w:val="18"/>
          <w:color w:val="auto"/>
        </w:rPr>
      </w:pPr>
    </w:p>
    <w:p>
      <w:pPr>
        <w:ind w:left="4600"/>
        <w:spacing w:after="0"/>
        <w:rPr>
          <w:rFonts w:ascii="Arial" w:cs="Arial" w:eastAsia="Arial" w:hAnsi="Arial"/>
          <w:sz w:val="18"/>
          <w:szCs w:val="18"/>
          <w:color w:val="auto"/>
        </w:rPr>
      </w:pPr>
      <w:r>
        <w:rPr>
          <w:rFonts w:ascii="Arial" w:cs="Arial" w:eastAsia="Arial" w:hAnsi="Arial"/>
          <w:sz w:val="18"/>
          <w:szCs w:val="18"/>
          <w:color w:val="auto"/>
        </w:rPr>
        <w:t>Attention: Corporate 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Changes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On April 1, 2018, we adopted Accounting Standards Update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which amends the presentation of restricted cash within the statement of cash flows by requiring that restricted cash and restricted cash equivalents be included within cash and cash equivalents when reconciling the beginning-of-period and end-of-period total amounts, using the full retrospective method. The effect of the adoption of ASU 2016-18 is reflected in our Quarterly Reports on Form 10-Q for the fiscal quarters ended June 30, 2018, September 30, 2018 and December 31, 2018 as filed with the SEC, which are incorporated by reference in this Registration Statement, but has not been reflected in our Annual Report on Form 10-K for the year ended March 31, 2018 as filed with the SEC on May 17, 2018, which is incorporated by reference in this Registration Statement. In our Annual Report on Form 10-K for the year ended March 31, 2018, the impact from this change in presentation would have been an increase in net cash from operating activities presented in the Consolidated Statements of Cash Flows of $99.6 million, $76.5 million, and $91.5 million for the fiscal years ended March 31, 2018, 2017 and 2016, respectively.</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following table sets forth the estimated expenses in connection with the issuance of the securities being registered. Other than the SEC registration fee, all of the amounts listed are estimates.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 Registration Fee</w:t>
            </w:r>
          </w:p>
        </w:tc>
        <w:tc>
          <w:tcPr>
            <w:tcW w:w="3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3,552.96</w:t>
            </w: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Accounting Fees and Expenses</w:t>
            </w:r>
          </w:p>
        </w:tc>
        <w:tc>
          <w:tcPr>
            <w:tcW w:w="3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30,000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Legal Fees and Expenses</w:t>
            </w:r>
          </w:p>
        </w:tc>
        <w:tc>
          <w:tcPr>
            <w:tcW w:w="3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Transfer Agent and Registrar Fees and Expenses</w:t>
            </w:r>
          </w:p>
        </w:tc>
        <w:tc>
          <w:tcPr>
            <w:tcW w:w="3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Miscellaneous</w:t>
            </w:r>
          </w:p>
        </w:tc>
        <w:tc>
          <w:tcPr>
            <w:tcW w:w="3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83,552.96</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Section 145 of the Delaware General Corporation Law (“DGCL”) provides, among other things, that a corporation may indemnify any director or officer of the corporation who was or is a party or is threatened to be made a party to any threatened, pending or completed action, suit or proceeding (other than an action by or in the right of the corporation) by reason of the fact that the person is or was a director or officer of the corporation, or is or was serving at the corporation’s request as a director or officer of another entity, against expenses (including attorneys’ fees), judgments, fines and amounts paid in settlement actually and reasonably incurred by the person in connection with such action, suit or proceeding if the person acted in good faith and in a manner he or she reasonably believed to be in or not opposed to the best interests of the corporation and, with respect to any criminal action or proceeding, had no reasonable cause to believe his or her conduct was unlawful. The power to indemnify also applies to any threatened, pending or completed action or suit brought by or in the right of the corporation, but only to the extent of expenses (including attorneys’ fees) actually and reasonably incurred by the person in connection with the defense or settlement of such action or suit if the person acted in good faith and in a manner he or she reasonably believed to be in or not opposed to the best interests of the corporation and except that no indemnification will be made in respect of any claim, issue or matter as to which such person has been adjudged to be liable to the corporation unless and only to the extent that the court in which such action or suit was brought determines upon application that, despite the adjudication of liability but in view of all of the circumstances of the case, such person is fairly and reasonably entitled to indemnity for such expenses which the court deems proper. To the extent that a present or former director or officer has been successful on the merits or otherwise in defense of any action, suit or proceeding referred to above, or in defense of any claim, issue or matter therein, such person will be indemnified against expenses (including attorneys’ fees) actually and reasonably incurred by such person in connection therewith.</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Section 102(b)(7) of the DGCL provides that a corporation may eliminate or limit the personal liability of a director to the corporation or its</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stockholders for monetary damages for breach of fiduciary duty as a director, provided that such provision will not eliminate or limit the liability of a director</w:t>
      </w:r>
    </w:p>
    <w:p>
      <w:pPr>
        <w:spacing w:after="0" w:line="32" w:lineRule="exact"/>
        <w:rPr>
          <w:sz w:val="20"/>
          <w:szCs w:val="20"/>
          <w:color w:val="auto"/>
        </w:rPr>
      </w:pPr>
    </w:p>
    <w:p>
      <w:pPr>
        <w:ind w:firstLine="8"/>
        <w:spacing w:after="0" w:line="254" w:lineRule="auto"/>
        <w:tabs>
          <w:tab w:leader="none" w:pos="21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No such provision will eliminate or limit the liability of a director for any act or omission occurring prior to the date when such provision becomes effective.</w:t>
      </w:r>
    </w:p>
    <w:p>
      <w:pPr>
        <w:spacing w:after="0" w:line="190" w:lineRule="exact"/>
        <w:rPr>
          <w:sz w:val="20"/>
          <w:szCs w:val="20"/>
          <w:color w:val="auto"/>
        </w:rPr>
      </w:pPr>
    </w:p>
    <w:p>
      <w:pPr>
        <w:jc w:val="both"/>
        <w:ind w:right="60" w:firstLine="648"/>
        <w:spacing w:after="0" w:line="257" w:lineRule="auto"/>
        <w:rPr>
          <w:sz w:val="20"/>
          <w:szCs w:val="20"/>
          <w:color w:val="auto"/>
        </w:rPr>
      </w:pPr>
      <w:r>
        <w:rPr>
          <w:rFonts w:ascii="Arial" w:cs="Arial" w:eastAsia="Arial" w:hAnsi="Arial"/>
          <w:sz w:val="18"/>
          <w:szCs w:val="18"/>
          <w:color w:val="auto"/>
        </w:rPr>
        <w:t>The Company’s Restated Certificate of Incorporation provides that it shall indemnify and hold harmless its officers and directors to the fullest extent authorized by the DGCL, as the DGCL exists or is amended to permit the Company to provide broader indemnification rights than the DGCL provided prior to such amendment, against all expense, liability and loss (including attorneys’ fees), reasonably incurred or suffered by such person in connection therewith; provided, however, that the Company shall indemnify any such person seeking indemnification in connection with a proceeding initiated by such person only if such proceeding was authorized by the Board.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addition, the Company’s Amended and Restated By-laws require the Company to indemnify its officers and directors to the extent permitted by the DGCL.</w:t>
      </w:r>
    </w:p>
    <w:p>
      <w:pPr>
        <w:spacing w:after="0" w:line="17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 such indemnification is against public policy as expressed in the Securities Act and is, therefore, unenforceable.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 attached hereto and incorporated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960" w:right="20" w:hanging="655"/>
        <w:spacing w:after="0" w:line="291" w:lineRule="auto"/>
        <w:tabs>
          <w:tab w:leader="none" w:pos="1952" w:val="left"/>
        </w:tabs>
        <w:numPr>
          <w:ilvl w:val="2"/>
          <w:numId w:val="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67" w:lineRule="exact"/>
        <w:rPr>
          <w:rFonts w:ascii="Arial" w:cs="Arial" w:eastAsia="Arial" w:hAnsi="Arial"/>
          <w:sz w:val="16"/>
          <w:szCs w:val="16"/>
          <w:color w:val="auto"/>
        </w:rPr>
      </w:pPr>
    </w:p>
    <w:p>
      <w:pPr>
        <w:ind w:left="1960" w:right="20" w:hanging="655"/>
        <w:spacing w:after="0" w:line="277" w:lineRule="auto"/>
        <w:tabs>
          <w:tab w:leader="none" w:pos="1964"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paragraphs (i), (ii) and (iii) do not apply if the information required to be included in a post-effective amendment by those paragraphs</w:t>
      </w:r>
      <w:r>
        <w:rPr>
          <w:rFonts w:ascii="Arial" w:cs="Arial" w:eastAsia="Arial" w:hAnsi="Arial"/>
          <w:sz w:val="16"/>
          <w:szCs w:val="16"/>
          <w:i w:val="1"/>
          <w:iCs w:val="1"/>
          <w:color w:val="auto"/>
        </w:rPr>
        <w:t xml:space="preserve"> </w:t>
      </w:r>
      <w:r>
        <w:rPr>
          <w:rFonts w:ascii="Arial" w:cs="Arial" w:eastAsia="Arial" w:hAnsi="Arial"/>
          <w:sz w:val="16"/>
          <w:szCs w:val="16"/>
          <w:color w:val="auto"/>
        </w:rPr>
        <w:t>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47" w:lineRule="exact"/>
        <w:rPr>
          <w:sz w:val="20"/>
          <w:szCs w:val="20"/>
          <w:color w:val="auto"/>
        </w:rPr>
      </w:pPr>
    </w:p>
    <w:p>
      <w:pPr>
        <w:ind w:left="1300" w:hanging="644"/>
        <w:spacing w:after="0" w:line="264" w:lineRule="auto"/>
        <w:tabs>
          <w:tab w:leader="none" w:pos="130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1300" w:right="400" w:hanging="644"/>
        <w:spacing w:after="0" w:line="277" w:lineRule="auto"/>
        <w:tabs>
          <w:tab w:leader="none" w:pos="1307"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960" w:hanging="655"/>
        <w:spacing w:after="0" w:line="277" w:lineRule="auto"/>
        <w:tabs>
          <w:tab w:leader="none" w:pos="1981" w:val="left"/>
        </w:tabs>
        <w:numPr>
          <w:ilvl w:val="1"/>
          <w:numId w:val="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960" w:right="40" w:hanging="655"/>
        <w:spacing w:after="0" w:line="287" w:lineRule="auto"/>
        <w:tabs>
          <w:tab w:leader="none" w:pos="1991" w:val="left"/>
        </w:tabs>
        <w:numPr>
          <w:ilvl w:val="1"/>
          <w:numId w:val="9"/>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8" w:lineRule="exact"/>
        <w:rPr>
          <w:rFonts w:ascii="Arial" w:cs="Arial" w:eastAsia="Arial" w:hAnsi="Arial"/>
          <w:sz w:val="16"/>
          <w:szCs w:val="16"/>
          <w:color w:val="auto"/>
        </w:rPr>
      </w:pPr>
    </w:p>
    <w:p>
      <w:pPr>
        <w:ind w:left="660" w:right="80" w:hanging="652"/>
        <w:spacing w:after="0" w:line="257" w:lineRule="auto"/>
        <w:tabs>
          <w:tab w:leader="none" w:pos="66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left="660" w:right="60" w:hanging="652"/>
        <w:spacing w:after="0" w:line="271" w:lineRule="auto"/>
        <w:tabs>
          <w:tab w:leader="none" w:pos="671"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20" w:type="dxa"/>
            <w:vAlign w:val="bottom"/>
            <w:gridSpan w:val="7"/>
          </w:tcPr>
          <w:p>
            <w:pPr>
              <w:ind w:left="262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Description of Document</w:t>
            </w:r>
          </w:p>
        </w:tc>
      </w:tr>
      <w:tr>
        <w:trPr>
          <w:trHeight w:val="385"/>
        </w:trPr>
        <w:tc>
          <w:tcPr>
            <w:tcW w:w="116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340" w:type="dxa"/>
            <w:vAlign w:val="bottom"/>
          </w:tcPr>
          <w:p>
            <w:pPr>
              <w:spacing w:after="0"/>
              <w:rPr>
                <w:sz w:val="24"/>
                <w:szCs w:val="24"/>
                <w:color w:val="auto"/>
              </w:rPr>
            </w:pPr>
          </w:p>
        </w:tc>
        <w:tc>
          <w:tcPr>
            <w:tcW w:w="9920" w:type="dxa"/>
            <w:vAlign w:val="bottom"/>
            <w:gridSpan w:val="8"/>
          </w:tcPr>
          <w:p>
            <w:pPr>
              <w:spacing w:after="0"/>
              <w:rPr>
                <w:rFonts w:ascii="Arial" w:cs="Arial" w:eastAsia="Arial" w:hAnsi="Arial"/>
                <w:sz w:val="18"/>
                <w:szCs w:val="18"/>
                <w:color w:val="0000EE"/>
              </w:rPr>
            </w:pPr>
            <w:hyperlink r:id="rId31">
              <w:r>
                <w:rPr>
                  <w:rFonts w:ascii="Arial" w:cs="Arial" w:eastAsia="Arial" w:hAnsi="Arial"/>
                  <w:sz w:val="18"/>
                  <w:szCs w:val="18"/>
                  <w:color w:val="0000EE"/>
                </w:rPr>
                <w:t>Opinion of Willkie Farr &amp; Gallagher LLP (counsel).</w:t>
              </w:r>
            </w:hyperlink>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92"/>
              </w:rPr>
              <w:t>10.1+</w:t>
            </w:r>
          </w:p>
        </w:tc>
        <w:tc>
          <w:tcPr>
            <w:tcW w:w="340" w:type="dxa"/>
            <w:vAlign w:val="bottom"/>
          </w:tcPr>
          <w:p>
            <w:pPr>
              <w:spacing w:after="0"/>
              <w:rPr>
                <w:sz w:val="24"/>
                <w:szCs w:val="24"/>
                <w:color w:val="auto"/>
              </w:rPr>
            </w:pPr>
          </w:p>
        </w:tc>
        <w:tc>
          <w:tcPr>
            <w:tcW w:w="9920" w:type="dxa"/>
            <w:vAlign w:val="bottom"/>
            <w:gridSpan w:val="8"/>
          </w:tcPr>
          <w:p>
            <w:pPr>
              <w:spacing w:after="0"/>
              <w:rPr>
                <w:rFonts w:ascii="Arial" w:cs="Arial" w:eastAsia="Arial" w:hAnsi="Arial"/>
                <w:sz w:val="18"/>
                <w:szCs w:val="18"/>
                <w:color w:val="0000EE"/>
                <w:w w:val="95"/>
              </w:rPr>
            </w:pPr>
            <w:hyperlink r:id="rId32">
              <w:r>
                <w:rPr>
                  <w:rFonts w:ascii="Arial" w:cs="Arial" w:eastAsia="Arial" w:hAnsi="Arial"/>
                  <w:sz w:val="18"/>
                  <w:szCs w:val="18"/>
                  <w:color w:val="0000EE"/>
                  <w:w w:val="95"/>
                </w:rPr>
                <w:t>Management Agreement, dated as of November 17, 2017, by and between Take-Two Interactive Software, Inc. and ZelnickMedia</w:t>
              </w:r>
            </w:hyperlink>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Corporation.</w:t>
              </w:r>
            </w:hyperlink>
          </w:p>
        </w:tc>
        <w:tc>
          <w:tcPr>
            <w:tcW w:w="58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340" w:type="dxa"/>
            <w:vAlign w:val="bottom"/>
          </w:tcPr>
          <w:p>
            <w:pPr>
              <w:spacing w:after="0"/>
              <w:rPr>
                <w:sz w:val="24"/>
                <w:szCs w:val="24"/>
                <w:color w:val="auto"/>
              </w:rPr>
            </w:pPr>
          </w:p>
        </w:tc>
        <w:tc>
          <w:tcPr>
            <w:tcW w:w="9920" w:type="dxa"/>
            <w:vAlign w:val="bottom"/>
            <w:gridSpan w:val="8"/>
          </w:tcPr>
          <w:p>
            <w:pPr>
              <w:spacing w:after="0"/>
              <w:rPr>
                <w:rFonts w:ascii="Arial" w:cs="Arial" w:eastAsia="Arial" w:hAnsi="Arial"/>
                <w:sz w:val="18"/>
                <w:szCs w:val="18"/>
                <w:color w:val="0000EE"/>
                <w:w w:val="99"/>
              </w:rPr>
            </w:pPr>
            <w:hyperlink r:id="rId33">
              <w:r>
                <w:rPr>
                  <w:rFonts w:ascii="Arial" w:cs="Arial" w:eastAsia="Arial" w:hAnsi="Arial"/>
                  <w:sz w:val="18"/>
                  <w:szCs w:val="18"/>
                  <w:color w:val="0000EE"/>
                  <w:w w:val="99"/>
                </w:rPr>
                <w:t>Restricted Unit Agreement, dated as of April 15, 2019, by and between Take-Two Interactive Software, Inc. and ZelnickMedia</w:t>
              </w:r>
            </w:hyperlink>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1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Corporation.</w:t>
              </w:r>
            </w:hyperlink>
          </w:p>
        </w:tc>
        <w:tc>
          <w:tcPr>
            <w:tcW w:w="800" w:type="dxa"/>
            <w:vAlign w:val="bottom"/>
            <w:gridSpan w:val="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23.1*</w:t>
            </w:r>
          </w:p>
        </w:tc>
        <w:tc>
          <w:tcPr>
            <w:tcW w:w="340" w:type="dxa"/>
            <w:vAlign w:val="bottom"/>
          </w:tcPr>
          <w:p>
            <w:pPr>
              <w:spacing w:after="0"/>
              <w:rPr>
                <w:sz w:val="24"/>
                <w:szCs w:val="24"/>
                <w:color w:val="auto"/>
              </w:rPr>
            </w:pPr>
          </w:p>
        </w:tc>
        <w:tc>
          <w:tcPr>
            <w:tcW w:w="5580" w:type="dxa"/>
            <w:vAlign w:val="bottom"/>
            <w:tcBorders>
              <w:bottom w:val="single" w:sz="8" w:color="0000EE"/>
            </w:tcBorders>
            <w:gridSpan w:val="4"/>
          </w:tcPr>
          <w:p>
            <w:pPr>
              <w:spacing w:after="0"/>
              <w:rPr>
                <w:rFonts w:ascii="Arial" w:cs="Arial" w:eastAsia="Arial" w:hAnsi="Arial"/>
                <w:sz w:val="18"/>
                <w:szCs w:val="18"/>
                <w:color w:val="0000EE"/>
                <w:w w:val="93"/>
              </w:rPr>
            </w:pPr>
            <w:hyperlink r:id="rId31">
              <w:r>
                <w:rPr>
                  <w:rFonts w:ascii="Arial" w:cs="Arial" w:eastAsia="Arial" w:hAnsi="Arial"/>
                  <w:sz w:val="18"/>
                  <w:szCs w:val="18"/>
                  <w:color w:val="0000EE"/>
                  <w:w w:val="93"/>
                </w:rPr>
                <w:t>Consent of Willkie Farr &amp; Gallagher LLP (counsel) (included in Exhibit 5.1).</w:t>
              </w:r>
            </w:hyperlink>
          </w:p>
        </w:tc>
        <w:tc>
          <w:tcPr>
            <w:tcW w:w="4340" w:type="dxa"/>
            <w:vAlign w:val="bottom"/>
            <w:gridSpan w:val="4"/>
          </w:tcPr>
          <w:p>
            <w:pPr>
              <w:spacing w:after="0"/>
              <w:rPr>
                <w:sz w:val="24"/>
                <w:szCs w:val="24"/>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23.2*</w:t>
            </w:r>
          </w:p>
        </w:tc>
        <w:tc>
          <w:tcPr>
            <w:tcW w:w="340" w:type="dxa"/>
            <w:vAlign w:val="bottom"/>
          </w:tcPr>
          <w:p>
            <w:pPr>
              <w:spacing w:after="0"/>
              <w:rPr>
                <w:sz w:val="24"/>
                <w:szCs w:val="24"/>
                <w:color w:val="auto"/>
              </w:rPr>
            </w:pPr>
          </w:p>
        </w:tc>
        <w:tc>
          <w:tcPr>
            <w:tcW w:w="5800" w:type="dxa"/>
            <w:vAlign w:val="bottom"/>
            <w:tcBorders>
              <w:bottom w:val="single" w:sz="8" w:color="0000EE"/>
            </w:tcBorders>
            <w:gridSpan w:val="5"/>
          </w:tcPr>
          <w:p>
            <w:pPr>
              <w:spacing w:after="0"/>
              <w:rPr>
                <w:rFonts w:ascii="Arial" w:cs="Arial" w:eastAsia="Arial" w:hAnsi="Arial"/>
                <w:sz w:val="18"/>
                <w:szCs w:val="18"/>
                <w:color w:val="0000EE"/>
                <w:w w:val="91"/>
              </w:rPr>
            </w:pPr>
            <w:hyperlink r:id="rId34">
              <w:r>
                <w:rPr>
                  <w:rFonts w:ascii="Arial" w:cs="Arial" w:eastAsia="Arial" w:hAnsi="Arial"/>
                  <w:sz w:val="18"/>
                  <w:szCs w:val="18"/>
                  <w:color w:val="0000EE"/>
                  <w:w w:val="91"/>
                </w:rPr>
                <w:t>Consent of Ernst &amp; Young LLP (independent registered public accounting firm).</w:t>
              </w:r>
            </w:hyperlink>
          </w:p>
        </w:tc>
        <w:tc>
          <w:tcPr>
            <w:tcW w:w="4120" w:type="dxa"/>
            <w:vAlign w:val="bottom"/>
            <w:gridSpan w:val="3"/>
          </w:tcPr>
          <w:p>
            <w:pPr>
              <w:spacing w:after="0"/>
              <w:rPr>
                <w:sz w:val="24"/>
                <w:szCs w:val="24"/>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24.1*</w:t>
            </w:r>
          </w:p>
        </w:tc>
        <w:tc>
          <w:tcPr>
            <w:tcW w:w="340" w:type="dxa"/>
            <w:vAlign w:val="bottom"/>
          </w:tcPr>
          <w:p>
            <w:pPr>
              <w:spacing w:after="0"/>
              <w:rPr>
                <w:sz w:val="24"/>
                <w:szCs w:val="24"/>
                <w:color w:val="auto"/>
              </w:rPr>
            </w:pPr>
          </w:p>
        </w:tc>
        <w:tc>
          <w:tcPr>
            <w:tcW w:w="9920" w:type="dxa"/>
            <w:vAlign w:val="bottom"/>
            <w:gridSpan w:val="8"/>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Powers of Attorney (included on signature page).</w:t>
              </w:r>
            </w:hyperlink>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Incorporated by reference to Exhibit 10.1 to the Company’s Current Report on Form 8-K dated November 22, 2017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April 15, 2019.</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TAKE-TWO INTERACTIVE SOFTWARE, INC.</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Strauss Zelnick</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Chairman and Chief Executive Officer</w:t>
      </w:r>
    </w:p>
    <w:p>
      <w:pPr>
        <w:spacing w:after="0" w:line="211"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Each person whose signature appears below constitutes and appoints each of Strauss Zelnick and Daniel P. Emerson his true and lawful attorney-in-fact and agent, with full power of substitution and re-substitution, for him in his name, place and stead, in any and all capacities, to sign any and all amendments to this Registration Statement, and to file the same, with all exhibits thereto, and other documents in connection therewith, with the Securities and Exchange Commission, and hereby grants to such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191135</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and on the date set forth above.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/s/ Strauss Zelnick</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 Lainie Goldstein</w:t>
            </w:r>
          </w:p>
        </w:tc>
        <w:tc>
          <w:tcPr>
            <w:tcW w:w="4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Strauss Zelnick</w:t>
            </w:r>
          </w:p>
        </w:tc>
        <w:tc>
          <w:tcPr>
            <w:tcW w:w="14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Lainie Goldstein</w:t>
            </w:r>
          </w:p>
        </w:tc>
        <w:tc>
          <w:tcPr>
            <w:tcW w:w="40" w:type="dxa"/>
            <w:vAlign w:val="bottom"/>
          </w:tcPr>
          <w:p>
            <w:pPr>
              <w:spacing w:after="0"/>
              <w:rPr>
                <w:sz w:val="16"/>
                <w:szCs w:val="16"/>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r>
      <w:tr>
        <w:trPr>
          <w:trHeight w:val="648"/>
        </w:trPr>
        <w:tc>
          <w:tcPr>
            <w:tcW w:w="4200" w:type="dxa"/>
            <w:vAlign w:val="bottom"/>
            <w:gridSpan w:val="2"/>
          </w:tcPr>
          <w:p>
            <w:pPr>
              <w:spacing w:after="0"/>
              <w:rPr>
                <w:sz w:val="20"/>
                <w:szCs w:val="20"/>
                <w:color w:val="auto"/>
              </w:rPr>
            </w:pPr>
            <w:r>
              <w:rPr>
                <w:rFonts w:ascii="Arial" w:cs="Arial" w:eastAsia="Arial" w:hAnsi="Arial"/>
                <w:sz w:val="18"/>
                <w:szCs w:val="18"/>
                <w:color w:val="auto"/>
              </w:rPr>
              <w:t>/s/ Michael Dornemann</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 Michael Sheresky</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Dornemann</w:t>
            </w:r>
          </w:p>
        </w:tc>
        <w:tc>
          <w:tcPr>
            <w:tcW w:w="14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Sheresky</w:t>
            </w:r>
          </w:p>
        </w:tc>
        <w:tc>
          <w:tcPr>
            <w:tcW w:w="40" w:type="dxa"/>
            <w:vAlign w:val="bottom"/>
          </w:tcPr>
          <w:p>
            <w:pPr>
              <w:spacing w:after="0"/>
              <w:rPr>
                <w:sz w:val="16"/>
                <w:szCs w:val="16"/>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Lead Independent Director</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0"/>
                <w:szCs w:val="20"/>
                <w:color w:val="auto"/>
              </w:rPr>
            </w:pPr>
          </w:p>
        </w:tc>
      </w:tr>
      <w:tr>
        <w:trPr>
          <w:trHeight w:val="648"/>
        </w:trPr>
        <w:tc>
          <w:tcPr>
            <w:tcW w:w="4200" w:type="dxa"/>
            <w:vAlign w:val="bottom"/>
            <w:gridSpan w:val="2"/>
          </w:tcPr>
          <w:p>
            <w:pPr>
              <w:spacing w:after="0"/>
              <w:rPr>
                <w:sz w:val="20"/>
                <w:szCs w:val="20"/>
                <w:color w:val="auto"/>
              </w:rPr>
            </w:pPr>
            <w:r>
              <w:rPr>
                <w:rFonts w:ascii="Arial" w:cs="Arial" w:eastAsia="Arial" w:hAnsi="Arial"/>
                <w:sz w:val="18"/>
                <w:szCs w:val="18"/>
                <w:color w:val="auto"/>
              </w:rPr>
              <w:t>/s/ J Moses</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 LaVerne Srinivasan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 Moses</w:t>
            </w:r>
          </w:p>
        </w:tc>
        <w:tc>
          <w:tcPr>
            <w:tcW w:w="14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LaVerne Srinivasan</w:t>
            </w:r>
          </w:p>
        </w:tc>
        <w:tc>
          <w:tcPr>
            <w:tcW w:w="40" w:type="dxa"/>
            <w:vAlign w:val="bottom"/>
          </w:tcPr>
          <w:p>
            <w:pPr>
              <w:spacing w:after="0"/>
              <w:rPr>
                <w:sz w:val="16"/>
                <w:szCs w:val="16"/>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0"/>
                <w:szCs w:val="20"/>
                <w:color w:val="auto"/>
              </w:rPr>
            </w:pPr>
          </w:p>
        </w:tc>
      </w:tr>
      <w:tr>
        <w:trPr>
          <w:trHeight w:val="648"/>
        </w:trPr>
        <w:tc>
          <w:tcPr>
            <w:tcW w:w="4200" w:type="dxa"/>
            <w:vAlign w:val="bottom"/>
            <w:gridSpan w:val="2"/>
          </w:tcPr>
          <w:p>
            <w:pPr>
              <w:spacing w:after="0"/>
              <w:rPr>
                <w:sz w:val="20"/>
                <w:szCs w:val="20"/>
                <w:color w:val="auto"/>
              </w:rPr>
            </w:pPr>
            <w:r>
              <w:rPr>
                <w:rFonts w:ascii="Arial" w:cs="Arial" w:eastAsia="Arial" w:hAnsi="Arial"/>
                <w:sz w:val="18"/>
                <w:szCs w:val="18"/>
                <w:color w:val="auto"/>
              </w:rPr>
              <w:t>/s/ Susan Tolson</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 Paul Viera</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Susan Tolson</w:t>
            </w:r>
          </w:p>
        </w:tc>
        <w:tc>
          <w:tcPr>
            <w:tcW w:w="14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Paul Viera</w:t>
            </w:r>
          </w:p>
        </w:tc>
        <w:tc>
          <w:tcPr>
            <w:tcW w:w="40" w:type="dxa"/>
            <w:vAlign w:val="bottom"/>
          </w:tcPr>
          <w:p>
            <w:pPr>
              <w:spacing w:after="0"/>
              <w:rPr>
                <w:sz w:val="16"/>
                <w:szCs w:val="16"/>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7220" w:type="dxa"/>
            <w:vAlign w:val="bottom"/>
            <w:gridSpan w:val="3"/>
          </w:tcPr>
          <w:p>
            <w:pPr>
              <w:ind w:left="1380"/>
              <w:spacing w:after="0"/>
              <w:rPr>
                <w:sz w:val="20"/>
                <w:szCs w:val="20"/>
                <w:color w:val="auto"/>
              </w:rPr>
            </w:pPr>
            <w:r>
              <w:rPr>
                <w:rFonts w:ascii="Arial" w:cs="Arial" w:eastAsia="Arial" w:hAnsi="Arial"/>
                <w:sz w:val="18"/>
                <w:szCs w:val="18"/>
                <w:color w:val="auto"/>
              </w:rPr>
              <w:t>S-1</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18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April 15,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 West 44th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Take-Two Interactive Software,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Registration Statement on Form S-3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acted as counsel to Take-Two Interactive Software, Inc., a Delaware corporation (the “Company”), with respect to the Company’s Registration Statement on Form S-3 (the “Registration Statement”) to be filed by the Company with the Securities and Exchange Commission on or about the date hereof. The Registration Statement relates to the registration under the Securities Act of 1933, as amended (the “Act”), by the Company of an additional 315,315 shares of Common Stock, par value $0.01 per share (the “Common Stock”) upon the settlement of restricted units that were granted by the Company to ZelnickMedia Corporation under the Company’s 2017 Stock Incentive Plan (the “Plan”) pursuant to the terms of a Restricted Unit Agreement, dated as of April 15, 2019, by and between the Company and ZelnickMedia Corporation.</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examined, among other things, originals and/or copies (certified or otherwise identified to our satisfaction) of such documents, papers, statutes, and authorities as we have deemed necessary to form a basis for the opinion hereinafter expressed. In our examination, we have assumed the genuineness of all signatures and the conformity to original documents of all copies submitted to us. As to various questions of fact material to our opinion, we have relied on statements and certificates of officers and representatives of the Company.</w:t>
      </w:r>
    </w:p>
    <w:p>
      <w:pPr>
        <w:spacing w:after="0" w:line="18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Based on the foregoing, and subject to the limitations, qualifications, exceptions and assumptions expressed herein, we are of the opinion that the Common Stock to be issued by the Company under the Plan, when duly issued and delivered pursuant to the terms of the Plan, will be legally issued, fully paid, and non-assessable.</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opinion is limited to the General Corporation Law of the State of Delaware, and we express no opinion with respect to the laws of any other jurisdiction or any other laws of the State of Delaware.</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firm under the caption “Legal Matters” in the prospectus contained in the Registration Statement. In giving such consent, we do not thereby admit that we are in the category of persons whose consent is required under Section 7 of the Act.</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opinion letter is rendered as of the date first written above and we disclaim any obligation to advise you of facts, circumstances, events or developments that hereafter may be brought to our attention and that may alter, affect or modify the opinion expressed herein. Our opinion is expressly limited to the matters set forth above and we render no opinion, whether by implication or otherwise, as to any other matters relating to the Company, ZelnickMedia Corporation or the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Willkie Farr &amp; Gallagher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Final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UNIT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STOCK INCENTIVE PLAN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Restricted Unit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April 15, 2019, is made by and between Take-Two Interactive Software, Inc.</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 and ZelnickMedia Corporation (the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w:t>
      </w:r>
    </w:p>
    <w:p>
      <w:pPr>
        <w:spacing w:after="0" w:line="225"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adopted the Take-Two Interactive Software, Inc. 2017 Stock Incentive Plan (as amended and restated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the “</w:t>
      </w:r>
      <w:r>
        <w:rPr>
          <w:rFonts w:ascii="Arial" w:cs="Arial" w:eastAsia="Arial" w:hAnsi="Arial"/>
          <w:sz w:val="18"/>
          <w:szCs w:val="18"/>
          <w:b w:val="1"/>
          <w:bCs w:val="1"/>
          <w:color w:val="auto"/>
        </w:rPr>
        <w:t>Plan</w:t>
      </w:r>
      <w:r>
        <w:rPr>
          <w:rFonts w:ascii="Arial" w:cs="Arial" w:eastAsia="Arial" w:hAnsi="Arial"/>
          <w:sz w:val="18"/>
          <w:szCs w:val="18"/>
          <w:color w:val="auto"/>
        </w:rPr>
        <w:t>”), a copy of which has been delivered to the Participant, which is administered by a committee appointed by the Company’s Board of Directors (the “</w:t>
      </w:r>
      <w:r>
        <w:rPr>
          <w:rFonts w:ascii="Arial" w:cs="Arial" w:eastAsia="Arial" w:hAnsi="Arial"/>
          <w:sz w:val="18"/>
          <w:szCs w:val="18"/>
          <w:b w:val="1"/>
          <w:bCs w:val="1"/>
          <w:color w:val="auto"/>
        </w:rPr>
        <w:t>Committee</w:t>
      </w:r>
      <w:r>
        <w:rPr>
          <w:rFonts w:ascii="Arial" w:cs="Arial" w:eastAsia="Arial" w:hAnsi="Arial"/>
          <w:sz w:val="18"/>
          <w:szCs w:val="18"/>
          <w:color w:val="auto"/>
        </w:rPr>
        <w:t>”);</w:t>
      </w:r>
    </w:p>
    <w:p>
      <w:pPr>
        <w:spacing w:after="0" w:line="176"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7 of the Plan, the Committee may grant restricted stock units (“</w:t>
      </w:r>
      <w:r>
        <w:rPr>
          <w:rFonts w:ascii="Arial" w:cs="Arial" w:eastAsia="Arial" w:hAnsi="Arial"/>
          <w:sz w:val="18"/>
          <w:szCs w:val="18"/>
          <w:b w:val="1"/>
          <w:bCs w:val="1"/>
          <w:color w:val="auto"/>
        </w:rPr>
        <w:t>Restricted Units</w:t>
      </w:r>
      <w:r>
        <w:rPr>
          <w:rFonts w:ascii="Arial" w:cs="Arial" w:eastAsia="Arial" w:hAnsi="Arial"/>
          <w:sz w:val="18"/>
          <w:szCs w:val="18"/>
          <w:color w:val="auto"/>
        </w:rPr>
        <w:t>”), each representing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one (1) share (a “</w:t>
      </w:r>
      <w:r>
        <w:rPr>
          <w:rFonts w:ascii="Arial" w:cs="Arial" w:eastAsia="Arial" w:hAnsi="Arial"/>
          <w:sz w:val="18"/>
          <w:szCs w:val="18"/>
          <w:b w:val="1"/>
          <w:bCs w:val="1"/>
          <w:color w:val="auto"/>
        </w:rPr>
        <w:t>Share</w:t>
      </w:r>
      <w:r>
        <w:rPr>
          <w:rFonts w:ascii="Arial" w:cs="Arial" w:eastAsia="Arial" w:hAnsi="Arial"/>
          <w:sz w:val="18"/>
          <w:szCs w:val="18"/>
          <w:color w:val="auto"/>
        </w:rPr>
        <w:t>”) of the Company’s common stock, par value $0.01 per share (“</w:t>
      </w:r>
      <w:r>
        <w:rPr>
          <w:rFonts w:ascii="Arial" w:cs="Arial" w:eastAsia="Arial" w:hAnsi="Arial"/>
          <w:sz w:val="18"/>
          <w:szCs w:val="18"/>
          <w:b w:val="1"/>
          <w:bCs w:val="1"/>
          <w:color w:val="auto"/>
        </w:rPr>
        <w:t>Common Stock</w:t>
      </w:r>
      <w:r>
        <w:rPr>
          <w:rFonts w:ascii="Arial" w:cs="Arial" w:eastAsia="Arial" w:hAnsi="Arial"/>
          <w:sz w:val="18"/>
          <w:szCs w:val="18"/>
          <w:color w:val="auto"/>
        </w:rPr>
        <w:t>”), or the cash value of one (1) share of Common Stock, as determined by the Committee, on a specified settlement date, to Consultants; and</w:t>
      </w:r>
    </w:p>
    <w:p>
      <w:pPr>
        <w:spacing w:after="0" w:line="176"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Management Agreement between the Participant and the Company, dated as of November 17, 2017, and effective as of</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1, 2018 (the “</w:t>
      </w:r>
      <w:r>
        <w:rPr>
          <w:rFonts w:ascii="Arial" w:cs="Arial" w:eastAsia="Arial" w:hAnsi="Arial"/>
          <w:sz w:val="18"/>
          <w:szCs w:val="18"/>
          <w:b w:val="1"/>
          <w:bCs w:val="1"/>
          <w:color w:val="auto"/>
        </w:rPr>
        <w:t>Management Agreement</w:t>
      </w:r>
      <w:r>
        <w:rPr>
          <w:rFonts w:ascii="Arial" w:cs="Arial" w:eastAsia="Arial" w:hAnsi="Arial"/>
          <w:sz w:val="18"/>
          <w:szCs w:val="18"/>
          <w:color w:val="auto"/>
        </w:rPr>
        <w:t>”), the Company may grant to the Participant additional equity awards, in amounts determined at the discretion of the Committee.</w:t>
      </w:r>
    </w:p>
    <w:p>
      <w:pPr>
        <w:spacing w:after="0" w:line="176"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and in consideration of the mutual promises herein contained, and for other good and valuable consideration, the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and sufficiency of which are hereby acknowledged, the parties agree as follows:</w:t>
      </w:r>
    </w:p>
    <w:p>
      <w:pPr>
        <w:spacing w:after="0" w:line="162" w:lineRule="exact"/>
        <w:rPr>
          <w:sz w:val="20"/>
          <w:szCs w:val="20"/>
          <w:color w:val="auto"/>
        </w:rPr>
      </w:pPr>
    </w:p>
    <w:p>
      <w:pPr>
        <w:ind w:right="40" w:firstLine="656"/>
        <w:spacing w:after="0" w:line="270" w:lineRule="auto"/>
        <w:tabs>
          <w:tab w:leader="none" w:pos="1296" w:val="left"/>
        </w:tabs>
        <w:numPr>
          <w:ilvl w:val="0"/>
          <w:numId w:val="11"/>
        </w:numPr>
        <w:rPr>
          <w:rFonts w:ascii="Arial" w:cs="Arial" w:eastAsia="Arial" w:hAnsi="Arial"/>
          <w:sz w:val="17"/>
          <w:szCs w:val="17"/>
          <w:color w:val="auto"/>
        </w:rPr>
      </w:pPr>
      <w:r>
        <w:rPr>
          <w:rFonts w:ascii="Arial" w:cs="Arial" w:eastAsia="Arial" w:hAnsi="Arial"/>
          <w:sz w:val="17"/>
          <w:szCs w:val="17"/>
          <w:b w:val="1"/>
          <w:bCs w:val="1"/>
          <w:u w:val="single" w:color="auto"/>
          <w:color w:val="auto"/>
        </w:rPr>
        <w:t>Grant of Restricted Units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restrictions, terms and conditions of this Agreement, the Company hereby awards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315,315 Restricted Units, subject to adjustment, forfeiture and the other terms and conditions set forth below. The Restricted Units constitute an unfunded and unsecured promise of the Company to deliver (or cause to be delivered) to the Participant, subject to the terms of this Agreement, cash, Shares or a combination of cash and Shares, in the discretion of the Company, on the applicable vesting date for such Restricted Units as provided herein. Until such delivery, the Participant shall have only the rights of a general unsecured creditor, and no rights as a shareholder of the Company; provided, that if prior to the settlement of any Restricted Unit, (a) the Company pays a cash dividend (whether regular or extraordinary) or otherwise makes a cash distribution to a shareholder in respect of a Share, then the Company shall credit, in respect of each then-outstanding Restricted Unit held by the Participant, an amount equal to any such cash dividend or distribution to a book entry account on behalf of the Participant, provided that such cash dividend or distribution shall not be deemed to be reinvested in shares of Common Stock and will be held uninvested and without interest and paid in cash at the same time as such Restricted Unit vests and is settled under Section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right="40"/>
        <w:spacing w:after="0" w:line="255" w:lineRule="auto"/>
        <w:rPr>
          <w:sz w:val="20"/>
          <w:szCs w:val="20"/>
          <w:color w:val="auto"/>
        </w:rPr>
      </w:pPr>
      <w:r>
        <w:rPr>
          <w:rFonts w:ascii="Arial" w:cs="Arial" w:eastAsia="Arial" w:hAnsi="Arial"/>
          <w:sz w:val="18"/>
          <w:szCs w:val="18"/>
          <w:color w:val="auto"/>
        </w:rPr>
        <w:t>(and the Participant shall forfeit any such right to such cash if such Restricted Unit is forfeited prior to vesting), and (b) the Company pays a non-cash dividend (whether regular or extraordinary) or otherwise makes a non-cash distribution in Shares or other property to a shareholder in respect of a Share, then the Company shall provide the Participant, in respect of each then-outstanding Restricted Unit held by the Participant, an amount equal to the Fair Market Value of such Shares or an amount equal to the fair market value of such other property as reasonably determined by the Company in good faith, as applicable, at the same time as such Restricted Unit vests and is settled under Section 2 below (and the Participant shall forfeit any such right to such amount if such Restricted Unit is forfeited prior to vesting).</w:t>
      </w:r>
    </w:p>
    <w:p>
      <w:pPr>
        <w:spacing w:after="0" w:line="189"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b w:val="1"/>
          <w:bCs w:val="1"/>
          <w:u w:val="single" w:color="auto"/>
          <w:color w:val="auto"/>
        </w:rPr>
        <w:t>Vesting</w:t>
      </w:r>
      <w:r>
        <w:rPr>
          <w:rFonts w:ascii="Arial" w:cs="Arial" w:eastAsia="Arial" w:hAnsi="Arial"/>
          <w:sz w:val="17"/>
          <w:szCs w:val="17"/>
          <w:b w:val="1"/>
          <w:bCs w:val="1"/>
          <w:color w:val="auto"/>
        </w:rPr>
        <w:t xml:space="preserve">. </w:t>
      </w:r>
      <w:r>
        <w:rPr>
          <w:rFonts w:ascii="Arial" w:cs="Arial" w:eastAsia="Arial" w:hAnsi="Arial"/>
          <w:sz w:val="17"/>
          <w:szCs w:val="17"/>
          <w:color w:val="auto"/>
        </w:rPr>
        <w:t>The Restricted Units shall become vested and settled in accordance with the terms set forth on Annex A attached hereto.</w:t>
      </w:r>
    </w:p>
    <w:p>
      <w:pPr>
        <w:spacing w:after="0" w:line="236" w:lineRule="exact"/>
        <w:rPr>
          <w:rFonts w:ascii="Arial" w:cs="Arial" w:eastAsia="Arial" w:hAnsi="Arial"/>
          <w:sz w:val="17"/>
          <w:szCs w:val="17"/>
          <w:color w:val="auto"/>
        </w:rPr>
      </w:pPr>
    </w:p>
    <w:p>
      <w:pPr>
        <w:ind w:right="260" w:firstLine="656"/>
        <w:spacing w:after="0" w:line="282" w:lineRule="auto"/>
        <w:tabs>
          <w:tab w:leader="none" w:pos="1296"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shall be solely responsible for all applicable federal, state, local, and foreign taxes the Participant incurs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vesting or settlement of the Restricted Units.</w:t>
      </w:r>
    </w:p>
    <w:p>
      <w:pPr>
        <w:spacing w:after="0" w:line="161" w:lineRule="exact"/>
        <w:rPr>
          <w:rFonts w:ascii="Arial" w:cs="Arial" w:eastAsia="Arial" w:hAnsi="Arial"/>
          <w:sz w:val="18"/>
          <w:szCs w:val="18"/>
          <w:color w:val="auto"/>
        </w:rPr>
      </w:pPr>
    </w:p>
    <w:p>
      <w:pPr>
        <w:ind w:right="180" w:firstLine="656"/>
        <w:spacing w:after="0" w:line="261" w:lineRule="auto"/>
        <w:tabs>
          <w:tab w:leader="none" w:pos="1296"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No Obligation to Continue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not an agreement of consultancy. This Agreement does not guarantee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its affiliates will retain, or continue to retain, the Participant during the entire, or any portion of the, term of this Agreement, including but not limited to any period during which the Restricted Units are outstanding, nor does it modify in any respect the Company or its affiliate’s right to terminate or modify the Participant’s consultancy or compensation.</w:t>
      </w:r>
    </w:p>
    <w:p>
      <w:pPr>
        <w:spacing w:after="0" w:line="180" w:lineRule="exact"/>
        <w:rPr>
          <w:rFonts w:ascii="Arial" w:cs="Arial" w:eastAsia="Arial" w:hAnsi="Arial"/>
          <w:sz w:val="18"/>
          <w:szCs w:val="18"/>
          <w:color w:val="auto"/>
        </w:rPr>
      </w:pPr>
    </w:p>
    <w:p>
      <w:pPr>
        <w:ind w:firstLine="656"/>
        <w:spacing w:after="0" w:line="273" w:lineRule="auto"/>
        <w:tabs>
          <w:tab w:leader="none" w:pos="1296" w:val="left"/>
        </w:tabs>
        <w:numPr>
          <w:ilvl w:val="0"/>
          <w:numId w:val="12"/>
        </w:numPr>
        <w:rPr>
          <w:rFonts w:ascii="Arial" w:cs="Arial" w:eastAsia="Arial" w:hAnsi="Arial"/>
          <w:sz w:val="17"/>
          <w:szCs w:val="17"/>
          <w:color w:val="auto"/>
        </w:rPr>
      </w:pPr>
      <w:r>
        <w:rPr>
          <w:rFonts w:ascii="Arial" w:cs="Arial" w:eastAsia="Arial" w:hAnsi="Arial"/>
          <w:sz w:val="17"/>
          <w:szCs w:val="17"/>
          <w:b w:val="1"/>
          <w:bCs w:val="1"/>
          <w:u w:val="single" w:color="auto"/>
          <w:color w:val="auto"/>
        </w:rPr>
        <w:t>Power of Attorney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its successors and assigns, is hereby appointed the attorney-in-fact, with full power of substitution,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Participant for the purpose of carrying out the provisions of this Agreement and taking any action and executing any instruments which such attorney-in-fact may reasonably deem necessary or advisable to accomplish the purposes hereof, which appointment as attorney-in-fact is irrevocable and coupled with an interest. The Company, as attorney-in-fact for the Participant, may in the name and stead of the Participant, make and execute all conveyances, assignments, and transfers of the Restricted Units, Shares, and property provided for herein, and the Participant hereby ratifies and confirms all that the Company, as said attorney-in-fact, shall do by virtue hereof. Nevertheless, the Participant shall, if so requested by the Company, execute and deliver to the Company all such instruments as may, in the reasonable judgment of the Company, be advisable for the purpose.</w:t>
      </w:r>
    </w:p>
    <w:p>
      <w:pPr>
        <w:spacing w:after="0" w:line="172" w:lineRule="exact"/>
        <w:rPr>
          <w:rFonts w:ascii="Arial" w:cs="Arial" w:eastAsia="Arial" w:hAnsi="Arial"/>
          <w:sz w:val="17"/>
          <w:szCs w:val="17"/>
          <w:color w:val="auto"/>
        </w:rPr>
      </w:pPr>
    </w:p>
    <w:p>
      <w:pPr>
        <w:ind w:right="20" w:firstLine="656"/>
        <w:spacing w:after="0" w:line="261" w:lineRule="auto"/>
        <w:tabs>
          <w:tab w:leader="none" w:pos="1296"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Uncertificated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else herein, to the extent permitted under applicable law, the Company may issue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form of uncertificated shares. Such uncertificated Shares shall be credited to a book entry account maintained by the Company (or its designee) on behalf of the Participant. If thereafter certificates are issued with respect to the uncertificated Shares, such issuance and delivery of certificates shall be in accordance with the applicable terms of this Agreement.</w:t>
      </w:r>
    </w:p>
    <w:p>
      <w:pPr>
        <w:spacing w:after="0" w:line="180" w:lineRule="exact"/>
        <w:rPr>
          <w:rFonts w:ascii="Arial" w:cs="Arial" w:eastAsia="Arial" w:hAnsi="Arial"/>
          <w:sz w:val="18"/>
          <w:szCs w:val="18"/>
          <w:color w:val="auto"/>
        </w:rPr>
      </w:pPr>
    </w:p>
    <w:p>
      <w:pPr>
        <w:ind w:right="700" w:firstLine="656"/>
        <w:spacing w:after="0" w:line="282" w:lineRule="auto"/>
        <w:tabs>
          <w:tab w:leader="none" w:pos="1296"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subject to all the terms, conditions, and provisions of the Plan,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the amendment provisions thereof, and to such rules, regulations, and interpretations relating to the Plan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spacing w:after="0" w:line="257" w:lineRule="auto"/>
        <w:rPr>
          <w:sz w:val="20"/>
          <w:szCs w:val="20"/>
          <w:color w:val="auto"/>
        </w:rPr>
      </w:pPr>
      <w:r>
        <w:rPr>
          <w:rFonts w:ascii="Arial" w:cs="Arial" w:eastAsia="Arial" w:hAnsi="Arial"/>
          <w:sz w:val="18"/>
          <w:szCs w:val="18"/>
          <w:color w:val="auto"/>
        </w:rPr>
        <w:t>as may be adopted by the Committee and as may be in effect from time to time. The Plan is incorporated herein by reference. By signing and returning this Agreement, the Participant acknowledges having received and read a copy of the Plan and agrees to comply with it, this Agreement and all applicable laws and regulations. Capitalized terms in this Agreement that are not otherwise defined shall have the same meaning as set forth in the Plan. If and to the extent that this Agreement conflicts or is inconsistent with the terms, conditions and provisions of the Plan, the Plan shall control, and this Agreement shall be deemed to be modified accordingly.</w:t>
      </w:r>
    </w:p>
    <w:p>
      <w:pPr>
        <w:spacing w:after="0" w:line="184" w:lineRule="exact"/>
        <w:rPr>
          <w:sz w:val="20"/>
          <w:szCs w:val="20"/>
          <w:color w:val="auto"/>
        </w:rPr>
      </w:pPr>
    </w:p>
    <w:p>
      <w:pPr>
        <w:ind w:firstLine="656"/>
        <w:spacing w:after="0" w:line="282" w:lineRule="auto"/>
        <w:tabs>
          <w:tab w:leader="none" w:pos="1296"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color w:val="auto"/>
        </w:rPr>
        <w:t>. The Company shall make any adjustments to the Restricted Units upon any changes in capital structure of the Company,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Committee in good faith and in a manner consistent with the Plan.</w:t>
      </w:r>
    </w:p>
    <w:p>
      <w:pPr>
        <w:spacing w:after="0" w:line="161" w:lineRule="exact"/>
        <w:rPr>
          <w:rFonts w:ascii="Arial" w:cs="Arial" w:eastAsia="Arial" w:hAnsi="Arial"/>
          <w:sz w:val="18"/>
          <w:szCs w:val="18"/>
          <w:color w:val="auto"/>
        </w:rPr>
      </w:pPr>
    </w:p>
    <w:p>
      <w:pPr>
        <w:ind w:right="180" w:firstLine="656"/>
        <w:spacing w:after="0" w:line="266" w:lineRule="auto"/>
        <w:tabs>
          <w:tab w:leader="none" w:pos="1296"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or communication given hereunder (each a “</w:t>
      </w:r>
      <w:r>
        <w:rPr>
          <w:rFonts w:ascii="Arial" w:cs="Arial" w:eastAsia="Arial" w:hAnsi="Arial"/>
          <w:sz w:val="18"/>
          <w:szCs w:val="18"/>
          <w:b w:val="1"/>
          <w:bCs w:val="1"/>
          <w:color w:val="auto"/>
        </w:rPr>
        <w:t>Notice</w:t>
      </w:r>
      <w:r>
        <w:rPr>
          <w:rFonts w:ascii="Arial" w:cs="Arial" w:eastAsia="Arial" w:hAnsi="Arial"/>
          <w:sz w:val="18"/>
          <w:szCs w:val="18"/>
          <w:color w:val="auto"/>
        </w:rPr>
        <w:t>”) shall be in writing and shall be sent by personal delivery, by</w:t>
      </w:r>
      <w:r>
        <w:rPr>
          <w:rFonts w:ascii="Arial" w:cs="Arial" w:eastAsia="Arial" w:hAnsi="Arial"/>
          <w:sz w:val="18"/>
          <w:szCs w:val="18"/>
          <w:b w:val="1"/>
          <w:bCs w:val="1"/>
          <w:color w:val="auto"/>
        </w:rPr>
        <w:t xml:space="preserve"> </w:t>
      </w:r>
      <w:r>
        <w:rPr>
          <w:rFonts w:ascii="Arial" w:cs="Arial" w:eastAsia="Arial" w:hAnsi="Arial"/>
          <w:sz w:val="18"/>
          <w:szCs w:val="18"/>
          <w:color w:val="auto"/>
        </w:rPr>
        <w:t>courier or by United States mail (registered or certified mail, postage prepaid and return receipt requested), to the appropriate party at the address set forth below:</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Take-Two Interactive Software, Inc.</w:t>
      </w:r>
    </w:p>
    <w:p>
      <w:pPr>
        <w:ind w:left="1300"/>
        <w:spacing w:after="0" w:line="218" w:lineRule="auto"/>
        <w:rPr>
          <w:sz w:val="20"/>
          <w:szCs w:val="20"/>
          <w:color w:val="auto"/>
        </w:rPr>
      </w:pPr>
      <w:r>
        <w:rPr>
          <w:rFonts w:ascii="Arial" w:cs="Arial" w:eastAsia="Arial" w:hAnsi="Arial"/>
          <w:sz w:val="18"/>
          <w:szCs w:val="18"/>
          <w:color w:val="auto"/>
        </w:rPr>
        <w:t>110 West 44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(646) 536-2842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Participant,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ZelnickMedia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110 East 59th Street, 24th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(212) 223-1383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Strauss Zelnick</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or such other address or to the attention of such other person as a party shall have specified by prior Notice to the other party. Each Notice will be deemed given and effective upon actual receipt (or refusal of receipt).</w:t>
      </w:r>
    </w:p>
    <w:p>
      <w:pPr>
        <w:spacing w:after="0" w:line="166" w:lineRule="exact"/>
        <w:rPr>
          <w:sz w:val="20"/>
          <w:szCs w:val="20"/>
          <w:color w:val="auto"/>
        </w:rPr>
      </w:pPr>
    </w:p>
    <w:p>
      <w:pPr>
        <w:ind w:right="480" w:firstLine="656"/>
        <w:spacing w:after="0" w:line="261" w:lineRule="auto"/>
        <w:tabs>
          <w:tab w:leader="none" w:pos="1292"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All questions concerning the construction, validity, and interpretation of this Agreement will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in accordance with, the domestic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180" w:lineRule="exact"/>
        <w:rPr>
          <w:rFonts w:ascii="Arial" w:cs="Arial" w:eastAsia="Arial" w:hAnsi="Arial"/>
          <w:sz w:val="18"/>
          <w:szCs w:val="18"/>
          <w:color w:val="auto"/>
        </w:rPr>
      </w:pPr>
    </w:p>
    <w:p>
      <w:pPr>
        <w:ind w:right="40" w:firstLine="656"/>
        <w:spacing w:after="0" w:line="266" w:lineRule="auto"/>
        <w:tabs>
          <w:tab w:leader="none" w:pos="1285"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Consent to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in the Plan to the contrary, in the event of any dispute, controversy, or claim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any affiliate and the Participant in any way concerning, arising out of or relating to the Plan or this Agreement (a “</w:t>
      </w:r>
      <w:r>
        <w:rPr>
          <w:rFonts w:ascii="Arial" w:cs="Arial" w:eastAsia="Arial" w:hAnsi="Arial"/>
          <w:sz w:val="18"/>
          <w:szCs w:val="18"/>
          <w:b w:val="1"/>
          <w:bCs w:val="1"/>
          <w:color w:val="auto"/>
        </w:rPr>
        <w:t>Dispute</w:t>
      </w:r>
      <w:r>
        <w:rPr>
          <w:rFonts w:ascii="Arial" w:cs="Arial" w:eastAsia="Arial" w:hAnsi="Arial"/>
          <w:sz w:val="18"/>
          <w:szCs w:val="18"/>
          <w:color w:val="auto"/>
        </w:rPr>
        <w:t>”), including without limitation any Dispute concerning, arising out of, or relating to the</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18" w:name="page19"/>
    <w:bookmarkEnd w:id="18"/>
    <w:p>
      <w:pPr>
        <w:spacing w:after="0" w:line="268" w:lineRule="auto"/>
        <w:rPr>
          <w:sz w:val="20"/>
          <w:szCs w:val="20"/>
          <w:color w:val="auto"/>
        </w:rPr>
      </w:pPr>
      <w:r>
        <w:rPr>
          <w:rFonts w:ascii="Arial" w:cs="Arial" w:eastAsia="Arial" w:hAnsi="Arial"/>
          <w:sz w:val="17"/>
          <w:szCs w:val="17"/>
          <w:color w:val="auto"/>
        </w:rPr>
        <w:t>interpretation, application, or enforcement of the Plan or this Agreement, the parties hereby (a) agree and consent to the personal jurisdiction of the courts of the State of New York located in New York County and/or the Federal Courts of the United States of America located in the Southern District of New York (collectively, the “</w:t>
      </w:r>
      <w:r>
        <w:rPr>
          <w:rFonts w:ascii="Arial" w:cs="Arial" w:eastAsia="Arial" w:hAnsi="Arial"/>
          <w:sz w:val="17"/>
          <w:szCs w:val="17"/>
          <w:b w:val="1"/>
          <w:bCs w:val="1"/>
          <w:color w:val="auto"/>
        </w:rPr>
        <w:t>Agreed Venue</w:t>
      </w:r>
      <w:r>
        <w:rPr>
          <w:rFonts w:ascii="Arial" w:cs="Arial" w:eastAsia="Arial" w:hAnsi="Arial"/>
          <w:sz w:val="17"/>
          <w:szCs w:val="17"/>
          <w:color w:val="auto"/>
        </w:rPr>
        <w:t>”) for resolution of any such Dispute, (b) agree that those courts in the Agreed Venue, and only those courts, shall have exclusive jurisdiction to determine any Dispute, including any appeal, and (c) agree that any cause of action arising out of this Agreement shall be deemed to have arisen from a transaction of business in the State of New York. The parties also hereby irrevocably (i) submit to the jurisdiction of any competent court in the Agreed Venue (and of the appropriate appellate courts therefrom), (ii) to the fullest extent permitted by law, waive any and all defenses the parties may have on the grounds of lack of jurisdiction of any such court and any other objection that such parties may now or hereafter have to the laying of the venue of any such suit, action, or proceeding in any such court (including without limitation any defense that any such suit, action, or proceeding brought in any such court has been brought in an inconvenient forum), and (iii) consent to service of process in any such suit, action, or proceeding anywhere in the world, whether within or without the jurisdiction of any such court, in any manner provided by applicable law. Without limiting the foregoing, each party agrees that service of process on such party pursuant to a Notice as provided in Section 9 hereof shall be deemed effective service of process on such party. Any action for enforcement or recognition of any judgment obtained in connection with a Dispute may be enforced in any competent court in the Agreed Venue or in any other court of competent jurisdiction.</w:t>
      </w:r>
    </w:p>
    <w:p>
      <w:pPr>
        <w:spacing w:after="0" w:line="184" w:lineRule="exact"/>
        <w:rPr>
          <w:sz w:val="20"/>
          <w:szCs w:val="20"/>
          <w:color w:val="auto"/>
        </w:rPr>
      </w:pPr>
    </w:p>
    <w:p>
      <w:pPr>
        <w:ind w:right="380" w:firstLine="656"/>
        <w:spacing w:after="0" w:line="282" w:lineRule="auto"/>
        <w:tabs>
          <w:tab w:leader="none" w:pos="1292"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(including by facsimile transmission) with counterpart signature pages or in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shall be an original and all of which taken together shall constitute one and the same agreement.</w:t>
      </w:r>
    </w:p>
    <w:p>
      <w:pPr>
        <w:spacing w:after="0" w:line="161" w:lineRule="exact"/>
        <w:rPr>
          <w:rFonts w:ascii="Arial" w:cs="Arial" w:eastAsia="Arial" w:hAnsi="Arial"/>
          <w:sz w:val="18"/>
          <w:szCs w:val="18"/>
          <w:color w:val="auto"/>
        </w:rPr>
      </w:pPr>
    </w:p>
    <w:p>
      <w:pPr>
        <w:ind w:firstLine="656"/>
        <w:spacing w:after="0" w:line="261" w:lineRule="auto"/>
        <w:tabs>
          <w:tab w:leader="none" w:pos="1292"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subject to the terms of the Plan, at any time and from time to time amend, in whole or in part, any or all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provisions of this Agreement, and may also suspend or terminate this Agreement, subject to the terms of the Plan. Except as otherwise provided in the Plan, no modification or waiver of any of the provisions of this Agreement shall be effective unless in writing by the party against whom it is sought to be enforced.</w:t>
      </w:r>
    </w:p>
    <w:p>
      <w:pPr>
        <w:spacing w:after="0" w:line="18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1940" w:hanging="635"/>
        <w:spacing w:after="0"/>
        <w:tabs>
          <w:tab w:leader="none" w:pos="19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This Agreement shall inure to the benefit of and be binding upon the parties hereto and their respective heirs, legal representatives,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successors, and assigns.</w:t>
      </w:r>
    </w:p>
    <w:p>
      <w:pPr>
        <w:spacing w:after="0" w:line="210" w:lineRule="exact"/>
        <w:rPr>
          <w:rFonts w:ascii="Arial" w:cs="Arial" w:eastAsia="Arial" w:hAnsi="Arial"/>
          <w:sz w:val="16"/>
          <w:szCs w:val="16"/>
          <w:color w:val="auto"/>
        </w:rPr>
      </w:pPr>
    </w:p>
    <w:p>
      <w:pPr>
        <w:ind w:right="440" w:firstLine="1305"/>
        <w:spacing w:after="0" w:line="342" w:lineRule="auto"/>
        <w:tabs>
          <w:tab w:leader="none" w:pos="1952"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This Agreement, the Plan, and the Management Agreement contain the entire understanding of the parties with respect to the subject matter hereof and supersedes any prior agreements between the Company and the Participant with respect to the subject matter hereof.</w:t>
      </w:r>
    </w:p>
    <w:p>
      <w:pPr>
        <w:spacing w:after="0" w:line="123" w:lineRule="exact"/>
        <w:rPr>
          <w:rFonts w:ascii="Arial" w:cs="Arial" w:eastAsia="Arial" w:hAnsi="Arial"/>
          <w:sz w:val="16"/>
          <w:szCs w:val="16"/>
          <w:color w:val="auto"/>
        </w:rPr>
      </w:pPr>
    </w:p>
    <w:p>
      <w:pPr>
        <w:ind w:right="240" w:firstLine="1305"/>
        <w:spacing w:after="0" w:line="277" w:lineRule="auto"/>
        <w:tabs>
          <w:tab w:leader="none" w:pos="19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failure of any party hereto at any time to require performance by another party of any provision of this Agreement shall not affect the right of such party to require performance of that provision, and any waiver by any party of any breach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 w:name="page20"/>
    <w:bookmarkEnd w:id="19"/>
    <w:p>
      <w:pPr>
        <w:ind w:right="280"/>
        <w:spacing w:after="0" w:line="277" w:lineRule="auto"/>
        <w:rPr>
          <w:sz w:val="20"/>
          <w:szCs w:val="20"/>
          <w:color w:val="auto"/>
        </w:rPr>
      </w:pPr>
      <w:r>
        <w:rPr>
          <w:rFonts w:ascii="Arial" w:cs="Arial" w:eastAsia="Arial" w:hAnsi="Arial"/>
          <w:sz w:val="18"/>
          <w:szCs w:val="18"/>
          <w:color w:val="auto"/>
        </w:rPr>
        <w:t>of any provision of this Agreement shall not be construed as a waiver of any continuing or succeeding breach of such provision, a waiver of the provision itself, or a waiver of any right under this Agreement.</w:t>
      </w:r>
    </w:p>
    <w:p>
      <w:pPr>
        <w:spacing w:after="0" w:line="170" w:lineRule="exact"/>
        <w:rPr>
          <w:sz w:val="20"/>
          <w:szCs w:val="20"/>
          <w:color w:val="auto"/>
        </w:rPr>
      </w:pPr>
    </w:p>
    <w:p>
      <w:pPr>
        <w:ind w:firstLine="1305"/>
        <w:spacing w:after="0" w:line="272" w:lineRule="auto"/>
        <w:tabs>
          <w:tab w:leader="none" w:pos="1952"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Although the Company makes no guarantee with respect to the tax treatment of the Restricted Units, the Company intends that the Restricted Units shall not constitute “nonqualified deferred compensation” subject to Section 409A of the Internal Revenue Code of 1986, as amended, and any successor provision or any Treasury Regulation promulgated thereunder (“</w:t>
      </w:r>
      <w:r>
        <w:rPr>
          <w:rFonts w:ascii="Arial" w:cs="Arial" w:eastAsia="Arial" w:hAnsi="Arial"/>
          <w:sz w:val="17"/>
          <w:szCs w:val="17"/>
          <w:b w:val="1"/>
          <w:bCs w:val="1"/>
          <w:color w:val="auto"/>
        </w:rPr>
        <w:t>Section 409A</w:t>
      </w:r>
      <w:r>
        <w:rPr>
          <w:rFonts w:ascii="Arial" w:cs="Arial" w:eastAsia="Arial" w:hAnsi="Arial"/>
          <w:sz w:val="17"/>
          <w:szCs w:val="17"/>
          <w:color w:val="auto"/>
        </w:rPr>
        <w:t>”) and this Agreement shall be interpreted, administered and construed consistent with such intent. If, and only to the extent that, (i) the Restricted Units constitute “deferred compensation” within the meaning of Section 409A and (ii) the Participant is deemed to be a “specified employee” (as such term is defined in Section 409A and as determined by the Company), the payment of Restricted Units on termination of the Management Agreement shall not be made until the first business day of the seventh month following such termination or, if earlier, the date of the Participant’s death.</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[End of text. Signature page follows.]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IN WITNESS WHEREOF, the parties have executed this Agreement on the date and year first above written.</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TAKE-TWO INTERACTIVE SOFTWARE, INC.</w:t>
      </w:r>
    </w:p>
    <w:p>
      <w:pPr>
        <w:spacing w:after="0" w:line="229"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Daniel P. Emerson</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Daniel P.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EVP and General Counsel</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PARTICIPANT</w:t>
      </w:r>
      <w:r>
        <w:rPr>
          <w:rFonts w:ascii="Arial" w:cs="Arial" w:eastAsia="Arial" w:hAnsi="Arial"/>
          <w:sz w:val="18"/>
          <w:szCs w:val="18"/>
          <w:b w:val="1"/>
          <w:bCs w:val="1"/>
          <w:color w:val="auto"/>
        </w:rPr>
        <w:t>:</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ZELNICKMEDIA CORPORATION</w:t>
      </w:r>
    </w:p>
    <w:p>
      <w:pPr>
        <w:spacing w:after="0" w:line="229"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Karl Slatoff</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Karl Slatoff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Partner</w:t>
      </w:r>
    </w:p>
    <w:p>
      <w:pPr>
        <w:spacing w:after="0" w:line="21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59"/>
          </w:cols>
          <w:pgMar w:left="900" w:top="341" w:right="1440"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u w:val="single" w:color="auto"/>
          <w:color w:val="auto"/>
        </w:rPr>
        <w:t>Annex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Time Based Vesting</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Subject to Section C, 91,543 of the Restricted Units (the “</w:t>
      </w:r>
      <w:r>
        <w:rPr>
          <w:rFonts w:ascii="Arial" w:cs="Arial" w:eastAsia="Arial" w:hAnsi="Arial"/>
          <w:sz w:val="17"/>
          <w:szCs w:val="17"/>
          <w:b w:val="1"/>
          <w:bCs w:val="1"/>
          <w:color w:val="auto"/>
        </w:rPr>
        <w:t>Time-Based Units</w:t>
      </w:r>
      <w:r>
        <w:rPr>
          <w:rFonts w:ascii="Arial" w:cs="Arial" w:eastAsia="Arial" w:hAnsi="Arial"/>
          <w:sz w:val="17"/>
          <w:szCs w:val="17"/>
          <w:color w:val="auto"/>
        </w:rPr>
        <w:t>”) shall become vested on April 13, 2021 (the “</w:t>
      </w:r>
      <w:r>
        <w:rPr>
          <w:rFonts w:ascii="Arial" w:cs="Arial" w:eastAsia="Arial" w:hAnsi="Arial"/>
          <w:sz w:val="17"/>
          <w:szCs w:val="17"/>
          <w:b w:val="1"/>
          <w:bCs w:val="1"/>
          <w:color w:val="auto"/>
        </w:rPr>
        <w:t>Vesting Date</w:t>
      </w:r>
      <w:r>
        <w:rPr>
          <w:rFonts w:ascii="Arial" w:cs="Arial" w:eastAsia="Arial" w:hAnsi="Arial"/>
          <w:sz w:val="17"/>
          <w:szCs w:val="17"/>
          <w:color w:val="auto"/>
        </w:rPr>
        <w:t>”).</w:t>
      </w:r>
    </w:p>
    <w:p>
      <w:pPr>
        <w:spacing w:after="0" w:line="240"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Performance Based Vesting</w:t>
      </w:r>
      <w:r>
        <w:rPr>
          <w:rFonts w:ascii="Arial" w:cs="Arial" w:eastAsia="Arial" w:hAnsi="Arial"/>
          <w:sz w:val="18"/>
          <w:szCs w:val="18"/>
          <w:color w:val="auto"/>
        </w:rPr>
        <w:t>.</w:t>
      </w:r>
    </w:p>
    <w:p>
      <w:pPr>
        <w:spacing w:after="0" w:line="221" w:lineRule="exact"/>
        <w:rPr>
          <w:sz w:val="20"/>
          <w:szCs w:val="20"/>
          <w:color w:val="auto"/>
        </w:rPr>
      </w:pPr>
    </w:p>
    <w:p>
      <w:pPr>
        <w:ind w:right="380" w:firstLine="648"/>
        <w:spacing w:after="0" w:line="261" w:lineRule="auto"/>
        <w:rPr>
          <w:sz w:val="20"/>
          <w:szCs w:val="20"/>
          <w:color w:val="auto"/>
        </w:rPr>
      </w:pPr>
      <w:r>
        <w:rPr>
          <w:rFonts w:ascii="Arial" w:cs="Arial" w:eastAsia="Arial" w:hAnsi="Arial"/>
          <w:sz w:val="18"/>
          <w:szCs w:val="18"/>
          <w:color w:val="auto"/>
        </w:rPr>
        <w:t>Subject to Section C, certain of the Restricted Units shall be subject to performance-based vesting in accordance with Section (B)(i) (the “</w:t>
      </w:r>
      <w:r>
        <w:rPr>
          <w:rFonts w:ascii="Arial" w:cs="Arial" w:eastAsia="Arial" w:hAnsi="Arial"/>
          <w:sz w:val="18"/>
          <w:szCs w:val="18"/>
          <w:b w:val="1"/>
          <w:bCs w:val="1"/>
          <w:color w:val="auto"/>
        </w:rPr>
        <w:t>TSR</w:t>
      </w:r>
      <w:r>
        <w:rPr>
          <w:rFonts w:ascii="Arial" w:cs="Arial" w:eastAsia="Arial" w:hAnsi="Arial"/>
          <w:sz w:val="18"/>
          <w:szCs w:val="18"/>
          <w:color w:val="auto"/>
        </w:rPr>
        <w:t xml:space="preserve"> </w:t>
      </w:r>
      <w:r>
        <w:rPr>
          <w:rFonts w:ascii="Arial" w:cs="Arial" w:eastAsia="Arial" w:hAnsi="Arial"/>
          <w:sz w:val="18"/>
          <w:szCs w:val="18"/>
          <w:b w:val="1"/>
          <w:bCs w:val="1"/>
          <w:color w:val="auto"/>
        </w:rPr>
        <w:t>Performance-Based Units</w:t>
      </w:r>
      <w:r>
        <w:rPr>
          <w:rFonts w:ascii="Arial" w:cs="Arial" w:eastAsia="Arial" w:hAnsi="Arial"/>
          <w:sz w:val="18"/>
          <w:szCs w:val="18"/>
          <w:color w:val="auto"/>
        </w:rPr>
        <w:t>”), Section (B)(ii) (the “</w:t>
      </w:r>
      <w:r>
        <w:rPr>
          <w:rFonts w:ascii="Arial" w:cs="Arial" w:eastAsia="Arial" w:hAnsi="Arial"/>
          <w:sz w:val="18"/>
          <w:szCs w:val="18"/>
          <w:b w:val="1"/>
          <w:bCs w:val="1"/>
          <w:color w:val="auto"/>
        </w:rPr>
        <w:t>Recurrent Consumer Spending Performance-Based Units</w:t>
      </w:r>
      <w:r>
        <w:rPr>
          <w:rFonts w:ascii="Arial" w:cs="Arial" w:eastAsia="Arial" w:hAnsi="Arial"/>
          <w:sz w:val="18"/>
          <w:szCs w:val="18"/>
          <w:color w:val="auto"/>
        </w:rPr>
        <w:t>”), and Section (B)(iii) (the “</w:t>
      </w:r>
      <w:r>
        <w:rPr>
          <w:rFonts w:ascii="Arial" w:cs="Arial" w:eastAsia="Arial" w:hAnsi="Arial"/>
          <w:sz w:val="18"/>
          <w:szCs w:val="18"/>
          <w:b w:val="1"/>
          <w:bCs w:val="1"/>
          <w:color w:val="auto"/>
        </w:rPr>
        <w:t>IP Performance-Based Units</w:t>
      </w:r>
      <w:r>
        <w:rPr>
          <w:rFonts w:ascii="Arial" w:cs="Arial" w:eastAsia="Arial" w:hAnsi="Arial"/>
          <w:sz w:val="18"/>
          <w:szCs w:val="18"/>
          <w:color w:val="auto"/>
        </w:rPr>
        <w:t>,” and together with the TSR Performance-Based Units and the Recurrent Consumer Spending Performance-Based Units,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Performance-Based Units</w:t>
      </w:r>
      <w:r>
        <w:rPr>
          <w:rFonts w:ascii="Arial" w:cs="Arial" w:eastAsia="Arial" w:hAnsi="Arial"/>
          <w:sz w:val="18"/>
          <w:szCs w:val="18"/>
          <w:color w:val="auto"/>
        </w:rPr>
        <w:t>”).</w:t>
      </w:r>
    </w:p>
    <w:p>
      <w:pPr>
        <w:spacing w:after="0" w:line="184" w:lineRule="exact"/>
        <w:rPr>
          <w:sz w:val="20"/>
          <w:szCs w:val="20"/>
          <w:color w:val="auto"/>
        </w:rPr>
      </w:pPr>
    </w:p>
    <w:p>
      <w:pPr>
        <w:ind w:right="200" w:firstLine="656"/>
        <w:spacing w:after="0" w:line="257" w:lineRule="auto"/>
        <w:tabs>
          <w:tab w:leader="none" w:pos="131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TSR Performance-Based Units</w:t>
      </w:r>
      <w:r>
        <w:rPr>
          <w:rFonts w:ascii="Arial" w:cs="Arial" w:eastAsia="Arial" w:hAnsi="Arial"/>
          <w:sz w:val="18"/>
          <w:szCs w:val="18"/>
          <w:color w:val="auto"/>
        </w:rPr>
        <w:t xml:space="preserve">. The target number of TSR Performance-Based Units that shall be eligible to vest pursuant to this Section B(i) shall be 83,915, and the maximum number of TSR Performance-Based Units that shall be eligible to vest pursuant to this Section B(i) shall be 167,830. Subject to Section C, on the Vesting Date, a number of TSR Performance-Based Units shall become vested equal to the product of (x) the target number of TSR Performance-Based Units eligible to vest pursuant to this Section B(i)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(y) the TSR Vesting Percentage as of March 31, 2021, rounded down to the nearest whole TSR Performance-Based Unit.</w:t>
      </w:r>
    </w:p>
    <w:p>
      <w:pPr>
        <w:spacing w:after="0" w:line="188" w:lineRule="exact"/>
        <w:rPr>
          <w:rFonts w:ascii="Arial" w:cs="Arial" w:eastAsia="Arial" w:hAnsi="Arial"/>
          <w:sz w:val="18"/>
          <w:szCs w:val="18"/>
          <w:color w:val="auto"/>
        </w:rPr>
      </w:pPr>
    </w:p>
    <w:p>
      <w:pPr>
        <w:ind w:right="100" w:firstLine="656"/>
        <w:spacing w:after="0" w:line="273" w:lineRule="auto"/>
        <w:tabs>
          <w:tab w:leader="none" w:pos="1327"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Recurrent Consumer Spending Performance-Based Units</w:t>
      </w:r>
      <w:r>
        <w:rPr>
          <w:rFonts w:ascii="Arial" w:cs="Arial" w:eastAsia="Arial" w:hAnsi="Arial"/>
          <w:sz w:val="17"/>
          <w:szCs w:val="17"/>
          <w:color w:val="auto"/>
        </w:rPr>
        <w:t xml:space="preserve">. The target number of Recurrent Consumer Spending Performance-Based Units that shall be eligible to vest pursuant to this Section B(ii) shall be 13,986, and the maximum number of Recurrent Consumer Spending Performance-Based Units that shall be eligible to vest pursuant to this Section B(ii) shall be 27,972 Subject to Section C, on the Vesting Date, a number of Recurrent Consumer Spending Performance-Based Units shall become vested equal to the product of (x) the target number of Recurrent Consumer Spending Performance-Based Units in such vesting tranche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(y) the Recurrent Consumer Spending Vesting Percentage as of March 31, 2021, rounded down to the nearest whole Recurrent Consumer Spending Performance-Based Unit.</w:t>
      </w:r>
    </w:p>
    <w:p>
      <w:pPr>
        <w:spacing w:after="0" w:line="178" w:lineRule="exact"/>
        <w:rPr>
          <w:rFonts w:ascii="Arial" w:cs="Arial" w:eastAsia="Arial" w:hAnsi="Arial"/>
          <w:sz w:val="17"/>
          <w:szCs w:val="17"/>
          <w:color w:val="auto"/>
        </w:rPr>
      </w:pPr>
    </w:p>
    <w:p>
      <w:pPr>
        <w:ind w:left="1340" w:hanging="684"/>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IP Performance-Based Units</w:t>
      </w:r>
      <w:r>
        <w:rPr>
          <w:rFonts w:ascii="Arial" w:cs="Arial" w:eastAsia="Arial" w:hAnsi="Arial"/>
          <w:sz w:val="18"/>
          <w:szCs w:val="18"/>
          <w:color w:val="auto"/>
        </w:rPr>
        <w:t>. The target number of IP Performance-Based Units that shall be eligible to vest pursuant to this</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Section B(iii) shall be 13,985, and the maximum number of IP Performance-Based Units that shall be eligible to vest pursuant to this Section B(iii) shall be 27,970. Subject to Section C, on the Vesting Date, a number of IP Performance-Based Units shall become vested equal to the product of (x) the target number of IP Performance-Based Units in such vesting tranche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(y) the IP Vesting Percentage on March 31, 2021, rounded down to the nearest whole IP Performance-Based Unit.</w:t>
      </w:r>
    </w:p>
    <w:p>
      <w:pPr>
        <w:spacing w:after="0" w:line="19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Qualifying Termination; 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656"/>
        <w:spacing w:after="0" w:line="277" w:lineRule="auto"/>
        <w:tabs>
          <w:tab w:leader="none" w:pos="1318"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In the event of a Qualifying Termination prior to the earlier of (x) the Vesting Date or (y) a Change in Control (as defined in the Management Agreement): (a) the effective date of such Qualifying Termination shall serve as the vesting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2" w:name="page23"/>
    <w:bookmarkEnd w:id="22"/>
    <w:p>
      <w:pPr>
        <w:ind w:right="40"/>
        <w:spacing w:after="0" w:line="272" w:lineRule="auto"/>
        <w:rPr>
          <w:sz w:val="20"/>
          <w:szCs w:val="20"/>
          <w:color w:val="auto"/>
        </w:rPr>
      </w:pPr>
      <w:r>
        <w:rPr>
          <w:rFonts w:ascii="Arial" w:cs="Arial" w:eastAsia="Arial" w:hAnsi="Arial"/>
          <w:sz w:val="17"/>
          <w:szCs w:val="17"/>
          <w:color w:val="auto"/>
        </w:rPr>
        <w:t>date for all Time-Based Units hereunder, and all such Time-Based Units shall vest as of such date; (b) the effective date of such Qualifying Termination shall serve as the vesting date for all TSR Performance-Based Units hereunder and the given date for purposes of the Measurement Price, and the number of such TSR Performance-Based Units that shall vest as of such date shall be calculated in accordance with Section B(i) above based upon the Percentile Rank through the effective date of such Qualifying Termination; and (c) the effective date of such Qualifying Termination shall serve as the vesting date for all Recurrent Consumer Spending Performance-Based Units and IP Performance-Based Units hereunder, and the target number of such Recurrent Consumer Spending Performance-Based Units and IP Performance-Based Units (as set forth in Sections B(ii) and B(iii), as applicable) shall vest as of such date without regard to the application of the Applicable Vesting Percentage.</w:t>
      </w:r>
    </w:p>
    <w:p>
      <w:pPr>
        <w:spacing w:after="0" w:line="178" w:lineRule="exact"/>
        <w:rPr>
          <w:sz w:val="20"/>
          <w:szCs w:val="20"/>
          <w:color w:val="auto"/>
        </w:rPr>
      </w:pPr>
    </w:p>
    <w:p>
      <w:pPr>
        <w:ind w:left="1340" w:hanging="684"/>
        <w:spacing w:after="0"/>
        <w:tabs>
          <w:tab w:leader="none" w:pos="1340"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If a Change in Control occurs while the Management Agreement remains in effect, in any case prior to the earlier of</w:t>
      </w:r>
    </w:p>
    <w:p>
      <w:pPr>
        <w:spacing w:after="0" w:line="46" w:lineRule="exact"/>
        <w:rPr>
          <w:rFonts w:ascii="Arial" w:cs="Arial" w:eastAsia="Arial" w:hAnsi="Arial"/>
          <w:sz w:val="16"/>
          <w:szCs w:val="16"/>
          <w:color w:val="auto"/>
        </w:rPr>
      </w:pPr>
    </w:p>
    <w:p>
      <w:pPr>
        <w:ind w:firstLine="8"/>
        <w:spacing w:after="0" w:line="268"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Vesting Date or (y) a Qualifying Termination, all Time-Based Units and the target number of Performance-Based Units (as set forth in Sections B(i), B(ii) and B(iii), as applicable) shall remain eligible to vest and shall vest (without regard to the application of the Applicable Vesting Percentage, in the case of Performance-Based Units), in each case, as of the earlier of (a) a Qualifying Termination or (b) the Vesting Date. Each Restricted Unit that remains eligible to vest following a Change in Control pursuant to the foregoing sentence shall be referred to as a “</w:t>
      </w:r>
      <w:r>
        <w:rPr>
          <w:rFonts w:ascii="Arial" w:cs="Arial" w:eastAsia="Arial" w:hAnsi="Arial"/>
          <w:sz w:val="17"/>
          <w:szCs w:val="17"/>
          <w:b w:val="1"/>
          <w:bCs w:val="1"/>
          <w:color w:val="auto"/>
        </w:rPr>
        <w:t>Vesting-Eligible Unit</w:t>
      </w:r>
      <w:r>
        <w:rPr>
          <w:rFonts w:ascii="Arial" w:cs="Arial" w:eastAsia="Arial" w:hAnsi="Arial"/>
          <w:sz w:val="17"/>
          <w:szCs w:val="17"/>
          <w:color w:val="auto"/>
        </w:rPr>
        <w:t>.” Upon the occurrence of a Change in Control, each Vesting-Eligible Unit shall be converted into an amount in cash equal to the Market Value of the consideration payable in the Change in Control in respect of each such Vesting-Eligible Unit, and such consideration shall be paid to the Participant promptly following the satisfaction of the vesting conditions set forth in this Section C(ii) (</w:t>
      </w:r>
      <w:r>
        <w:rPr>
          <w:rFonts w:ascii="Arial" w:cs="Arial" w:eastAsia="Arial" w:hAnsi="Arial"/>
          <w:sz w:val="17"/>
          <w:szCs w:val="17"/>
          <w:u w:val="single" w:color="auto"/>
          <w:color w:val="auto"/>
        </w:rPr>
        <w:t>i.e.</w:t>
      </w:r>
      <w:r>
        <w:rPr>
          <w:rFonts w:ascii="Arial" w:cs="Arial" w:eastAsia="Arial" w:hAnsi="Arial"/>
          <w:sz w:val="17"/>
          <w:szCs w:val="17"/>
          <w:color w:val="auto"/>
        </w:rPr>
        <w:t>, in full on the Vesting Date, or if earlier, upon a Qualifying Termination), and shall automatically be forfeited and shall revert back to the Company if such vesting conditions are not satisfied.</w:t>
      </w:r>
    </w:p>
    <w:p>
      <w:pPr>
        <w:spacing w:after="0" w:line="184"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60" w:firstLine="656"/>
        <w:spacing w:after="0" w:line="277" w:lineRule="auto"/>
        <w:tabs>
          <w:tab w:leader="none" w:pos="131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Restricted Units that have not vested as of the termination of the Management Agreement for any reason other than a Qualifying Termination shall automatically be forfeited and shall revert back to the Company without compensation to the Participant.</w:t>
      </w:r>
    </w:p>
    <w:p>
      <w:pPr>
        <w:spacing w:after="0" w:line="170" w:lineRule="exact"/>
        <w:rPr>
          <w:rFonts w:ascii="Arial" w:cs="Arial" w:eastAsia="Arial" w:hAnsi="Arial"/>
          <w:sz w:val="18"/>
          <w:szCs w:val="18"/>
          <w:color w:val="auto"/>
        </w:rPr>
      </w:pPr>
    </w:p>
    <w:p>
      <w:pPr>
        <w:ind w:firstLine="656"/>
        <w:spacing w:after="0" w:line="259" w:lineRule="auto"/>
        <w:tabs>
          <w:tab w:leader="none" w:pos="132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Performance-Based Units that (x) have not vested as of the earlier of (a) the Vesting Date or (b) the effective date of a Qualifying Termination, or (y) do not become Vesting-Eligible Units upon the occurrence of a Change in Control (</w:t>
      </w:r>
      <w:r>
        <w:rPr>
          <w:rFonts w:ascii="Arial" w:cs="Arial" w:eastAsia="Arial" w:hAnsi="Arial"/>
          <w:sz w:val="18"/>
          <w:szCs w:val="18"/>
          <w:u w:val="single" w:color="auto"/>
          <w:color w:val="auto"/>
        </w:rPr>
        <w:t>i.e.</w:t>
      </w:r>
      <w:r>
        <w:rPr>
          <w:rFonts w:ascii="Arial" w:cs="Arial" w:eastAsia="Arial" w:hAnsi="Arial"/>
          <w:sz w:val="18"/>
          <w:szCs w:val="18"/>
          <w:color w:val="auto"/>
        </w:rPr>
        <w:t>, any Performance-Based Units above the target numbers set forth in Sections B(i), B(ii) and B(iii), as applicable), shall automatically be forfeited and shall revert back to the Company without compensation to the Participant.</w:t>
      </w:r>
    </w:p>
    <w:p>
      <w:pPr>
        <w:spacing w:after="0" w:line="186" w:lineRule="exact"/>
        <w:rPr>
          <w:rFonts w:ascii="Arial" w:cs="Arial" w:eastAsia="Arial" w:hAnsi="Arial"/>
          <w:sz w:val="18"/>
          <w:szCs w:val="18"/>
          <w:color w:val="auto"/>
        </w:rPr>
      </w:pPr>
    </w:p>
    <w:p>
      <w:pPr>
        <w:ind w:right="40" w:firstLine="8"/>
        <w:spacing w:after="0" w:line="25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Subject to the last sentence of Section C(ii), upon vesting pursuant to Sections A, B, and C, the Company shall deliver to the Participant an amount in cash having a value equal to the aggregate value of a number of Shares equal to the number of Restricted Units vesting on such date, based on the closing price of the Shares on such settlement date on the principal national securities exchange on which the Shares are traded on such date (or if the Shares are not traded on such date, the immediately preceding trading day), provided that the Participant has satisfied any tax withholding obligations as described in this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 w:name="page24"/>
    <w:bookmarkEnd w:id="23"/>
    <w:p>
      <w:pPr>
        <w:ind w:right="20"/>
        <w:spacing w:after="0" w:line="289" w:lineRule="auto"/>
        <w:rPr>
          <w:sz w:val="20"/>
          <w:szCs w:val="20"/>
          <w:color w:val="auto"/>
        </w:rPr>
      </w:pPr>
      <w:r>
        <w:rPr>
          <w:rFonts w:ascii="Arial" w:cs="Arial" w:eastAsia="Arial" w:hAnsi="Arial"/>
          <w:sz w:val="16"/>
          <w:szCs w:val="16"/>
          <w:color w:val="auto"/>
        </w:rPr>
        <w:t>Notwithstanding anything herein to the contrary, but subject to the last sentence of Section C(ii), each Restricted Unit (including any amount provided for pursuant to Section 1(a) of the Agreement) may, at the election of the Company, be settled in Shares issued pursuant to the Plan (subject to any required delay in issuance as required under the Plan). To the extent any Shares become deliverable to the Participant hereunder the Participant shall be deemed the beneficial owner of any Share issued upon settlement of a Restricted Unit at the close of business on any settlement date and shall be entitled to any dividend or distribution that has not already been made with respect to such Share if the record date for such dividend or distribution is after the close of business on such settlement date, and the Company shall promptly issue and deliver, unless the Company is using a book entry or similar method pursuant to Section 6 of the Agreement (in which case the Company shall upon request promptly issue and deliver upon the Participant’s request), to the Participant a new stock certificate registered in the name of the Participant for any Shares issued upon settlement of Restricted Units and deliver to the Participant such Shares, in each case free of all liens, claims and other encumbrances (other than those created by the Participant).</w:t>
      </w:r>
    </w:p>
    <w:p>
      <w:pPr>
        <w:spacing w:after="0" w:line="167"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1"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Add-On Content</w:t>
      </w:r>
      <w:r>
        <w:rPr>
          <w:rFonts w:ascii="Arial" w:cs="Arial" w:eastAsia="Arial" w:hAnsi="Arial"/>
          <w:sz w:val="16"/>
          <w:szCs w:val="16"/>
          <w:color w:val="auto"/>
        </w:rPr>
        <w:t>” in respect of any IP means all interactive software entertainment products that are sold as a supplement (including as part of a bundle or special/premium edition) to a full game release of such IP, including but not limited to expansion packs and micro-content (or, in the case of free-to-play game software programs, that are sold in connection with such IP), which are not playable separately from such IP, but excluding any Sequel of such IP.</w:t>
      </w:r>
    </w:p>
    <w:p>
      <w:pPr>
        <w:spacing w:after="0" w:line="142"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Vesting Percentage</w:t>
      </w:r>
      <w:r>
        <w:rPr>
          <w:rFonts w:ascii="Arial" w:cs="Arial" w:eastAsia="Arial" w:hAnsi="Arial"/>
          <w:sz w:val="18"/>
          <w:szCs w:val="18"/>
          <w:color w:val="auto"/>
        </w:rPr>
        <w:t>” means (i) with respect to TSR Performance-Based Units, the TSR Vesting Percentage, (ii) with respect to Recurrent Consumer Spending Performance-Based Units, the Recurrent Consumer Spending Vesting Percentage, and (iii) with respect to IP Performance-Based Units, the IP Vesting Percentage.</w:t>
      </w:r>
    </w:p>
    <w:p>
      <w:pPr>
        <w:spacing w:after="0" w:line="17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Individual Release</w:t>
      </w:r>
      <w:r>
        <w:rPr>
          <w:rFonts w:ascii="Arial" w:cs="Arial" w:eastAsia="Arial" w:hAnsi="Arial"/>
          <w:sz w:val="16"/>
          <w:szCs w:val="16"/>
          <w:color w:val="auto"/>
        </w:rPr>
        <w:t>” means any IP released at any time prior to or following the date of this Agreement across any and all gaming platforms and all SKUs released of any IP, including, for the avoidance of doubt, any bundles, anniversary editions or “game of the year” editions of such IP but excluding</w:t>
      </w:r>
    </w:p>
    <w:p>
      <w:pPr>
        <w:spacing w:after="0" w:line="1" w:lineRule="exact"/>
        <w:rPr>
          <w:sz w:val="20"/>
          <w:szCs w:val="20"/>
          <w:color w:val="auto"/>
        </w:rPr>
      </w:pPr>
    </w:p>
    <w:p>
      <w:pPr>
        <w:ind w:right="320" w:firstLine="8"/>
        <w:spacing w:after="0" w:line="261" w:lineRule="auto"/>
        <w:tabs>
          <w:tab w:leader="none" w:pos="2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Add-On Content in respect of such IP and (ii) any expansion packs that are playable separately from such IP, with each such expansion pack being deemed to be a separate Individual Release.</w:t>
      </w:r>
    </w:p>
    <w:p>
      <w:pPr>
        <w:spacing w:after="0" w:line="180"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w:t>
      </w:r>
      <w:r>
        <w:rPr>
          <w:rFonts w:ascii="Arial" w:cs="Arial" w:eastAsia="Arial" w:hAnsi="Arial"/>
          <w:sz w:val="18"/>
          <w:szCs w:val="18"/>
          <w:color w:val="auto"/>
        </w:rPr>
        <w:t>” means any commercially-released interactive entertainment product, including any commercially-released products that are derived from or use the branding, environments or characters of such products (</w:t>
      </w:r>
      <w:r>
        <w:rPr>
          <w:rFonts w:ascii="Arial" w:cs="Arial" w:eastAsia="Arial" w:hAnsi="Arial"/>
          <w:sz w:val="18"/>
          <w:szCs w:val="18"/>
          <w:u w:val="single" w:color="auto"/>
          <w:color w:val="auto"/>
        </w:rPr>
        <w:t>e.g.</w:t>
      </w:r>
      <w:r>
        <w:rPr>
          <w:rFonts w:ascii="Arial" w:cs="Arial" w:eastAsia="Arial" w:hAnsi="Arial"/>
          <w:sz w:val="18"/>
          <w:szCs w:val="18"/>
          <w:color w:val="auto"/>
        </w:rPr>
        <w:t>, Sequels and subsequent Individual Releases).</w:t>
      </w:r>
    </w:p>
    <w:p>
      <w:pPr>
        <w:spacing w:after="0" w:line="162"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Vesting Percentage</w:t>
      </w:r>
      <w:r>
        <w:rPr>
          <w:rFonts w:ascii="Arial" w:cs="Arial" w:eastAsia="Arial" w:hAnsi="Arial"/>
          <w:sz w:val="18"/>
          <w:szCs w:val="18"/>
          <w:color w:val="auto"/>
        </w:rPr>
        <w:t>” as of a given date is a function of the Company’s Sell-In Performance for any Individual Release of IP calculated as of such date, determined by reference to the following table. For the avoidance of doubt, the IP Vesting Percentage shall be determined based on the Company’s Sell-In Performance with respect to one Individual Release of IP. If multiple Individual Releases of IP occur during the relevant measurement period, the IP Vesting Percentage shall be determined based on the Individual Release of IP that results in the highest IP Vesting Percentage. Without limiting the generality of the foregoing, in no event shall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 w:name="page25"/>
    <w:bookmarkEnd w:id="24"/>
    <w:p>
      <w:pPr>
        <w:ind w:right="80" w:firstLine="8"/>
        <w:spacing w:after="0" w:line="273" w:lineRule="auto"/>
        <w:tabs>
          <w:tab w:leader="none" w:pos="2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Company’s Sell-In Performance with respect to multiple Individual Releases of IP or (ii) the IP Vesting Percentages attributable to multiple Individual Releases of IP, be aggregated for purposes of determining the IP Vesting Percentage. By way of example, if, during the relevant measurement period, the Company has an Individual Release of IP that results in a Sell-In Performance of 6,000,000 units, as well as an Individual Release of IP that results in Sell-In Performance of 8,000,000 units, the IP Vesting Percentage will be 100% (</w:t>
      </w:r>
      <w:r>
        <w:rPr>
          <w:rFonts w:ascii="Arial" w:cs="Arial" w:eastAsia="Arial" w:hAnsi="Arial"/>
          <w:sz w:val="17"/>
          <w:szCs w:val="17"/>
          <w:u w:val="single" w:color="auto"/>
          <w:color w:val="auto"/>
        </w:rPr>
        <w:t>i.e.</w:t>
      </w:r>
      <w:r>
        <w:rPr>
          <w:rFonts w:ascii="Arial" w:cs="Arial" w:eastAsia="Arial" w:hAnsi="Arial"/>
          <w:sz w:val="17"/>
          <w:szCs w:val="17"/>
          <w:color w:val="auto"/>
        </w:rPr>
        <w:t>, the highest IP Vesting Percentage attributable to an Individual Release of IP). For purposes of calculating the IP Vesting Percentage under Section B(iii) of this Annex A, except where such calculation is not required as provided in Section C of this Annex A, the relevant measurement date will be March 31, 2021.</w:t>
      </w:r>
    </w:p>
    <w:p>
      <w:pPr>
        <w:spacing w:after="0" w:line="178" w:lineRule="exact"/>
        <w:rPr>
          <w:sz w:val="20"/>
          <w:szCs w:val="20"/>
          <w:color w:val="auto"/>
        </w:rPr>
      </w:pPr>
    </w:p>
    <w:p>
      <w:pPr>
        <w:ind w:left="1320" w:hanging="664"/>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any Individual Release of IP:</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IP Sell-In Performance</w:t>
            </w:r>
          </w:p>
        </w:tc>
        <w:tc>
          <w:tcPr>
            <w:tcW w:w="280" w:type="dxa"/>
            <w:vAlign w:val="bottom"/>
            <w:tcBorders>
              <w:bottom w:val="single" w:sz="8" w:color="CCEEFF"/>
            </w:tcBorders>
          </w:tcPr>
          <w:p>
            <w:pPr>
              <w:spacing w:after="0"/>
              <w:rPr>
                <w:sz w:val="14"/>
                <w:szCs w:val="14"/>
                <w:color w:val="auto"/>
              </w:rPr>
            </w:pPr>
          </w:p>
        </w:tc>
        <w:tc>
          <w:tcPr>
            <w:tcW w:w="570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IP Vesting Percentage</w:t>
            </w:r>
          </w:p>
        </w:tc>
        <w:tc>
          <w:tcPr>
            <w:tcW w:w="280" w:type="dxa"/>
            <w:vAlign w:val="bottom"/>
            <w:tcBorders>
              <w:bottom w:val="single" w:sz="8" w:color="CCEEFF"/>
            </w:tcBorders>
          </w:tcPr>
          <w:p>
            <w:pPr>
              <w:spacing w:after="0"/>
              <w:rPr>
                <w:sz w:val="14"/>
                <w:szCs w:val="14"/>
                <w:color w:val="auto"/>
              </w:rPr>
            </w:pPr>
          </w:p>
        </w:tc>
      </w:tr>
      <w:tr>
        <w:trPr>
          <w:trHeight w:val="210"/>
        </w:trPr>
        <w:tc>
          <w:tcPr>
            <w:tcW w:w="5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Less than 6,000,000 units</w:t>
            </w:r>
          </w:p>
        </w:tc>
        <w:tc>
          <w:tcPr>
            <w:tcW w:w="28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5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6,000,000 units</w:t>
            </w:r>
          </w:p>
        </w:tc>
        <w:tc>
          <w:tcPr>
            <w:tcW w:w="598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r>
      <w:tr>
        <w:trPr>
          <w:trHeight w:val="216"/>
        </w:trPr>
        <w:tc>
          <w:tcPr>
            <w:tcW w:w="54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8,000,000 units</w:t>
            </w:r>
          </w:p>
        </w:tc>
        <w:tc>
          <w:tcPr>
            <w:tcW w:w="5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r>
      <w:tr>
        <w:trPr>
          <w:trHeight w:val="230"/>
        </w:trPr>
        <w:tc>
          <w:tcPr>
            <w:tcW w:w="5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10,000,000 units or greater</w:t>
            </w:r>
          </w:p>
        </w:tc>
        <w:tc>
          <w:tcPr>
            <w:tcW w:w="598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r>
    </w:tbl>
    <w:p>
      <w:pPr>
        <w:spacing w:after="0" w:line="18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the event that the IP Sell-In Performance is less than 6,000,000 units, the IP Vesting Percentage shall be zero percent (0%). In the event that the IP Sell-In Performance falls between any of the values listed in the table above, the IP Vesting Percentage shall be based on a straight line interpolation between such two values.</w:t>
      </w:r>
    </w:p>
    <w:p>
      <w:pPr>
        <w:spacing w:after="0" w:line="177"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Price</w:t>
      </w:r>
      <w:r>
        <w:rPr>
          <w:rFonts w:ascii="Arial" w:cs="Arial" w:eastAsia="Arial" w:hAnsi="Arial"/>
          <w:sz w:val="18"/>
          <w:szCs w:val="18"/>
          <w:color w:val="auto"/>
        </w:rPr>
        <w:t>” as of a given date means the average of the closing prices of the Common Stock or the common stock of a Peer Group company, as applicable, for each of the 30 trading days ending on (and including) such date. For purposes of calculating the TSR Vesting Percentage under Section B(i) of this Annex A, except where such calculation is not required as provided in Section C of this Annex A, the given date for the definition of Measurement Price will be March 31, 2021.</w:t>
      </w:r>
    </w:p>
    <w:p>
      <w:pPr>
        <w:spacing w:after="0" w:line="18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Peer Group</w:t>
      </w:r>
      <w:r>
        <w:rPr>
          <w:rFonts w:ascii="Arial" w:cs="Arial" w:eastAsia="Arial" w:hAnsi="Arial"/>
          <w:sz w:val="17"/>
          <w:szCs w:val="17"/>
          <w:color w:val="auto"/>
        </w:rPr>
        <w:t xml:space="preserve">” shall consist of the companies that comprise The NASDAQ Composite Index on March 31, 2019; </w:t>
      </w:r>
      <w:r>
        <w:rPr>
          <w:rFonts w:ascii="Arial" w:cs="Arial" w:eastAsia="Arial" w:hAnsi="Arial"/>
          <w:sz w:val="17"/>
          <w:szCs w:val="17"/>
          <w:u w:val="single" w:color="auto"/>
          <w:color w:val="auto"/>
        </w:rPr>
        <w:t>provided</w:t>
      </w:r>
      <w:r>
        <w:rPr>
          <w:rFonts w:ascii="Arial" w:cs="Arial" w:eastAsia="Arial" w:hAnsi="Arial"/>
          <w:sz w:val="17"/>
          <w:szCs w:val="17"/>
          <w:color w:val="auto"/>
        </w:rPr>
        <w:t>, that (i) subject to clause (ii) below, if a member of the Peer Group ceases to be publicly traded for any reason following March 31, 2019 and prior to the applicable date on which the Measurement Price is calculated, that member of the Peer Group shall be deleted as a member of the Peer Group and shall not be counted for purposes of the TSR Vesting Percentage and related calculations and (ii) if a member of the Peer Group becomes bankrupt following March 31, 2019 and prior to the applicable date on which the Measurement Price is calculated, that member of the Peer Group shall remain a member of the Peer Group and shall be attributed a Total Shareholder Return of -100% for purposes of the TSR Vesting Percentage and related calculations (even if such member of the Peer Group ceases to be publicly traded upon or following its bankruptcy).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ind w:right="200" w:firstLine="648"/>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Percentile Rank</w:t>
      </w:r>
      <w:r>
        <w:rPr>
          <w:rFonts w:ascii="Arial" w:cs="Arial" w:eastAsia="Arial" w:hAnsi="Arial"/>
          <w:sz w:val="18"/>
          <w:szCs w:val="18"/>
          <w:color w:val="auto"/>
        </w:rPr>
        <w:t>” of the Company’s Total Shareholder Return is defined as the percentage of the Peer Group companies’ returns falling at or below the Company’s Total Shareholder Return. The formula for calculating the Percentile Rank is as follows: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Percentile Rank = (N - R + 1) ÷ N × 100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N =</w:t>
      </w:r>
      <w:r>
        <w:rPr>
          <w:sz w:val="20"/>
          <w:szCs w:val="20"/>
          <w:color w:val="auto"/>
        </w:rPr>
        <w:tab/>
      </w:r>
      <w:r>
        <w:rPr>
          <w:rFonts w:ascii="Arial" w:cs="Arial" w:eastAsia="Arial" w:hAnsi="Arial"/>
          <w:sz w:val="16"/>
          <w:szCs w:val="16"/>
          <w:color w:val="auto"/>
        </w:rPr>
        <w:t>total number of companies in the Peer Group</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 = the numeric rank of the Company’s Total Shareholder Return relative to the Peer Group, where the highest Total Shareholder Return in the Peer Group is ranked number 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Percentile Rank shall be rounded to the nearest whole percentage, with (0.5) rounded up.</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 illustrate, if the Company’s Total Shareholder Return is the 25th highest in a Peer Group comprised of 100 companies, its Percentile Rank would be 76. The calculation is (100 - 25 + 1) ÷ 100 × 100 = 76.</w:t>
      </w:r>
    </w:p>
    <w:p>
      <w:pPr>
        <w:spacing w:after="0" w:line="166"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Port</w:t>
      </w:r>
      <w:r>
        <w:rPr>
          <w:rFonts w:ascii="Arial" w:cs="Arial" w:eastAsia="Arial" w:hAnsi="Arial"/>
          <w:sz w:val="18"/>
          <w:szCs w:val="18"/>
          <w:color w:val="auto"/>
        </w:rPr>
        <w:t>” of an IP means a substantially similar version of such IP developed to operate on a platform other than the platform for which such IP had theretofore been developed to operate.</w:t>
      </w:r>
    </w:p>
    <w:p>
      <w:pPr>
        <w:spacing w:after="0" w:line="16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Termination</w:t>
      </w:r>
      <w:r>
        <w:rPr>
          <w:rFonts w:ascii="Arial" w:cs="Arial" w:eastAsia="Arial" w:hAnsi="Arial"/>
          <w:sz w:val="18"/>
          <w:szCs w:val="18"/>
          <w:color w:val="auto"/>
        </w:rPr>
        <w:t>” means (i) a termination of the Management Agreement by the Company without Cause (as defined in the Management Agreement), including any termination by the Company (other than for Cause) in connection with a Change in Control, or by ZelnickMedia or its assignee for Good Reason (as defined in the Management Agreement) or (ii) the failure of the Company and ZelnickMedia to enter into a new management agreement, on terms substantially similar in the aggregate to the terms of the Management Agreement, upon the expiration of the Initial Term (as defined therein) or to otherwise agree to extend the Initial Term.</w:t>
      </w:r>
    </w:p>
    <w:p>
      <w:pPr>
        <w:spacing w:after="0" w:line="184"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Recurrent Consumer Spending</w:t>
      </w:r>
      <w:r>
        <w:rPr>
          <w:rFonts w:ascii="Arial" w:cs="Arial" w:eastAsia="Arial" w:hAnsi="Arial"/>
          <w:sz w:val="18"/>
          <w:szCs w:val="18"/>
          <w:color w:val="auto"/>
        </w:rPr>
        <w:t>” as of a given date shall mean the consolidated net bookings generated by the Company that are supplemental to the sale of any full game release from the sale of virtual currency, add-on content, microtransactions and similar items, calculated on a basis consistent with how the Company calculates recurrent consumer spending for its management reporting. For the avoidance of doubt, Recurrent Consumer Spending shall not include full-game digital downloads.</w:t>
      </w:r>
    </w:p>
    <w:p>
      <w:pPr>
        <w:spacing w:after="0" w:line="18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Recurrent Consumer Spending Vesting Percentage</w:t>
      </w:r>
      <w:r>
        <w:rPr>
          <w:rFonts w:ascii="Arial" w:cs="Arial" w:eastAsia="Arial" w:hAnsi="Arial"/>
          <w:sz w:val="17"/>
          <w:szCs w:val="17"/>
          <w:color w:val="auto"/>
        </w:rPr>
        <w:t>” is a function of the Company’s Recurrent Consumer Spending and is determined by reference to the following tables. The first table measures the percentage change between Recurrent Consumer Spending for the fiscal year ended March 31, 2019 and the two-year average Recurrent Consumer Spending for the fiscal years ending March 31, 2020 and March 31, 2021, while the second table measures two-year average Recurrent Consumer Spending for the fiscal years ending March 31, 2020 and March 31, 2021 as a percentage of two-year average total net bookings for the fiscal years ending March 31, 2020 and March 31, 2021, and reflects a Relative Recurrent Consumer Spending Vesting Percentage. For the avoidance of doubt, the Recurrent Consumer Spending Vesting Percentage shall be equal to either the Absolute Recurrent Consumer Spending Vesting Percentage or the Relative Recurrent Consumer Spending Vesting Percentage, whichever is greater.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Absolute Recurrent Consumer Spending Growth</w:t>
            </w:r>
          </w:p>
        </w:tc>
        <w:tc>
          <w:tcPr>
            <w:tcW w:w="5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Absolute Recurrent Consumer</w:t>
            </w:r>
          </w:p>
        </w:tc>
      </w:tr>
      <w:tr>
        <w:trPr>
          <w:trHeight w:val="171"/>
        </w:trPr>
        <w:tc>
          <w:tcPr>
            <w:tcW w:w="5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(during the relevant measurement period)</w:t>
            </w:r>
          </w:p>
        </w:tc>
        <w:tc>
          <w:tcPr>
            <w:tcW w:w="280" w:type="dxa"/>
            <w:vAlign w:val="bottom"/>
            <w:tcBorders>
              <w:bottom w:val="single" w:sz="8" w:color="CCEEFF"/>
            </w:tcBorders>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Spending Vesting Percentage</w:t>
            </w:r>
          </w:p>
        </w:tc>
        <w:tc>
          <w:tcPr>
            <w:tcW w:w="280" w:type="dxa"/>
            <w:vAlign w:val="bottom"/>
            <w:tcBorders>
              <w:bottom w:val="single" w:sz="8" w:color="CCEEFF"/>
            </w:tcBorders>
          </w:tcPr>
          <w:p>
            <w:pPr>
              <w:spacing w:after="0"/>
              <w:rPr>
                <w:sz w:val="14"/>
                <w:szCs w:val="14"/>
                <w:color w:val="auto"/>
              </w:rPr>
            </w:pPr>
          </w:p>
        </w:tc>
      </w:tr>
      <w:tr>
        <w:trPr>
          <w:trHeight w:val="210"/>
        </w:trPr>
        <w:tc>
          <w:tcPr>
            <w:tcW w:w="5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Less than 3%</w:t>
            </w:r>
          </w:p>
        </w:tc>
        <w:tc>
          <w:tcPr>
            <w:tcW w:w="28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80" w:type="dxa"/>
            <w:vAlign w:val="bottom"/>
          </w:tcPr>
          <w:p>
            <w:pPr>
              <w:spacing w:after="0"/>
              <w:rPr>
                <w:sz w:val="18"/>
                <w:szCs w:val="18"/>
                <w:color w:val="auto"/>
              </w:rPr>
            </w:pPr>
          </w:p>
        </w:tc>
        <w:tc>
          <w:tcPr>
            <w:tcW w:w="542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r>
      <w:tr>
        <w:trPr>
          <w:trHeight w:val="216"/>
        </w:trPr>
        <w:tc>
          <w:tcPr>
            <w:tcW w:w="5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28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r>
      <w:tr>
        <w:trPr>
          <w:trHeight w:val="230"/>
        </w:trPr>
        <w:tc>
          <w:tcPr>
            <w:tcW w:w="60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9% or greater</w:t>
            </w:r>
          </w:p>
        </w:tc>
        <w:tc>
          <w:tcPr>
            <w:tcW w:w="542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r>
    </w:tbl>
    <w:p>
      <w:pPr>
        <w:spacing w:after="0" w:line="18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 the event that the Absolute Recurrent Consumer Spending Growth is less than 3%, the Absolute Recurrent Consumer Spending Vesting Percentage shall be zero percent (0%). In the event that the Absolute Recurrent Consumer Spending Growth falls between any of the values listed in the table above, the Absolute Recurrent Consumer Spending Vesting Percentage shall be based on a straight line interpolation between such two values.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Relative Recurrent Consumer Spending (as a</w:t>
            </w:r>
          </w:p>
        </w:tc>
        <w:tc>
          <w:tcPr>
            <w:tcW w:w="5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Relative Recurrent Consumer</w:t>
            </w:r>
          </w:p>
        </w:tc>
      </w:tr>
      <w:tr>
        <w:trPr>
          <w:trHeight w:val="171"/>
        </w:trPr>
        <w:tc>
          <w:tcPr>
            <w:tcW w:w="5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percentage of two-year average total net bookings)</w:t>
            </w:r>
          </w:p>
        </w:tc>
        <w:tc>
          <w:tcPr>
            <w:tcW w:w="280" w:type="dxa"/>
            <w:vAlign w:val="bottom"/>
            <w:tcBorders>
              <w:bottom w:val="single" w:sz="8" w:color="CCEEFF"/>
            </w:tcBorders>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Spending Vesting Percentage</w:t>
            </w:r>
          </w:p>
        </w:tc>
        <w:tc>
          <w:tcPr>
            <w:tcW w:w="280" w:type="dxa"/>
            <w:vAlign w:val="bottom"/>
            <w:tcBorders>
              <w:bottom w:val="single" w:sz="8" w:color="CCEEFF"/>
            </w:tcBorders>
          </w:tcPr>
          <w:p>
            <w:pPr>
              <w:spacing w:after="0"/>
              <w:rPr>
                <w:sz w:val="14"/>
                <w:szCs w:val="14"/>
                <w:color w:val="auto"/>
              </w:rPr>
            </w:pPr>
          </w:p>
        </w:tc>
      </w:tr>
      <w:tr>
        <w:trPr>
          <w:trHeight w:val="210"/>
        </w:trPr>
        <w:tc>
          <w:tcPr>
            <w:tcW w:w="5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Less than 27.5%</w:t>
            </w:r>
          </w:p>
        </w:tc>
        <w:tc>
          <w:tcPr>
            <w:tcW w:w="28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color w:val="auto"/>
                <w:w w:val="90"/>
              </w:rPr>
              <w:t>27.5%</w:t>
            </w:r>
          </w:p>
        </w:tc>
        <w:tc>
          <w:tcPr>
            <w:tcW w:w="280" w:type="dxa"/>
            <w:vAlign w:val="bottom"/>
          </w:tcPr>
          <w:p>
            <w:pPr>
              <w:spacing w:after="0"/>
              <w:rPr>
                <w:sz w:val="18"/>
                <w:szCs w:val="18"/>
                <w:color w:val="auto"/>
              </w:rPr>
            </w:pPr>
          </w:p>
        </w:tc>
        <w:tc>
          <w:tcPr>
            <w:tcW w:w="542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r>
      <w:tr>
        <w:trPr>
          <w:trHeight w:val="216"/>
        </w:trPr>
        <w:tc>
          <w:tcPr>
            <w:tcW w:w="5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37.5%</w:t>
            </w:r>
          </w:p>
        </w:tc>
        <w:tc>
          <w:tcPr>
            <w:tcW w:w="28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r>
      <w:tr>
        <w:trPr>
          <w:trHeight w:val="230"/>
        </w:trPr>
        <w:tc>
          <w:tcPr>
            <w:tcW w:w="60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47.5% or greater</w:t>
            </w:r>
          </w:p>
        </w:tc>
        <w:tc>
          <w:tcPr>
            <w:tcW w:w="542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r>
    </w:tbl>
    <w:p>
      <w:pPr>
        <w:spacing w:after="0" w:line="187"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In the event that the Relative Recurrent Consumer Spending Growth is less than 27.5%, the Relative Recurrent Consumer Spending Vesting Percentage shall be zero percent (0%). In the event that the Relative Recurrent Consumer Spending Growth falls between any of the values listed in the table above, the Relative Recurrent Consumer Spending Vesting Percentage shall be based on a straight line interpolation between such two values.</w:t>
      </w:r>
    </w:p>
    <w:p>
      <w:pPr>
        <w:spacing w:after="0" w:line="143"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Price</w:t>
      </w:r>
      <w:r>
        <w:rPr>
          <w:rFonts w:ascii="Arial" w:cs="Arial" w:eastAsia="Arial" w:hAnsi="Arial"/>
          <w:sz w:val="18"/>
          <w:szCs w:val="18"/>
          <w:color w:val="auto"/>
        </w:rPr>
        <w:t>” means the average of the closing prices of the Common Stock or the common stock of a Peer Group company, as applicable, for each of the 30 trading days ending on (and including) March 31, 2019.</w:t>
      </w:r>
    </w:p>
    <w:p>
      <w:pPr>
        <w:spacing w:after="0" w:line="162"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 Performance</w:t>
      </w:r>
      <w:r>
        <w:rPr>
          <w:rFonts w:ascii="Arial" w:cs="Arial" w:eastAsia="Arial" w:hAnsi="Arial"/>
          <w:sz w:val="18"/>
          <w:szCs w:val="18"/>
          <w:color w:val="auto"/>
        </w:rPr>
        <w:t>” as of a given date means, with respect to any Individual Release of IP, the number of units “sold-in” during the period beginning on April 1, 2019 and ending on March 31, 2021.</w:t>
      </w:r>
    </w:p>
    <w:p>
      <w:pPr>
        <w:spacing w:after="0" w:line="162"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Sequel</w:t>
      </w:r>
      <w:r>
        <w:rPr>
          <w:rFonts w:ascii="Arial" w:cs="Arial" w:eastAsia="Arial" w:hAnsi="Arial"/>
          <w:sz w:val="18"/>
          <w:szCs w:val="18"/>
          <w:color w:val="auto"/>
        </w:rPr>
        <w:t>” means with respect to any IP, any game software program, other than any Port or Add-On Content, in any medium that is derived from such IP within the same genre, utilizing the same game play, and based on the same themes and using the same brand name as such IP where the visual display(s), character(s), background(s), virtual environment(s), or other visual or video elements accessible to the end-user of the game software program are derived from comparable elements of such IP.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27" w:name="page28"/>
    <w:bookmarkEnd w:id="27"/>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Shareholder Return</w:t>
      </w:r>
      <w:r>
        <w:rPr>
          <w:rFonts w:ascii="Arial" w:cs="Arial" w:eastAsia="Arial" w:hAnsi="Arial"/>
          <w:sz w:val="18"/>
          <w:szCs w:val="18"/>
          <w:color w:val="auto"/>
        </w:rPr>
        <w:t>” as of a given date means the percentage change in the value of the Common Stock or the common stock of a Peer Group company, as applicable, from the Reference Price to the Measurement Price on such date.</w:t>
      </w:r>
    </w:p>
    <w:p>
      <w:pPr>
        <w:spacing w:after="0" w:line="162"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TSR Vesting Percentage</w:t>
      </w:r>
      <w:r>
        <w:rPr>
          <w:rFonts w:ascii="Arial" w:cs="Arial" w:eastAsia="Arial" w:hAnsi="Arial"/>
          <w:sz w:val="18"/>
          <w:szCs w:val="18"/>
          <w:color w:val="auto"/>
        </w:rPr>
        <w:t>” as of a given date is a function of the Company’s Percentile Rank among the Peer Group calculated as of such date, determined by reference to the following table: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Percentile Rank</w:t>
            </w:r>
          </w:p>
        </w:tc>
        <w:tc>
          <w:tcPr>
            <w:tcW w:w="280" w:type="dxa"/>
            <w:vAlign w:val="bottom"/>
            <w:tcBorders>
              <w:bottom w:val="single" w:sz="8" w:color="CCEEFF"/>
            </w:tcBorders>
          </w:tcPr>
          <w:p>
            <w:pPr>
              <w:spacing w:after="0"/>
              <w:rPr>
                <w:sz w:val="14"/>
                <w:szCs w:val="14"/>
                <w:color w:val="auto"/>
              </w:rPr>
            </w:pPr>
          </w:p>
        </w:tc>
        <w:tc>
          <w:tcPr>
            <w:tcW w:w="542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TSR Vesting Percentage</w:t>
            </w:r>
          </w:p>
        </w:tc>
        <w:tc>
          <w:tcPr>
            <w:tcW w:w="280" w:type="dxa"/>
            <w:vAlign w:val="bottom"/>
            <w:tcBorders>
              <w:bottom w:val="single" w:sz="8" w:color="CCEEFF"/>
            </w:tcBorders>
          </w:tcPr>
          <w:p>
            <w:pPr>
              <w:spacing w:after="0"/>
              <w:rPr>
                <w:sz w:val="14"/>
                <w:szCs w:val="14"/>
                <w:color w:val="auto"/>
              </w:rPr>
            </w:pPr>
          </w:p>
        </w:tc>
      </w:tr>
      <w:tr>
        <w:trPr>
          <w:trHeight w:val="210"/>
        </w:trPr>
        <w:tc>
          <w:tcPr>
            <w:tcW w:w="5440" w:type="dxa"/>
            <w:vAlign w:val="bottom"/>
            <w:shd w:val="clear" w:color="auto" w:fill="CCEEFF"/>
          </w:tcPr>
          <w:p>
            <w:pPr>
              <w:jc w:val="center"/>
              <w:spacing w:after="0" w:line="210" w:lineRule="exact"/>
              <w:rPr>
                <w:sz w:val="20"/>
                <w:szCs w:val="20"/>
                <w:color w:val="auto"/>
              </w:rPr>
            </w:pPr>
            <w:r>
              <w:rPr>
                <w:rFonts w:ascii="Arial" w:cs="Arial" w:eastAsia="Arial" w:hAnsi="Arial"/>
                <w:sz w:val="18"/>
                <w:szCs w:val="18"/>
                <w:color w:val="auto"/>
                <w:w w:val="87"/>
              </w:rPr>
              <w:t>Less than 40</w:t>
            </w:r>
            <w:r>
              <w:rPr>
                <w:rFonts w:ascii="Arial" w:cs="Arial" w:eastAsia="Arial" w:hAnsi="Arial"/>
                <w:sz w:val="23"/>
                <w:szCs w:val="23"/>
                <w:color w:val="auto"/>
                <w:w w:val="87"/>
                <w:vertAlign w:val="superscript"/>
              </w:rPr>
              <w:t>th</w:t>
            </w:r>
            <w:r>
              <w:rPr>
                <w:rFonts w:ascii="Arial" w:cs="Arial" w:eastAsia="Arial" w:hAnsi="Arial"/>
                <w:sz w:val="18"/>
                <w:szCs w:val="18"/>
                <w:color w:val="auto"/>
                <w:w w:val="87"/>
              </w:rPr>
              <w:t xml:space="preserve"> Percentile</w:t>
            </w:r>
          </w:p>
        </w:tc>
        <w:tc>
          <w:tcPr>
            <w:tcW w:w="28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5720" w:type="dxa"/>
            <w:vAlign w:val="bottom"/>
            <w:gridSpan w:val="2"/>
          </w:tcPr>
          <w:p>
            <w:pPr>
              <w:jc w:val="center"/>
              <w:ind w:right="280"/>
              <w:spacing w:after="0" w:line="216" w:lineRule="exact"/>
              <w:rPr>
                <w:sz w:val="20"/>
                <w:szCs w:val="20"/>
                <w:color w:val="auto"/>
              </w:rPr>
            </w:pPr>
            <w:r>
              <w:rPr>
                <w:rFonts w:ascii="Arial" w:cs="Arial" w:eastAsia="Arial" w:hAnsi="Arial"/>
                <w:sz w:val="18"/>
                <w:szCs w:val="18"/>
                <w:color w:val="auto"/>
                <w:w w:val="88"/>
              </w:rPr>
              <w:t>40</w:t>
            </w:r>
            <w:r>
              <w:rPr>
                <w:rFonts w:ascii="Arial" w:cs="Arial" w:eastAsia="Arial" w:hAnsi="Arial"/>
                <w:sz w:val="23"/>
                <w:szCs w:val="23"/>
                <w:color w:val="auto"/>
                <w:w w:val="88"/>
                <w:vertAlign w:val="superscript"/>
              </w:rPr>
              <w:t>th</w:t>
            </w:r>
            <w:r>
              <w:rPr>
                <w:rFonts w:ascii="Arial" w:cs="Arial" w:eastAsia="Arial" w:hAnsi="Arial"/>
                <w:sz w:val="18"/>
                <w:szCs w:val="18"/>
                <w:color w:val="auto"/>
                <w:w w:val="88"/>
              </w:rPr>
              <w:t xml:space="preserve"> Percentile</w:t>
            </w:r>
          </w:p>
        </w:tc>
        <w:tc>
          <w:tcPr>
            <w:tcW w:w="570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r>
      <w:tr>
        <w:trPr>
          <w:trHeight w:val="216"/>
        </w:trPr>
        <w:tc>
          <w:tcPr>
            <w:tcW w:w="5720" w:type="dxa"/>
            <w:vAlign w:val="bottom"/>
            <w:gridSpan w:val="2"/>
            <w:shd w:val="clear" w:color="auto" w:fill="CCEEFF"/>
          </w:tcPr>
          <w:p>
            <w:pPr>
              <w:jc w:val="center"/>
              <w:ind w:right="280"/>
              <w:spacing w:after="0" w:line="216" w:lineRule="exact"/>
              <w:rPr>
                <w:sz w:val="20"/>
                <w:szCs w:val="20"/>
                <w:color w:val="auto"/>
              </w:rPr>
            </w:pPr>
            <w:r>
              <w:rPr>
                <w:rFonts w:ascii="Arial" w:cs="Arial" w:eastAsia="Arial" w:hAnsi="Arial"/>
                <w:sz w:val="18"/>
                <w:szCs w:val="18"/>
                <w:color w:val="auto"/>
                <w:w w:val="88"/>
              </w:rPr>
              <w:t>50</w:t>
            </w:r>
            <w:r>
              <w:rPr>
                <w:rFonts w:ascii="Arial" w:cs="Arial" w:eastAsia="Arial" w:hAnsi="Arial"/>
                <w:sz w:val="23"/>
                <w:szCs w:val="23"/>
                <w:color w:val="auto"/>
                <w:w w:val="88"/>
                <w:vertAlign w:val="superscript"/>
              </w:rPr>
              <w:t>th</w:t>
            </w:r>
            <w:r>
              <w:rPr>
                <w:rFonts w:ascii="Arial" w:cs="Arial" w:eastAsia="Arial" w:hAnsi="Arial"/>
                <w:sz w:val="18"/>
                <w:szCs w:val="18"/>
                <w:color w:val="auto"/>
                <w:w w:val="88"/>
              </w:rPr>
              <w:t xml:space="preserve"> Percentile</w:t>
            </w:r>
          </w:p>
        </w:tc>
        <w:tc>
          <w:tcPr>
            <w:tcW w:w="5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r>
      <w:tr>
        <w:trPr>
          <w:trHeight w:val="305"/>
        </w:trPr>
        <w:tc>
          <w:tcPr>
            <w:tcW w:w="57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75</w:t>
            </w:r>
            <w:r>
              <w:rPr>
                <w:rFonts w:ascii="Arial" w:cs="Arial" w:eastAsia="Arial" w:hAnsi="Arial"/>
                <w:sz w:val="23"/>
                <w:szCs w:val="23"/>
                <w:color w:val="auto"/>
                <w:w w:val="88"/>
                <w:vertAlign w:val="superscript"/>
              </w:rPr>
              <w:t>th</w:t>
            </w:r>
            <w:r>
              <w:rPr>
                <w:rFonts w:ascii="Arial" w:cs="Arial" w:eastAsia="Arial" w:hAnsi="Arial"/>
                <w:sz w:val="18"/>
                <w:szCs w:val="18"/>
                <w:color w:val="auto"/>
                <w:w w:val="88"/>
              </w:rPr>
              <w:t xml:space="preserve"> Percentile or greater</w:t>
            </w:r>
          </w:p>
        </w:tc>
        <w:tc>
          <w:tcPr>
            <w:tcW w:w="570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r>
    </w:tbl>
    <w:p>
      <w:pPr>
        <w:spacing w:after="0" w:line="11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the event that the Percentile Rank is less than 40th Percentile, the TSR Vesting Percentage shall be zero percent (0%). In the event that the Percentile Rank falls between any of the values listed in the table above, the TSR Vesting Percentage shall be based on a straight line interpolation between such two values.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consent to the reference to our firm under the caption “Experts” in this Registration Statement (Form S-3) and related Prospectus of Take-Two Interactive Software, Inc. for the registration of common stock and to the incorporation by reference therein of our reports dated May 16, 2018, with respect to the consolidated financial statements of Take-Two Interactive Software, Inc., and the effectiveness of internal control over financial reporting of Take-Two Interactive Software, Inc., included in its Annual Report (Form 10-K) for the year ended March 31, 2018,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lowerRoman"/>
      <w:start w:val="10"/>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646"/>
    </w:lvl>
  </w:abstractNum>
  <w:abstractNum w:abstractNumId="5">
    <w:nsid w:val="6B68079A"/>
    <w:multiLevelType w:val="hybridMultilevel"/>
    <w:lvl w:ilvl="0">
      <w:lvlJc w:val="left"/>
      <w:lvlText w:val="(%1)"/>
      <w:numFmt w:val="lowerRoman"/>
      <w:start w:val="1"/>
    </w:lvl>
  </w:abstractNum>
  <w:abstractNum w:abstractNumId="6">
    <w:nsid w:val="4E6AFB6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
    <w:nsid w:val="25E45D32"/>
    <w:multiLevelType w:val="hybridMultilevel"/>
    <w:lvl w:ilvl="0">
      <w:lvlJc w:val="left"/>
      <w:lvlText w:val="(%1)"/>
      <w:numFmt w:val="decimal"/>
      <w:start w:val="2"/>
    </w:lvl>
  </w:abstractNum>
  <w:abstractNum w:abstractNumId="8">
    <w:nsid w:val="519B500D"/>
    <w:multiLevelType w:val="hybridMultilevel"/>
    <w:lvl w:ilvl="0">
      <w:lvlJc w:val="left"/>
      <w:lvlText w:val="%1"/>
      <w:numFmt w:val="lowerLetter"/>
      <w:start w:val="1"/>
    </w:lvl>
    <w:lvl w:ilvl="1">
      <w:lvlJc w:val="left"/>
      <w:lvlText w:val="(%2)"/>
      <w:numFmt w:val="lowerRoman"/>
      <w:start w:val="1"/>
    </w:lvl>
  </w:abstractNum>
  <w:abstractNum w:abstractNumId="9">
    <w:nsid w:val="431BD7B7"/>
    <w:multiLevelType w:val="hybridMultilevel"/>
    <w:lvl w:ilvl="0">
      <w:lvlJc w:val="left"/>
      <w:lvlText w:val="(%1)"/>
      <w:numFmt w:val="lowerLetter"/>
      <w:start w:val="2"/>
    </w:lvl>
    <w:lvl w:ilvl="1">
      <w:lvlJc w:val="left"/>
      <w:lvlText w:val="%2"/>
      <w:numFmt w:val="lowerRoman"/>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2"/>
    </w:lvl>
  </w:abstractNum>
  <w:abstractNum w:abstractNumId="12">
    <w:nsid w:val="257130A3"/>
    <w:multiLevelType w:val="hybridMultilevel"/>
    <w:lvl w:ilvl="0">
      <w:lvlJc w:val="left"/>
      <w:lvlText w:val="%1."/>
      <w:numFmt w:val="decimal"/>
      <w:start w:val="8"/>
    </w:lvl>
  </w:abstractNum>
  <w:abstractNum w:abstractNumId="13">
    <w:nsid w:val="62BBD95A"/>
    <w:multiLevelType w:val="hybridMultilevel"/>
    <w:lvl w:ilvl="0">
      <w:lvlJc w:val="left"/>
      <w:lvlText w:val="%1."/>
      <w:numFmt w:val="decimal"/>
      <w:start w:val="10"/>
    </w:lvl>
  </w:abstractNum>
  <w:abstractNum w:abstractNumId="14">
    <w:nsid w:val="436C6125"/>
    <w:multiLevelType w:val="hybridMultilevel"/>
    <w:lvl w:ilvl="0">
      <w:lvlJc w:val="left"/>
      <w:lvlText w:val="%1."/>
      <w:numFmt w:val="decimal"/>
      <w:start w:val="12"/>
    </w:lvl>
    <w:lvl w:ilvl="1">
      <w:lvlJc w:val="left"/>
      <w:lvlText w:val="(%2)"/>
      <w:numFmt w:val="lowerLetter"/>
      <w:start w:val="1"/>
    </w:lvl>
  </w:abstractNum>
  <w:abstractNum w:abstractNumId="15">
    <w:nsid w:val="628C895D"/>
    <w:multiLevelType w:val="hybridMultilevel"/>
    <w:lvl w:ilvl="0">
      <w:lvlJc w:val="left"/>
      <w:lvlText w:val="(%1)"/>
      <w:numFmt w:val="lowerLetter"/>
      <w:start w:val="4"/>
    </w:lvl>
  </w:abstractNum>
  <w:abstractNum w:abstractNumId="16">
    <w:nsid w:val="333AB105"/>
    <w:multiLevelType w:val="hybridMultilevel"/>
    <w:lvl w:ilvl="0">
      <w:lvlJc w:val="left"/>
      <w:lvlText w:val="%1."/>
      <w:numFmt w:val="upperLetter"/>
      <w:start w:val="1"/>
    </w:lvl>
  </w:abstractNum>
  <w:abstractNum w:abstractNumId="17">
    <w:nsid w:val="721DA317"/>
    <w:multiLevelType w:val="hybridMultilevel"/>
    <w:lvl w:ilvl="0">
      <w:lvlJc w:val="left"/>
      <w:lvlText w:val="(%1)"/>
      <w:numFmt w:val="lowerRoman"/>
      <w:start w:val="1"/>
    </w:lvl>
  </w:abstractNum>
  <w:abstractNum w:abstractNumId="18">
    <w:nsid w:val="2443A858"/>
    <w:multiLevelType w:val="hybridMultilevel"/>
    <w:lvl w:ilvl="0">
      <w:lvlJc w:val="left"/>
      <w:lvlText w:val="%1."/>
      <w:numFmt w:val="upperLetter"/>
      <w:start w:val="3"/>
    </w:lvl>
    <w:lvl w:ilvl="1">
      <w:lvlJc w:val="left"/>
      <w:lvlText w:val="(%2)"/>
      <w:numFmt w:val="lowerRoman"/>
      <w:start w:val="1"/>
    </w:lvl>
  </w:abstractNum>
  <w:abstractNum w:abstractNumId="19">
    <w:nsid w:val="2D1D5AE9"/>
    <w:multiLevelType w:val="hybridMultilevel"/>
    <w:lvl w:ilvl="0">
      <w:lvlJc w:val="left"/>
      <w:lvlText w:val="%1"/>
      <w:numFmt w:val="lowerRoman"/>
      <w:start w:val="1"/>
    </w:lvl>
    <w:lvl w:ilvl="1">
      <w:lvlJc w:val="left"/>
      <w:lvlText w:val="(%2)"/>
      <w:numFmt w:val="lowerRoman"/>
      <w:start w:val="2"/>
    </w:lvl>
  </w:abstractNum>
  <w:abstractNum w:abstractNumId="20">
    <w:nsid w:val="6763845E"/>
    <w:multiLevelType w:val="hybridMultilevel"/>
    <w:lvl w:ilvl="0">
      <w:lvlJc w:val="left"/>
      <w:lvlText w:val="(%1)"/>
      <w:numFmt w:val="lowerRoman"/>
      <w:start w:val="10"/>
    </w:lvl>
    <w:lvl w:ilvl="1">
      <w:lvlJc w:val="left"/>
      <w:lvlText w:val="%2"/>
      <w:numFmt w:val="lowerRoman"/>
      <w:start w:val="1"/>
    </w:lvl>
  </w:abstractNum>
  <w:abstractNum w:abstractNumId="21">
    <w:nsid w:val="75A2A8D4"/>
    <w:multiLevelType w:val="hybridMultilevel"/>
    <w:lvl w:ilvl="0">
      <w:lvlJc w:val="left"/>
      <w:lvlText w:val="%1."/>
      <w:numFmt w:val="upperLetter"/>
      <w:start w:val="4"/>
    </w:lvl>
    <w:lvl w:ilvl="1">
      <w:lvlJc w:val="left"/>
      <w:lvlText w:val="(%2)"/>
      <w:numFmt w:val="lowerRoman"/>
      <w:start w:val="1"/>
    </w:lvl>
  </w:abstractNum>
  <w:abstractNum w:abstractNumId="22">
    <w:nsid w:val="8EDBDAB"/>
    <w:multiLevelType w:val="hybridMultilevel"/>
    <w:lvl w:ilvl="0">
      <w:lvlJc w:val="left"/>
      <w:lvlText w:val="%1."/>
      <w:numFmt w:val="upperLetter"/>
      <w:start w:val="6"/>
    </w:lvl>
  </w:abstractNum>
  <w:abstractNum w:abstractNumId="23">
    <w:nsid w:val="79838CB2"/>
    <w:multiLevelType w:val="hybridMultilevel"/>
    <w:lvl w:ilvl="0">
      <w:lvlJc w:val="left"/>
      <w:lvlText w:val="(%1)"/>
      <w:numFmt w:val="lowerRoman"/>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31" Type="http://schemas.openxmlformats.org/officeDocument/2006/relationships/hyperlink" Target="file:///data/convert/a19-8263_1ex5d1.htm#Exhibit5_1_124907" TargetMode="External"/><Relationship Id="rId32" Type="http://schemas.openxmlformats.org/officeDocument/2006/relationships/hyperlink" Target="http://www.sec.gov/Archives/edgar/data/946581/000110465917069999/a17-27361_1ex10d1.htm" TargetMode="External"/><Relationship Id="rId33" Type="http://schemas.openxmlformats.org/officeDocument/2006/relationships/hyperlink" Target="file:///data/convert/a19-8263_1ex10d2.htm#Exhibit10_2_011957" TargetMode="External"/><Relationship Id="rId34" Type="http://schemas.openxmlformats.org/officeDocument/2006/relationships/hyperlink" Target="file:///data/convert/a19-8263_1ex23d2.htm#Exhibit23_2_07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2019-12-03T11:43:26Z</dcterms:created>
  <dcterms:modified xsi:type="dcterms:W3CDTF">2019-12-03T11:43:26Z</dcterms:modified>
</cp:coreProperties>
</file>