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19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1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Report (Date of earliest event reported): November 3, 2021</w:t>
      </w:r>
    </w:p>
    <w:p>
      <w:pPr>
        <w:spacing w:after="0" w:line="21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TAKE-TWO INTERACTIVE SOFTWARE, INC.</w:t>
      </w:r>
    </w:p>
    <w:p>
      <w:pPr>
        <w:spacing w:after="0" w:line="39"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00"/>
          </w:cols>
          <w:pgMar w:left="320" w:top="1440" w:right="379" w:bottom="1440" w:gutter="0" w:footer="0" w:header="0"/>
        </w:sectPr>
      </w:pPr>
    </w:p>
    <w:p>
      <w:pPr>
        <w:spacing w:after="0" w:line="259" w:lineRule="exact"/>
        <w:rPr>
          <w:sz w:val="24"/>
          <w:szCs w:val="24"/>
          <w:color w:val="auto"/>
        </w:rPr>
      </w:pPr>
    </w:p>
    <w:p>
      <w:pPr>
        <w:ind w:left="146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39" w:lineRule="exact"/>
        <w:rPr>
          <w:sz w:val="24"/>
          <w:szCs w:val="24"/>
          <w:color w:val="auto"/>
        </w:rPr>
      </w:pPr>
    </w:p>
    <w:p>
      <w:pPr>
        <w:jc w:val="center"/>
        <w:ind w:right="2160"/>
        <w:spacing w:after="0"/>
        <w:rPr>
          <w:sz w:val="20"/>
          <w:szCs w:val="20"/>
          <w:color w:val="auto"/>
        </w:rPr>
      </w:pPr>
      <w:r>
        <w:rPr>
          <w:rFonts w:ascii="Arial" w:cs="Arial" w:eastAsia="Arial" w:hAnsi="Arial"/>
          <w:sz w:val="16"/>
          <w:szCs w:val="16"/>
          <w:b w:val="1"/>
          <w:bCs w:val="1"/>
          <w:color w:val="auto"/>
        </w:rPr>
        <w:t>001-34003</w:t>
      </w:r>
    </w:p>
    <w:p>
      <w:pPr>
        <w:spacing w:after="0" w:line="20" w:lineRule="exact"/>
        <w:rPr>
          <w:sz w:val="24"/>
          <w:szCs w:val="24"/>
          <w:color w:val="auto"/>
        </w:rPr>
      </w:pPr>
      <w:r>
        <w:rPr>
          <w:sz w:val="24"/>
          <w:szCs w:val="24"/>
          <w:color w:val="auto"/>
        </w:rPr>
        <w:br w:type="column"/>
      </w:r>
    </w:p>
    <w:p>
      <w:pPr>
        <w:spacing w:after="0" w:line="23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51-0350842</w:t>
      </w:r>
    </w:p>
    <w:p>
      <w:pPr>
        <w:spacing w:after="0" w:line="90" w:lineRule="exact"/>
        <w:rPr>
          <w:sz w:val="24"/>
          <w:szCs w:val="24"/>
          <w:color w:val="auto"/>
        </w:rPr>
      </w:pPr>
    </w:p>
    <w:p>
      <w:pPr>
        <w:sectPr>
          <w:pgSz w:w="11900" w:h="16838" w:orient="portrait"/>
          <w:cols w:equalWidth="0" w:num="3">
            <w:col w:w="4380" w:space="720"/>
            <w:col w:w="2940" w:space="720"/>
            <w:col w:w="2440"/>
          </w:cols>
          <w:pgMar w:left="320" w:top="1440" w:right="379" w:bottom="1440" w:gutter="0" w:footer="0" w:header="0"/>
          <w:type w:val="continuous"/>
        </w:sectPr>
      </w:pPr>
    </w:p>
    <w:p>
      <w:pPr>
        <w:ind w:left="880"/>
        <w:spacing w:after="0"/>
        <w:rPr>
          <w:sz w:val="20"/>
          <w:szCs w:val="20"/>
          <w:color w:val="auto"/>
        </w:rPr>
      </w:pPr>
      <w:r>
        <w:rPr>
          <w:rFonts w:ascii="Arial" w:cs="Arial" w:eastAsia="Arial" w:hAnsi="Arial"/>
          <w:sz w:val="16"/>
          <w:szCs w:val="16"/>
          <w:color w:val="auto"/>
        </w:rPr>
        <w:t>(State or other jurisdiction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(Commission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(IRS Employer</w:t>
      </w:r>
    </w:p>
    <w:p>
      <w:pPr>
        <w:spacing w:after="0" w:line="86" w:lineRule="exact"/>
        <w:rPr>
          <w:sz w:val="24"/>
          <w:szCs w:val="24"/>
          <w:color w:val="auto"/>
        </w:rPr>
      </w:pPr>
    </w:p>
    <w:p>
      <w:pPr>
        <w:sectPr>
          <w:pgSz w:w="11900" w:h="16838" w:orient="portrait"/>
          <w:cols w:equalWidth="0" w:num="3">
            <w:col w:w="4300" w:space="720"/>
            <w:col w:w="2900" w:space="720"/>
            <w:col w:w="2560"/>
          </w:cols>
          <w:pgMar w:left="320" w:top="1440" w:right="379" w:bottom="1440" w:gutter="0" w:footer="0" w:header="0"/>
          <w:type w:val="continuous"/>
        </w:sectPr>
      </w:pPr>
    </w:p>
    <w:p>
      <w:pPr>
        <w:ind w:left="1200"/>
        <w:spacing w:after="0"/>
        <w:rPr>
          <w:sz w:val="20"/>
          <w:szCs w:val="20"/>
          <w:color w:val="auto"/>
        </w:rPr>
      </w:pPr>
      <w:r>
        <w:rPr>
          <w:rFonts w:ascii="Arial" w:cs="Arial" w:eastAsia="Arial" w:hAnsi="Arial"/>
          <w:sz w:val="16"/>
          <w:szCs w:val="16"/>
          <w:color w:val="auto"/>
        </w:rPr>
        <w:t>of incorporation)</w:t>
      </w:r>
    </w:p>
    <w:p>
      <w:pPr>
        <w:spacing w:after="0" w:line="20" w:lineRule="exact"/>
        <w:rPr>
          <w:sz w:val="24"/>
          <w:szCs w:val="24"/>
          <w:color w:val="auto"/>
        </w:rPr>
      </w:pPr>
      <w:r>
        <w:rPr>
          <w:sz w:val="24"/>
          <w:szCs w:val="24"/>
          <w:color w:val="auto"/>
        </w:rPr>
        <w:br w:type="column"/>
      </w:r>
    </w:p>
    <w:p>
      <w:pPr>
        <w:jc w:val="center"/>
        <w:ind w:right="182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7"/>
          <w:szCs w:val="17"/>
          <w:color w:val="auto"/>
        </w:rPr>
        <w:t>Identification No.)</w:t>
      </w:r>
    </w:p>
    <w:p>
      <w:pPr>
        <w:spacing w:after="0" w:line="200" w:lineRule="exact"/>
        <w:rPr>
          <w:sz w:val="24"/>
          <w:szCs w:val="24"/>
          <w:color w:val="auto"/>
        </w:rPr>
      </w:pPr>
    </w:p>
    <w:p>
      <w:pPr>
        <w:sectPr>
          <w:pgSz w:w="11900" w:h="16838" w:orient="portrait"/>
          <w:cols w:equalWidth="0" w:num="3">
            <w:col w:w="4280" w:space="720"/>
            <w:col w:w="2800" w:space="720"/>
            <w:col w:w="2680"/>
          </w:cols>
          <w:pgMar w:left="320" w:top="1440" w:right="379" w:bottom="1440" w:gutter="0" w:footer="0" w:header="0"/>
          <w:type w:val="continuous"/>
        </w:sectPr>
      </w:pPr>
    </w:p>
    <w:p>
      <w:pPr>
        <w:spacing w:after="0" w:line="100" w:lineRule="exact"/>
        <w:rPr>
          <w:sz w:val="24"/>
          <w:szCs w:val="24"/>
          <w:color w:val="auto"/>
        </w:rPr>
      </w:pPr>
    </w:p>
    <w:p>
      <w:pPr>
        <w:ind w:left="1480"/>
        <w:spacing w:after="0"/>
        <w:tabs>
          <w:tab w:leader="none" w:pos="3240" w:val="left"/>
          <w:tab w:leader="none" w:pos="4240" w:val="left"/>
        </w:tabs>
        <w:rPr>
          <w:sz w:val="20"/>
          <w:szCs w:val="20"/>
          <w:color w:val="auto"/>
        </w:rPr>
      </w:pPr>
      <w:r>
        <w:rPr>
          <w:rFonts w:ascii="Arial" w:cs="Arial" w:eastAsia="Arial" w:hAnsi="Arial"/>
          <w:sz w:val="18"/>
          <w:szCs w:val="18"/>
          <w:b w:val="1"/>
          <w:bCs w:val="1"/>
          <w:color w:val="auto"/>
        </w:rPr>
        <w:t>110 West 44th Street,</w:t>
        <w:tab/>
        <w:t>New York,</w:t>
      </w:r>
      <w:r>
        <w:rPr>
          <w:sz w:val="20"/>
          <w:szCs w:val="20"/>
          <w:color w:val="auto"/>
        </w:rPr>
        <w:tab/>
      </w:r>
      <w:r>
        <w:rPr>
          <w:rFonts w:ascii="Arial" w:cs="Arial" w:eastAsia="Arial" w:hAnsi="Arial"/>
          <w:sz w:val="16"/>
          <w:szCs w:val="16"/>
          <w:b w:val="1"/>
          <w:bCs w:val="1"/>
          <w:color w:val="auto"/>
        </w:rPr>
        <w:t>New York</w:t>
      </w:r>
    </w:p>
    <w:p>
      <w:pPr>
        <w:spacing w:after="0" w:line="20" w:lineRule="exact"/>
        <w:rPr>
          <w:sz w:val="24"/>
          <w:szCs w:val="24"/>
          <w:color w:val="auto"/>
        </w:rPr>
      </w:pPr>
      <w:r>
        <w:rPr>
          <w:sz w:val="24"/>
          <w:szCs w:val="24"/>
          <w:color w:val="auto"/>
        </w:rPr>
        <w:br w:type="column"/>
      </w:r>
    </w:p>
    <w:p>
      <w:pPr>
        <w:spacing w:after="0" w:line="80"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10036</w:t>
      </w:r>
    </w:p>
    <w:p>
      <w:pPr>
        <w:spacing w:after="0" w:line="101" w:lineRule="exact"/>
        <w:rPr>
          <w:sz w:val="24"/>
          <w:szCs w:val="24"/>
          <w:color w:val="auto"/>
        </w:rPr>
      </w:pPr>
    </w:p>
    <w:p>
      <w:pPr>
        <w:sectPr>
          <w:pgSz w:w="11900" w:h="16838" w:orient="portrait"/>
          <w:cols w:equalWidth="0" w:num="2">
            <w:col w:w="6540" w:space="720"/>
            <w:col w:w="3940"/>
          </w:cols>
          <w:pgMar w:left="320" w:top="1440" w:right="379" w:bottom="1440" w:gutter="0" w:footer="0" w:header="0"/>
          <w:type w:val="continuous"/>
        </w:sectPr>
      </w:pPr>
    </w:p>
    <w:p>
      <w:pPr>
        <w:ind w:left="184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6360" w:space="720"/>
            <w:col w:w="4120"/>
          </w:cols>
          <w:pgMar w:left="320" w:top="1440" w:right="379" w:bottom="1440" w:gutter="0" w:footer="0" w:header="0"/>
          <w:type w:val="continuous"/>
        </w:sectPr>
      </w:pPr>
    </w:p>
    <w:p>
      <w:pPr>
        <w:spacing w:after="0" w:line="260"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(646) 536-2842</w:t>
      </w:r>
    </w:p>
    <w:p>
      <w:pPr>
        <w:spacing w:after="0" w:line="256"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40" w:firstLine="8"/>
        <w:spacing w:after="0" w:line="527"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4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7"/>
              </w:rPr>
              <w:t>Title of each class</w:t>
            </w:r>
          </w:p>
        </w:tc>
        <w:tc>
          <w:tcPr>
            <w:tcW w:w="31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66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660" w:type="dxa"/>
            <w:vAlign w:val="bottom"/>
            <w:tcBorders>
              <w:bottom w:val="single" w:sz="8" w:color="auto"/>
            </w:tcBorders>
          </w:tcPr>
          <w:p>
            <w:pPr>
              <w:spacing w:after="0"/>
              <w:rPr>
                <w:sz w:val="2"/>
                <w:szCs w:val="2"/>
                <w:color w:val="auto"/>
              </w:rPr>
            </w:pPr>
          </w:p>
        </w:tc>
      </w:tr>
      <w:tr>
        <w:trPr>
          <w:trHeight w:val="237"/>
        </w:trPr>
        <w:tc>
          <w:tcPr>
            <w:tcW w:w="3440" w:type="dxa"/>
            <w:vAlign w:val="bottom"/>
            <w:gridSpan w:val="2"/>
          </w:tcPr>
          <w:p>
            <w:pPr>
              <w:jc w:val="center"/>
              <w:ind w:right="80"/>
              <w:spacing w:after="0"/>
              <w:rPr>
                <w:sz w:val="20"/>
                <w:szCs w:val="20"/>
                <w:color w:val="auto"/>
              </w:rPr>
            </w:pPr>
            <w:r>
              <w:rPr>
                <w:rFonts w:ascii="Arial" w:cs="Arial" w:eastAsia="Arial" w:hAnsi="Arial"/>
                <w:sz w:val="18"/>
                <w:szCs w:val="18"/>
                <w:color w:val="auto"/>
                <w:w w:val="90"/>
              </w:rPr>
              <w:t>Common Stock, $0.01 par value</w:t>
            </w:r>
          </w:p>
        </w:tc>
        <w:tc>
          <w:tcPr>
            <w:tcW w:w="3100" w:type="dxa"/>
            <w:vAlign w:val="bottom"/>
            <w:gridSpan w:val="2"/>
          </w:tcPr>
          <w:p>
            <w:pPr>
              <w:jc w:val="center"/>
              <w:ind w:right="100"/>
              <w:spacing w:after="0"/>
              <w:rPr>
                <w:sz w:val="20"/>
                <w:szCs w:val="20"/>
                <w:color w:val="auto"/>
              </w:rPr>
            </w:pPr>
            <w:r>
              <w:rPr>
                <w:rFonts w:ascii="Arial" w:cs="Arial" w:eastAsia="Arial" w:hAnsi="Arial"/>
                <w:sz w:val="18"/>
                <w:szCs w:val="18"/>
                <w:color w:val="auto"/>
                <w:w w:val="98"/>
              </w:rPr>
              <w:t>TTWO</w:t>
            </w:r>
          </w:p>
        </w:tc>
        <w:tc>
          <w:tcPr>
            <w:tcW w:w="4660" w:type="dxa"/>
            <w:vAlign w:val="bottom"/>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215" w:lineRule="exact"/>
        <w:rPr>
          <w:sz w:val="24"/>
          <w:szCs w:val="24"/>
          <w:color w:val="auto"/>
        </w:rPr>
      </w:pPr>
    </w:p>
    <w:p>
      <w:pPr>
        <w:ind w:right="420" w:firstLine="45"/>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712470</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440" w:right="379" w:bottom="1440" w:gutter="0" w:footer="0" w:header="0"/>
          <w:type w:val="continuous"/>
        </w:sectPr>
      </w:pPr>
    </w:p>
    <w:bookmarkStart w:id="1" w:name="page2"/>
    <w:bookmarkEnd w:id="1"/>
    <w:p>
      <w:pPr>
        <w:ind w:left="20"/>
        <w:spacing w:after="0"/>
        <w:tabs>
          <w:tab w:leader="none" w:pos="110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ectPr>
          <w:pgSz w:w="11900" w:h="16838" w:orient="portrait"/>
          <w:cols w:equalWidth="0" w:num="1">
            <w:col w:w="11240"/>
          </w:cols>
          <w:pgMar w:left="320" w:top="1228" w:right="339" w:bottom="1440" w:gutter="0" w:footer="0" w:header="0"/>
        </w:sectPr>
      </w:pPr>
    </w:p>
    <w:p>
      <w:pPr>
        <w:spacing w:after="0" w:line="35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On November 3, 2021, Take-Two Interactive Software, Company for its second fiscal quarter ended September 30, 2021. incorporated by reference herein.</w:t>
      </w:r>
    </w:p>
    <w:p>
      <w:pPr>
        <w:spacing w:after="0" w:line="20" w:lineRule="exact"/>
        <w:rPr>
          <w:sz w:val="20"/>
          <w:szCs w:val="20"/>
          <w:color w:val="auto"/>
        </w:rPr>
      </w:pPr>
      <w:r>
        <w:rPr>
          <w:sz w:val="20"/>
          <w:szCs w:val="20"/>
          <w:color w:val="auto"/>
        </w:rPr>
        <w:br w:type="column"/>
      </w:r>
    </w:p>
    <w:p>
      <w:pPr>
        <w:spacing w:after="0" w:line="331" w:lineRule="exact"/>
        <w:rPr>
          <w:sz w:val="20"/>
          <w:szCs w:val="20"/>
          <w:color w:val="auto"/>
        </w:rPr>
      </w:pPr>
    </w:p>
    <w:p>
      <w:pPr>
        <w:jc w:val="right"/>
        <w:spacing w:after="0" w:line="308" w:lineRule="auto"/>
        <w:rPr>
          <w:sz w:val="20"/>
          <w:szCs w:val="20"/>
          <w:color w:val="auto"/>
        </w:rPr>
      </w:pPr>
      <w:r>
        <w:rPr>
          <w:rFonts w:ascii="Arial" w:cs="Arial" w:eastAsia="Arial" w:hAnsi="Arial"/>
          <w:sz w:val="17"/>
          <w:szCs w:val="17"/>
          <w:color w:val="auto"/>
        </w:rPr>
        <w:t>Inc. (the “Company”) issued a press release announcing the financial results of the A copy of the press release is attached to this Current Report as Exhibit 99.1 and is</w:t>
      </w:r>
    </w:p>
    <w:p>
      <w:pPr>
        <w:spacing w:after="0" w:line="362" w:lineRule="exact"/>
        <w:rPr>
          <w:sz w:val="20"/>
          <w:szCs w:val="20"/>
          <w:color w:val="auto"/>
        </w:rPr>
      </w:pPr>
    </w:p>
    <w:p>
      <w:pPr>
        <w:sectPr>
          <w:pgSz w:w="11900" w:h="16838" w:orient="portrait"/>
          <w:cols w:equalWidth="0" w:num="2">
            <w:col w:w="4880" w:space="20"/>
            <w:col w:w="6340"/>
          </w:cols>
          <w:pgMar w:left="320" w:top="1228" w:right="339" w:bottom="1440" w:gutter="0" w:footer="0" w:header="0"/>
          <w:type w:val="continuous"/>
        </w:sectPr>
      </w:pPr>
    </w:p>
    <w:p>
      <w:pPr>
        <w:jc w:val="both"/>
        <w:ind w:firstLine="648"/>
        <w:spacing w:after="0" w:line="255" w:lineRule="auto"/>
        <w:rPr>
          <w:sz w:val="20"/>
          <w:szCs w:val="20"/>
          <w:color w:val="auto"/>
        </w:rPr>
      </w:pPr>
      <w:r>
        <w:rPr>
          <w:rFonts w:ascii="Arial" w:cs="Arial" w:eastAsia="Arial" w:hAnsi="Arial"/>
          <w:sz w:val="18"/>
          <w:szCs w:val="18"/>
          <w:color w:val="auto"/>
        </w:rPr>
        <w:t>The information included in this Current Report on Form 8-K, including Exhibit 99.1 hereto, that is furnished pursuant to this Item 2.02 shall not be deemed to be “filed” for the purposes of Section 18 of the Securities Exchange Act of 1934, as amended, or otherwise subject to the liabilities of that section or Sections 11 and 12(a)(2) of the Securities Act of 1933, as amended. In addition, the information included in this Current Report on Form 8-K, including Exhibit 99.1 hereto, that is furnished pursuant to this Item 2.02 shall not be incorporated by reference into any filing of the Company, whether made before or after the date hereof, regardless of any general incorporation language in such filing, unless expressly incorporated by specific reference into such filing.</w:t>
      </w:r>
    </w:p>
    <w:p>
      <w:pPr>
        <w:spacing w:after="0" w:line="269"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00" w:lineRule="exact"/>
        <w:rPr>
          <w:sz w:val="20"/>
          <w:szCs w:val="20"/>
          <w:color w:val="auto"/>
        </w:rPr>
      </w:pPr>
    </w:p>
    <w:p>
      <w:pPr>
        <w:spacing w:after="0" w:line="205" w:lineRule="exact"/>
        <w:rPr>
          <w:sz w:val="20"/>
          <w:szCs w:val="20"/>
          <w:color w:val="auto"/>
        </w:rPr>
      </w:pPr>
    </w:p>
    <w:p>
      <w:pPr>
        <w:ind w:left="1120" w:hanging="670"/>
        <w:spacing w:after="0"/>
        <w:tabs>
          <w:tab w:leader="none" w:pos="11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333" w:lineRule="exact"/>
        <w:rPr>
          <w:rFonts w:ascii="Arial" w:cs="Arial" w:eastAsia="Arial" w:hAnsi="Arial"/>
          <w:sz w:val="18"/>
          <w:szCs w:val="18"/>
          <w:color w:val="auto"/>
        </w:rPr>
      </w:pPr>
    </w:p>
    <w:p>
      <w:pPr>
        <w:ind w:left="1680" w:right="560" w:hanging="567"/>
        <w:spacing w:after="0" w:line="277" w:lineRule="auto"/>
        <w:rPr>
          <w:rFonts w:ascii="Arial" w:cs="Arial" w:eastAsia="Arial" w:hAnsi="Arial"/>
          <w:sz w:val="18"/>
          <w:szCs w:val="18"/>
          <w:u w:val="single" w:color="auto"/>
          <w:color w:val="0000FF"/>
        </w:rPr>
      </w:pPr>
      <w:r>
        <w:rPr>
          <w:rFonts w:ascii="Arial" w:cs="Arial" w:eastAsia="Arial" w:hAnsi="Arial"/>
          <w:sz w:val="18"/>
          <w:szCs w:val="18"/>
          <w:u w:val="single" w:color="auto"/>
          <w:color w:val="0000FF"/>
        </w:rPr>
        <w:t xml:space="preserve">99.1 </w:t>
      </w:r>
      <w:hyperlink w:anchor="page4">
        <w:r>
          <w:rPr>
            <w:rFonts w:ascii="Arial" w:cs="Arial" w:eastAsia="Arial" w:hAnsi="Arial"/>
            <w:sz w:val="18"/>
            <w:szCs w:val="18"/>
            <w:u w:val="single" w:color="auto"/>
            <w:color w:val="0000FF"/>
          </w:rPr>
          <w:t>Press Release dated November 3, 2021 relating to Take-Two Interactive Software, Inc.’s financial results for its second fiscal</w:t>
        </w:r>
      </w:hyperlink>
      <w:r>
        <w:rPr>
          <w:rFonts w:ascii="Arial" w:cs="Arial" w:eastAsia="Arial" w:hAnsi="Arial"/>
          <w:sz w:val="18"/>
          <w:szCs w:val="18"/>
          <w:u w:val="single" w:color="auto"/>
          <w:color w:val="0000FF"/>
        </w:rPr>
        <w:t xml:space="preserve"> </w:t>
      </w:r>
      <w:hyperlink w:anchor="page4">
        <w:r>
          <w:rPr>
            <w:rFonts w:ascii="Arial" w:cs="Arial" w:eastAsia="Arial" w:hAnsi="Arial"/>
            <w:sz w:val="18"/>
            <w:szCs w:val="18"/>
            <w:u w:val="single" w:color="auto"/>
            <w:color w:val="0000FF"/>
          </w:rPr>
          <w:t>quarter ended September 30, 2021</w:t>
        </w:r>
      </w:hyperlink>
    </w:p>
    <w:p>
      <w:pPr>
        <w:spacing w:after="0" w:line="8" w:lineRule="exact"/>
        <w:rPr>
          <w:rFonts w:ascii="Arial" w:cs="Arial" w:eastAsia="Arial" w:hAnsi="Arial"/>
          <w:sz w:val="18"/>
          <w:szCs w:val="18"/>
          <w:u w:val="single" w:color="auto"/>
          <w:color w:val="0000FF"/>
        </w:rPr>
      </w:pPr>
    </w:p>
    <w:p>
      <w:pPr>
        <w:ind w:left="1120"/>
        <w:spacing w:after="0"/>
        <w:rPr>
          <w:rFonts w:ascii="Arial" w:cs="Arial" w:eastAsia="Arial" w:hAnsi="Arial"/>
          <w:sz w:val="18"/>
          <w:szCs w:val="18"/>
          <w:u w:val="single" w:color="auto"/>
          <w:color w:val="0000FF"/>
        </w:rPr>
      </w:pPr>
      <w:r>
        <w:rPr>
          <w:rFonts w:ascii="Arial" w:cs="Arial" w:eastAsia="Arial" w:hAnsi="Arial"/>
          <w:sz w:val="18"/>
          <w:szCs w:val="18"/>
          <w:color w:val="auto"/>
        </w:rPr>
        <w:t>104   Cover Page Interactive Data File (embedded within the Inline XBRL document)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30" w:lineRule="exact"/>
        <w:rPr>
          <w:rFonts w:ascii="Arial" w:cs="Arial" w:eastAsia="Arial" w:hAnsi="Arial"/>
          <w:sz w:val="18"/>
          <w:szCs w:val="18"/>
          <w:color w:val="auto"/>
        </w:rPr>
      </w:pPr>
    </w:p>
    <w:p>
      <w:pPr>
        <w:jc w:val="center"/>
        <w:ind w:right="-19"/>
        <w:spacing w:after="0"/>
        <w:rPr>
          <w:sz w:val="20"/>
          <w:szCs w:val="20"/>
          <w:color w:val="auto"/>
        </w:rPr>
      </w:pPr>
      <w:r>
        <w:rPr>
          <w:rFonts w:ascii="Arial" w:cs="Arial" w:eastAsia="Arial" w:hAnsi="Arial"/>
          <w:sz w:val="22"/>
          <w:szCs w:val="22"/>
          <w:color w:val="auto"/>
        </w:rPr>
        <w:t>2</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-6985</wp:posOffset>
            </wp:positionH>
            <wp:positionV relativeFrom="paragraph">
              <wp:posOffset>62865</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28" w:right="339" w:bottom="1440" w:gutter="0" w:footer="0" w:header="0"/>
          <w:type w:val="continuous"/>
        </w:sectPr>
      </w:pPr>
    </w:p>
    <w:bookmarkStart w:id="2" w:name="page3"/>
    <w:bookmarkEnd w:id="2"/>
    <w:p>
      <w:pPr>
        <w:jc w:val="center"/>
        <w:ind w:right="-259"/>
        <w:spacing w:after="0"/>
        <w:rPr>
          <w:sz w:val="20"/>
          <w:szCs w:val="20"/>
          <w:color w:val="auto"/>
        </w:rPr>
      </w:pPr>
      <w:r>
        <w:rPr>
          <w:rFonts w:ascii="Arial" w:cs="Arial" w:eastAsia="Arial" w:hAnsi="Arial"/>
          <w:sz w:val="18"/>
          <w:szCs w:val="18"/>
          <w:color w:val="auto"/>
        </w:rPr>
        <w:t>SIGNATURES</w:t>
      </w:r>
    </w:p>
    <w:p>
      <w:pPr>
        <w:spacing w:after="0" w:line="333"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24"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TAKE-TWO INTERACTIVE SOFTWARE, INC.</w:t>
      </w:r>
    </w:p>
    <w:p>
      <w:pPr>
        <w:spacing w:after="0" w:line="6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540"/>
        <w:spacing w:after="0"/>
        <w:tabs>
          <w:tab w:leader="none" w:pos="61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Matthew Breitman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3914140</wp:posOffset>
            </wp:positionH>
            <wp:positionV relativeFrom="paragraph">
              <wp:posOffset>31750</wp:posOffset>
            </wp:positionV>
            <wp:extent cx="32232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23260" cy="8255"/>
                    </a:xfrm>
                    <a:prstGeom prst="rect">
                      <a:avLst/>
                    </a:prstGeom>
                    <a:noFill/>
                  </pic:spPr>
                </pic:pic>
              </a:graphicData>
            </a:graphic>
          </wp:anchor>
        </w:drawing>
      </w:r>
    </w:p>
    <w:p>
      <w:pPr>
        <w:spacing w:after="0" w:line="57"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Matthew Breitman</w:t>
      </w:r>
    </w:p>
    <w:p>
      <w:pPr>
        <w:spacing w:after="0" w:line="6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Senior Vice President, General Counsel Americas</w:t>
      </w:r>
    </w:p>
    <w:p>
      <w:pPr>
        <w:spacing w:after="0" w:line="23"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&amp; Corporate Secretary</w:t>
      </w:r>
    </w:p>
    <w:p>
      <w:pPr>
        <w:spacing w:after="0" w:line="200" w:lineRule="exact"/>
        <w:rPr>
          <w:sz w:val="20"/>
          <w:szCs w:val="20"/>
          <w:color w:val="auto"/>
        </w:rPr>
      </w:pPr>
    </w:p>
    <w:p>
      <w:pPr>
        <w:spacing w:after="0" w:line="389"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November 3,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25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0980"/>
          </w:cols>
          <w:pgMar w:left="320" w:top="1178" w:right="5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203200</wp:posOffset>
            </wp:positionV>
            <wp:extent cx="1268730" cy="12687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8730" cy="12687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4840"/>
        <w:spacing w:after="0"/>
        <w:rPr>
          <w:sz w:val="20"/>
          <w:szCs w:val="20"/>
          <w:color w:val="auto"/>
        </w:rPr>
      </w:pPr>
      <w:r>
        <w:rPr>
          <w:rFonts w:ascii="Arial" w:cs="Arial" w:eastAsia="Arial" w:hAnsi="Arial"/>
          <w:sz w:val="18"/>
          <w:szCs w:val="18"/>
          <w:color w:val="auto"/>
        </w:rPr>
        <w:t>FOR IMMEDIATE RELEASE</w:t>
      </w:r>
    </w:p>
    <w:p>
      <w:pPr>
        <w:spacing w:after="0" w:line="14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CONTACT:</w:t>
      </w:r>
    </w:p>
    <w:p>
      <w:pPr>
        <w:spacing w:after="0" w:line="234"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color w:val="auto"/>
        </w:rPr>
        <w:t>(Investor Relations)</w:t>
      </w:r>
      <w:r>
        <w:rPr>
          <w:sz w:val="20"/>
          <w:szCs w:val="20"/>
          <w:color w:val="auto"/>
        </w:rPr>
        <w:tab/>
      </w:r>
      <w:r>
        <w:rPr>
          <w:rFonts w:ascii="Arial" w:cs="Arial" w:eastAsia="Arial" w:hAnsi="Arial"/>
          <w:sz w:val="17"/>
          <w:szCs w:val="17"/>
          <w:color w:val="auto"/>
        </w:rPr>
        <w:t>(Corporate Press)</w:t>
      </w:r>
    </w:p>
    <w:p>
      <w:pPr>
        <w:spacing w:after="0" w:line="63"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color w:val="auto"/>
        </w:rPr>
        <w:t>Nicole Shevins</w:t>
      </w:r>
      <w:r>
        <w:rPr>
          <w:sz w:val="20"/>
          <w:szCs w:val="20"/>
          <w:color w:val="auto"/>
        </w:rPr>
        <w:tab/>
      </w:r>
      <w:r>
        <w:rPr>
          <w:rFonts w:ascii="Arial" w:cs="Arial" w:eastAsia="Arial" w:hAnsi="Arial"/>
          <w:sz w:val="17"/>
          <w:szCs w:val="17"/>
          <w:color w:val="auto"/>
        </w:rPr>
        <w:t>Alan Lewis</w:t>
      </w:r>
    </w:p>
    <w:p>
      <w:pPr>
        <w:spacing w:after="0" w:line="63"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color w:val="auto"/>
        </w:rPr>
        <w:t>Senior Vice President</w:t>
      </w:r>
      <w:r>
        <w:rPr>
          <w:sz w:val="20"/>
          <w:szCs w:val="20"/>
          <w:color w:val="auto"/>
        </w:rPr>
        <w:tab/>
      </w:r>
      <w:r>
        <w:rPr>
          <w:rFonts w:ascii="Arial" w:cs="Arial" w:eastAsia="Arial" w:hAnsi="Arial"/>
          <w:sz w:val="17"/>
          <w:szCs w:val="17"/>
          <w:color w:val="auto"/>
        </w:rPr>
        <w:t>Vice President</w:t>
      </w:r>
    </w:p>
    <w:p>
      <w:pPr>
        <w:spacing w:after="0" w:line="63"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color w:val="auto"/>
        </w:rPr>
        <w:t>Investor Relations &amp; Corporate Communications</w:t>
      </w:r>
      <w:r>
        <w:rPr>
          <w:sz w:val="20"/>
          <w:szCs w:val="20"/>
          <w:color w:val="auto"/>
        </w:rPr>
        <w:tab/>
      </w:r>
      <w:r>
        <w:rPr>
          <w:rFonts w:ascii="Arial" w:cs="Arial" w:eastAsia="Arial" w:hAnsi="Arial"/>
          <w:sz w:val="17"/>
          <w:szCs w:val="17"/>
          <w:color w:val="auto"/>
        </w:rPr>
        <w:t>Corporate Communications &amp; Public Affairs</w:t>
      </w:r>
    </w:p>
    <w:p>
      <w:pPr>
        <w:spacing w:after="0" w:line="41"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b w:val="1"/>
          <w:bCs w:val="1"/>
          <w:color w:val="auto"/>
        </w:rPr>
        <w:t>Take-Two Interactive Software, Inc.</w:t>
      </w:r>
      <w:r>
        <w:rPr>
          <w:sz w:val="20"/>
          <w:szCs w:val="20"/>
          <w:color w:val="auto"/>
        </w:rPr>
        <w:tab/>
      </w:r>
      <w:r>
        <w:rPr>
          <w:rFonts w:ascii="Arial" w:cs="Arial" w:eastAsia="Arial" w:hAnsi="Arial"/>
          <w:sz w:val="17"/>
          <w:szCs w:val="17"/>
          <w:b w:val="1"/>
          <w:bCs w:val="1"/>
          <w:color w:val="auto"/>
        </w:rPr>
        <w:t>Take-Two Interactive Software, Inc.</w:t>
      </w:r>
    </w:p>
    <w:p>
      <w:pPr>
        <w:spacing w:after="0" w:line="85"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color w:val="auto"/>
        </w:rPr>
        <w:t>(646) 536-3005</w:t>
      </w:r>
      <w:r>
        <w:rPr>
          <w:sz w:val="20"/>
          <w:szCs w:val="20"/>
          <w:color w:val="auto"/>
        </w:rPr>
        <w:tab/>
      </w:r>
      <w:r>
        <w:rPr>
          <w:rFonts w:ascii="Arial" w:cs="Arial" w:eastAsia="Arial" w:hAnsi="Arial"/>
          <w:sz w:val="17"/>
          <w:szCs w:val="17"/>
          <w:color w:val="auto"/>
        </w:rPr>
        <w:t>(646) 536-2983</w:t>
      </w:r>
    </w:p>
    <w:p>
      <w:pPr>
        <w:spacing w:after="0" w:line="63" w:lineRule="exact"/>
        <w:rPr>
          <w:sz w:val="20"/>
          <w:szCs w:val="20"/>
          <w:color w:val="auto"/>
        </w:rPr>
      </w:pPr>
    </w:p>
    <w:p>
      <w:pPr>
        <w:ind w:left="20"/>
        <w:spacing w:after="0"/>
        <w:tabs>
          <w:tab w:leader="none" w:pos="4840" w:val="left"/>
        </w:tabs>
        <w:rPr>
          <w:sz w:val="20"/>
          <w:szCs w:val="20"/>
          <w:color w:val="auto"/>
        </w:rPr>
      </w:pPr>
      <w:r>
        <w:rPr>
          <w:rFonts w:ascii="Arial" w:cs="Arial" w:eastAsia="Arial" w:hAnsi="Arial"/>
          <w:sz w:val="18"/>
          <w:szCs w:val="18"/>
          <w:color w:val="auto"/>
        </w:rPr>
        <w:t>Nicole.Shevins@take2games.com</w:t>
      </w:r>
      <w:r>
        <w:rPr>
          <w:sz w:val="20"/>
          <w:szCs w:val="20"/>
          <w:color w:val="auto"/>
        </w:rPr>
        <w:tab/>
      </w:r>
      <w:r>
        <w:rPr>
          <w:rFonts w:ascii="Arial" w:cs="Arial" w:eastAsia="Arial" w:hAnsi="Arial"/>
          <w:sz w:val="18"/>
          <w:szCs w:val="18"/>
          <w:color w:val="auto"/>
        </w:rPr>
        <w:t>Alan.Lewis@take2games.com</w:t>
      </w: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Take-Two Interactive Software, Inc. Reports Strong Results for Fiscal Second Quarter 2022</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GAAP net revenue increased 2% to $858.2 million</w:t>
      </w: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GAAP net income per diluted share was $0.09</w:t>
      </w: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GAAP net cash provided by operating activities for the six-months ended September 30, 2021 was $283.7 million</w:t>
      </w:r>
    </w:p>
    <w:p>
      <w:pPr>
        <w:spacing w:after="0" w:line="243" w:lineRule="exact"/>
        <w:rPr>
          <w:sz w:val="20"/>
          <w:szCs w:val="20"/>
          <w:color w:val="auto"/>
        </w:rPr>
      </w:pPr>
    </w:p>
    <w:p>
      <w:pPr>
        <w:jc w:val="center"/>
        <w:ind w:left="340" w:right="880"/>
        <w:spacing w:after="0" w:line="267" w:lineRule="auto"/>
        <w:rPr>
          <w:sz w:val="20"/>
          <w:szCs w:val="20"/>
          <w:color w:val="auto"/>
        </w:rPr>
      </w:pPr>
      <w:r>
        <w:rPr>
          <w:rFonts w:ascii="Arial" w:cs="Arial" w:eastAsia="Arial" w:hAnsi="Arial"/>
          <w:sz w:val="20"/>
          <w:szCs w:val="20"/>
          <w:i w:val="1"/>
          <w:iCs w:val="1"/>
          <w:color w:val="auto"/>
        </w:rPr>
        <w:t>Adjusted Unrestricted Operating Cash Flow (Non-GAAP) for the six-months ended September 30, 2021 was $56.1 million</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Net Bookings increased 3% to $984.9 million</w:t>
      </w: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Company raises its Net Bookings outlook for fiscal year 2022 to $3.3 to $3.4 billion</w:t>
      </w:r>
    </w:p>
    <w:p>
      <w:pPr>
        <w:spacing w:after="0" w:line="243"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Company repurchased 1.26 million shares of common stock for approximately $200 million at an average share price of $158.67</w:t>
      </w:r>
    </w:p>
    <w:p>
      <w:pPr>
        <w:spacing w:after="0" w:line="200" w:lineRule="exact"/>
        <w:rPr>
          <w:sz w:val="20"/>
          <w:szCs w:val="20"/>
          <w:color w:val="auto"/>
        </w:rPr>
      </w:pPr>
    </w:p>
    <w:p>
      <w:pPr>
        <w:spacing w:after="0" w:line="298" w:lineRule="exact"/>
        <w:rPr>
          <w:sz w:val="20"/>
          <w:szCs w:val="20"/>
          <w:color w:val="auto"/>
        </w:rPr>
      </w:pPr>
    </w:p>
    <w:p>
      <w:pPr>
        <w:spacing w:after="0" w:line="262" w:lineRule="auto"/>
        <w:rPr>
          <w:sz w:val="20"/>
          <w:szCs w:val="20"/>
          <w:color w:val="auto"/>
        </w:rPr>
      </w:pPr>
      <w:r>
        <w:rPr>
          <w:rFonts w:ascii="Arial" w:cs="Arial" w:eastAsia="Arial" w:hAnsi="Arial"/>
          <w:sz w:val="18"/>
          <w:szCs w:val="18"/>
          <w:b w:val="1"/>
          <w:bCs w:val="1"/>
          <w:u w:val="single" w:color="auto"/>
          <w:color w:val="auto"/>
        </w:rPr>
        <w:t>New York, NY – November 3, 2021</w:t>
      </w:r>
      <w:r>
        <w:rPr>
          <w:rFonts w:ascii="Arial" w:cs="Arial" w:eastAsia="Arial" w:hAnsi="Arial"/>
          <w:sz w:val="18"/>
          <w:szCs w:val="18"/>
          <w:b w:val="1"/>
          <w:bCs w:val="1"/>
          <w:color w:val="auto"/>
        </w:rPr>
        <w:t xml:space="preserve"> </w:t>
      </w:r>
      <w:r>
        <w:rPr>
          <w:rFonts w:ascii="Arial" w:cs="Arial" w:eastAsia="Arial" w:hAnsi="Arial"/>
          <w:sz w:val="18"/>
          <w:szCs w:val="18"/>
          <w:color w:val="auto"/>
        </w:rPr>
        <w:t>– Take-Two Interactive Software, Inc. (NASDAQ:TTWO) today reported strong results for the second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quarter of its fiscal year 2022, ending September 30, 2021. In addition, the Company raised its outlook for the fiscal year 2022, ending March 31, 2022, and provided its initial outlook for the third quarter of its fiscal year 2022, ending December 31, 2021. For further information, please see the second quarter fiscal 2022 results slide deck posted to the Company’s investor relations website at </w:t>
      </w:r>
      <w:r>
        <w:rPr>
          <w:rFonts w:ascii="Arial" w:cs="Arial" w:eastAsia="Arial" w:hAnsi="Arial"/>
          <w:sz w:val="18"/>
          <w:szCs w:val="18"/>
          <w:u w:val="single" w:color="auto"/>
          <w:color w:val="0000FF"/>
        </w:rPr>
        <w:t>http://ir.take2games.com</w:t>
      </w:r>
      <w:r>
        <w:rPr>
          <w:rFonts w:ascii="Arial" w:cs="Arial" w:eastAsia="Arial" w:hAnsi="Arial"/>
          <w:sz w:val="18"/>
          <w:szCs w:val="18"/>
          <w:color w:val="auto"/>
        </w:rPr>
        <w:t>.</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Second Quarter Fiscal 2022 Financial Highlights</w:t>
      </w:r>
    </w:p>
    <w:p>
      <w:pPr>
        <w:spacing w:after="0" w:line="274" w:lineRule="exact"/>
        <w:rPr>
          <w:sz w:val="20"/>
          <w:szCs w:val="20"/>
          <w:color w:val="auto"/>
        </w:rPr>
      </w:pPr>
    </w:p>
    <w:p>
      <w:pPr>
        <w:ind w:right="240"/>
        <w:spacing w:after="0" w:line="261" w:lineRule="auto"/>
        <w:rPr>
          <w:sz w:val="20"/>
          <w:szCs w:val="20"/>
          <w:color w:val="auto"/>
        </w:rPr>
      </w:pPr>
      <w:r>
        <w:rPr>
          <w:rFonts w:ascii="Arial" w:cs="Arial" w:eastAsia="Arial" w:hAnsi="Arial"/>
          <w:sz w:val="18"/>
          <w:szCs w:val="18"/>
          <w:color w:val="auto"/>
        </w:rPr>
        <w:t>GAAP net revenue increased 2% to $858.2 million, as compared to $841.1 million in last year’s fiscal second quarter. Recurrent consumer spending (which is generated from ongoing consumer engagement and includes virtual currency, add-on content and</w:t>
      </w:r>
    </w:p>
    <w:p>
      <w:pPr>
        <w:sectPr>
          <w:pgSz w:w="11900" w:h="16838" w:orient="portrait"/>
          <w:cols w:equalWidth="0" w:num="1">
            <w:col w:w="11240"/>
          </w:cols>
          <w:pgMar w:left="320" w:top="935" w:right="339" w:bottom="1440" w:gutter="0" w:footer="0" w:header="0"/>
        </w:sectPr>
      </w:pP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11240"/>
          </w:cols>
          <w:pgMar w:left="320" w:top="935" w:right="339" w:bottom="1440" w:gutter="0" w:footer="0" w:header="0"/>
          <w:type w:val="continuous"/>
        </w:sectPr>
      </w:pPr>
    </w:p>
    <w:bookmarkStart w:id="4" w:name="page5"/>
    <w:bookmarkEnd w:id="4"/>
    <w:p>
      <w:pPr>
        <w:ind w:right="60"/>
        <w:spacing w:after="0" w:line="254" w:lineRule="auto"/>
        <w:rPr>
          <w:sz w:val="20"/>
          <w:szCs w:val="20"/>
          <w:color w:val="auto"/>
        </w:rPr>
      </w:pPr>
      <w:r>
        <w:rPr>
          <w:rFonts w:ascii="Arial" w:cs="Arial" w:eastAsia="Arial" w:hAnsi="Arial"/>
          <w:sz w:val="18"/>
          <w:szCs w:val="18"/>
          <w:color w:val="auto"/>
        </w:rPr>
        <w:t xml:space="preserve">in-game purchases) increased 8% and accounted for 66% of total GAAP net revenue. Digitally-delivered GAAP net revenue increased 7% to $779.1 million, as compared to $ 725.7 million in last year’s fiscal second quarter, and accounted for 91% of total GAAP net revenue. The largest contributors to GAAP net revenue were </w:t>
      </w:r>
      <w:r>
        <w:rPr>
          <w:rFonts w:ascii="Arial" w:cs="Arial" w:eastAsia="Arial" w:hAnsi="Arial"/>
          <w:sz w:val="18"/>
          <w:szCs w:val="18"/>
          <w:i w:val="1"/>
          <w:iCs w:val="1"/>
          <w:color w:val="auto"/>
        </w:rPr>
        <w:t>NBA® 2K22</w:t>
      </w:r>
      <w:r>
        <w:rPr>
          <w:rFonts w:ascii="Arial" w:cs="Arial" w:eastAsia="Arial" w:hAnsi="Arial"/>
          <w:sz w:val="18"/>
          <w:szCs w:val="18"/>
          <w:color w:val="auto"/>
        </w:rPr>
        <w:t xml:space="preserve"> and </w:t>
      </w:r>
      <w:r>
        <w:rPr>
          <w:rFonts w:ascii="Arial" w:cs="Arial" w:eastAsia="Arial" w:hAnsi="Arial"/>
          <w:sz w:val="18"/>
          <w:szCs w:val="18"/>
          <w:i w:val="1"/>
          <w:iCs w:val="1"/>
          <w:color w:val="auto"/>
        </w:rPr>
        <w:t>NBA 2K21</w:t>
      </w:r>
      <w:r>
        <w:rPr>
          <w:rFonts w:ascii="Arial" w:cs="Arial" w:eastAsia="Arial" w:hAnsi="Arial"/>
          <w:sz w:val="18"/>
          <w:szCs w:val="18"/>
          <w:color w:val="auto"/>
        </w:rPr>
        <w:t xml:space="preserve">;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w:t>
      </w:r>
      <w:r>
        <w:rPr>
          <w:rFonts w:ascii="Arial" w:cs="Arial" w:eastAsia="Arial" w:hAnsi="Arial"/>
          <w:sz w:val="18"/>
          <w:szCs w:val="18"/>
          <w:i w:val="1"/>
          <w:iCs w:val="1"/>
          <w:color w:val="auto"/>
        </w:rPr>
        <w:t>Red Dead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Redemption 2 </w:t>
      </w:r>
      <w:r>
        <w:rPr>
          <w:rFonts w:ascii="Arial" w:cs="Arial" w:eastAsia="Arial" w:hAnsi="Arial"/>
          <w:sz w:val="18"/>
          <w:szCs w:val="18"/>
          <w:color w:val="auto"/>
        </w:rPr>
        <w:t>and</w:t>
      </w:r>
      <w:r>
        <w:rPr>
          <w:rFonts w:ascii="Arial" w:cs="Arial" w:eastAsia="Arial" w:hAnsi="Arial"/>
          <w:sz w:val="18"/>
          <w:szCs w:val="18"/>
          <w:i w:val="1"/>
          <w:iCs w:val="1"/>
          <w:color w:val="auto"/>
        </w:rPr>
        <w:t xml:space="preserve"> Red Dead Online</w:t>
      </w:r>
      <w:r>
        <w:rPr>
          <w:rFonts w:ascii="Arial" w:cs="Arial" w:eastAsia="Arial" w:hAnsi="Arial"/>
          <w:sz w:val="18"/>
          <w:szCs w:val="18"/>
          <w:color w:val="auto"/>
        </w:rPr>
        <w:t>;</w:t>
      </w:r>
      <w:r>
        <w:rPr>
          <w:rFonts w:ascii="Arial" w:cs="Arial" w:eastAsia="Arial" w:hAnsi="Arial"/>
          <w:sz w:val="18"/>
          <w:szCs w:val="18"/>
          <w:i w:val="1"/>
          <w:iCs w:val="1"/>
          <w:color w:val="auto"/>
        </w:rPr>
        <w:t xml:space="preserve"> Borderlands® 3</w:t>
      </w:r>
      <w:r>
        <w:rPr>
          <w:rFonts w:ascii="Arial" w:cs="Arial" w:eastAsia="Arial" w:hAnsi="Arial"/>
          <w:sz w:val="18"/>
          <w:szCs w:val="18"/>
          <w:color w:val="auto"/>
        </w:rPr>
        <w:t>;</w:t>
      </w:r>
      <w:r>
        <w:rPr>
          <w:rFonts w:ascii="Arial" w:cs="Arial" w:eastAsia="Arial" w:hAnsi="Arial"/>
          <w:sz w:val="18"/>
          <w:szCs w:val="18"/>
          <w:i w:val="1"/>
          <w:iCs w:val="1"/>
          <w:color w:val="auto"/>
        </w:rPr>
        <w:t xml:space="preserve"> Two Dots®; Sid Meier’s Civilization® VI</w:t>
      </w:r>
      <w:r>
        <w:rPr>
          <w:rFonts w:ascii="Arial" w:cs="Arial" w:eastAsia="Arial" w:hAnsi="Arial"/>
          <w:sz w:val="18"/>
          <w:szCs w:val="18"/>
          <w:color w:val="auto"/>
        </w:rPr>
        <w:t>; and</w:t>
      </w:r>
      <w:r>
        <w:rPr>
          <w:rFonts w:ascii="Arial" w:cs="Arial" w:eastAsia="Arial" w:hAnsi="Arial"/>
          <w:sz w:val="18"/>
          <w:szCs w:val="18"/>
          <w:i w:val="1"/>
          <w:iCs w:val="1"/>
          <w:color w:val="auto"/>
        </w:rPr>
        <w:t xml:space="preserve"> Dragon City®</w:t>
      </w:r>
      <w:r>
        <w:rPr>
          <w:rFonts w:ascii="Arial" w:cs="Arial" w:eastAsia="Arial" w:hAnsi="Arial"/>
          <w:sz w:val="18"/>
          <w:szCs w:val="18"/>
          <w:color w:val="auto"/>
        </w:rPr>
        <w:t>.</w:t>
      </w:r>
    </w:p>
    <w:p>
      <w:pPr>
        <w:spacing w:after="0" w:line="217" w:lineRule="exact"/>
        <w:rPr>
          <w:sz w:val="20"/>
          <w:szCs w:val="20"/>
          <w:color w:val="auto"/>
        </w:rPr>
      </w:pPr>
    </w:p>
    <w:p>
      <w:pPr>
        <w:ind w:right="80"/>
        <w:spacing w:after="0" w:line="229" w:lineRule="auto"/>
        <w:rPr>
          <w:sz w:val="20"/>
          <w:szCs w:val="20"/>
          <w:color w:val="auto"/>
        </w:rPr>
      </w:pPr>
      <w:r>
        <w:rPr>
          <w:rFonts w:ascii="Arial" w:cs="Arial" w:eastAsia="Arial" w:hAnsi="Arial"/>
          <w:sz w:val="18"/>
          <w:szCs w:val="18"/>
          <w:color w:val="auto"/>
        </w:rPr>
        <w:t>GAAP net income was $10.3 million, or $0.09 per diluted share, as compared to $99.3 million, or $0.86 per diluted share, for the comparable period last year. Cost of goods sold included a $53 million impairment charge related to the Company's decision not to proceed with further development of an unannounced title in its pipeline.</w:t>
      </w:r>
    </w:p>
    <w:p>
      <w:pPr>
        <w:spacing w:after="0" w:line="231"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During the six month-period ended September 30, 2021, GAAP net cash provided by operating activities was $283.7 million, as compared to $626.7 million in the same period last year. During the six month-period ended September 30, 2021, Adjusted Unrestricted Operating Cash Flow (Non-GAAP), which is defined as GAAP net cash from operating activities, adjusted for changes in restricted cash, was $56.1 million, as compared to $536.2 million in the same period last year (please see the section below titled “Non-GAAP Financial Measure” for additional information). As of September 30, 2021, the Company had cash and short-term investments of $2.3 billion.</w:t>
      </w:r>
    </w:p>
    <w:p>
      <w:pPr>
        <w:spacing w:after="0" w:line="232" w:lineRule="exact"/>
        <w:rPr>
          <w:sz w:val="20"/>
          <w:szCs w:val="20"/>
          <w:color w:val="auto"/>
        </w:rPr>
      </w:pPr>
    </w:p>
    <w:p>
      <w:pPr>
        <w:jc w:val="both"/>
        <w:ind w:right="140"/>
        <w:spacing w:after="0" w:line="256" w:lineRule="auto"/>
        <w:rPr>
          <w:sz w:val="20"/>
          <w:szCs w:val="20"/>
          <w:color w:val="auto"/>
        </w:rPr>
      </w:pPr>
      <w:r>
        <w:rPr>
          <w:rFonts w:ascii="Arial" w:cs="Arial" w:eastAsia="Arial" w:hAnsi="Arial"/>
          <w:sz w:val="18"/>
          <w:szCs w:val="18"/>
          <w:color w:val="auto"/>
        </w:rPr>
        <w:t>The following data, together with a management reporting tax rate of 16%, are used internally by the Company’s management and Board of Directors to adjust the Company’s GAAP financial results in order to facilitate comparison of its operating performance between periods and to better understand its core business and future outlook:</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720" w:type="dxa"/>
            <w:vAlign w:val="bottom"/>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780" w:type="dxa"/>
            <w:vAlign w:val="bottom"/>
            <w:tcBorders>
              <w:bottom w:val="single" w:sz="8" w:color="auto"/>
            </w:tcBorders>
            <w:gridSpan w:val="6"/>
          </w:tcPr>
          <w:p>
            <w:pPr>
              <w:ind w:left="300"/>
              <w:spacing w:after="0"/>
              <w:rPr>
                <w:sz w:val="20"/>
                <w:szCs w:val="20"/>
                <w:color w:val="auto"/>
              </w:rPr>
            </w:pPr>
            <w:r>
              <w:rPr>
                <w:rFonts w:ascii="Arial" w:cs="Arial" w:eastAsia="Arial" w:hAnsi="Arial"/>
                <w:sz w:val="14"/>
                <w:szCs w:val="14"/>
                <w:b w:val="1"/>
                <w:bCs w:val="1"/>
                <w:color w:val="auto"/>
              </w:rPr>
              <w:t>Three Months Ended September 30, 2021</w:t>
            </w:r>
          </w:p>
        </w:tc>
        <w:tc>
          <w:tcPr>
            <w:tcW w:w="10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r>
      <w:tr>
        <w:trPr>
          <w:trHeight w:val="209"/>
        </w:trPr>
        <w:tc>
          <w:tcPr>
            <w:tcW w:w="27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500" w:type="dxa"/>
            <w:vAlign w:val="bottom"/>
            <w:tcBorders>
              <w:bottom w:val="single" w:sz="8" w:color="auto"/>
            </w:tcBorders>
            <w:gridSpan w:val="4"/>
          </w:tcPr>
          <w:p>
            <w:pPr>
              <w:ind w:left="480"/>
              <w:spacing w:after="0"/>
              <w:rPr>
                <w:sz w:val="20"/>
                <w:szCs w:val="20"/>
                <w:color w:val="auto"/>
              </w:rPr>
            </w:pPr>
            <w:r>
              <w:rPr>
                <w:rFonts w:ascii="Arial" w:cs="Arial" w:eastAsia="Arial" w:hAnsi="Arial"/>
                <w:sz w:val="14"/>
                <w:szCs w:val="14"/>
                <w:b w:val="1"/>
                <w:bCs w:val="1"/>
                <w:color w:val="auto"/>
              </w:rPr>
              <w:t>Financial Data</w:t>
            </w:r>
          </w:p>
        </w:tc>
        <w:tc>
          <w:tcPr>
            <w:tcW w:w="10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r>
      <w:tr>
        <w:trPr>
          <w:trHeight w:val="175"/>
        </w:trPr>
        <w:tc>
          <w:tcPr>
            <w:tcW w:w="27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6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Change in deferred</w:t>
            </w: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Amortization</w:t>
            </w: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rPr>
              <w:t>Gain (loss) on</w:t>
            </w:r>
          </w:p>
        </w:tc>
      </w:tr>
      <w:tr>
        <w:trPr>
          <w:trHeight w:val="162"/>
        </w:trPr>
        <w:tc>
          <w:tcPr>
            <w:tcW w:w="27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net revenue and</w:t>
            </w: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Impact of</w:t>
            </w:r>
          </w:p>
        </w:tc>
        <w:tc>
          <w:tcPr>
            <w:tcW w:w="120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and impairment</w:t>
            </w:r>
          </w:p>
        </w:tc>
        <w:tc>
          <w:tcPr>
            <w:tcW w:w="1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rPr>
              <w:t>long-term</w:t>
            </w:r>
          </w:p>
        </w:tc>
      </w:tr>
      <w:tr>
        <w:trPr>
          <w:trHeight w:val="162"/>
        </w:trPr>
        <w:tc>
          <w:tcPr>
            <w:tcW w:w="2720" w:type="dxa"/>
            <w:vAlign w:val="bottom"/>
          </w:tcPr>
          <w:p>
            <w:pPr>
              <w:spacing w:after="0"/>
              <w:rPr>
                <w:sz w:val="14"/>
                <w:szCs w:val="14"/>
                <w:color w:val="auto"/>
              </w:rPr>
            </w:pPr>
          </w:p>
        </w:tc>
        <w:tc>
          <w:tcPr>
            <w:tcW w:w="11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Statement of</w:t>
            </w:r>
          </w:p>
        </w:tc>
        <w:tc>
          <w:tcPr>
            <w:tcW w:w="14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related cost of</w:t>
            </w:r>
          </w:p>
        </w:tc>
        <w:tc>
          <w:tcPr>
            <w:tcW w:w="12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Stock-based</w:t>
            </w:r>
          </w:p>
        </w:tc>
        <w:tc>
          <w:tcPr>
            <w:tcW w:w="130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business</w:t>
            </w:r>
          </w:p>
        </w:tc>
        <w:tc>
          <w:tcPr>
            <w:tcW w:w="120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of acquired</w:t>
            </w: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Business</w:t>
            </w: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rPr>
              <w:t>investments,</w:t>
            </w:r>
          </w:p>
        </w:tc>
      </w:tr>
      <w:tr>
        <w:trPr>
          <w:trHeight w:val="196"/>
        </w:trPr>
        <w:tc>
          <w:tcPr>
            <w:tcW w:w="2720" w:type="dxa"/>
            <w:vAlign w:val="bottom"/>
          </w:tcPr>
          <w:p>
            <w:pPr>
              <w:spacing w:after="0"/>
              <w:rPr>
                <w:sz w:val="17"/>
                <w:szCs w:val="17"/>
                <w:color w:val="auto"/>
              </w:rPr>
            </w:pPr>
          </w:p>
        </w:tc>
        <w:tc>
          <w:tcPr>
            <w:tcW w:w="11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Operations</w:t>
            </w:r>
          </w:p>
        </w:tc>
        <w:tc>
          <w:tcPr>
            <w:tcW w:w="146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goods sold</w:t>
            </w:r>
          </w:p>
        </w:tc>
        <w:tc>
          <w:tcPr>
            <w:tcW w:w="12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compensation</w:t>
            </w:r>
          </w:p>
        </w:tc>
        <w:tc>
          <w:tcPr>
            <w:tcW w:w="13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reorganization</w:t>
            </w:r>
          </w:p>
        </w:tc>
        <w:tc>
          <w:tcPr>
            <w:tcW w:w="120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intangibles</w:t>
            </w:r>
          </w:p>
        </w:tc>
        <w:tc>
          <w:tcPr>
            <w:tcW w:w="10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acquisition</w:t>
            </w: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rPr>
              <w:t>net</w:t>
            </w:r>
          </w:p>
        </w:tc>
      </w:tr>
      <w:tr>
        <w:trPr>
          <w:trHeight w:val="215"/>
        </w:trPr>
        <w:tc>
          <w:tcPr>
            <w:tcW w:w="2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revenue</w:t>
            </w:r>
          </w:p>
        </w:tc>
        <w:tc>
          <w:tcPr>
            <w:tcW w:w="1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rPr>
              <w:t>$858,198</w:t>
            </w:r>
          </w:p>
        </w:tc>
        <w:tc>
          <w:tcPr>
            <w:tcW w:w="80" w:type="dxa"/>
            <w:vAlign w:val="bottom"/>
            <w:tcBorders>
              <w:top w:val="single" w:sz="8" w:color="CCEEFF"/>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rPr>
              <w:t>126,654</w:t>
            </w:r>
          </w:p>
        </w:tc>
        <w:tc>
          <w:tcPr>
            <w:tcW w:w="80" w:type="dxa"/>
            <w:vAlign w:val="bottom"/>
            <w:tcBorders>
              <w:top w:val="single" w:sz="8" w:color="CCEEFF"/>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r>
      <w:tr>
        <w:trPr>
          <w:trHeight w:val="210"/>
        </w:trPr>
        <w:tc>
          <w:tcPr>
            <w:tcW w:w="2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Cost of goods sold</w:t>
            </w: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456,682</w:t>
            </w:r>
          </w:p>
        </w:tc>
        <w:tc>
          <w:tcPr>
            <w:tcW w:w="80" w:type="dxa"/>
            <w:vAlign w:val="bottom"/>
            <w:tcBorders>
              <w:bottom w:val="single" w:sz="8" w:color="CCEEFF"/>
            </w:tcBorders>
          </w:tcPr>
          <w:p>
            <w:pPr>
              <w:spacing w:after="0"/>
              <w:rPr>
                <w:sz w:val="18"/>
                <w:szCs w:val="18"/>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8,606</w:t>
            </w:r>
          </w:p>
        </w:tc>
        <w:tc>
          <w:tcPr>
            <w:tcW w:w="8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(10,366)</w:t>
            </w:r>
          </w:p>
        </w:tc>
        <w:tc>
          <w:tcPr>
            <w:tcW w:w="8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(13,985)</w:t>
            </w:r>
          </w:p>
        </w:tc>
        <w:tc>
          <w:tcPr>
            <w:tcW w:w="80" w:type="dxa"/>
            <w:vAlign w:val="bottom"/>
            <w:tcBorders>
              <w:bottom w:val="single" w:sz="8" w:color="CCEEFF"/>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r>
      <w:tr>
        <w:trPr>
          <w:trHeight w:val="215"/>
        </w:trPr>
        <w:tc>
          <w:tcPr>
            <w:tcW w:w="27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Gross profit</w:t>
            </w: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401,516</w:t>
            </w:r>
          </w:p>
        </w:tc>
        <w:tc>
          <w:tcPr>
            <w:tcW w:w="80" w:type="dxa"/>
            <w:vAlign w:val="bottom"/>
            <w:shd w:val="clear" w:color="auto" w:fill="CCEEFF"/>
          </w:tcPr>
          <w:p>
            <w:pPr>
              <w:spacing w:after="0"/>
              <w:rPr>
                <w:sz w:val="18"/>
                <w:szCs w:val="18"/>
                <w:color w:val="auto"/>
              </w:rPr>
            </w:pPr>
          </w:p>
        </w:tc>
        <w:tc>
          <w:tcPr>
            <w:tcW w:w="13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118,048</w:t>
            </w: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08"/>
              <w:spacing w:after="0"/>
              <w:rPr>
                <w:sz w:val="20"/>
                <w:szCs w:val="20"/>
                <w:color w:val="auto"/>
              </w:rPr>
            </w:pPr>
            <w:r>
              <w:rPr>
                <w:rFonts w:ascii="Arial" w:cs="Arial" w:eastAsia="Arial" w:hAnsi="Arial"/>
                <w:sz w:val="14"/>
                <w:szCs w:val="14"/>
                <w:b w:val="1"/>
                <w:bCs w:val="1"/>
                <w:color w:val="auto"/>
              </w:rPr>
              <w:t>10,366</w:t>
            </w:r>
          </w:p>
        </w:tc>
        <w:tc>
          <w:tcPr>
            <w:tcW w:w="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13,985</w:t>
            </w: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10"/>
        </w:trPr>
        <w:tc>
          <w:tcPr>
            <w:tcW w:w="2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Operating expenses</w:t>
            </w: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381,365</w:t>
            </w:r>
          </w:p>
        </w:tc>
        <w:tc>
          <w:tcPr>
            <w:tcW w:w="80" w:type="dxa"/>
            <w:vAlign w:val="bottom"/>
            <w:tcBorders>
              <w:bottom w:val="single" w:sz="8" w:color="CCEEFF"/>
            </w:tcBorders>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(36,810)</w:t>
            </w:r>
          </w:p>
        </w:tc>
        <w:tc>
          <w:tcPr>
            <w:tcW w:w="8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(326)</w:t>
            </w:r>
          </w:p>
        </w:tc>
        <w:tc>
          <w:tcPr>
            <w:tcW w:w="8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(3,811)</w:t>
            </w:r>
          </w:p>
        </w:tc>
        <w:tc>
          <w:tcPr>
            <w:tcW w:w="80" w:type="dxa"/>
            <w:vAlign w:val="bottom"/>
            <w:tcBorders>
              <w:bottom w:val="single" w:sz="8" w:color="CCEEFF"/>
            </w:tcBorders>
          </w:tcPr>
          <w:p>
            <w:pPr>
              <w:spacing w:after="0"/>
              <w:rPr>
                <w:sz w:val="18"/>
                <w:szCs w:val="18"/>
                <w:color w:val="auto"/>
              </w:rPr>
            </w:pPr>
          </w:p>
        </w:tc>
        <w:tc>
          <w:tcPr>
            <w:tcW w:w="10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(23,368)</w:t>
            </w:r>
          </w:p>
        </w:tc>
        <w:tc>
          <w:tcPr>
            <w:tcW w:w="8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r>
      <w:tr>
        <w:trPr>
          <w:trHeight w:val="215"/>
        </w:trPr>
        <w:tc>
          <w:tcPr>
            <w:tcW w:w="27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Income from operations</w:t>
            </w: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20,151</w:t>
            </w:r>
          </w:p>
        </w:tc>
        <w:tc>
          <w:tcPr>
            <w:tcW w:w="80" w:type="dxa"/>
            <w:vAlign w:val="bottom"/>
            <w:shd w:val="clear" w:color="auto" w:fill="CCEEFF"/>
          </w:tcPr>
          <w:p>
            <w:pPr>
              <w:spacing w:after="0"/>
              <w:rPr>
                <w:sz w:val="18"/>
                <w:szCs w:val="18"/>
                <w:color w:val="auto"/>
              </w:rPr>
            </w:pPr>
          </w:p>
        </w:tc>
        <w:tc>
          <w:tcPr>
            <w:tcW w:w="13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118,048</w:t>
            </w:r>
          </w:p>
        </w:tc>
        <w:tc>
          <w:tcPr>
            <w:tcW w:w="8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08"/>
              <w:spacing w:after="0"/>
              <w:rPr>
                <w:sz w:val="20"/>
                <w:szCs w:val="20"/>
                <w:color w:val="auto"/>
              </w:rPr>
            </w:pPr>
            <w:r>
              <w:rPr>
                <w:rFonts w:ascii="Arial" w:cs="Arial" w:eastAsia="Arial" w:hAnsi="Arial"/>
                <w:sz w:val="14"/>
                <w:szCs w:val="14"/>
                <w:b w:val="1"/>
                <w:bCs w:val="1"/>
                <w:color w:val="auto"/>
              </w:rPr>
              <w:t>47,176</w:t>
            </w:r>
          </w:p>
        </w:tc>
        <w:tc>
          <w:tcPr>
            <w:tcW w:w="8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428"/>
              <w:spacing w:after="0"/>
              <w:rPr>
                <w:sz w:val="20"/>
                <w:szCs w:val="20"/>
                <w:color w:val="auto"/>
              </w:rPr>
            </w:pPr>
            <w:r>
              <w:rPr>
                <w:rFonts w:ascii="Arial" w:cs="Arial" w:eastAsia="Arial" w:hAnsi="Arial"/>
                <w:sz w:val="14"/>
                <w:szCs w:val="14"/>
                <w:b w:val="1"/>
                <w:bCs w:val="1"/>
                <w:color w:val="auto"/>
              </w:rPr>
              <w:t>326</w:t>
            </w:r>
          </w:p>
        </w:tc>
        <w:tc>
          <w:tcPr>
            <w:tcW w:w="80" w:type="dxa"/>
            <w:vAlign w:val="bottom"/>
            <w:shd w:val="clear" w:color="auto" w:fill="CCEEFF"/>
          </w:tcPr>
          <w:p>
            <w:pPr>
              <w:spacing w:after="0"/>
              <w:rPr>
                <w:sz w:val="18"/>
                <w:szCs w:val="18"/>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17,796</w:t>
            </w: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208"/>
              <w:spacing w:after="0"/>
              <w:rPr>
                <w:sz w:val="20"/>
                <w:szCs w:val="20"/>
                <w:color w:val="auto"/>
              </w:rPr>
            </w:pPr>
            <w:r>
              <w:rPr>
                <w:rFonts w:ascii="Arial" w:cs="Arial" w:eastAsia="Arial" w:hAnsi="Arial"/>
                <w:sz w:val="14"/>
                <w:szCs w:val="14"/>
                <w:b w:val="1"/>
                <w:bCs w:val="1"/>
                <w:color w:val="auto"/>
              </w:rPr>
              <w:t>23,368</w:t>
            </w:r>
          </w:p>
        </w:tc>
        <w:tc>
          <w:tcPr>
            <w:tcW w:w="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10"/>
        </w:trPr>
        <w:tc>
          <w:tcPr>
            <w:tcW w:w="2720" w:type="dxa"/>
            <w:vAlign w:val="bottom"/>
          </w:tcPr>
          <w:p>
            <w:pPr>
              <w:ind w:left="20"/>
              <w:spacing w:after="0"/>
              <w:rPr>
                <w:sz w:val="20"/>
                <w:szCs w:val="20"/>
                <w:color w:val="auto"/>
              </w:rPr>
            </w:pPr>
            <w:r>
              <w:rPr>
                <w:rFonts w:ascii="Arial" w:cs="Arial" w:eastAsia="Arial" w:hAnsi="Arial"/>
                <w:sz w:val="14"/>
                <w:szCs w:val="14"/>
                <w:color w:val="auto"/>
              </w:rPr>
              <w:t>Interest and other, net</w:t>
            </w:r>
          </w:p>
        </w:tc>
        <w:tc>
          <w:tcPr>
            <w:tcW w:w="1020" w:type="dxa"/>
            <w:vAlign w:val="bottom"/>
          </w:tcPr>
          <w:p>
            <w:pPr>
              <w:jc w:val="center"/>
              <w:spacing w:after="0"/>
              <w:rPr>
                <w:sz w:val="20"/>
                <w:szCs w:val="20"/>
                <w:color w:val="auto"/>
              </w:rPr>
            </w:pPr>
            <w:r>
              <w:rPr>
                <w:rFonts w:ascii="Arial" w:cs="Arial" w:eastAsia="Arial" w:hAnsi="Arial"/>
                <w:sz w:val="14"/>
                <w:szCs w:val="14"/>
                <w:color w:val="auto"/>
              </w:rPr>
              <w:t>(572)</w:t>
            </w:r>
          </w:p>
        </w:tc>
        <w:tc>
          <w:tcPr>
            <w:tcW w:w="8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4"/>
                <w:szCs w:val="14"/>
                <w:color w:val="auto"/>
              </w:rPr>
              <w:t>935</w:t>
            </w: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00"/>
        </w:trPr>
        <w:tc>
          <w:tcPr>
            <w:tcW w:w="2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Gain (loss) on long-term investments,</w:t>
            </w:r>
          </w:p>
        </w:tc>
        <w:tc>
          <w:tcPr>
            <w:tcW w:w="10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r>
      <w:tr>
        <w:trPr>
          <w:trHeight w:val="178"/>
        </w:trPr>
        <w:tc>
          <w:tcPr>
            <w:tcW w:w="2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w:t>
            </w: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rPr>
              <w:t>395</w:t>
            </w:r>
          </w:p>
        </w:tc>
        <w:tc>
          <w:tcPr>
            <w:tcW w:w="80" w:type="dxa"/>
            <w:vAlign w:val="bottom"/>
            <w:shd w:val="clear" w:color="auto" w:fill="CCEEFF"/>
          </w:tcPr>
          <w:p>
            <w:pPr>
              <w:spacing w:after="0"/>
              <w:rPr>
                <w:sz w:val="15"/>
                <w:szCs w:val="15"/>
                <w:color w:val="auto"/>
              </w:rPr>
            </w:pPr>
          </w:p>
        </w:tc>
        <w:tc>
          <w:tcPr>
            <w:tcW w:w="1380" w:type="dxa"/>
            <w:vAlign w:val="bottom"/>
            <w:tcBorders>
              <w:bottom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0" w:type="dxa"/>
            <w:vAlign w:val="bottom"/>
            <w:tcBorders>
              <w:bottom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20" w:type="dxa"/>
            <w:vAlign w:val="bottom"/>
            <w:tcBorders>
              <w:bottom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120" w:type="dxa"/>
            <w:vAlign w:val="bottom"/>
            <w:tcBorders>
              <w:bottom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rPr>
              <w:t>(395)</w:t>
            </w:r>
          </w:p>
        </w:tc>
      </w:tr>
      <w:tr>
        <w:trPr>
          <w:trHeight w:val="203"/>
        </w:trPr>
        <w:tc>
          <w:tcPr>
            <w:tcW w:w="2720" w:type="dxa"/>
            <w:vAlign w:val="bottom"/>
          </w:tcPr>
          <w:p>
            <w:pPr>
              <w:ind w:left="20"/>
              <w:spacing w:after="0"/>
              <w:rPr>
                <w:sz w:val="20"/>
                <w:szCs w:val="20"/>
                <w:color w:val="auto"/>
              </w:rPr>
            </w:pPr>
            <w:r>
              <w:rPr>
                <w:rFonts w:ascii="Arial" w:cs="Arial" w:eastAsia="Arial" w:hAnsi="Arial"/>
                <w:sz w:val="14"/>
                <w:szCs w:val="14"/>
                <w:b w:val="1"/>
                <w:bCs w:val="1"/>
                <w:color w:val="auto"/>
              </w:rPr>
              <w:t>Income before income taxes</w:t>
            </w: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rPr>
              <w:t>19,974</w:t>
            </w:r>
          </w:p>
        </w:tc>
        <w:tc>
          <w:tcPr>
            <w:tcW w:w="80" w:type="dxa"/>
            <w:vAlign w:val="bottom"/>
          </w:tcPr>
          <w:p>
            <w:pPr>
              <w:spacing w:after="0"/>
              <w:rPr>
                <w:sz w:val="17"/>
                <w:szCs w:val="17"/>
                <w:color w:val="auto"/>
              </w:rPr>
            </w:pPr>
          </w:p>
        </w:tc>
        <w:tc>
          <w:tcPr>
            <w:tcW w:w="1380" w:type="dxa"/>
            <w:vAlign w:val="bottom"/>
          </w:tcPr>
          <w:p>
            <w:pPr>
              <w:jc w:val="center"/>
              <w:spacing w:after="0"/>
              <w:rPr>
                <w:sz w:val="20"/>
                <w:szCs w:val="20"/>
                <w:color w:val="auto"/>
              </w:rPr>
            </w:pPr>
            <w:r>
              <w:rPr>
                <w:rFonts w:ascii="Arial" w:cs="Arial" w:eastAsia="Arial" w:hAnsi="Arial"/>
                <w:sz w:val="14"/>
                <w:szCs w:val="14"/>
                <w:b w:val="1"/>
                <w:bCs w:val="1"/>
                <w:color w:val="auto"/>
              </w:rPr>
              <w:t>118,983</w:t>
            </w:r>
          </w:p>
        </w:tc>
        <w:tc>
          <w:tcPr>
            <w:tcW w:w="80" w:type="dxa"/>
            <w:vAlign w:val="bottom"/>
          </w:tcPr>
          <w:p>
            <w:pPr>
              <w:spacing w:after="0"/>
              <w:rPr>
                <w:sz w:val="17"/>
                <w:szCs w:val="17"/>
                <w:color w:val="auto"/>
              </w:rPr>
            </w:pPr>
          </w:p>
        </w:tc>
        <w:tc>
          <w:tcPr>
            <w:tcW w:w="1200" w:type="dxa"/>
            <w:vAlign w:val="bottom"/>
          </w:tcPr>
          <w:p>
            <w:pPr>
              <w:jc w:val="right"/>
              <w:ind w:right="308"/>
              <w:spacing w:after="0"/>
              <w:rPr>
                <w:sz w:val="20"/>
                <w:szCs w:val="20"/>
                <w:color w:val="auto"/>
              </w:rPr>
            </w:pPr>
            <w:r>
              <w:rPr>
                <w:rFonts w:ascii="Arial" w:cs="Arial" w:eastAsia="Arial" w:hAnsi="Arial"/>
                <w:sz w:val="14"/>
                <w:szCs w:val="14"/>
                <w:b w:val="1"/>
                <w:bCs w:val="1"/>
                <w:color w:val="auto"/>
              </w:rPr>
              <w:t>47,176</w:t>
            </w:r>
          </w:p>
        </w:tc>
        <w:tc>
          <w:tcPr>
            <w:tcW w:w="80" w:type="dxa"/>
            <w:vAlign w:val="bottom"/>
          </w:tcPr>
          <w:p>
            <w:pPr>
              <w:spacing w:after="0"/>
              <w:rPr>
                <w:sz w:val="17"/>
                <w:szCs w:val="17"/>
                <w:color w:val="auto"/>
              </w:rPr>
            </w:pPr>
          </w:p>
        </w:tc>
        <w:tc>
          <w:tcPr>
            <w:tcW w:w="1220" w:type="dxa"/>
            <w:vAlign w:val="bottom"/>
          </w:tcPr>
          <w:p>
            <w:pPr>
              <w:jc w:val="right"/>
              <w:ind w:right="428"/>
              <w:spacing w:after="0"/>
              <w:rPr>
                <w:sz w:val="20"/>
                <w:szCs w:val="20"/>
                <w:color w:val="auto"/>
              </w:rPr>
            </w:pPr>
            <w:r>
              <w:rPr>
                <w:rFonts w:ascii="Arial" w:cs="Arial" w:eastAsia="Arial" w:hAnsi="Arial"/>
                <w:sz w:val="14"/>
                <w:szCs w:val="14"/>
                <w:b w:val="1"/>
                <w:bCs w:val="1"/>
                <w:color w:val="auto"/>
              </w:rPr>
              <w:t>326</w:t>
            </w:r>
          </w:p>
        </w:tc>
        <w:tc>
          <w:tcPr>
            <w:tcW w:w="80" w:type="dxa"/>
            <w:vAlign w:val="bottom"/>
          </w:tcPr>
          <w:p>
            <w:pPr>
              <w:spacing w:after="0"/>
              <w:rPr>
                <w:sz w:val="17"/>
                <w:szCs w:val="17"/>
                <w:color w:val="auto"/>
              </w:rPr>
            </w:pP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rPr>
              <w:t>17,796</w:t>
            </w:r>
          </w:p>
        </w:tc>
        <w:tc>
          <w:tcPr>
            <w:tcW w:w="80" w:type="dxa"/>
            <w:vAlign w:val="bottom"/>
          </w:tcPr>
          <w:p>
            <w:pPr>
              <w:spacing w:after="0"/>
              <w:rPr>
                <w:sz w:val="17"/>
                <w:szCs w:val="17"/>
                <w:color w:val="auto"/>
              </w:rPr>
            </w:pPr>
          </w:p>
        </w:tc>
        <w:tc>
          <w:tcPr>
            <w:tcW w:w="1000" w:type="dxa"/>
            <w:vAlign w:val="bottom"/>
          </w:tcPr>
          <w:p>
            <w:pPr>
              <w:jc w:val="right"/>
              <w:ind w:right="208"/>
              <w:spacing w:after="0"/>
              <w:rPr>
                <w:sz w:val="20"/>
                <w:szCs w:val="20"/>
                <w:color w:val="auto"/>
              </w:rPr>
            </w:pPr>
            <w:r>
              <w:rPr>
                <w:rFonts w:ascii="Arial" w:cs="Arial" w:eastAsia="Arial" w:hAnsi="Arial"/>
                <w:sz w:val="14"/>
                <w:szCs w:val="14"/>
                <w:b w:val="1"/>
                <w:bCs w:val="1"/>
                <w:color w:val="auto"/>
              </w:rPr>
              <w:t>23,368</w:t>
            </w:r>
          </w:p>
        </w:tc>
        <w:tc>
          <w:tcPr>
            <w:tcW w:w="80" w:type="dxa"/>
            <w:vAlign w:val="bottom"/>
          </w:tcPr>
          <w:p>
            <w:pPr>
              <w:spacing w:after="0"/>
              <w:rPr>
                <w:sz w:val="17"/>
                <w:szCs w:val="17"/>
                <w:color w:val="auto"/>
              </w:rPr>
            </w:pP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rPr>
              <w:t>(395)</w:t>
            </w:r>
          </w:p>
        </w:tc>
      </w:tr>
    </w:tbl>
    <w:p>
      <w:pPr>
        <w:spacing w:after="0" w:line="335" w:lineRule="exact"/>
        <w:rPr>
          <w:sz w:val="20"/>
          <w:szCs w:val="20"/>
          <w:color w:val="auto"/>
        </w:rPr>
      </w:pPr>
    </w:p>
    <w:p>
      <w:pPr>
        <w:ind w:right="460"/>
        <w:spacing w:after="0" w:line="261" w:lineRule="auto"/>
        <w:rPr>
          <w:sz w:val="20"/>
          <w:szCs w:val="20"/>
          <w:color w:val="auto"/>
        </w:rPr>
      </w:pPr>
      <w:r>
        <w:rPr>
          <w:rFonts w:ascii="Arial" w:cs="Arial" w:eastAsia="Arial" w:hAnsi="Arial"/>
          <w:sz w:val="18"/>
          <w:szCs w:val="18"/>
          <w:color w:val="auto"/>
        </w:rPr>
        <w:t>In order to calculate net income per diluted share for management reporting purposes, the Company uses its fully diluted share count of 116.8 million.</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Operational Metric – Net Bookings</w:t>
      </w:r>
    </w:p>
    <w:p>
      <w:pPr>
        <w:spacing w:after="0" w:line="274" w:lineRule="exact"/>
        <w:rPr>
          <w:sz w:val="20"/>
          <w:szCs w:val="20"/>
          <w:color w:val="auto"/>
        </w:rPr>
      </w:pPr>
    </w:p>
    <w:p>
      <w:pPr>
        <w:ind w:right="700"/>
        <w:spacing w:after="0" w:line="261" w:lineRule="auto"/>
        <w:rPr>
          <w:sz w:val="20"/>
          <w:szCs w:val="20"/>
          <w:color w:val="auto"/>
        </w:rPr>
      </w:pPr>
      <w:r>
        <w:rPr>
          <w:rFonts w:ascii="Arial" w:cs="Arial" w:eastAsia="Arial" w:hAnsi="Arial"/>
          <w:sz w:val="18"/>
          <w:szCs w:val="18"/>
          <w:color w:val="auto"/>
        </w:rPr>
        <w:t>Net Bookings is defined as the net amount of products and services sold digitally or sold-in physically during the period, and includes licensing fees, merchandise, in-game advertising, strategy guides and publisher incentives.</w:t>
      </w:r>
    </w:p>
    <w:p>
      <w:pPr>
        <w:spacing w:after="0" w:line="225"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 xml:space="preserve">During fiscal second quarter 2022, total Net Bookings increased 3% to $984.9 million, as compared to $ 957.5 million during last year’s fiscal second quarter. Net Bookings from recurrent consumer spending increased 7% and accounted for 69% of total Net Bookings. Digitally-delivered Net Bookings increased 9% to $876.1 million, as compared to $ 806.1 million in last year’s fiscal second quarter, and accounted for 89% of total Net Bookings. The largest contributors to Net Bookings were </w:t>
      </w:r>
      <w:r>
        <w:rPr>
          <w:rFonts w:ascii="Arial" w:cs="Arial" w:eastAsia="Arial" w:hAnsi="Arial"/>
          <w:sz w:val="17"/>
          <w:szCs w:val="17"/>
          <w:i w:val="1"/>
          <w:iCs w:val="1"/>
          <w:color w:val="auto"/>
        </w:rPr>
        <w:t>NBA 2K22</w:t>
      </w:r>
      <w:r>
        <w:rPr>
          <w:rFonts w:ascii="Arial" w:cs="Arial" w:eastAsia="Arial" w:hAnsi="Arial"/>
          <w:sz w:val="17"/>
          <w:szCs w:val="17"/>
          <w:color w:val="auto"/>
        </w:rPr>
        <w:t xml:space="preserve"> and </w:t>
      </w:r>
      <w:r>
        <w:rPr>
          <w:rFonts w:ascii="Arial" w:cs="Arial" w:eastAsia="Arial" w:hAnsi="Arial"/>
          <w:sz w:val="17"/>
          <w:szCs w:val="17"/>
          <w:i w:val="1"/>
          <w:iCs w:val="1"/>
          <w:color w:val="auto"/>
        </w:rPr>
        <w:t>NBA 2K21</w:t>
      </w:r>
      <w:r>
        <w:rPr>
          <w:rFonts w:ascii="Arial" w:cs="Arial" w:eastAsia="Arial" w:hAnsi="Arial"/>
          <w:sz w:val="17"/>
          <w:szCs w:val="17"/>
          <w:color w:val="auto"/>
        </w:rPr>
        <w:t xml:space="preserve">; </w:t>
      </w:r>
      <w:r>
        <w:rPr>
          <w:rFonts w:ascii="Arial" w:cs="Arial" w:eastAsia="Arial" w:hAnsi="Arial"/>
          <w:sz w:val="17"/>
          <w:szCs w:val="17"/>
          <w:i w:val="1"/>
          <w:iCs w:val="1"/>
          <w:color w:val="auto"/>
        </w:rPr>
        <w:t>Grand Theft Auto Online</w:t>
      </w:r>
      <w:r>
        <w:rPr>
          <w:rFonts w:ascii="Arial" w:cs="Arial" w:eastAsia="Arial" w:hAnsi="Arial"/>
          <w:sz w:val="17"/>
          <w:szCs w:val="17"/>
          <w:color w:val="auto"/>
        </w:rPr>
        <w:t xml:space="preserve"> and </w:t>
      </w:r>
      <w:r>
        <w:rPr>
          <w:rFonts w:ascii="Arial" w:cs="Arial" w:eastAsia="Arial" w:hAnsi="Arial"/>
          <w:sz w:val="17"/>
          <w:szCs w:val="17"/>
          <w:i w:val="1"/>
          <w:iCs w:val="1"/>
          <w:color w:val="auto"/>
        </w:rPr>
        <w:t>Grand</w:t>
      </w:r>
      <w:r>
        <w:rPr>
          <w:rFonts w:ascii="Arial" w:cs="Arial" w:eastAsia="Arial" w:hAnsi="Arial"/>
          <w:sz w:val="17"/>
          <w:szCs w:val="17"/>
          <w:color w:val="auto"/>
        </w:rPr>
        <w:t xml:space="preserve"> </w:t>
      </w:r>
      <w:r>
        <w:rPr>
          <w:rFonts w:ascii="Arial" w:cs="Arial" w:eastAsia="Arial" w:hAnsi="Arial"/>
          <w:sz w:val="17"/>
          <w:szCs w:val="17"/>
          <w:i w:val="1"/>
          <w:iCs w:val="1"/>
          <w:color w:val="auto"/>
        </w:rPr>
        <w:t>Theft Auto V</w:t>
      </w:r>
      <w:r>
        <w:rPr>
          <w:rFonts w:ascii="Arial" w:cs="Arial" w:eastAsia="Arial" w:hAnsi="Arial"/>
          <w:sz w:val="17"/>
          <w:szCs w:val="17"/>
          <w:color w:val="auto"/>
        </w:rPr>
        <w:t>;</w:t>
      </w:r>
      <w:r>
        <w:rPr>
          <w:rFonts w:ascii="Arial" w:cs="Arial" w:eastAsia="Arial" w:hAnsi="Arial"/>
          <w:sz w:val="17"/>
          <w:szCs w:val="17"/>
          <w:i w:val="1"/>
          <w:iCs w:val="1"/>
          <w:color w:val="auto"/>
        </w:rPr>
        <w:t xml:space="preserve"> Red Dead Redemption 2 </w:t>
      </w:r>
      <w:r>
        <w:rPr>
          <w:rFonts w:ascii="Arial" w:cs="Arial" w:eastAsia="Arial" w:hAnsi="Arial"/>
          <w:sz w:val="17"/>
          <w:szCs w:val="17"/>
          <w:color w:val="auto"/>
        </w:rPr>
        <w:t>and</w:t>
      </w:r>
      <w:r>
        <w:rPr>
          <w:rFonts w:ascii="Arial" w:cs="Arial" w:eastAsia="Arial" w:hAnsi="Arial"/>
          <w:sz w:val="17"/>
          <w:szCs w:val="17"/>
          <w:i w:val="1"/>
          <w:iCs w:val="1"/>
          <w:color w:val="auto"/>
        </w:rPr>
        <w:t xml:space="preserve"> Red Dead Online</w:t>
      </w:r>
      <w:r>
        <w:rPr>
          <w:rFonts w:ascii="Arial" w:cs="Arial" w:eastAsia="Arial" w:hAnsi="Arial"/>
          <w:sz w:val="17"/>
          <w:szCs w:val="17"/>
          <w:color w:val="auto"/>
        </w:rPr>
        <w:t>;</w:t>
      </w:r>
      <w:r>
        <w:rPr>
          <w:rFonts w:ascii="Arial" w:cs="Arial" w:eastAsia="Arial" w:hAnsi="Arial"/>
          <w:sz w:val="17"/>
          <w:szCs w:val="17"/>
          <w:i w:val="1"/>
          <w:iCs w:val="1"/>
          <w:color w:val="auto"/>
        </w:rPr>
        <w:t xml:space="preserve"> Borderlands 3</w:t>
      </w:r>
      <w:r>
        <w:rPr>
          <w:rFonts w:ascii="Arial" w:cs="Arial" w:eastAsia="Arial" w:hAnsi="Arial"/>
          <w:sz w:val="17"/>
          <w:szCs w:val="17"/>
          <w:color w:val="auto"/>
        </w:rPr>
        <w:t>;</w:t>
      </w:r>
      <w:r>
        <w:rPr>
          <w:rFonts w:ascii="Arial" w:cs="Arial" w:eastAsia="Arial" w:hAnsi="Arial"/>
          <w:sz w:val="17"/>
          <w:szCs w:val="17"/>
          <w:i w:val="1"/>
          <w:iCs w:val="1"/>
          <w:color w:val="auto"/>
        </w:rPr>
        <w:t xml:space="preserve"> Top Eleven; Sid Meier’s Civilization VI; </w:t>
      </w:r>
      <w:r>
        <w:rPr>
          <w:rFonts w:ascii="Arial" w:cs="Arial" w:eastAsia="Arial" w:hAnsi="Arial"/>
          <w:sz w:val="17"/>
          <w:szCs w:val="17"/>
          <w:color w:val="auto"/>
        </w:rPr>
        <w:t>and</w:t>
      </w:r>
      <w:r>
        <w:rPr>
          <w:rFonts w:ascii="Arial" w:cs="Arial" w:eastAsia="Arial" w:hAnsi="Arial"/>
          <w:sz w:val="17"/>
          <w:szCs w:val="17"/>
          <w:i w:val="1"/>
          <w:iCs w:val="1"/>
          <w:color w:val="auto"/>
        </w:rPr>
        <w:t xml:space="preserve"> Dragon City.</w:t>
      </w:r>
    </w:p>
    <w:p>
      <w:pPr>
        <w:spacing w:after="0" w:line="201"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color w:val="auto"/>
        </w:rPr>
        <w:t xml:space="preserve">Catalog accounted for $629.2 million of Net Bookings led by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w:t>
      </w:r>
      <w:r>
        <w:rPr>
          <w:rFonts w:ascii="Arial" w:cs="Arial" w:eastAsia="Arial" w:hAnsi="Arial"/>
          <w:sz w:val="18"/>
          <w:szCs w:val="18"/>
          <w:i w:val="1"/>
          <w:iCs w:val="1"/>
          <w:color w:val="auto"/>
        </w:rPr>
        <w:t>NBA 2K</w:t>
      </w:r>
      <w:r>
        <w:rPr>
          <w:rFonts w:ascii="Arial" w:cs="Arial" w:eastAsia="Arial" w:hAnsi="Arial"/>
          <w:sz w:val="18"/>
          <w:szCs w:val="18"/>
          <w:color w:val="auto"/>
        </w:rPr>
        <w:t xml:space="preserve">, </w:t>
      </w:r>
      <w:r>
        <w:rPr>
          <w:rFonts w:ascii="Arial" w:cs="Arial" w:eastAsia="Arial" w:hAnsi="Arial"/>
          <w:sz w:val="18"/>
          <w:szCs w:val="18"/>
          <w:i w:val="1"/>
          <w:iCs w:val="1"/>
          <w:color w:val="auto"/>
        </w:rPr>
        <w:t>Red Dead Redemption</w:t>
      </w:r>
      <w:r>
        <w:rPr>
          <w:rFonts w:ascii="Arial" w:cs="Arial" w:eastAsia="Arial" w:hAnsi="Arial"/>
          <w:sz w:val="18"/>
          <w:szCs w:val="18"/>
          <w:color w:val="auto"/>
        </w:rPr>
        <w:t xml:space="preserve">, </w:t>
      </w:r>
      <w:r>
        <w:rPr>
          <w:rFonts w:ascii="Arial" w:cs="Arial" w:eastAsia="Arial" w:hAnsi="Arial"/>
          <w:sz w:val="18"/>
          <w:szCs w:val="18"/>
          <w:i w:val="1"/>
          <w:iCs w:val="1"/>
          <w:color w:val="auto"/>
        </w:rPr>
        <w:t>Borderlands</w:t>
      </w:r>
      <w:r>
        <w:rPr>
          <w:rFonts w:ascii="Arial" w:cs="Arial" w:eastAsia="Arial" w:hAnsi="Arial"/>
          <w:sz w:val="18"/>
          <w:szCs w:val="18"/>
          <w:color w:val="auto"/>
        </w:rPr>
        <w:t xml:space="preserve">, </w:t>
      </w:r>
      <w:r>
        <w:rPr>
          <w:rFonts w:ascii="Arial" w:cs="Arial" w:eastAsia="Arial" w:hAnsi="Arial"/>
          <w:sz w:val="18"/>
          <w:szCs w:val="18"/>
          <w:i w:val="1"/>
          <w:iCs w:val="1"/>
          <w:color w:val="auto"/>
        </w:rPr>
        <w:t>Top Eleven</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Sid Meier’s Civilization </w:t>
      </w:r>
      <w:r>
        <w:rPr>
          <w:rFonts w:ascii="Arial" w:cs="Arial" w:eastAsia="Arial" w:hAnsi="Arial"/>
          <w:sz w:val="18"/>
          <w:szCs w:val="18"/>
          <w:color w:val="auto"/>
        </w:rPr>
        <w:t>and</w:t>
      </w:r>
      <w:r>
        <w:rPr>
          <w:rFonts w:ascii="Arial" w:cs="Arial" w:eastAsia="Arial" w:hAnsi="Arial"/>
          <w:sz w:val="18"/>
          <w:szCs w:val="18"/>
          <w:i w:val="1"/>
          <w:iCs w:val="1"/>
          <w:color w:val="auto"/>
        </w:rPr>
        <w:t xml:space="preserve"> Dragon City</w:t>
      </w:r>
      <w:r>
        <w:rPr>
          <w:rFonts w:ascii="Arial" w:cs="Arial" w:eastAsia="Arial" w:hAnsi="Arial"/>
          <w:sz w:val="18"/>
          <w:szCs w:val="18"/>
          <w:color w:val="auto"/>
        </w:rPr>
        <w:t>.</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949"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auto"/>
        </w:rPr>
        <w:t>Management Comments</w:t>
      </w:r>
    </w:p>
    <w:p>
      <w:pPr>
        <w:spacing w:after="0" w:line="261" w:lineRule="exact"/>
        <w:rPr>
          <w:sz w:val="20"/>
          <w:szCs w:val="20"/>
          <w:color w:val="auto"/>
        </w:rPr>
      </w:pPr>
    </w:p>
    <w:p>
      <w:pPr>
        <w:ind w:right="360"/>
        <w:spacing w:after="0" w:line="227" w:lineRule="auto"/>
        <w:rPr>
          <w:sz w:val="20"/>
          <w:szCs w:val="20"/>
          <w:color w:val="auto"/>
        </w:rPr>
      </w:pPr>
      <w:r>
        <w:rPr>
          <w:rFonts w:ascii="Arial" w:cs="Arial" w:eastAsia="Arial" w:hAnsi="Arial"/>
          <w:sz w:val="18"/>
          <w:szCs w:val="18"/>
          <w:color w:val="auto"/>
        </w:rPr>
        <w:t>“Our second quarter results were outstanding, highlighted by Net Bookings of $985 million, which greatly exceeded our expectations and increased 3% as compared to last year,” said Strauss Zelnick, Chairman and CEO of Take-Two. “We experienced consistently strong engagement trends across our key franchises, underscoring the durability of our offerings and the deep relationships that we have established with new, existing, and returning players.”</w:t>
      </w:r>
    </w:p>
    <w:p>
      <w:pPr>
        <w:spacing w:after="0" w:line="216" w:lineRule="exact"/>
        <w:rPr>
          <w:sz w:val="20"/>
          <w:szCs w:val="20"/>
          <w:color w:val="auto"/>
        </w:rPr>
      </w:pPr>
    </w:p>
    <w:p>
      <w:pPr>
        <w:ind w:right="60"/>
        <w:spacing w:after="0" w:line="235" w:lineRule="auto"/>
        <w:rPr>
          <w:sz w:val="20"/>
          <w:szCs w:val="20"/>
          <w:color w:val="auto"/>
        </w:rPr>
      </w:pPr>
      <w:r>
        <w:rPr>
          <w:rFonts w:ascii="Arial" w:cs="Arial" w:eastAsia="Arial" w:hAnsi="Arial"/>
          <w:sz w:val="18"/>
          <w:szCs w:val="18"/>
          <w:color w:val="auto"/>
        </w:rPr>
        <w:t>“As a result of our better-than-expected second quarter operating results, along with our updated forecast for the balance of the year, we are raising our Net Bookings guidance for the year to $3.3 to $3.4 billion.”</w:t>
      </w:r>
    </w:p>
    <w:p>
      <w:pPr>
        <w:spacing w:after="0" w:line="216" w:lineRule="exact"/>
        <w:rPr>
          <w:sz w:val="20"/>
          <w:szCs w:val="20"/>
          <w:color w:val="auto"/>
        </w:rPr>
      </w:pPr>
    </w:p>
    <w:p>
      <w:pPr>
        <w:ind w:right="60"/>
        <w:spacing w:after="0" w:line="225" w:lineRule="auto"/>
        <w:rPr>
          <w:sz w:val="20"/>
          <w:szCs w:val="20"/>
          <w:color w:val="auto"/>
        </w:rPr>
      </w:pPr>
      <w:r>
        <w:rPr>
          <w:rFonts w:ascii="Arial" w:cs="Arial" w:eastAsia="Arial" w:hAnsi="Arial"/>
          <w:sz w:val="18"/>
          <w:szCs w:val="18"/>
          <w:color w:val="auto"/>
        </w:rPr>
        <w:t>“We remain highly optimistic about our ability to capitalize further on the positive trends of our industry. As we continue to harness and enhance our competitive advantages – our incredible creative talent, best-in-class marketing and technology, and strong balance sheet – we will introduce new entertainment experiences that we believe have vast commercial potential and the ability to drive long-term engagement and recurrent consumer spending. We also expect to continue to attract the very best creators who share in our vision to set new benchmarks and captivate audiences throughout the world.”</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COVID-19 Update</w:t>
      </w:r>
    </w:p>
    <w:p>
      <w:pPr>
        <w:spacing w:after="0" w:line="261" w:lineRule="exact"/>
        <w:rPr>
          <w:sz w:val="20"/>
          <w:szCs w:val="20"/>
          <w:color w:val="auto"/>
        </w:rPr>
      </w:pPr>
    </w:p>
    <w:p>
      <w:pPr>
        <w:ind w:right="300"/>
        <w:spacing w:after="0" w:line="227" w:lineRule="auto"/>
        <w:rPr>
          <w:sz w:val="20"/>
          <w:szCs w:val="20"/>
          <w:color w:val="auto"/>
        </w:rPr>
      </w:pPr>
      <w:r>
        <w:rPr>
          <w:rFonts w:ascii="Arial" w:cs="Arial" w:eastAsia="Arial" w:hAnsi="Arial"/>
          <w:sz w:val="18"/>
          <w:szCs w:val="18"/>
          <w:color w:val="auto"/>
        </w:rPr>
        <w:t>At Take-Two, our number one priority has remained the health and safety of our employees and their families. We are taking a prudent approach relating to our return to office cadence and planning. Some of our offices are open, and we plan for the majority of our offices to reopen in the coming months. Given the evolving dynamics of the COVID-19 pandemic, we are strictly following protocols from local governments and health officials to ensure that we are adhering to their safety standards.</w:t>
      </w:r>
    </w:p>
    <w:p>
      <w:pPr>
        <w:spacing w:after="0" w:line="216" w:lineRule="exact"/>
        <w:rPr>
          <w:sz w:val="20"/>
          <w:szCs w:val="20"/>
          <w:color w:val="auto"/>
        </w:rPr>
      </w:pPr>
    </w:p>
    <w:p>
      <w:pPr>
        <w:ind w:right="100"/>
        <w:spacing w:after="0" w:line="225" w:lineRule="auto"/>
        <w:rPr>
          <w:sz w:val="20"/>
          <w:szCs w:val="20"/>
          <w:color w:val="auto"/>
        </w:rPr>
      </w:pPr>
      <w:r>
        <w:rPr>
          <w:rFonts w:ascii="Arial" w:cs="Arial" w:eastAsia="Arial" w:hAnsi="Arial"/>
          <w:sz w:val="18"/>
          <w:szCs w:val="18"/>
          <w:color w:val="auto"/>
        </w:rPr>
        <w:t>Due to the shelter-in-place orders that began last year, we experienced heightened levels of engagement and Net Bookings growth during our fiscal 2021 period. As the return to normalcy continues to unfold, the impact to our business, operations and financial results will depend on numerous evolving factors that we are not able to predict. The key risks to our business are set forth under the heading “Cautionary Note Regarding Forward-Looking Statements” in this release and in Take-Two’s Annual Report on Form 10-K for the fiscal year ended March 31, 2021.</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Business and Product Highlights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Since July 1, 2021:</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w:t>
      </w:r>
    </w:p>
    <w:p>
      <w:pPr>
        <w:spacing w:after="0" w:line="18" w:lineRule="exact"/>
        <w:rPr>
          <w:sz w:val="20"/>
          <w:szCs w:val="20"/>
          <w:color w:val="auto"/>
        </w:rPr>
      </w:pPr>
    </w:p>
    <w:p>
      <w:pPr>
        <w:ind w:left="340" w:right="280" w:hanging="332"/>
        <w:spacing w:after="0" w:line="235" w:lineRule="auto"/>
        <w:tabs>
          <w:tab w:leader="none" w:pos="336" w:val="left"/>
        </w:tabs>
        <w:numPr>
          <w:ilvl w:val="0"/>
          <w:numId w:val="3"/>
        </w:numPr>
        <w:rPr>
          <w:rFonts w:ascii="Arial" w:cs="Arial" w:eastAsia="Arial" w:hAnsi="Arial"/>
          <w:sz w:val="14"/>
          <w:szCs w:val="14"/>
          <w:color w:val="auto"/>
        </w:rPr>
      </w:pPr>
      <w:r>
        <w:rPr>
          <w:rFonts w:ascii="Arial" w:cs="Arial" w:eastAsia="Arial" w:hAnsi="Arial"/>
          <w:sz w:val="18"/>
          <w:szCs w:val="18"/>
          <w:color w:val="auto"/>
        </w:rPr>
        <w:t>The Company repurchased 1.26 million shares of common stock for approximately $200 million, at an average share price of $158.67 per share.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Rockstar Games:</w:t>
      </w:r>
    </w:p>
    <w:p>
      <w:pPr>
        <w:spacing w:after="0" w:line="7" w:lineRule="exact"/>
        <w:rPr>
          <w:sz w:val="20"/>
          <w:szCs w:val="20"/>
          <w:color w:val="auto"/>
        </w:rPr>
      </w:pPr>
    </w:p>
    <w:p>
      <w:pPr>
        <w:ind w:left="340" w:right="60" w:hanging="332"/>
        <w:spacing w:after="0" w:line="197" w:lineRule="auto"/>
        <w:tabs>
          <w:tab w:leader="none" w:pos="335" w:val="left"/>
        </w:tabs>
        <w:numPr>
          <w:ilvl w:val="0"/>
          <w:numId w:val="4"/>
        </w:numPr>
        <w:rPr>
          <w:rFonts w:ascii="Arial" w:cs="Arial" w:eastAsia="Arial" w:hAnsi="Arial"/>
          <w:sz w:val="18"/>
          <w:szCs w:val="18"/>
          <w:color w:val="auto"/>
        </w:rPr>
      </w:pPr>
      <w:r>
        <w:rPr>
          <w:rFonts w:ascii="Arial" w:cs="Arial" w:eastAsia="Arial" w:hAnsi="Arial"/>
          <w:sz w:val="18"/>
          <w:szCs w:val="18"/>
          <w:color w:val="auto"/>
        </w:rPr>
        <w:t>On November 11</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Rockstar Games will digitally launch </w:t>
      </w:r>
      <w:r>
        <w:rPr>
          <w:rFonts w:ascii="Arial" w:cs="Arial" w:eastAsia="Arial" w:hAnsi="Arial"/>
          <w:sz w:val="18"/>
          <w:szCs w:val="18"/>
          <w:i w:val="1"/>
          <w:iCs w:val="1"/>
          <w:color w:val="auto"/>
        </w:rPr>
        <w:t>Grand Theft Auto: The Trilogy – The Definitive Edition</w:t>
      </w:r>
      <w:r>
        <w:rPr>
          <w:rFonts w:ascii="Arial" w:cs="Arial" w:eastAsia="Arial" w:hAnsi="Arial"/>
          <w:sz w:val="18"/>
          <w:szCs w:val="18"/>
          <w:color w:val="auto"/>
        </w:rPr>
        <w:t xml:space="preserve"> for PlayStation 5, PlayStation 4, Xbox Series X|S, Xbox One, Nintendo Switch, and the Rockstar Games Launcher for PC. </w:t>
      </w:r>
      <w:r>
        <w:rPr>
          <w:rFonts w:ascii="Arial" w:cs="Arial" w:eastAsia="Arial" w:hAnsi="Arial"/>
          <w:sz w:val="18"/>
          <w:szCs w:val="18"/>
          <w:i w:val="1"/>
          <w:iCs w:val="1"/>
          <w:color w:val="auto"/>
        </w:rPr>
        <w:t>The Definitive Edition</w:t>
      </w:r>
      <w:r>
        <w:rPr>
          <w:rFonts w:ascii="Arial" w:cs="Arial" w:eastAsia="Arial" w:hAnsi="Arial"/>
          <w:sz w:val="18"/>
          <w:szCs w:val="18"/>
          <w:color w:val="auto"/>
        </w:rPr>
        <w:t xml:space="preserve"> will feature across-the-board upgrades for all three games, including graphical improvements and modern controls for all three titles, while still maintaining the classic and distinct aesthetic of the original games. </w:t>
      </w:r>
      <w:r>
        <w:rPr>
          <w:rFonts w:ascii="Arial" w:cs="Arial" w:eastAsia="Arial" w:hAnsi="Arial"/>
          <w:sz w:val="18"/>
          <w:szCs w:val="18"/>
          <w:i w:val="1"/>
          <w:iCs w:val="1"/>
          <w:color w:val="auto"/>
        </w:rPr>
        <w:t>Grand Theft Auto: The Trilogy – The Definitive Edition</w:t>
      </w:r>
      <w:r>
        <w:rPr>
          <w:rFonts w:ascii="Arial" w:cs="Arial" w:eastAsia="Arial" w:hAnsi="Arial"/>
          <w:sz w:val="18"/>
          <w:szCs w:val="18"/>
          <w:color w:val="auto"/>
        </w:rPr>
        <w:t xml:space="preserve"> will launch physically for consoles on December 7</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and will release for iOS and Android devices in the first half of calendar 2022. As part of the 20</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anniversary celebration, fans can also collect an array of special commemorative gear in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throughout a series of upcoming events this Fall.</w:t>
      </w:r>
    </w:p>
    <w:p>
      <w:pPr>
        <w:spacing w:after="0" w:line="2" w:lineRule="exact"/>
        <w:rPr>
          <w:rFonts w:ascii="Arial" w:cs="Arial" w:eastAsia="Arial" w:hAnsi="Arial"/>
          <w:sz w:val="18"/>
          <w:szCs w:val="18"/>
          <w:color w:val="auto"/>
        </w:rPr>
      </w:pPr>
    </w:p>
    <w:p>
      <w:pPr>
        <w:ind w:left="320" w:hanging="312"/>
        <w:spacing w:after="0" w:line="219" w:lineRule="auto"/>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Released new free content updates for </w:t>
      </w:r>
      <w:r>
        <w:rPr>
          <w:rFonts w:ascii="Arial" w:cs="Arial" w:eastAsia="Arial" w:hAnsi="Arial"/>
          <w:sz w:val="18"/>
          <w:szCs w:val="18"/>
          <w:i w:val="1"/>
          <w:iCs w:val="1"/>
          <w:color w:val="auto"/>
        </w:rPr>
        <w:t>Grand Theft Auto Online</w:t>
      </w:r>
      <w:r>
        <w:rPr>
          <w:rFonts w:ascii="Arial" w:cs="Arial" w:eastAsia="Arial" w:hAnsi="Arial"/>
          <w:sz w:val="18"/>
          <w:szCs w:val="18"/>
          <w:color w:val="auto"/>
        </w:rPr>
        <w:t>:</w:t>
      </w:r>
    </w:p>
    <w:p>
      <w:pPr>
        <w:ind w:left="980" w:right="80" w:hanging="324"/>
        <w:spacing w:after="0" w:line="207" w:lineRule="auto"/>
        <w:tabs>
          <w:tab w:leader="none" w:pos="976" w:val="left"/>
        </w:tabs>
        <w:numPr>
          <w:ilvl w:val="1"/>
          <w:numId w:val="4"/>
        </w:numPr>
        <w:rPr>
          <w:rFonts w:ascii="Arial" w:cs="Arial" w:eastAsia="Arial" w:hAnsi="Arial"/>
          <w:sz w:val="18"/>
          <w:szCs w:val="18"/>
          <w:color w:val="auto"/>
        </w:rPr>
      </w:pPr>
      <w:r>
        <w:rPr>
          <w:rFonts w:ascii="Arial" w:cs="Arial" w:eastAsia="Arial" w:hAnsi="Arial"/>
          <w:sz w:val="18"/>
          <w:szCs w:val="18"/>
          <w:color w:val="auto"/>
        </w:rPr>
        <w:t>On July 20</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delivered the </w:t>
      </w:r>
      <w:r>
        <w:rPr>
          <w:rFonts w:ascii="Arial" w:cs="Arial" w:eastAsia="Arial" w:hAnsi="Arial"/>
          <w:sz w:val="18"/>
          <w:szCs w:val="18"/>
          <w:i w:val="1"/>
          <w:iCs w:val="1"/>
          <w:color w:val="auto"/>
        </w:rPr>
        <w:t>Los Santos Tuners</w:t>
      </w:r>
      <w:r>
        <w:rPr>
          <w:rFonts w:ascii="Arial" w:cs="Arial" w:eastAsia="Arial" w:hAnsi="Arial"/>
          <w:sz w:val="18"/>
          <w:szCs w:val="18"/>
          <w:color w:val="auto"/>
        </w:rPr>
        <w:t xml:space="preserve"> update, another major update for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’s evolving world. The </w:t>
      </w:r>
      <w:r>
        <w:rPr>
          <w:rFonts w:ascii="Arial" w:cs="Arial" w:eastAsia="Arial" w:hAnsi="Arial"/>
          <w:sz w:val="18"/>
          <w:szCs w:val="18"/>
          <w:i w:val="1"/>
          <w:iCs w:val="1"/>
          <w:color w:val="auto"/>
        </w:rPr>
        <w:t xml:space="preserve">Los Santos Tuners </w:t>
      </w:r>
      <w:r>
        <w:rPr>
          <w:rFonts w:ascii="Arial" w:cs="Arial" w:eastAsia="Arial" w:hAnsi="Arial"/>
          <w:sz w:val="18"/>
          <w:szCs w:val="18"/>
          <w:color w:val="auto"/>
        </w:rPr>
        <w:t>update brought a renewed focus to the underground street racing scene and introduced a host of innovative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and highly requested features, including the </w:t>
      </w:r>
      <w:r>
        <w:rPr>
          <w:rFonts w:ascii="Arial" w:cs="Arial" w:eastAsia="Arial" w:hAnsi="Arial"/>
          <w:sz w:val="18"/>
          <w:szCs w:val="18"/>
          <w:i w:val="1"/>
          <w:iCs w:val="1"/>
          <w:color w:val="auto"/>
        </w:rPr>
        <w:t>LS Car Meet</w:t>
      </w:r>
      <w:r>
        <w:rPr>
          <w:rFonts w:ascii="Arial" w:cs="Arial" w:eastAsia="Arial" w:hAnsi="Arial"/>
          <w:sz w:val="18"/>
          <w:szCs w:val="18"/>
          <w:color w:val="auto"/>
        </w:rPr>
        <w:t xml:space="preserve"> – a shared social space where players can get together to modify, test and race their cars, get tattoos, and more. The update also added 17 highly customizable vehicles, a shoppable auto workshop, new robbery Contracts and street races, and the ability to add music in a new way through collectible media sticks.</w:t>
      </w:r>
    </w:p>
    <w:p>
      <w:pPr>
        <w:spacing w:after="0" w:line="2" w:lineRule="exact"/>
        <w:rPr>
          <w:rFonts w:ascii="Arial" w:cs="Arial" w:eastAsia="Arial" w:hAnsi="Arial"/>
          <w:sz w:val="18"/>
          <w:szCs w:val="18"/>
          <w:color w:val="auto"/>
        </w:rPr>
      </w:pPr>
    </w:p>
    <w:p>
      <w:pPr>
        <w:ind w:left="980" w:right="180" w:hanging="324"/>
        <w:spacing w:after="0" w:line="219" w:lineRule="auto"/>
        <w:tabs>
          <w:tab w:leader="none" w:pos="976" w:val="left"/>
        </w:tabs>
        <w:numPr>
          <w:ilvl w:val="1"/>
          <w:numId w:val="4"/>
        </w:numPr>
        <w:rPr>
          <w:rFonts w:ascii="Arial" w:cs="Arial" w:eastAsia="Arial" w:hAnsi="Arial"/>
          <w:sz w:val="18"/>
          <w:szCs w:val="18"/>
          <w:color w:val="auto"/>
        </w:rPr>
      </w:pPr>
      <w:r>
        <w:rPr>
          <w:rFonts w:ascii="Arial" w:cs="Arial" w:eastAsia="Arial" w:hAnsi="Arial"/>
          <w:sz w:val="18"/>
          <w:szCs w:val="18"/>
          <w:color w:val="auto"/>
        </w:rPr>
        <w:t xml:space="preserve">Rockstar Games continued to provide an array of free content for their vast and growing online communities. To celebrate Halloween,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added a series of random events to shock and surprise players, including driverless phantom killer cars, superhuman slashers, UFOs that bend the laws of physics, and more, including bonuses on Alien Survival modes, and a new Arcade game.</w:t>
      </w:r>
    </w:p>
    <w:p>
      <w:pPr>
        <w:ind w:left="320" w:hanging="312"/>
        <w:spacing w:after="0" w:line="219" w:lineRule="auto"/>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Released new free content updates for </w:t>
      </w:r>
      <w:r>
        <w:rPr>
          <w:rFonts w:ascii="Arial" w:cs="Arial" w:eastAsia="Arial" w:hAnsi="Arial"/>
          <w:sz w:val="18"/>
          <w:szCs w:val="18"/>
          <w:i w:val="1"/>
          <w:iCs w:val="1"/>
          <w:color w:val="auto"/>
        </w:rPr>
        <w:t>Red Dead Online</w:t>
      </w:r>
      <w:r>
        <w:rPr>
          <w:rFonts w:ascii="Arial" w:cs="Arial" w:eastAsia="Arial" w:hAnsi="Arial"/>
          <w:sz w:val="18"/>
          <w:szCs w:val="18"/>
          <w:color w:val="auto"/>
        </w:rPr>
        <w:t>:</w:t>
      </w:r>
    </w:p>
    <w:p>
      <w:pPr>
        <w:ind w:left="980" w:hanging="324"/>
        <w:spacing w:after="0" w:line="210" w:lineRule="auto"/>
        <w:tabs>
          <w:tab w:leader="none" w:pos="976" w:val="left"/>
        </w:tabs>
        <w:numPr>
          <w:ilvl w:val="1"/>
          <w:numId w:val="4"/>
        </w:numPr>
        <w:rPr>
          <w:rFonts w:ascii="Arial" w:cs="Arial" w:eastAsia="Arial" w:hAnsi="Arial"/>
          <w:sz w:val="18"/>
          <w:szCs w:val="18"/>
          <w:color w:val="auto"/>
        </w:rPr>
      </w:pPr>
      <w:r>
        <w:rPr>
          <w:rFonts w:ascii="Arial" w:cs="Arial" w:eastAsia="Arial" w:hAnsi="Arial"/>
          <w:sz w:val="18"/>
          <w:szCs w:val="18"/>
          <w:color w:val="auto"/>
        </w:rPr>
        <w:t>On July 13</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released the </w:t>
      </w:r>
      <w:r>
        <w:rPr>
          <w:rFonts w:ascii="Arial" w:cs="Arial" w:eastAsia="Arial" w:hAnsi="Arial"/>
          <w:sz w:val="18"/>
          <w:szCs w:val="18"/>
          <w:i w:val="1"/>
          <w:iCs w:val="1"/>
          <w:color w:val="auto"/>
        </w:rPr>
        <w:t>Blood Money</w:t>
      </w:r>
      <w:r>
        <w:rPr>
          <w:rFonts w:ascii="Arial" w:cs="Arial" w:eastAsia="Arial" w:hAnsi="Arial"/>
          <w:sz w:val="18"/>
          <w:szCs w:val="18"/>
          <w:color w:val="auto"/>
        </w:rPr>
        <w:t xml:space="preserve"> update for </w:t>
      </w:r>
      <w:r>
        <w:rPr>
          <w:rFonts w:ascii="Arial" w:cs="Arial" w:eastAsia="Arial" w:hAnsi="Arial"/>
          <w:sz w:val="18"/>
          <w:szCs w:val="18"/>
          <w:i w:val="1"/>
          <w:iCs w:val="1"/>
          <w:color w:val="auto"/>
        </w:rPr>
        <w:t>Red Dead Online</w:t>
      </w:r>
      <w:r>
        <w:rPr>
          <w:rFonts w:ascii="Arial" w:cs="Arial" w:eastAsia="Arial" w:hAnsi="Arial"/>
          <w:sz w:val="18"/>
          <w:szCs w:val="18"/>
          <w:color w:val="auto"/>
        </w:rPr>
        <w:t xml:space="preserve">. The update introduced a series of criminal-themed opportunities; complex new missions, including the game's first train robbery; and </w:t>
      </w:r>
      <w:r>
        <w:rPr>
          <w:rFonts w:ascii="Arial" w:cs="Arial" w:eastAsia="Arial" w:hAnsi="Arial"/>
          <w:sz w:val="18"/>
          <w:szCs w:val="18"/>
          <w:i w:val="1"/>
          <w:iCs w:val="1"/>
          <w:color w:val="auto"/>
        </w:rPr>
        <w:t>The Quick Draw Club</w:t>
      </w:r>
      <w:r>
        <w:rPr>
          <w:rFonts w:ascii="Arial" w:cs="Arial" w:eastAsia="Arial" w:hAnsi="Arial"/>
          <w:sz w:val="18"/>
          <w:szCs w:val="18"/>
          <w:color w:val="auto"/>
        </w:rPr>
        <w:t xml:space="preserve"> - a series of four distinct, rapid-fire passes featuring criminal-themed unlockable rewards, bonuses, and more.</w:t>
      </w:r>
    </w:p>
    <w:p>
      <w:pPr>
        <w:spacing w:after="0" w:line="3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320" w:top="927" w:right="359" w:bottom="1440" w:gutter="0" w:footer="0" w:header="0"/>
        </w:sectPr>
      </w:pPr>
    </w:p>
    <w:bookmarkStart w:id="6" w:name="page7"/>
    <w:bookmarkEnd w:id="6"/>
    <w:p>
      <w:pPr>
        <w:ind w:left="980" w:right="600" w:hanging="324"/>
        <w:spacing w:after="0" w:line="229" w:lineRule="auto"/>
        <w:tabs>
          <w:tab w:leader="none" w:pos="976" w:val="left"/>
        </w:tabs>
        <w:numPr>
          <w:ilvl w:val="1"/>
          <w:numId w:val="5"/>
        </w:numPr>
        <w:rPr>
          <w:rFonts w:ascii="Arial" w:cs="Arial" w:eastAsia="Arial" w:hAnsi="Arial"/>
          <w:sz w:val="18"/>
          <w:szCs w:val="18"/>
          <w:color w:val="auto"/>
        </w:rPr>
      </w:pPr>
      <w:r>
        <w:rPr>
          <w:rFonts w:ascii="Arial" w:cs="Arial" w:eastAsia="Arial" w:hAnsi="Arial"/>
          <w:sz w:val="18"/>
          <w:szCs w:val="18"/>
          <w:color w:val="auto"/>
        </w:rPr>
        <w:t xml:space="preserve">Rockstar Games introduced new content to players following the </w:t>
      </w:r>
      <w:r>
        <w:rPr>
          <w:rFonts w:ascii="Arial" w:cs="Arial" w:eastAsia="Arial" w:hAnsi="Arial"/>
          <w:sz w:val="18"/>
          <w:szCs w:val="18"/>
          <w:i w:val="1"/>
          <w:iCs w:val="1"/>
          <w:color w:val="auto"/>
        </w:rPr>
        <w:t>Blood Money</w:t>
      </w:r>
      <w:r>
        <w:rPr>
          <w:rFonts w:ascii="Arial" w:cs="Arial" w:eastAsia="Arial" w:hAnsi="Arial"/>
          <w:sz w:val="18"/>
          <w:szCs w:val="18"/>
          <w:color w:val="auto"/>
        </w:rPr>
        <w:t xml:space="preserve"> update, including new missions, contracts, special bonuses and rare items.</w:t>
      </w:r>
    </w:p>
    <w:p>
      <w:pPr>
        <w:spacing w:after="0" w:line="1" w:lineRule="exact"/>
        <w:rPr>
          <w:rFonts w:ascii="Arial" w:cs="Arial" w:eastAsia="Arial" w:hAnsi="Arial"/>
          <w:sz w:val="18"/>
          <w:szCs w:val="18"/>
          <w:color w:val="auto"/>
        </w:rPr>
      </w:pPr>
    </w:p>
    <w:p>
      <w:pPr>
        <w:jc w:val="both"/>
        <w:ind w:left="340" w:right="400" w:hanging="332"/>
        <w:spacing w:after="0" w:line="245" w:lineRule="auto"/>
        <w:tabs>
          <w:tab w:leader="none" w:pos="335" w:val="left"/>
        </w:tabs>
        <w:numPr>
          <w:ilvl w:val="0"/>
          <w:numId w:val="5"/>
        </w:numPr>
        <w:rPr>
          <w:rFonts w:ascii="Arial" w:cs="Arial" w:eastAsia="Arial" w:hAnsi="Arial"/>
          <w:sz w:val="17"/>
          <w:szCs w:val="17"/>
          <w:color w:val="auto"/>
        </w:rPr>
      </w:pPr>
      <w:r>
        <w:rPr>
          <w:rFonts w:ascii="Arial" w:cs="Arial" w:eastAsia="Arial" w:hAnsi="Arial"/>
          <w:sz w:val="17"/>
          <w:szCs w:val="17"/>
          <w:color w:val="auto"/>
        </w:rPr>
        <w:t xml:space="preserve">Rockstar Games looks forward to launching the expanded and enhanced version of </w:t>
      </w:r>
      <w:r>
        <w:rPr>
          <w:rFonts w:ascii="Arial" w:cs="Arial" w:eastAsia="Arial" w:hAnsi="Arial"/>
          <w:sz w:val="17"/>
          <w:szCs w:val="17"/>
          <w:i w:val="1"/>
          <w:iCs w:val="1"/>
          <w:color w:val="auto"/>
        </w:rPr>
        <w:t>Grand Theft Auto V</w:t>
      </w:r>
      <w:r>
        <w:rPr>
          <w:rFonts w:ascii="Arial" w:cs="Arial" w:eastAsia="Arial" w:hAnsi="Arial"/>
          <w:sz w:val="17"/>
          <w:szCs w:val="17"/>
          <w:color w:val="auto"/>
        </w:rPr>
        <w:t xml:space="preserve"> and a standalone version of </w:t>
      </w:r>
      <w:r>
        <w:rPr>
          <w:rFonts w:ascii="Arial" w:cs="Arial" w:eastAsia="Arial" w:hAnsi="Arial"/>
          <w:sz w:val="17"/>
          <w:szCs w:val="17"/>
          <w:i w:val="1"/>
          <w:iCs w:val="1"/>
          <w:color w:val="auto"/>
        </w:rPr>
        <w:t xml:space="preserve">Grand Theft Online </w:t>
      </w:r>
      <w:r>
        <w:rPr>
          <w:rFonts w:ascii="Arial" w:cs="Arial" w:eastAsia="Arial" w:hAnsi="Arial"/>
          <w:sz w:val="17"/>
          <w:szCs w:val="17"/>
          <w:color w:val="auto"/>
        </w:rPr>
        <w:t>for new-generation consoles in March 2022. Players will enjoy a range of technical and graphical improvements</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across the entire experience including performance enhancements for select vehicles in </w:t>
      </w:r>
      <w:r>
        <w:rPr>
          <w:rFonts w:ascii="Arial" w:cs="Arial" w:eastAsia="Arial" w:hAnsi="Arial"/>
          <w:sz w:val="17"/>
          <w:szCs w:val="17"/>
          <w:i w:val="1"/>
          <w:iCs w:val="1"/>
          <w:color w:val="auto"/>
        </w:rPr>
        <w:t>Grand Theft Auto Online</w:t>
      </w:r>
      <w:r>
        <w:rPr>
          <w:rFonts w:ascii="Arial" w:cs="Arial" w:eastAsia="Arial" w:hAnsi="Arial"/>
          <w:sz w:val="17"/>
          <w:szCs w:val="17"/>
          <w:color w:val="auto"/>
        </w:rPr>
        <w:t>, and much more.</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2K:</w:t>
      </w:r>
    </w:p>
    <w:p>
      <w:pPr>
        <w:spacing w:after="0" w:line="7" w:lineRule="exact"/>
        <w:rPr>
          <w:sz w:val="20"/>
          <w:szCs w:val="20"/>
          <w:color w:val="auto"/>
        </w:rPr>
      </w:pPr>
    </w:p>
    <w:p>
      <w:pPr>
        <w:ind w:left="340" w:right="260" w:hanging="332"/>
        <w:spacing w:after="0" w:line="204"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On September 10</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launched </w:t>
      </w:r>
      <w:r>
        <w:rPr>
          <w:rFonts w:ascii="Arial" w:cs="Arial" w:eastAsia="Arial" w:hAnsi="Arial"/>
          <w:sz w:val="18"/>
          <w:szCs w:val="18"/>
          <w:i w:val="1"/>
          <w:iCs w:val="1"/>
          <w:color w:val="auto"/>
        </w:rPr>
        <w:t>NBA 2K22</w:t>
      </w:r>
      <w:r>
        <w:rPr>
          <w:rFonts w:ascii="Arial" w:cs="Arial" w:eastAsia="Arial" w:hAnsi="Arial"/>
          <w:sz w:val="18"/>
          <w:szCs w:val="18"/>
          <w:color w:val="auto"/>
        </w:rPr>
        <w:t>, the next iteration of the top-rated NBA video game simulation series of the past 20 years. Global phenomenon and two-time NBA All-Star, Luka Dončić, appears on the cover of the Standard Edition and Cross-Gen Digital Bundle, while the premium NBA 75</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Anniversary Edition showcases NBA legends Kareem Abdul-Jabbar, Dirk Nowitzki, and Kevin Durant. In North America, players are able to purchase a special version of the Standard Edition featuring six-time WNBA All-Star and WNBA Champion, Candace Parker on the cover and available exclusively through GameStop and EB Games. In Japan, players can also purchase a special version of the Standard Edition featuring Washington Wizards Rui Hachimura, a rising star who was the first Japanese player to not only be drafted in the first round in 2019, but also to reach the NBA Playoffs.</w:t>
      </w:r>
    </w:p>
    <w:p>
      <w:pPr>
        <w:spacing w:after="0" w:line="4" w:lineRule="exact"/>
        <w:rPr>
          <w:rFonts w:ascii="Arial" w:cs="Arial" w:eastAsia="Arial" w:hAnsi="Arial"/>
          <w:sz w:val="18"/>
          <w:szCs w:val="18"/>
          <w:color w:val="auto"/>
        </w:rPr>
      </w:pPr>
    </w:p>
    <w:p>
      <w:pPr>
        <w:ind w:left="340" w:hanging="332"/>
        <w:spacing w:after="0" w:line="200"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Launched the </w:t>
      </w:r>
      <w:r>
        <w:rPr>
          <w:rFonts w:ascii="Arial" w:cs="Arial" w:eastAsia="Arial" w:hAnsi="Arial"/>
          <w:sz w:val="18"/>
          <w:szCs w:val="18"/>
          <w:i w:val="1"/>
          <w:iCs w:val="1"/>
          <w:color w:val="auto"/>
        </w:rPr>
        <w:t>NBA 2K22 Arcade Edition</w:t>
      </w:r>
      <w:r>
        <w:rPr>
          <w:rFonts w:ascii="Arial" w:cs="Arial" w:eastAsia="Arial" w:hAnsi="Arial"/>
          <w:sz w:val="18"/>
          <w:szCs w:val="18"/>
          <w:color w:val="auto"/>
        </w:rPr>
        <w:t xml:space="preserve"> on Apple Arcade on October 19</w:t>
      </w:r>
      <w:r>
        <w:rPr>
          <w:rFonts w:ascii="Arial" w:cs="Arial" w:eastAsia="Arial" w:hAnsi="Arial"/>
          <w:sz w:val="23"/>
          <w:szCs w:val="23"/>
          <w:color w:val="auto"/>
          <w:vertAlign w:val="superscript"/>
        </w:rPr>
        <w:t>th</w:t>
      </w:r>
      <w:r>
        <w:rPr>
          <w:rFonts w:ascii="Arial" w:cs="Arial" w:eastAsia="Arial" w:hAnsi="Arial"/>
          <w:sz w:val="18"/>
          <w:szCs w:val="18"/>
          <w:color w:val="auto"/>
        </w:rPr>
        <w:t>. The game offers the all-new Association mode, where players can be the GM or Head Coach of their favorite NBA Franchises and build their own NBA dream teams, as well as other popular modes including MyCOURT, Online Multiplayer mode, and MyCAREER.</w:t>
      </w:r>
    </w:p>
    <w:p>
      <w:pPr>
        <w:spacing w:after="0" w:line="1" w:lineRule="exact"/>
        <w:rPr>
          <w:rFonts w:ascii="Arial" w:cs="Arial" w:eastAsia="Arial" w:hAnsi="Arial"/>
          <w:sz w:val="18"/>
          <w:szCs w:val="18"/>
          <w:color w:val="auto"/>
        </w:rPr>
      </w:pPr>
    </w:p>
    <w:p>
      <w:pPr>
        <w:ind w:left="340" w:right="200" w:hanging="332"/>
        <w:spacing w:after="0" w:line="219"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Announced Season 4 of </w:t>
      </w:r>
      <w:r>
        <w:rPr>
          <w:rFonts w:ascii="Arial" w:cs="Arial" w:eastAsia="Arial" w:hAnsi="Arial"/>
          <w:sz w:val="18"/>
          <w:szCs w:val="18"/>
          <w:i w:val="1"/>
          <w:iCs w:val="1"/>
          <w:color w:val="auto"/>
        </w:rPr>
        <w:t>NBA 2K Mobile</w:t>
      </w:r>
      <w:r>
        <w:rPr>
          <w:rFonts w:ascii="Arial" w:cs="Arial" w:eastAsia="Arial" w:hAnsi="Arial"/>
          <w:sz w:val="18"/>
          <w:szCs w:val="18"/>
          <w:color w:val="auto"/>
        </w:rPr>
        <w:t>, which includes a new Courtside Pass to unlock exclusive rewards, updated player likenesses and jerseys, card stats to reflect the current NBA season, and more.</w:t>
      </w:r>
    </w:p>
    <w:p>
      <w:pPr>
        <w:ind w:left="340" w:right="500" w:hanging="332"/>
        <w:spacing w:after="0" w:line="219"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In September, </w:t>
      </w:r>
      <w:r>
        <w:rPr>
          <w:rFonts w:ascii="Arial" w:cs="Arial" w:eastAsia="Arial" w:hAnsi="Arial"/>
          <w:sz w:val="18"/>
          <w:szCs w:val="18"/>
          <w:i w:val="1"/>
          <w:iCs w:val="1"/>
          <w:color w:val="auto"/>
        </w:rPr>
        <w:t>PGA TOUR 2K21</w:t>
      </w:r>
      <w:r>
        <w:rPr>
          <w:rFonts w:ascii="Arial" w:cs="Arial" w:eastAsia="Arial" w:hAnsi="Arial"/>
          <w:sz w:val="18"/>
          <w:szCs w:val="18"/>
          <w:color w:val="auto"/>
        </w:rPr>
        <w:t xml:space="preserve"> surpassed 2.5 million units sold-in around the globe, a key milestone for the series. Alongside this announcement, 2K and HB Studios revealed the theme for its all-new custom courses coming to multiplayer playlists, as well as a collaboration with lifestyle brand and gaming collective 100 Thieves.</w:t>
      </w:r>
    </w:p>
    <w:p>
      <w:pPr>
        <w:ind w:left="340" w:right="240" w:hanging="332"/>
        <w:spacing w:after="0" w:line="200"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On October 14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2K and HB Studios launched the </w:t>
      </w:r>
      <w:r>
        <w:rPr>
          <w:rFonts w:ascii="Arial" w:cs="Arial" w:eastAsia="Arial" w:hAnsi="Arial"/>
          <w:sz w:val="18"/>
          <w:szCs w:val="18"/>
          <w:i w:val="1"/>
          <w:iCs w:val="1"/>
          <w:color w:val="auto"/>
        </w:rPr>
        <w:t>PGA TOUR 2K21 Baller Edition</w:t>
      </w:r>
      <w:r>
        <w:rPr>
          <w:rFonts w:ascii="Arial" w:cs="Arial" w:eastAsia="Arial" w:hAnsi="Arial"/>
          <w:sz w:val="18"/>
          <w:szCs w:val="18"/>
          <w:color w:val="auto"/>
        </w:rPr>
        <w:t>, which includes the base game, all previously released DLC courses and game modes, an assortment of exclusive adidas apparel and gear, and the Golden Touch Pack featuring a gold putter and driver.</w:t>
      </w:r>
    </w:p>
    <w:p>
      <w:pPr>
        <w:spacing w:after="0" w:line="1" w:lineRule="exact"/>
        <w:rPr>
          <w:rFonts w:ascii="Arial" w:cs="Arial" w:eastAsia="Arial" w:hAnsi="Arial"/>
          <w:sz w:val="18"/>
          <w:szCs w:val="18"/>
          <w:color w:val="auto"/>
        </w:rPr>
      </w:pPr>
    </w:p>
    <w:p>
      <w:pPr>
        <w:ind w:left="340" w:right="60" w:hanging="332"/>
        <w:spacing w:after="0" w:line="219"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2K and Visual Concepts revealed new details behind </w:t>
      </w:r>
      <w:r>
        <w:rPr>
          <w:rFonts w:ascii="Arial" w:cs="Arial" w:eastAsia="Arial" w:hAnsi="Arial"/>
          <w:sz w:val="18"/>
          <w:szCs w:val="18"/>
          <w:i w:val="1"/>
          <w:iCs w:val="1"/>
          <w:color w:val="auto"/>
        </w:rPr>
        <w:t>WWE 2K22</w:t>
      </w:r>
      <w:r>
        <w:rPr>
          <w:rFonts w:ascii="Arial" w:cs="Arial" w:eastAsia="Arial" w:hAnsi="Arial"/>
          <w:sz w:val="18"/>
          <w:szCs w:val="18"/>
          <w:color w:val="auto"/>
        </w:rPr>
        <w:t xml:space="preserve">, which is planned for launch in March 2022. </w:t>
      </w:r>
      <w:r>
        <w:rPr>
          <w:rFonts w:ascii="Arial" w:cs="Arial" w:eastAsia="Arial" w:hAnsi="Arial"/>
          <w:sz w:val="18"/>
          <w:szCs w:val="18"/>
          <w:i w:val="1"/>
          <w:iCs w:val="1"/>
          <w:color w:val="auto"/>
        </w:rPr>
        <w:t>WWE 2K22</w:t>
      </w:r>
      <w:r>
        <w:rPr>
          <w:rFonts w:ascii="Arial" w:cs="Arial" w:eastAsia="Arial" w:hAnsi="Arial"/>
          <w:sz w:val="18"/>
          <w:szCs w:val="18"/>
          <w:color w:val="auto"/>
        </w:rPr>
        <w:t xml:space="preserve"> promises new controls, incredible graphics, and a redesigned engine for the most impressive </w:t>
      </w:r>
      <w:r>
        <w:rPr>
          <w:rFonts w:ascii="Arial" w:cs="Arial" w:eastAsia="Arial" w:hAnsi="Arial"/>
          <w:sz w:val="18"/>
          <w:szCs w:val="18"/>
          <w:i w:val="1"/>
          <w:iCs w:val="1"/>
          <w:color w:val="auto"/>
        </w:rPr>
        <w:t>WWE 2K</w:t>
      </w:r>
      <w:r>
        <w:rPr>
          <w:rFonts w:ascii="Arial" w:cs="Arial" w:eastAsia="Arial" w:hAnsi="Arial"/>
          <w:sz w:val="18"/>
          <w:szCs w:val="18"/>
          <w:color w:val="auto"/>
        </w:rPr>
        <w:t xml:space="preserve"> experience to date. As part of the game’s development process, 85% of the in-game roster has taken part in facial scanning for ultra-realistic and updated character models, and more than 3,400 new animations have been captured.</w:t>
      </w:r>
    </w:p>
    <w:p>
      <w:pPr>
        <w:ind w:left="340" w:right="100" w:hanging="332"/>
        <w:spacing w:after="0" w:line="219"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WWE SuperCard </w:t>
      </w:r>
      <w:r>
        <w:rPr>
          <w:rFonts w:ascii="Arial" w:cs="Arial" w:eastAsia="Arial" w:hAnsi="Arial"/>
          <w:sz w:val="18"/>
          <w:szCs w:val="18"/>
          <w:color w:val="auto"/>
        </w:rPr>
        <w:t>released content updates, including new card tiers, rewards and the return of John Cena with a “Summer of Cena” gift</w:t>
      </w:r>
      <w:r>
        <w:rPr>
          <w:rFonts w:ascii="Arial" w:cs="Arial" w:eastAsia="Arial" w:hAnsi="Arial"/>
          <w:sz w:val="18"/>
          <w:szCs w:val="18"/>
          <w:i w:val="1"/>
          <w:iCs w:val="1"/>
          <w:color w:val="auto"/>
        </w:rPr>
        <w:t xml:space="preserve"> </w:t>
      </w:r>
      <w:r>
        <w:rPr>
          <w:rFonts w:ascii="Arial" w:cs="Arial" w:eastAsia="Arial" w:hAnsi="Arial"/>
          <w:sz w:val="18"/>
          <w:szCs w:val="18"/>
          <w:color w:val="auto"/>
        </w:rPr>
        <w:t>redeemable for a limited time.</w:t>
      </w:r>
    </w:p>
    <w:p>
      <w:pPr>
        <w:ind w:left="340" w:right="60" w:hanging="332"/>
        <w:spacing w:after="0" w:line="204"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Announced that, for the first time ever, the </w:t>
      </w:r>
      <w:r>
        <w:rPr>
          <w:rFonts w:ascii="Arial" w:cs="Arial" w:eastAsia="Arial" w:hAnsi="Arial"/>
          <w:sz w:val="18"/>
          <w:szCs w:val="18"/>
          <w:i w:val="1"/>
          <w:iCs w:val="1"/>
          <w:color w:val="auto"/>
        </w:rPr>
        <w:t>Borderlands 3 Ultimate Edition</w:t>
      </w:r>
      <w:r>
        <w:rPr>
          <w:rFonts w:ascii="Arial" w:cs="Arial" w:eastAsia="Arial" w:hAnsi="Arial"/>
          <w:sz w:val="18"/>
          <w:szCs w:val="18"/>
          <w:color w:val="auto"/>
        </w:rPr>
        <w:t xml:space="preserve"> will be available in physical disc form for PlayStation 5 and Xbox Series X. </w:t>
      </w:r>
      <w:r>
        <w:rPr>
          <w:rFonts w:ascii="Arial" w:cs="Arial" w:eastAsia="Arial" w:hAnsi="Arial"/>
          <w:sz w:val="18"/>
          <w:szCs w:val="18"/>
          <w:i w:val="1"/>
          <w:iCs w:val="1"/>
          <w:color w:val="auto"/>
        </w:rPr>
        <w:t>Borderlands 3 Ultimate Edition</w:t>
      </w:r>
      <w:r>
        <w:rPr>
          <w:rFonts w:ascii="Arial" w:cs="Arial" w:eastAsia="Arial" w:hAnsi="Arial"/>
          <w:sz w:val="18"/>
          <w:szCs w:val="18"/>
          <w:color w:val="auto"/>
        </w:rPr>
        <w:t xml:space="preserve"> will be released on November 12</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and feature the award-winning base game plus all six content add-ons and the full collection of bonus cosmetic packs. The PlayStation 5 and Xbox Series X versions are optimized to take full advantage of the new-gen hardware's processing power.</w:t>
      </w:r>
    </w:p>
    <w:p>
      <w:pPr>
        <w:spacing w:after="0" w:line="3" w:lineRule="exact"/>
        <w:rPr>
          <w:rFonts w:ascii="Arial" w:cs="Arial" w:eastAsia="Arial" w:hAnsi="Arial"/>
          <w:sz w:val="18"/>
          <w:szCs w:val="18"/>
          <w:color w:val="auto"/>
        </w:rPr>
      </w:pPr>
    </w:p>
    <w:p>
      <w:pPr>
        <w:ind w:left="340" w:right="220" w:hanging="332"/>
        <w:spacing w:after="0" w:line="232" w:lineRule="auto"/>
        <w:tabs>
          <w:tab w:leader="none" w:pos="335" w:val="left"/>
        </w:tabs>
        <w:numPr>
          <w:ilvl w:val="0"/>
          <w:numId w:val="6"/>
        </w:numPr>
        <w:rPr>
          <w:rFonts w:ascii="Arial" w:cs="Arial" w:eastAsia="Arial" w:hAnsi="Arial"/>
          <w:sz w:val="17"/>
          <w:szCs w:val="17"/>
          <w:color w:val="auto"/>
        </w:rPr>
      </w:pPr>
      <w:r>
        <w:rPr>
          <w:rFonts w:ascii="Arial" w:cs="Arial" w:eastAsia="Arial" w:hAnsi="Arial"/>
          <w:sz w:val="17"/>
          <w:szCs w:val="17"/>
          <w:color w:val="auto"/>
        </w:rPr>
        <w:t xml:space="preserve">Announced that </w:t>
      </w:r>
      <w:r>
        <w:rPr>
          <w:rFonts w:ascii="Arial" w:cs="Arial" w:eastAsia="Arial" w:hAnsi="Arial"/>
          <w:sz w:val="17"/>
          <w:szCs w:val="17"/>
          <w:i w:val="1"/>
          <w:iCs w:val="1"/>
          <w:color w:val="auto"/>
        </w:rPr>
        <w:t>Tiny Tina’s Wonderlands</w:t>
      </w:r>
      <w:r>
        <w:rPr>
          <w:rFonts w:ascii="Arial" w:cs="Arial" w:eastAsia="Arial" w:hAnsi="Arial"/>
          <w:sz w:val="17"/>
          <w:szCs w:val="17"/>
          <w:color w:val="auto"/>
        </w:rPr>
        <w:t xml:space="preserve">, a new franchise from 2K and Gearbox, will be released in March 2022. The game is an epic adventure full of whimsy, wonder, and high-powered weaponry set in a chaotic fantasy world where magic, broadswords, and bullets collide. </w:t>
      </w:r>
      <w:r>
        <w:rPr>
          <w:rFonts w:ascii="Arial" w:cs="Arial" w:eastAsia="Arial" w:hAnsi="Arial"/>
          <w:sz w:val="17"/>
          <w:szCs w:val="17"/>
          <w:i w:val="1"/>
          <w:iCs w:val="1"/>
          <w:color w:val="auto"/>
        </w:rPr>
        <w:t>Tiny Tina’s Wonderlands</w:t>
      </w:r>
      <w:r>
        <w:rPr>
          <w:rFonts w:ascii="Arial" w:cs="Arial" w:eastAsia="Arial" w:hAnsi="Arial"/>
          <w:sz w:val="17"/>
          <w:szCs w:val="17"/>
          <w:color w:val="auto"/>
        </w:rPr>
        <w:t xml:space="preserve"> is a full experience with a rich, story-driven co-op campaign and repeatable end-game content.</w:t>
      </w:r>
    </w:p>
    <w:p>
      <w:pPr>
        <w:ind w:left="340" w:right="160" w:hanging="332"/>
        <w:spacing w:after="0" w:line="219"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2K and Marvel Entertainment announced </w:t>
      </w:r>
      <w:r>
        <w:rPr>
          <w:rFonts w:ascii="Arial" w:cs="Arial" w:eastAsia="Arial" w:hAnsi="Arial"/>
          <w:sz w:val="18"/>
          <w:szCs w:val="18"/>
          <w:i w:val="1"/>
          <w:iCs w:val="1"/>
          <w:color w:val="auto"/>
        </w:rPr>
        <w:t>Marvel's Midnight Suns</w:t>
      </w:r>
      <w:r>
        <w:rPr>
          <w:rFonts w:ascii="Arial" w:cs="Arial" w:eastAsia="Arial" w:hAnsi="Arial"/>
          <w:sz w:val="18"/>
          <w:szCs w:val="18"/>
          <w:color w:val="auto"/>
        </w:rPr>
        <w:t xml:space="preserve">, a new tactical RPG set in the darker side of the Marvel Universe that brings players face-to-face against supernatural forces as they team up with and live among the Midnight Suns, Earth’s last line of defense against the underworld. </w:t>
      </w:r>
      <w:r>
        <w:rPr>
          <w:rFonts w:ascii="Arial" w:cs="Arial" w:eastAsia="Arial" w:hAnsi="Arial"/>
          <w:sz w:val="18"/>
          <w:szCs w:val="18"/>
          <w:i w:val="1"/>
          <w:iCs w:val="1"/>
          <w:color w:val="auto"/>
        </w:rPr>
        <w:t>Marvel’s Midnight Suns</w:t>
      </w:r>
      <w:r>
        <w:rPr>
          <w:rFonts w:ascii="Arial" w:cs="Arial" w:eastAsia="Arial" w:hAnsi="Arial"/>
          <w:sz w:val="18"/>
          <w:szCs w:val="18"/>
          <w:color w:val="auto"/>
        </w:rPr>
        <w:t xml:space="preserve"> is now expected to launch in the second half of Calendar 2022 (Fiscal Year 2023), as compared to prior expectations of March 2022 (Fiscal Year 2022).</w:t>
      </w:r>
    </w:p>
    <w:p>
      <w:pPr>
        <w:ind w:left="340" w:right="200" w:hanging="332"/>
        <w:spacing w:after="0" w:line="219"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2K has expanded its presence in Montréal, Québec to support several of its business units, including Global Services, an internal team responsible for artists, animators, motion capture and visual effects specialists, project managers, sound designers, user researchers, and more who work across the label’s growing portfolio of original franchises and licensed products.</w:t>
      </w:r>
    </w:p>
    <w:p>
      <w:pPr>
        <w:ind w:left="340" w:right="120" w:hanging="332"/>
        <w:spacing w:after="0" w:line="227" w:lineRule="auto"/>
        <w:tabs>
          <w:tab w:leader="none" w:pos="335" w:val="left"/>
        </w:tabs>
        <w:numPr>
          <w:ilvl w:val="0"/>
          <w:numId w:val="6"/>
        </w:numPr>
        <w:rPr>
          <w:rFonts w:ascii="Arial" w:cs="Arial" w:eastAsia="Arial" w:hAnsi="Arial"/>
          <w:sz w:val="18"/>
          <w:szCs w:val="18"/>
          <w:color w:val="auto"/>
        </w:rPr>
      </w:pPr>
      <w:r>
        <w:rPr>
          <w:rFonts w:ascii="Arial" w:cs="Arial" w:eastAsia="Arial" w:hAnsi="Arial"/>
          <w:sz w:val="18"/>
          <w:szCs w:val="18"/>
          <w:color w:val="auto"/>
        </w:rPr>
        <w:t>2K Foundations, in partnership with the Municipality of Ljubljana and Dallas Mavericks All-Star Guard Luka Dončić, unveiled its latest project in Ljubljana, Slovenia. Together, they refurbished the athlete’s childhood court and added new seating and lighting. 2K Foundations is the philanthropic arm of 2K that supports and inspires underserved communities by directly investing in local enrichment programs.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Private Division:</w:t>
      </w:r>
    </w:p>
    <w:p>
      <w:pPr>
        <w:spacing w:after="0" w:line="7" w:lineRule="exact"/>
        <w:rPr>
          <w:sz w:val="20"/>
          <w:szCs w:val="20"/>
          <w:color w:val="auto"/>
        </w:rPr>
      </w:pPr>
    </w:p>
    <w:p>
      <w:pPr>
        <w:ind w:left="340" w:right="320" w:hanging="332"/>
        <w:spacing w:after="0" w:line="204" w:lineRule="auto"/>
        <w:tabs>
          <w:tab w:leader="none" w:pos="335" w:val="left"/>
        </w:tabs>
        <w:numPr>
          <w:ilvl w:val="0"/>
          <w:numId w:val="7"/>
        </w:numPr>
        <w:rPr>
          <w:rFonts w:ascii="Arial" w:cs="Arial" w:eastAsia="Arial" w:hAnsi="Arial"/>
          <w:sz w:val="18"/>
          <w:szCs w:val="18"/>
          <w:color w:val="auto"/>
        </w:rPr>
      </w:pPr>
      <w:r>
        <w:rPr>
          <w:rFonts w:ascii="Arial" w:cs="Arial" w:eastAsia="Arial" w:hAnsi="Arial"/>
          <w:sz w:val="18"/>
          <w:szCs w:val="18"/>
          <w:color w:val="auto"/>
        </w:rPr>
        <w:t>On August 13</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Private Division and Supergiant Games partnered together to release a physical edition of </w:t>
      </w:r>
      <w:r>
        <w:rPr>
          <w:rFonts w:ascii="Arial" w:cs="Arial" w:eastAsia="Arial" w:hAnsi="Arial"/>
          <w:sz w:val="18"/>
          <w:szCs w:val="18"/>
          <w:i w:val="1"/>
          <w:iCs w:val="1"/>
          <w:color w:val="auto"/>
        </w:rPr>
        <w:t>Hades</w:t>
      </w:r>
      <w:r>
        <w:rPr>
          <w:rFonts w:ascii="Arial" w:cs="Arial" w:eastAsia="Arial" w:hAnsi="Arial"/>
          <w:sz w:val="18"/>
          <w:szCs w:val="18"/>
          <w:color w:val="auto"/>
        </w:rPr>
        <w:t xml:space="preserve"> for PlayStation and Xbox platforms. </w:t>
      </w:r>
      <w:r>
        <w:rPr>
          <w:rFonts w:ascii="Arial" w:cs="Arial" w:eastAsia="Arial" w:hAnsi="Arial"/>
          <w:sz w:val="18"/>
          <w:szCs w:val="18"/>
          <w:i w:val="1"/>
          <w:iCs w:val="1"/>
          <w:color w:val="auto"/>
        </w:rPr>
        <w:t>Hades</w:t>
      </w:r>
      <w:r>
        <w:rPr>
          <w:rFonts w:ascii="Arial" w:cs="Arial" w:eastAsia="Arial" w:hAnsi="Arial"/>
          <w:sz w:val="18"/>
          <w:szCs w:val="18"/>
          <w:color w:val="auto"/>
        </w:rPr>
        <w:t xml:space="preserve"> is a winner of over 50 “Game of the Year” awards and is currently Metacritic’s highest rated game for the PlayStation 5 and Xbox Series X.</w:t>
      </w:r>
    </w:p>
    <w:p>
      <w:pPr>
        <w:ind w:left="320" w:hanging="312"/>
        <w:spacing w:after="0" w:line="187" w:lineRule="auto"/>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On September 8</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released </w:t>
      </w:r>
      <w:r>
        <w:rPr>
          <w:rFonts w:ascii="Arial" w:cs="Arial" w:eastAsia="Arial" w:hAnsi="Arial"/>
          <w:sz w:val="17"/>
          <w:szCs w:val="17"/>
          <w:i w:val="1"/>
          <w:iCs w:val="1"/>
          <w:color w:val="auto"/>
        </w:rPr>
        <w:t>Murder on Eridanos</w:t>
      </w:r>
      <w:r>
        <w:rPr>
          <w:rFonts w:ascii="Arial" w:cs="Arial" w:eastAsia="Arial" w:hAnsi="Arial"/>
          <w:sz w:val="17"/>
          <w:szCs w:val="17"/>
          <w:color w:val="auto"/>
        </w:rPr>
        <w:t xml:space="preserve">, the final expansion for </w:t>
      </w:r>
      <w:r>
        <w:rPr>
          <w:rFonts w:ascii="Arial" w:cs="Arial" w:eastAsia="Arial" w:hAnsi="Arial"/>
          <w:sz w:val="17"/>
          <w:szCs w:val="17"/>
          <w:i w:val="1"/>
          <w:iCs w:val="1"/>
          <w:color w:val="auto"/>
        </w:rPr>
        <w:t>The Outer Worlds</w:t>
      </w:r>
      <w:r>
        <w:rPr>
          <w:rFonts w:ascii="Arial" w:cs="Arial" w:eastAsia="Arial" w:hAnsi="Arial"/>
          <w:sz w:val="17"/>
          <w:szCs w:val="17"/>
          <w:color w:val="auto"/>
        </w:rPr>
        <w:t>, for the Nintendo Switch.</w:t>
      </w:r>
    </w:p>
    <w:p>
      <w:pPr>
        <w:ind w:left="340" w:right="40" w:hanging="332"/>
        <w:spacing w:after="0" w:line="210" w:lineRule="auto"/>
        <w:tabs>
          <w:tab w:leader="none" w:pos="335" w:val="left"/>
        </w:tabs>
        <w:numPr>
          <w:ilvl w:val="0"/>
          <w:numId w:val="7"/>
        </w:numPr>
        <w:rPr>
          <w:rFonts w:ascii="Arial" w:cs="Arial" w:eastAsia="Arial" w:hAnsi="Arial"/>
          <w:sz w:val="18"/>
          <w:szCs w:val="18"/>
          <w:color w:val="auto"/>
        </w:rPr>
      </w:pPr>
      <w:r>
        <w:rPr>
          <w:rFonts w:ascii="Arial" w:cs="Arial" w:eastAsia="Arial" w:hAnsi="Arial"/>
          <w:sz w:val="18"/>
          <w:szCs w:val="18"/>
          <w:color w:val="auto"/>
        </w:rPr>
        <w:t>On September 24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released </w:t>
      </w:r>
      <w:r>
        <w:rPr>
          <w:rFonts w:ascii="Arial" w:cs="Arial" w:eastAsia="Arial" w:hAnsi="Arial"/>
          <w:sz w:val="18"/>
          <w:szCs w:val="18"/>
          <w:i w:val="1"/>
          <w:iCs w:val="1"/>
          <w:color w:val="auto"/>
        </w:rPr>
        <w:t>Kerbal Space Program Enhanced Edition</w:t>
      </w:r>
      <w:r>
        <w:rPr>
          <w:rFonts w:ascii="Arial" w:cs="Arial" w:eastAsia="Arial" w:hAnsi="Arial"/>
          <w:sz w:val="18"/>
          <w:szCs w:val="18"/>
          <w:color w:val="auto"/>
        </w:rPr>
        <w:t xml:space="preserve"> for PlayStation 5 and Xbox Series X|S. The title contains multiple hardware advancements and developments, which allow for an upgraded resolution, improved frame-rate, advanced shaders, better textures, and additional performance improvements.</w:t>
      </w:r>
    </w:p>
    <w:p>
      <w:pPr>
        <w:spacing w:after="0" w:line="3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20"/>
          </w:cols>
          <w:pgMar w:left="320" w:top="917" w:right="359" w:bottom="1440" w:gutter="0" w:footer="0" w:header="0"/>
        </w:sectPr>
      </w:pPr>
    </w:p>
    <w:bookmarkStart w:id="7" w:name="page8"/>
    <w:bookmarkEnd w:id="7"/>
    <w:p>
      <w:pPr>
        <w:ind w:left="340" w:right="700" w:hanging="332"/>
        <w:spacing w:after="0" w:line="251" w:lineRule="auto"/>
        <w:tabs>
          <w:tab w:leader="none" w:pos="335"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 xml:space="preserve">OlliOlli World, </w:t>
      </w:r>
      <w:r>
        <w:rPr>
          <w:rFonts w:ascii="Arial" w:cs="Arial" w:eastAsia="Arial" w:hAnsi="Arial"/>
          <w:sz w:val="18"/>
          <w:szCs w:val="18"/>
          <w:color w:val="auto"/>
        </w:rPr>
        <w:t>the skateboarding action-platformer from Roll7 remains on track to launch this winter in fiscal Q4 for PlayStation 4,</w:t>
      </w:r>
      <w:r>
        <w:rPr>
          <w:rFonts w:ascii="Arial" w:cs="Arial" w:eastAsia="Arial" w:hAnsi="Arial"/>
          <w:sz w:val="18"/>
          <w:szCs w:val="18"/>
          <w:i w:val="1"/>
          <w:iCs w:val="1"/>
          <w:color w:val="auto"/>
        </w:rPr>
        <w:t xml:space="preserve"> </w:t>
      </w:r>
      <w:r>
        <w:rPr>
          <w:rFonts w:ascii="Arial" w:cs="Arial" w:eastAsia="Arial" w:hAnsi="Arial"/>
          <w:sz w:val="18"/>
          <w:szCs w:val="18"/>
          <w:color w:val="auto"/>
        </w:rPr>
        <w:t>PlayStation 5, Xbox One, Xbox Series X|S, PC and Nintendo Switch.</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T2 Mobile Games:</w:t>
      </w:r>
    </w:p>
    <w:p>
      <w:pPr>
        <w:spacing w:after="0" w:line="18" w:lineRule="exact"/>
        <w:rPr>
          <w:sz w:val="20"/>
          <w:szCs w:val="20"/>
          <w:color w:val="auto"/>
        </w:rPr>
      </w:pPr>
    </w:p>
    <w:p>
      <w:pPr>
        <w:ind w:left="340" w:right="20" w:hanging="332"/>
        <w:spacing w:after="0" w:line="219" w:lineRule="auto"/>
        <w:tabs>
          <w:tab w:leader="none" w:pos="335"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Continued the integration of Socialpoint, Playdots, and Nordeus into “T2 Mobile Games.” This new structure is helping Take-Two’s mobile teams achieve cost synergies and share best practices.</w:t>
      </w:r>
    </w:p>
    <w:p>
      <w:pPr>
        <w:ind w:left="340" w:right="280" w:hanging="332"/>
        <w:spacing w:after="0" w:line="219" w:lineRule="auto"/>
        <w:tabs>
          <w:tab w:leader="none" w:pos="335" w:val="left"/>
        </w:tabs>
        <w:numPr>
          <w:ilvl w:val="0"/>
          <w:numId w:val="9"/>
        </w:numPr>
        <w:rPr>
          <w:rFonts w:ascii="Arial" w:cs="Arial" w:eastAsia="Arial" w:hAnsi="Arial"/>
          <w:sz w:val="18"/>
          <w:szCs w:val="18"/>
          <w:color w:val="auto"/>
        </w:rPr>
      </w:pPr>
      <w:r>
        <w:rPr>
          <w:rFonts w:ascii="Arial" w:cs="Arial" w:eastAsia="Arial" w:hAnsi="Arial"/>
          <w:sz w:val="18"/>
          <w:szCs w:val="18"/>
          <w:color w:val="auto"/>
        </w:rPr>
        <w:t>Many of our mobile games launched new features, challenges, and marketing activations to drive player engagement. Our studios will continue to introduce new enhancements to their games this year to further optimize the player experience.</w:t>
      </w:r>
    </w:p>
    <w:p>
      <w:pPr>
        <w:ind w:left="340" w:right="400" w:hanging="332"/>
        <w:spacing w:after="0" w:line="235" w:lineRule="auto"/>
        <w:tabs>
          <w:tab w:leader="none" w:pos="335"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Nordeus released </w:t>
      </w:r>
      <w:r>
        <w:rPr>
          <w:rFonts w:ascii="Arial" w:cs="Arial" w:eastAsia="Arial" w:hAnsi="Arial"/>
          <w:sz w:val="18"/>
          <w:szCs w:val="18"/>
          <w:i w:val="1"/>
          <w:iCs w:val="1"/>
          <w:color w:val="auto"/>
        </w:rPr>
        <w:t>Top Eleven 2022</w:t>
      </w:r>
      <w:r>
        <w:rPr>
          <w:rFonts w:ascii="Arial" w:cs="Arial" w:eastAsia="Arial" w:hAnsi="Arial"/>
          <w:sz w:val="18"/>
          <w:szCs w:val="18"/>
          <w:color w:val="auto"/>
        </w:rPr>
        <w:t xml:space="preserve">, the latest installment of their mobile title that is the world’s most successful soccer management game of all time. </w:t>
      </w:r>
      <w:r>
        <w:rPr>
          <w:rFonts w:ascii="Arial" w:cs="Arial" w:eastAsia="Arial" w:hAnsi="Arial"/>
          <w:sz w:val="18"/>
          <w:szCs w:val="18"/>
          <w:i w:val="1"/>
          <w:iCs w:val="1"/>
          <w:color w:val="auto"/>
        </w:rPr>
        <w:t>Top Eleven 2022</w:t>
      </w:r>
      <w:r>
        <w:rPr>
          <w:rFonts w:ascii="Arial" w:cs="Arial" w:eastAsia="Arial" w:hAnsi="Arial"/>
          <w:sz w:val="18"/>
          <w:szCs w:val="18"/>
          <w:color w:val="auto"/>
        </w:rPr>
        <w:t xml:space="preserve"> delivers significant updates to the gameplay and soccer management experience.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Outlook for Fiscal 2022</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Take-Two is raising its outlook for the fiscal year ending March 31, 2022 and providing its initial outlook for its fiscal third quarter ending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2021:</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Fiscal Year Ending March 31, 2022</w:t>
      </w:r>
    </w:p>
    <w:p>
      <w:pPr>
        <w:spacing w:after="0" w:line="274" w:lineRule="exact"/>
        <w:rPr>
          <w:sz w:val="20"/>
          <w:szCs w:val="20"/>
          <w:color w:val="auto"/>
        </w:rPr>
      </w:pP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GAAP net revenue is expected to range from $3.35 to $3.45 billion</w:t>
      </w:r>
    </w:p>
    <w:p>
      <w:pPr>
        <w:spacing w:after="0" w:line="9" w:lineRule="exact"/>
        <w:rPr>
          <w:rFonts w:ascii="Arial" w:cs="Arial" w:eastAsia="Arial" w:hAnsi="Arial"/>
          <w:sz w:val="18"/>
          <w:szCs w:val="18"/>
          <w:color w:val="auto"/>
        </w:rPr>
      </w:pP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GAAP net income is expected to range from $320 to $350 million</w:t>
      </w:r>
    </w:p>
    <w:p>
      <w:pPr>
        <w:spacing w:after="0" w:line="9" w:lineRule="exact"/>
        <w:rPr>
          <w:rFonts w:ascii="Arial" w:cs="Arial" w:eastAsia="Arial" w:hAnsi="Arial"/>
          <w:sz w:val="18"/>
          <w:szCs w:val="18"/>
          <w:color w:val="auto"/>
        </w:rPr>
      </w:pP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GAAP diluted net income per share is expected to range from $2.75 to $3.00</w:t>
      </w:r>
    </w:p>
    <w:p>
      <w:pPr>
        <w:spacing w:after="0" w:line="9" w:lineRule="exact"/>
        <w:rPr>
          <w:rFonts w:ascii="Arial" w:cs="Arial" w:eastAsia="Arial" w:hAnsi="Arial"/>
          <w:sz w:val="18"/>
          <w:szCs w:val="18"/>
          <w:color w:val="auto"/>
        </w:rPr>
      </w:pPr>
    </w:p>
    <w:p>
      <w:pPr>
        <w:ind w:left="320" w:hanging="312"/>
        <w:spacing w:after="0" w:line="196"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Share count used to calculate both GAAP and management reporting diluted net income per share is expected to be 116.6 million</w:t>
      </w:r>
      <w:r>
        <w:rPr>
          <w:rFonts w:ascii="Arial" w:cs="Arial" w:eastAsia="Arial" w:hAnsi="Arial"/>
          <w:sz w:val="23"/>
          <w:szCs w:val="23"/>
          <w:color w:val="auto"/>
          <w:vertAlign w:val="superscript"/>
        </w:rPr>
        <w:t>(1)</w:t>
      </w: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Net cash provided by operating activities is expected to be over $380 million</w:t>
      </w:r>
    </w:p>
    <w:p>
      <w:pPr>
        <w:spacing w:after="0" w:line="9" w:lineRule="exact"/>
        <w:rPr>
          <w:rFonts w:ascii="Arial" w:cs="Arial" w:eastAsia="Arial" w:hAnsi="Arial"/>
          <w:sz w:val="18"/>
          <w:szCs w:val="18"/>
          <w:color w:val="auto"/>
        </w:rPr>
      </w:pPr>
    </w:p>
    <w:p>
      <w:pPr>
        <w:ind w:left="320" w:hanging="312"/>
        <w:spacing w:after="0" w:line="196"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Adjusted Unrestricted Operating Cash Flow (Non-GAAP) is expected to be over $400 million </w:t>
      </w:r>
      <w:r>
        <w:rPr>
          <w:rFonts w:ascii="Arial" w:cs="Arial" w:eastAsia="Arial" w:hAnsi="Arial"/>
          <w:sz w:val="23"/>
          <w:szCs w:val="23"/>
          <w:color w:val="auto"/>
          <w:vertAlign w:val="superscript"/>
        </w:rPr>
        <w:t>(2)</w:t>
      </w: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Capital expenditures are expected to be approximately $170 million</w:t>
      </w:r>
    </w:p>
    <w:p>
      <w:pPr>
        <w:spacing w:after="0" w:line="9" w:lineRule="exact"/>
        <w:rPr>
          <w:rFonts w:ascii="Arial" w:cs="Arial" w:eastAsia="Arial" w:hAnsi="Arial"/>
          <w:sz w:val="18"/>
          <w:szCs w:val="18"/>
          <w:color w:val="auto"/>
        </w:rPr>
      </w:pP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Net Bookings (operational metric) are expected to range from $3.3 to $3.4 billion</w:t>
      </w:r>
    </w:p>
    <w:p>
      <w:pPr>
        <w:spacing w:after="0" w:line="252" w:lineRule="exact"/>
        <w:rPr>
          <w:sz w:val="20"/>
          <w:szCs w:val="20"/>
          <w:color w:val="auto"/>
        </w:rPr>
      </w:pPr>
    </w:p>
    <w:p>
      <w:pPr>
        <w:ind w:right="300"/>
        <w:spacing w:after="0" w:line="256" w:lineRule="auto"/>
        <w:rPr>
          <w:sz w:val="20"/>
          <w:szCs w:val="20"/>
          <w:color w:val="auto"/>
        </w:rPr>
      </w:pPr>
      <w:r>
        <w:rPr>
          <w:rFonts w:ascii="Arial" w:cs="Arial" w:eastAsia="Arial" w:hAnsi="Arial"/>
          <w:sz w:val="18"/>
          <w:szCs w:val="18"/>
          <w:color w:val="auto"/>
        </w:rPr>
        <w:t>The Company is also providing selected data and its management reporting tax rate of 16%, which are used internally by its management and Board of Directors to adjust the Company’s GAAP financial outlook in order to facilitate comparison of its operating performance between periods and to better understand its core business and future outlook:</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940" w:type="dxa"/>
            <w:vAlign w:val="bottom"/>
          </w:tcPr>
          <w:p>
            <w:pPr>
              <w:spacing w:after="0"/>
              <w:rPr>
                <w:sz w:val="17"/>
                <w:szCs w:val="17"/>
                <w:color w:val="auto"/>
              </w:rPr>
            </w:pPr>
          </w:p>
        </w:tc>
        <w:tc>
          <w:tcPr>
            <w:tcW w:w="14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270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Twelve Months Ended March 31, 2022</w:t>
            </w:r>
          </w:p>
        </w:tc>
        <w:tc>
          <w:tcPr>
            <w:tcW w:w="14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r>
      <w:tr>
        <w:trPr>
          <w:trHeight w:val="210"/>
        </w:trPr>
        <w:tc>
          <w:tcPr>
            <w:tcW w:w="29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Financial Data</w:t>
            </w:r>
          </w:p>
        </w:tc>
        <w:tc>
          <w:tcPr>
            <w:tcW w:w="14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r>
      <w:tr>
        <w:trPr>
          <w:trHeight w:val="175"/>
        </w:trPr>
        <w:tc>
          <w:tcPr>
            <w:tcW w:w="294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Change in</w:t>
            </w:r>
          </w:p>
        </w:tc>
        <w:tc>
          <w:tcPr>
            <w:tcW w:w="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20" w:type="dxa"/>
            <w:vAlign w:val="bottom"/>
          </w:tcPr>
          <w:p>
            <w:pPr>
              <w:spacing w:after="0"/>
              <w:rPr>
                <w:sz w:val="15"/>
                <w:szCs w:val="15"/>
                <w:color w:val="auto"/>
              </w:rPr>
            </w:pPr>
          </w:p>
        </w:tc>
      </w:tr>
      <w:tr>
        <w:trPr>
          <w:trHeight w:val="162"/>
        </w:trPr>
        <w:tc>
          <w:tcPr>
            <w:tcW w:w="2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deferred net</w:t>
            </w:r>
          </w:p>
        </w:tc>
        <w:tc>
          <w:tcPr>
            <w:tcW w:w="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Gain on long-</w:t>
            </w:r>
          </w:p>
        </w:tc>
        <w:tc>
          <w:tcPr>
            <w:tcW w:w="1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spacing w:after="0"/>
              <w:rPr>
                <w:sz w:val="14"/>
                <w:szCs w:val="14"/>
                <w:color w:val="auto"/>
              </w:rPr>
            </w:pPr>
          </w:p>
        </w:tc>
      </w:tr>
      <w:tr>
        <w:trPr>
          <w:trHeight w:val="162"/>
        </w:trPr>
        <w:tc>
          <w:tcPr>
            <w:tcW w:w="2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revenue and</w:t>
            </w:r>
          </w:p>
        </w:tc>
        <w:tc>
          <w:tcPr>
            <w:tcW w:w="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8"/>
              </w:rPr>
              <w:t>term</w:t>
            </w:r>
          </w:p>
        </w:tc>
        <w:tc>
          <w:tcPr>
            <w:tcW w:w="15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Amortization and</w:t>
            </w:r>
          </w:p>
        </w:tc>
        <w:tc>
          <w:tcPr>
            <w:tcW w:w="1220" w:type="dxa"/>
            <w:vAlign w:val="bottom"/>
          </w:tcPr>
          <w:p>
            <w:pPr>
              <w:spacing w:after="0"/>
              <w:rPr>
                <w:sz w:val="14"/>
                <w:szCs w:val="14"/>
                <w:color w:val="auto"/>
              </w:rPr>
            </w:pPr>
          </w:p>
        </w:tc>
      </w:tr>
      <w:tr>
        <w:trPr>
          <w:trHeight w:val="162"/>
        </w:trPr>
        <w:tc>
          <w:tcPr>
            <w:tcW w:w="2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related cost of</w:t>
            </w:r>
          </w:p>
        </w:tc>
        <w:tc>
          <w:tcPr>
            <w:tcW w:w="80" w:type="dxa"/>
            <w:vAlign w:val="bottom"/>
          </w:tcPr>
          <w:p>
            <w:pPr>
              <w:spacing w:after="0"/>
              <w:rPr>
                <w:sz w:val="14"/>
                <w:szCs w:val="14"/>
                <w:color w:val="auto"/>
              </w:rPr>
            </w:pPr>
          </w:p>
        </w:tc>
        <w:tc>
          <w:tcPr>
            <w:tcW w:w="13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Stock-based</w:t>
            </w:r>
          </w:p>
        </w:tc>
        <w:tc>
          <w:tcPr>
            <w:tcW w:w="12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investments,</w:t>
            </w:r>
          </w:p>
        </w:tc>
        <w:tc>
          <w:tcPr>
            <w:tcW w:w="15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impairment of</w:t>
            </w:r>
          </w:p>
        </w:tc>
        <w:tc>
          <w:tcPr>
            <w:tcW w:w="1220" w:type="dxa"/>
            <w:vAlign w:val="bottom"/>
          </w:tcPr>
          <w:p>
            <w:pPr>
              <w:jc w:val="right"/>
              <w:spacing w:after="0"/>
              <w:rPr>
                <w:sz w:val="20"/>
                <w:szCs w:val="20"/>
                <w:color w:val="auto"/>
              </w:rPr>
            </w:pPr>
            <w:r>
              <w:rPr>
                <w:rFonts w:ascii="Arial" w:cs="Arial" w:eastAsia="Arial" w:hAnsi="Arial"/>
                <w:sz w:val="14"/>
                <w:szCs w:val="14"/>
                <w:b w:val="1"/>
                <w:bCs w:val="1"/>
                <w:color w:val="auto"/>
              </w:rPr>
              <w:t>Reorganization &amp;</w:t>
            </w:r>
          </w:p>
        </w:tc>
      </w:tr>
      <w:tr>
        <w:trPr>
          <w:trHeight w:val="203"/>
        </w:trPr>
        <w:tc>
          <w:tcPr>
            <w:tcW w:w="2940" w:type="dxa"/>
            <w:vAlign w:val="bottom"/>
            <w:tcBorders>
              <w:bottom w:val="single" w:sz="8" w:color="CCEEFF"/>
            </w:tcBorders>
          </w:tcPr>
          <w:p>
            <w:pPr>
              <w:ind w:left="1020"/>
              <w:spacing w:after="0"/>
              <w:rPr>
                <w:sz w:val="20"/>
                <w:szCs w:val="20"/>
                <w:color w:val="auto"/>
              </w:rPr>
            </w:pPr>
            <w:r>
              <w:rPr>
                <w:rFonts w:ascii="Arial" w:cs="Arial" w:eastAsia="Arial" w:hAnsi="Arial"/>
                <w:sz w:val="14"/>
                <w:szCs w:val="14"/>
                <w:b w:val="1"/>
                <w:bCs w:val="1"/>
                <w:i w:val="1"/>
                <w:iCs w:val="1"/>
                <w:color w:val="auto"/>
              </w:rPr>
              <w:t>$ in millions</w:t>
            </w:r>
          </w:p>
        </w:tc>
        <w:tc>
          <w:tcPr>
            <w:tcW w:w="1480" w:type="dxa"/>
            <w:vAlign w:val="bottom"/>
            <w:tcBorders>
              <w:bottom w:val="single" w:sz="8" w:color="auto"/>
            </w:tcBorders>
          </w:tcPr>
          <w:p>
            <w:pPr>
              <w:jc w:val="center"/>
              <w:spacing w:after="0" w:line="202" w:lineRule="exact"/>
              <w:rPr>
                <w:sz w:val="20"/>
                <w:szCs w:val="20"/>
                <w:color w:val="auto"/>
              </w:rPr>
            </w:pPr>
            <w:r>
              <w:rPr>
                <w:rFonts w:ascii="Arial" w:cs="Arial" w:eastAsia="Arial" w:hAnsi="Arial"/>
                <w:sz w:val="14"/>
                <w:szCs w:val="14"/>
                <w:b w:val="1"/>
                <w:bCs w:val="1"/>
                <w:color w:val="auto"/>
                <w:w w:val="98"/>
              </w:rPr>
              <w:t xml:space="preserve">GAAP outlook </w:t>
            </w:r>
            <w:r>
              <w:rPr>
                <w:rFonts w:ascii="Arial" w:cs="Arial" w:eastAsia="Arial" w:hAnsi="Arial"/>
                <w:sz w:val="18"/>
                <w:szCs w:val="18"/>
                <w:b w:val="1"/>
                <w:bCs w:val="1"/>
                <w:color w:val="auto"/>
                <w:w w:val="98"/>
                <w:vertAlign w:val="superscript"/>
              </w:rPr>
              <w:t>(2)</w:t>
            </w:r>
          </w:p>
        </w:tc>
        <w:tc>
          <w:tcPr>
            <w:tcW w:w="8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goods sold</w:t>
            </w:r>
          </w:p>
        </w:tc>
        <w:tc>
          <w:tcPr>
            <w:tcW w:w="8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tcPr>
          <w:p>
            <w:pPr>
              <w:jc w:val="center"/>
              <w:spacing w:after="0" w:line="202" w:lineRule="exact"/>
              <w:rPr>
                <w:sz w:val="20"/>
                <w:szCs w:val="20"/>
                <w:color w:val="auto"/>
              </w:rPr>
            </w:pPr>
            <w:r>
              <w:rPr>
                <w:rFonts w:ascii="Arial" w:cs="Arial" w:eastAsia="Arial" w:hAnsi="Arial"/>
                <w:sz w:val="14"/>
                <w:szCs w:val="14"/>
                <w:b w:val="1"/>
                <w:bCs w:val="1"/>
                <w:color w:val="auto"/>
                <w:w w:val="98"/>
              </w:rPr>
              <w:t xml:space="preserve">compensation </w:t>
            </w:r>
            <w:r>
              <w:rPr>
                <w:rFonts w:ascii="Arial" w:cs="Arial" w:eastAsia="Arial" w:hAnsi="Arial"/>
                <w:sz w:val="18"/>
                <w:szCs w:val="18"/>
                <w:b w:val="1"/>
                <w:bCs w:val="1"/>
                <w:color w:val="auto"/>
                <w:w w:val="98"/>
                <w:vertAlign w:val="superscript"/>
              </w:rPr>
              <w:t>(3)</w:t>
            </w:r>
          </w:p>
        </w:tc>
        <w:tc>
          <w:tcPr>
            <w:tcW w:w="100" w:type="dxa"/>
            <w:vAlign w:val="bottom"/>
            <w:tcBorders>
              <w:bottom w:val="single" w:sz="8" w:color="CCEEFF"/>
            </w:tcBorders>
          </w:tcPr>
          <w:p>
            <w:pPr>
              <w:spacing w:after="0"/>
              <w:rPr>
                <w:sz w:val="17"/>
                <w:szCs w:val="17"/>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net</w:t>
            </w:r>
          </w:p>
        </w:tc>
        <w:tc>
          <w:tcPr>
            <w:tcW w:w="80" w:type="dxa"/>
            <w:vAlign w:val="bottom"/>
            <w:tcBorders>
              <w:bottom w:val="single" w:sz="8" w:color="CCEEFF"/>
            </w:tcBorders>
          </w:tcPr>
          <w:p>
            <w:pPr>
              <w:spacing w:after="0"/>
              <w:rPr>
                <w:sz w:val="17"/>
                <w:szCs w:val="17"/>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acquired intangibles</w:t>
            </w:r>
          </w:p>
        </w:tc>
        <w:tc>
          <w:tcPr>
            <w:tcW w:w="8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acquisition</w:t>
            </w:r>
          </w:p>
        </w:tc>
      </w:tr>
      <w:tr>
        <w:trPr>
          <w:trHeight w:val="210"/>
        </w:trPr>
        <w:tc>
          <w:tcPr>
            <w:tcW w:w="29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revenue</w:t>
            </w:r>
          </w:p>
        </w:tc>
        <w:tc>
          <w:tcPr>
            <w:tcW w:w="15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b w:val="1"/>
                <w:bCs w:val="1"/>
                <w:color w:val="auto"/>
              </w:rPr>
              <w:t>$3,350 to $3,450</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w w:val="97"/>
              </w:rPr>
              <w:t>$(50)</w:t>
            </w:r>
          </w:p>
        </w:tc>
        <w:tc>
          <w:tcPr>
            <w:tcW w:w="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0"/>
        </w:trPr>
        <w:tc>
          <w:tcPr>
            <w:tcW w:w="2940" w:type="dxa"/>
            <w:vAlign w:val="bottom"/>
          </w:tcPr>
          <w:p>
            <w:pPr>
              <w:ind w:left="20"/>
              <w:spacing w:after="0"/>
              <w:rPr>
                <w:sz w:val="20"/>
                <w:szCs w:val="20"/>
                <w:color w:val="auto"/>
              </w:rPr>
            </w:pPr>
            <w:r>
              <w:rPr>
                <w:rFonts w:ascii="Arial" w:cs="Arial" w:eastAsia="Arial" w:hAnsi="Arial"/>
                <w:sz w:val="14"/>
                <w:szCs w:val="14"/>
                <w:b w:val="1"/>
                <w:bCs w:val="1"/>
                <w:color w:val="auto"/>
              </w:rPr>
              <w:t>Cost of goods sold</w:t>
            </w:r>
          </w:p>
        </w:tc>
        <w:tc>
          <w:tcPr>
            <w:tcW w:w="15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$1,506 to $1,551</w:t>
            </w: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$2</w:t>
            </w:r>
          </w:p>
        </w:tc>
        <w:tc>
          <w:tcPr>
            <w:tcW w:w="1360" w:type="dxa"/>
            <w:vAlign w:val="bottom"/>
            <w:gridSpan w:val="2"/>
          </w:tcPr>
          <w:p>
            <w:pPr>
              <w:jc w:val="center"/>
              <w:ind w:left="8"/>
              <w:spacing w:after="0"/>
              <w:rPr>
                <w:sz w:val="20"/>
                <w:szCs w:val="20"/>
                <w:color w:val="auto"/>
              </w:rPr>
            </w:pPr>
            <w:r>
              <w:rPr>
                <w:rFonts w:ascii="Arial" w:cs="Arial" w:eastAsia="Arial" w:hAnsi="Arial"/>
                <w:sz w:val="14"/>
                <w:szCs w:val="14"/>
                <w:b w:val="1"/>
                <w:bCs w:val="1"/>
                <w:color w:val="auto"/>
                <w:w w:val="97"/>
              </w:rPr>
              <w:t>$(40)</w:t>
            </w: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60" w:type="dxa"/>
            <w:vAlign w:val="bottom"/>
          </w:tcPr>
          <w:p>
            <w:pPr>
              <w:jc w:val="right"/>
              <w:ind w:right="508"/>
              <w:spacing w:after="0"/>
              <w:rPr>
                <w:sz w:val="20"/>
                <w:szCs w:val="20"/>
                <w:color w:val="auto"/>
              </w:rPr>
            </w:pPr>
            <w:r>
              <w:rPr>
                <w:rFonts w:ascii="Arial" w:cs="Arial" w:eastAsia="Arial" w:hAnsi="Arial"/>
                <w:sz w:val="14"/>
                <w:szCs w:val="14"/>
                <w:b w:val="1"/>
                <w:bCs w:val="1"/>
                <w:color w:val="auto"/>
              </w:rPr>
              <w:t>$(50)</w:t>
            </w:r>
          </w:p>
        </w:tc>
        <w:tc>
          <w:tcPr>
            <w:tcW w:w="8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22"/>
        </w:trPr>
        <w:tc>
          <w:tcPr>
            <w:tcW w:w="29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Operating expenses</w:t>
            </w:r>
          </w:p>
        </w:tc>
        <w:tc>
          <w:tcPr>
            <w:tcW w:w="15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b w:val="1"/>
                <w:bCs w:val="1"/>
                <w:color w:val="auto"/>
              </w:rPr>
              <w:t>$1,468 to $1,488</w:t>
            </w:r>
          </w:p>
        </w:tc>
        <w:tc>
          <w:tcPr>
            <w:tcW w:w="128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b w:val="1"/>
                <w:bCs w:val="1"/>
                <w:color w:val="auto"/>
                <w:w w:val="98"/>
              </w:rPr>
              <w:t>$(130)</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60" w:type="dxa"/>
            <w:vAlign w:val="bottom"/>
            <w:shd w:val="clear" w:color="auto" w:fill="CCEEFF"/>
          </w:tcPr>
          <w:p>
            <w:pPr>
              <w:jc w:val="right"/>
              <w:ind w:right="508"/>
              <w:spacing w:after="0"/>
              <w:rPr>
                <w:sz w:val="20"/>
                <w:szCs w:val="20"/>
                <w:color w:val="auto"/>
              </w:rPr>
            </w:pPr>
            <w:r>
              <w:rPr>
                <w:rFonts w:ascii="Arial" w:cs="Arial" w:eastAsia="Arial" w:hAnsi="Arial"/>
                <w:sz w:val="14"/>
                <w:szCs w:val="14"/>
                <w:b w:val="1"/>
                <w:bCs w:val="1"/>
                <w:color w:val="auto"/>
              </w:rPr>
              <w:t>$(15)</w:t>
            </w:r>
          </w:p>
        </w:tc>
        <w:tc>
          <w:tcPr>
            <w:tcW w:w="8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368"/>
              <w:spacing w:after="0"/>
              <w:rPr>
                <w:sz w:val="20"/>
                <w:szCs w:val="20"/>
                <w:color w:val="auto"/>
              </w:rPr>
            </w:pPr>
            <w:r>
              <w:rPr>
                <w:rFonts w:ascii="Arial" w:cs="Arial" w:eastAsia="Arial" w:hAnsi="Arial"/>
                <w:sz w:val="14"/>
                <w:szCs w:val="14"/>
                <w:b w:val="1"/>
                <w:bCs w:val="1"/>
                <w:color w:val="auto"/>
              </w:rPr>
              <w:t>$(23)</w:t>
            </w:r>
          </w:p>
        </w:tc>
      </w:tr>
      <w:tr>
        <w:trPr>
          <w:trHeight w:val="210"/>
        </w:trPr>
        <w:tc>
          <w:tcPr>
            <w:tcW w:w="2940" w:type="dxa"/>
            <w:vAlign w:val="bottom"/>
          </w:tcPr>
          <w:p>
            <w:pPr>
              <w:ind w:left="20"/>
              <w:spacing w:after="0"/>
              <w:rPr>
                <w:sz w:val="20"/>
                <w:szCs w:val="20"/>
                <w:color w:val="auto"/>
              </w:rPr>
            </w:pPr>
            <w:r>
              <w:rPr>
                <w:rFonts w:ascii="Arial" w:cs="Arial" w:eastAsia="Arial" w:hAnsi="Arial"/>
                <w:sz w:val="14"/>
                <w:szCs w:val="14"/>
                <w:b w:val="1"/>
                <w:bCs w:val="1"/>
                <w:color w:val="auto"/>
              </w:rPr>
              <w:t>Interest and other, net</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6"/>
              </w:rPr>
              <w:t>$(3)</w:t>
            </w:r>
          </w:p>
        </w:tc>
        <w:tc>
          <w:tcPr>
            <w:tcW w:w="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ind w:right="428"/>
              <w:spacing w:after="0"/>
              <w:rPr>
                <w:sz w:val="20"/>
                <w:szCs w:val="20"/>
                <w:color w:val="auto"/>
              </w:rPr>
            </w:pPr>
            <w:r>
              <w:rPr>
                <w:rFonts w:ascii="Arial" w:cs="Arial" w:eastAsia="Arial" w:hAnsi="Arial"/>
                <w:sz w:val="14"/>
                <w:szCs w:val="14"/>
                <w:b w:val="1"/>
                <w:bCs w:val="1"/>
                <w:color w:val="auto"/>
              </w:rPr>
              <w:t>$2</w:t>
            </w:r>
          </w:p>
        </w:tc>
        <w:tc>
          <w:tcPr>
            <w:tcW w:w="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22"/>
        </w:trPr>
        <w:tc>
          <w:tcPr>
            <w:tcW w:w="29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Income before income taxes</w:t>
            </w:r>
          </w:p>
        </w:tc>
        <w:tc>
          <w:tcPr>
            <w:tcW w:w="156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b w:val="1"/>
                <w:bCs w:val="1"/>
                <w:color w:val="auto"/>
              </w:rPr>
              <w:t>$379 to $414</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w w:val="97"/>
              </w:rPr>
              <w:t>$(52)</w:t>
            </w:r>
          </w:p>
        </w:tc>
        <w:tc>
          <w:tcPr>
            <w:tcW w:w="136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b w:val="1"/>
                <w:bCs w:val="1"/>
                <w:color w:val="auto"/>
              </w:rPr>
              <w:t>$170</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388"/>
              <w:spacing w:after="0"/>
              <w:rPr>
                <w:sz w:val="20"/>
                <w:szCs w:val="20"/>
                <w:color w:val="auto"/>
              </w:rPr>
            </w:pPr>
            <w:r>
              <w:rPr>
                <w:rFonts w:ascii="Arial" w:cs="Arial" w:eastAsia="Arial" w:hAnsi="Arial"/>
                <w:sz w:val="14"/>
                <w:szCs w:val="14"/>
                <w:b w:val="1"/>
                <w:bCs w:val="1"/>
                <w:color w:val="auto"/>
              </w:rPr>
              <w:t>$(2)</w:t>
            </w:r>
          </w:p>
        </w:tc>
        <w:tc>
          <w:tcPr>
            <w:tcW w:w="80" w:type="dxa"/>
            <w:vAlign w:val="bottom"/>
            <w:shd w:val="clear" w:color="auto" w:fill="CCEEFF"/>
          </w:tcPr>
          <w:p>
            <w:pPr>
              <w:spacing w:after="0"/>
              <w:rPr>
                <w:sz w:val="19"/>
                <w:szCs w:val="19"/>
                <w:color w:val="auto"/>
              </w:rPr>
            </w:pPr>
          </w:p>
        </w:tc>
        <w:tc>
          <w:tcPr>
            <w:tcW w:w="1460" w:type="dxa"/>
            <w:vAlign w:val="bottom"/>
            <w:shd w:val="clear" w:color="auto" w:fill="CCEEFF"/>
          </w:tcPr>
          <w:p>
            <w:pPr>
              <w:jc w:val="right"/>
              <w:ind w:right="548"/>
              <w:spacing w:after="0"/>
              <w:rPr>
                <w:sz w:val="20"/>
                <w:szCs w:val="20"/>
                <w:color w:val="auto"/>
              </w:rPr>
            </w:pPr>
            <w:r>
              <w:rPr>
                <w:rFonts w:ascii="Arial" w:cs="Arial" w:eastAsia="Arial" w:hAnsi="Arial"/>
                <w:sz w:val="14"/>
                <w:szCs w:val="14"/>
                <w:b w:val="1"/>
                <w:bCs w:val="1"/>
                <w:color w:val="auto"/>
              </w:rPr>
              <w:t>$65</w:t>
            </w:r>
          </w:p>
        </w:tc>
        <w:tc>
          <w:tcPr>
            <w:tcW w:w="8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428"/>
              <w:spacing w:after="0"/>
              <w:rPr>
                <w:sz w:val="20"/>
                <w:szCs w:val="20"/>
                <w:color w:val="auto"/>
              </w:rPr>
            </w:pPr>
            <w:r>
              <w:rPr>
                <w:rFonts w:ascii="Arial" w:cs="Arial" w:eastAsia="Arial" w:hAnsi="Arial"/>
                <w:sz w:val="14"/>
                <w:szCs w:val="14"/>
                <w:b w:val="1"/>
                <w:bCs w:val="1"/>
                <w:color w:val="auto"/>
              </w:rPr>
              <w:t>$23</w:t>
            </w:r>
          </w:p>
        </w:tc>
      </w:tr>
    </w:tbl>
    <w:p>
      <w:pPr>
        <w:spacing w:after="0" w:line="3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Third Quarter Ending December 31, 2021</w:t>
      </w:r>
    </w:p>
    <w:p>
      <w:pPr>
        <w:spacing w:after="0" w:line="274" w:lineRule="exact"/>
        <w:rPr>
          <w:sz w:val="20"/>
          <w:szCs w:val="20"/>
          <w:color w:val="auto"/>
        </w:rPr>
      </w:pPr>
    </w:p>
    <w:p>
      <w:pPr>
        <w:ind w:left="320" w:hanging="312"/>
        <w:spacing w:after="0"/>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net revenue is expected to range from $840 to $890 million</w:t>
      </w:r>
    </w:p>
    <w:p>
      <w:pPr>
        <w:spacing w:after="0" w:line="9" w:lineRule="exact"/>
        <w:rPr>
          <w:rFonts w:ascii="Arial" w:cs="Arial" w:eastAsia="Arial" w:hAnsi="Arial"/>
          <w:sz w:val="18"/>
          <w:szCs w:val="18"/>
          <w:color w:val="auto"/>
        </w:rPr>
      </w:pPr>
    </w:p>
    <w:p>
      <w:pPr>
        <w:ind w:left="320" w:hanging="312"/>
        <w:spacing w:after="0"/>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net income is expected to range from $99 to $111 million</w:t>
      </w:r>
    </w:p>
    <w:p>
      <w:pPr>
        <w:spacing w:after="0" w:line="9" w:lineRule="exact"/>
        <w:rPr>
          <w:rFonts w:ascii="Arial" w:cs="Arial" w:eastAsia="Arial" w:hAnsi="Arial"/>
          <w:sz w:val="18"/>
          <w:szCs w:val="18"/>
          <w:color w:val="auto"/>
        </w:rPr>
      </w:pPr>
    </w:p>
    <w:p>
      <w:pPr>
        <w:ind w:left="320" w:hanging="312"/>
        <w:spacing w:after="0"/>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diluted net income per share is expected to range from $0.85 to $0.95</w:t>
      </w:r>
    </w:p>
    <w:p>
      <w:pPr>
        <w:spacing w:after="0" w:line="9" w:lineRule="exact"/>
        <w:rPr>
          <w:rFonts w:ascii="Arial" w:cs="Arial" w:eastAsia="Arial" w:hAnsi="Arial"/>
          <w:sz w:val="18"/>
          <w:szCs w:val="18"/>
          <w:color w:val="auto"/>
        </w:rPr>
      </w:pPr>
    </w:p>
    <w:p>
      <w:pPr>
        <w:ind w:left="320" w:hanging="312"/>
        <w:spacing w:after="0" w:line="196" w:lineRule="auto"/>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 xml:space="preserve">Share count used to calculate both GAAP and management reporting diluted net income per share is expected to be 116.3 million </w:t>
      </w:r>
      <w:r>
        <w:rPr>
          <w:rFonts w:ascii="Arial" w:cs="Arial" w:eastAsia="Arial" w:hAnsi="Arial"/>
          <w:sz w:val="23"/>
          <w:szCs w:val="23"/>
          <w:color w:val="auto"/>
          <w:vertAlign w:val="superscript"/>
        </w:rPr>
        <w:t>(4)</w:t>
      </w:r>
    </w:p>
    <w:p>
      <w:pPr>
        <w:ind w:left="320" w:hanging="312"/>
        <w:spacing w:after="0"/>
        <w:tabs>
          <w:tab w:leader="none" w:pos="3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Net Bookings (operational metric) are expected to range from $800 to $850 million</w:t>
      </w:r>
    </w:p>
    <w:p>
      <w:pPr>
        <w:spacing w:after="0" w:line="252" w:lineRule="exact"/>
        <w:rPr>
          <w:sz w:val="20"/>
          <w:szCs w:val="20"/>
          <w:color w:val="auto"/>
        </w:rPr>
      </w:pPr>
    </w:p>
    <w:p>
      <w:pPr>
        <w:ind w:right="300"/>
        <w:spacing w:after="0" w:line="256" w:lineRule="auto"/>
        <w:rPr>
          <w:sz w:val="20"/>
          <w:szCs w:val="20"/>
          <w:color w:val="auto"/>
        </w:rPr>
      </w:pPr>
      <w:r>
        <w:rPr>
          <w:rFonts w:ascii="Arial" w:cs="Arial" w:eastAsia="Arial" w:hAnsi="Arial"/>
          <w:sz w:val="18"/>
          <w:szCs w:val="18"/>
          <w:color w:val="auto"/>
        </w:rPr>
        <w:t>The Company is also providing selected data and its management reporting tax rate of 16%, which are used internally by its management and Board of Directors to adjust the Company’s GAAP financial outlook in order to facilitate comparison of its operating performance between periods and to better understand its core business and future outlook:</w:t>
      </w:r>
    </w:p>
    <w:p>
      <w:pPr>
        <w:sectPr>
          <w:pgSz w:w="11900" w:h="16838" w:orient="portrait"/>
          <w:cols w:equalWidth="0" w:num="1">
            <w:col w:w="11240"/>
          </w:cols>
          <w:pgMar w:left="320" w:top="91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240"/>
          </w:cols>
          <w:pgMar w:left="320" w:top="917" w:right="339" w:bottom="1440" w:gutter="0" w:footer="0" w:header="0"/>
          <w:type w:val="continuous"/>
        </w:sectPr>
      </w:pPr>
    </w:p>
    <w:bookmarkStart w:id="8" w:name="page9"/>
    <w:bookmarkEnd w:id="8"/>
    <w:tbl>
      <w:tblPr>
        <w:tblLayout w:type="fixed"/>
        <w:tblInd w:w="0" w:type="dxa"/>
        <w:tblCellMar>
          <w:top w:w="0" w:type="dxa"/>
          <w:left w:w="0" w:type="dxa"/>
          <w:bottom w:w="0" w:type="dxa"/>
          <w:right w:w="0" w:type="dxa"/>
        </w:tblCellMar>
      </w:tblPr>
      <w:tr>
        <w:trPr>
          <w:trHeight w:val="196"/>
        </w:trPr>
        <w:tc>
          <w:tcPr>
            <w:tcW w:w="4160" w:type="dxa"/>
            <w:vAlign w:val="bottom"/>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800" w:type="dxa"/>
            <w:vAlign w:val="bottom"/>
            <w:tcBorders>
              <w:bottom w:val="single" w:sz="8" w:color="auto"/>
            </w:tcBorders>
            <w:gridSpan w:val="4"/>
          </w:tcPr>
          <w:p>
            <w:pPr>
              <w:ind w:left="360"/>
              <w:spacing w:after="0"/>
              <w:rPr>
                <w:sz w:val="20"/>
                <w:szCs w:val="20"/>
                <w:color w:val="auto"/>
              </w:rPr>
            </w:pPr>
            <w:r>
              <w:rPr>
                <w:rFonts w:ascii="Arial" w:cs="Arial" w:eastAsia="Arial" w:hAnsi="Arial"/>
                <w:sz w:val="14"/>
                <w:szCs w:val="14"/>
                <w:b w:val="1"/>
                <w:bCs w:val="1"/>
                <w:color w:val="auto"/>
              </w:rPr>
              <w:t>Three Months Ended December 31, 2021</w:t>
            </w:r>
          </w:p>
        </w:tc>
        <w:tc>
          <w:tcPr>
            <w:tcW w:w="14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960" w:type="dxa"/>
            <w:vAlign w:val="bottom"/>
            <w:tcBorders>
              <w:bottom w:val="single" w:sz="8" w:color="auto"/>
            </w:tcBorders>
            <w:gridSpan w:val="2"/>
          </w:tcPr>
          <w:p>
            <w:pPr>
              <w:ind w:left="320"/>
              <w:spacing w:after="0"/>
              <w:rPr>
                <w:sz w:val="20"/>
                <w:szCs w:val="20"/>
                <w:color w:val="auto"/>
              </w:rPr>
            </w:pPr>
            <w:r>
              <w:rPr>
                <w:rFonts w:ascii="Arial" w:cs="Arial" w:eastAsia="Arial" w:hAnsi="Arial"/>
                <w:sz w:val="14"/>
                <w:szCs w:val="14"/>
                <w:b w:val="1"/>
                <w:bCs w:val="1"/>
                <w:color w:val="auto"/>
              </w:rPr>
              <w:t>Financial Data</w:t>
            </w:r>
          </w:p>
        </w:tc>
        <w:tc>
          <w:tcPr>
            <w:tcW w:w="14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75"/>
        </w:trPr>
        <w:tc>
          <w:tcPr>
            <w:tcW w:w="416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Change in deferred net</w:t>
            </w:r>
          </w:p>
        </w:tc>
        <w:tc>
          <w:tcPr>
            <w:tcW w:w="1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160" w:type="dxa"/>
            <w:vAlign w:val="bottom"/>
          </w:tcPr>
          <w:p>
            <w:pPr>
              <w:spacing w:after="0"/>
              <w:rPr>
                <w:sz w:val="14"/>
                <w:szCs w:val="14"/>
                <w:color w:val="auto"/>
              </w:rPr>
            </w:pPr>
          </w:p>
        </w:tc>
        <w:tc>
          <w:tcPr>
            <w:tcW w:w="17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 xml:space="preserve">GAAP outlook </w:t>
            </w:r>
            <w:r>
              <w:rPr>
                <w:rFonts w:ascii="Arial" w:cs="Arial" w:eastAsia="Arial" w:hAnsi="Arial"/>
                <w:sz w:val="18"/>
                <w:szCs w:val="18"/>
                <w:b w:val="1"/>
                <w:bCs w:val="1"/>
                <w:color w:val="auto"/>
                <w:w w:val="98"/>
                <w:vertAlign w:val="superscript"/>
              </w:rPr>
              <w:t>(3)</w:t>
            </w:r>
          </w:p>
        </w:tc>
        <w:tc>
          <w:tcPr>
            <w:tcW w:w="80" w:type="dxa"/>
            <w:vAlign w:val="bottom"/>
            <w:vMerge w:val="restart"/>
          </w:tcPr>
          <w:p>
            <w:pPr>
              <w:spacing w:after="0"/>
              <w:rPr>
                <w:sz w:val="14"/>
                <w:szCs w:val="14"/>
                <w:color w:val="auto"/>
              </w:rPr>
            </w:pPr>
          </w:p>
        </w:tc>
        <w:tc>
          <w:tcPr>
            <w:tcW w:w="18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rPr>
              <w:t>revenue and related cost</w:t>
            </w:r>
          </w:p>
        </w:tc>
        <w:tc>
          <w:tcPr>
            <w:tcW w:w="196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rPr>
              <w:t>Stock-based</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Amortization of</w:t>
            </w:r>
          </w:p>
        </w:tc>
        <w:tc>
          <w:tcPr>
            <w:tcW w:w="0" w:type="dxa"/>
            <w:vAlign w:val="bottom"/>
          </w:tcPr>
          <w:p>
            <w:pPr>
              <w:spacing w:after="0"/>
              <w:rPr>
                <w:sz w:val="1"/>
                <w:szCs w:val="1"/>
                <w:color w:val="auto"/>
              </w:rPr>
            </w:pPr>
          </w:p>
        </w:tc>
      </w:tr>
      <w:tr>
        <w:trPr>
          <w:trHeight w:val="202"/>
        </w:trPr>
        <w:tc>
          <w:tcPr>
            <w:tcW w:w="416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 in millions</w:t>
            </w:r>
          </w:p>
        </w:tc>
        <w:tc>
          <w:tcPr>
            <w:tcW w:w="1720" w:type="dxa"/>
            <w:vAlign w:val="bottom"/>
            <w:tcBorders>
              <w:bottom w:val="single" w:sz="8" w:color="auto"/>
            </w:tcBorders>
            <w:vMerge w:val="continue"/>
          </w:tcPr>
          <w:p>
            <w:pPr>
              <w:spacing w:after="0"/>
              <w:rPr>
                <w:sz w:val="17"/>
                <w:szCs w:val="17"/>
                <w:color w:val="auto"/>
              </w:rPr>
            </w:pPr>
          </w:p>
        </w:tc>
        <w:tc>
          <w:tcPr>
            <w:tcW w:w="80" w:type="dxa"/>
            <w:vAlign w:val="bottom"/>
            <w:tcBorders>
              <w:bottom w:val="single" w:sz="8" w:color="CCEEFF"/>
            </w:tcBorders>
            <w:vMerge w:val="continue"/>
          </w:tcPr>
          <w:p>
            <w:pPr>
              <w:spacing w:after="0"/>
              <w:rPr>
                <w:sz w:val="17"/>
                <w:szCs w:val="17"/>
                <w:color w:val="auto"/>
              </w:rPr>
            </w:pP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of goods sold</w:t>
            </w:r>
          </w:p>
        </w:tc>
        <w:tc>
          <w:tcPr>
            <w:tcW w:w="80" w:type="dxa"/>
            <w:vAlign w:val="bottom"/>
            <w:tcBorders>
              <w:bottom w:val="single" w:sz="8" w:color="CCEEFF"/>
            </w:tcBorders>
          </w:tcPr>
          <w:p>
            <w:pPr>
              <w:spacing w:after="0"/>
              <w:rPr>
                <w:sz w:val="17"/>
                <w:szCs w:val="17"/>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compensation</w:t>
            </w:r>
          </w:p>
        </w:tc>
        <w:tc>
          <w:tcPr>
            <w:tcW w:w="80" w:type="dxa"/>
            <w:vAlign w:val="bottom"/>
            <w:tcBorders>
              <w:bottom w:val="single" w:sz="8" w:color="CCEEFF"/>
            </w:tcBorders>
          </w:tcPr>
          <w:p>
            <w:pPr>
              <w:spacing w:after="0"/>
              <w:rPr>
                <w:sz w:val="17"/>
                <w:szCs w:val="17"/>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intangible assets</w:t>
            </w:r>
          </w:p>
        </w:tc>
        <w:tc>
          <w:tcPr>
            <w:tcW w:w="0" w:type="dxa"/>
            <w:vAlign w:val="bottom"/>
          </w:tcPr>
          <w:p>
            <w:pPr>
              <w:spacing w:after="0"/>
              <w:rPr>
                <w:sz w:val="1"/>
                <w:szCs w:val="1"/>
                <w:color w:val="auto"/>
              </w:rPr>
            </w:pPr>
          </w:p>
        </w:tc>
      </w:tr>
      <w:tr>
        <w:trPr>
          <w:trHeight w:val="209"/>
        </w:trPr>
        <w:tc>
          <w:tcPr>
            <w:tcW w:w="41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revenue</w:t>
            </w:r>
          </w:p>
        </w:tc>
        <w:tc>
          <w:tcPr>
            <w:tcW w:w="180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b w:val="1"/>
                <w:bCs w:val="1"/>
                <w:color w:val="auto"/>
              </w:rPr>
              <w:t>$840 to $890</w:t>
            </w:r>
          </w:p>
        </w:tc>
        <w:tc>
          <w:tcPr>
            <w:tcW w:w="176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w w:val="97"/>
              </w:rPr>
              <w:t>$(40)</w:t>
            </w:r>
          </w:p>
        </w:tc>
        <w:tc>
          <w:tcPr>
            <w:tcW w:w="80" w:type="dxa"/>
            <w:vAlign w:val="bottom"/>
            <w:shd w:val="clear" w:color="auto" w:fill="CCEEFF"/>
          </w:tcPr>
          <w:p>
            <w:pPr>
              <w:spacing w:after="0"/>
              <w:rPr>
                <w:sz w:val="18"/>
                <w:szCs w:val="18"/>
                <w:color w:val="auto"/>
              </w:rPr>
            </w:pPr>
          </w:p>
        </w:tc>
        <w:tc>
          <w:tcPr>
            <w:tcW w:w="1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60" w:type="dxa"/>
            <w:vAlign w:val="bottom"/>
          </w:tcPr>
          <w:p>
            <w:pPr>
              <w:ind w:left="20"/>
              <w:spacing w:after="0"/>
              <w:rPr>
                <w:sz w:val="20"/>
                <w:szCs w:val="20"/>
                <w:color w:val="auto"/>
              </w:rPr>
            </w:pPr>
            <w:r>
              <w:rPr>
                <w:rFonts w:ascii="Arial" w:cs="Arial" w:eastAsia="Arial" w:hAnsi="Arial"/>
                <w:sz w:val="14"/>
                <w:szCs w:val="14"/>
                <w:b w:val="1"/>
                <w:bCs w:val="1"/>
                <w:color w:val="auto"/>
              </w:rPr>
              <w:t>Cost of goods sold</w:t>
            </w: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$344 to $370</w:t>
            </w:r>
          </w:p>
        </w:tc>
        <w:tc>
          <w:tcPr>
            <w:tcW w:w="1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80" w:type="dxa"/>
            <w:vAlign w:val="bottom"/>
          </w:tcPr>
          <w:p>
            <w:pPr>
              <w:jc w:val="center"/>
              <w:spacing w:after="0"/>
              <w:rPr>
                <w:sz w:val="20"/>
                <w:szCs w:val="20"/>
                <w:color w:val="auto"/>
              </w:rPr>
            </w:pPr>
            <w:r>
              <w:rPr>
                <w:rFonts w:ascii="Arial" w:cs="Arial" w:eastAsia="Arial" w:hAnsi="Arial"/>
                <w:sz w:val="14"/>
                <w:szCs w:val="14"/>
                <w:b w:val="1"/>
                <w:bCs w:val="1"/>
                <w:color w:val="auto"/>
              </w:rPr>
              <w:t>$(9)</w:t>
            </w:r>
          </w:p>
        </w:tc>
        <w:tc>
          <w:tcPr>
            <w:tcW w:w="80" w:type="dxa"/>
            <w:vAlign w:val="bottom"/>
          </w:tcPr>
          <w:p>
            <w:pPr>
              <w:spacing w:after="0"/>
              <w:rPr>
                <w:sz w:val="18"/>
                <w:szCs w:val="18"/>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rPr>
              <w:t>$(12)</w:t>
            </w:r>
          </w:p>
        </w:tc>
        <w:tc>
          <w:tcPr>
            <w:tcW w:w="0" w:type="dxa"/>
            <w:vAlign w:val="bottom"/>
          </w:tcPr>
          <w:p>
            <w:pPr>
              <w:spacing w:after="0"/>
              <w:rPr>
                <w:sz w:val="1"/>
                <w:szCs w:val="1"/>
                <w:color w:val="auto"/>
              </w:rPr>
            </w:pPr>
          </w:p>
        </w:tc>
      </w:tr>
      <w:tr>
        <w:trPr>
          <w:trHeight w:val="222"/>
        </w:trPr>
        <w:tc>
          <w:tcPr>
            <w:tcW w:w="41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Operating expenses</w:t>
            </w:r>
          </w:p>
        </w:tc>
        <w:tc>
          <w:tcPr>
            <w:tcW w:w="180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b w:val="1"/>
                <w:bCs w:val="1"/>
                <w:color w:val="auto"/>
              </w:rPr>
              <w:t>$378 to $388</w:t>
            </w:r>
          </w:p>
        </w:tc>
        <w:tc>
          <w:tcPr>
            <w:tcW w:w="17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$(30)</w:t>
            </w:r>
          </w:p>
        </w:tc>
        <w:tc>
          <w:tcPr>
            <w:tcW w:w="80" w:type="dxa"/>
            <w:vAlign w:val="bottom"/>
            <w:shd w:val="clear" w:color="auto" w:fill="CCEEFF"/>
          </w:tcPr>
          <w:p>
            <w:pPr>
              <w:spacing w:after="0"/>
              <w:rPr>
                <w:sz w:val="19"/>
                <w:szCs w:val="19"/>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$(3)</w:t>
            </w:r>
          </w:p>
        </w:tc>
        <w:tc>
          <w:tcPr>
            <w:tcW w:w="0" w:type="dxa"/>
            <w:vAlign w:val="bottom"/>
          </w:tcPr>
          <w:p>
            <w:pPr>
              <w:spacing w:after="0"/>
              <w:rPr>
                <w:sz w:val="1"/>
                <w:szCs w:val="1"/>
                <w:color w:val="auto"/>
              </w:rPr>
            </w:pPr>
          </w:p>
        </w:tc>
      </w:tr>
      <w:tr>
        <w:trPr>
          <w:trHeight w:val="210"/>
        </w:trPr>
        <w:tc>
          <w:tcPr>
            <w:tcW w:w="4160" w:type="dxa"/>
            <w:vAlign w:val="bottom"/>
          </w:tcPr>
          <w:p>
            <w:pPr>
              <w:ind w:left="20"/>
              <w:spacing w:after="0"/>
              <w:rPr>
                <w:sz w:val="20"/>
                <w:szCs w:val="20"/>
                <w:color w:val="auto"/>
              </w:rPr>
            </w:pPr>
            <w:r>
              <w:rPr>
                <w:rFonts w:ascii="Arial" w:cs="Arial" w:eastAsia="Arial" w:hAnsi="Arial"/>
                <w:sz w:val="14"/>
                <w:szCs w:val="14"/>
                <w:b w:val="1"/>
                <w:bCs w:val="1"/>
                <w:color w:val="auto"/>
              </w:rPr>
              <w:t>Interest and other, net</w:t>
            </w:r>
          </w:p>
        </w:tc>
        <w:tc>
          <w:tcPr>
            <w:tcW w:w="1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1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Income before income taxes</w:t>
            </w:r>
          </w:p>
        </w:tc>
        <w:tc>
          <w:tcPr>
            <w:tcW w:w="180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b w:val="1"/>
                <w:bCs w:val="1"/>
                <w:color w:val="auto"/>
              </w:rPr>
              <w:t>$118 to $132</w:t>
            </w:r>
          </w:p>
        </w:tc>
        <w:tc>
          <w:tcPr>
            <w:tcW w:w="176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w w:val="97"/>
              </w:rPr>
              <w:t>$(40)</w:t>
            </w:r>
          </w:p>
        </w:tc>
        <w:tc>
          <w:tcPr>
            <w:tcW w:w="80" w:type="dxa"/>
            <w:vAlign w:val="bottom"/>
            <w:shd w:val="clear" w:color="auto" w:fill="CCEEFF"/>
          </w:tcPr>
          <w:p>
            <w:pPr>
              <w:spacing w:after="0"/>
              <w:rPr>
                <w:sz w:val="19"/>
                <w:szCs w:val="19"/>
                <w:color w:val="auto"/>
              </w:rPr>
            </w:pP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$39</w:t>
            </w:r>
          </w:p>
        </w:tc>
        <w:tc>
          <w:tcPr>
            <w:tcW w:w="80" w:type="dxa"/>
            <w:vAlign w:val="bottom"/>
            <w:shd w:val="clear" w:color="auto" w:fill="CCEEFF"/>
          </w:tcPr>
          <w:p>
            <w:pPr>
              <w:spacing w:after="0"/>
              <w:rPr>
                <w:sz w:val="19"/>
                <w:szCs w:val="19"/>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b w:val="1"/>
                <w:bCs w:val="1"/>
                <w:color w:val="auto"/>
              </w:rPr>
              <w:t>$15</w:t>
            </w:r>
          </w:p>
        </w:tc>
        <w:tc>
          <w:tcPr>
            <w:tcW w:w="0" w:type="dxa"/>
            <w:vAlign w:val="bottom"/>
          </w:tcPr>
          <w:p>
            <w:pPr>
              <w:spacing w:after="0"/>
              <w:rPr>
                <w:sz w:val="1"/>
                <w:szCs w:val="1"/>
                <w:color w:val="auto"/>
              </w:rPr>
            </w:pPr>
          </w:p>
        </w:tc>
      </w:tr>
    </w:tbl>
    <w:p>
      <w:pPr>
        <w:spacing w:after="0" w:line="329" w:lineRule="exact"/>
        <w:rPr>
          <w:sz w:val="20"/>
          <w:szCs w:val="20"/>
          <w:color w:val="auto"/>
        </w:rPr>
      </w:pPr>
    </w:p>
    <w:p>
      <w:pPr>
        <w:ind w:left="720" w:hanging="323"/>
        <w:spacing w:after="0"/>
        <w:tabs>
          <w:tab w:leader="none" w:pos="72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115.5 million basic shares and 1.1 million shares representing the potential dilution from unvested employee stock grants.</w:t>
      </w:r>
    </w:p>
    <w:p>
      <w:pPr>
        <w:spacing w:after="0" w:line="1" w:lineRule="exact"/>
        <w:rPr>
          <w:rFonts w:ascii="Arial" w:cs="Arial" w:eastAsia="Arial" w:hAnsi="Arial"/>
          <w:sz w:val="14"/>
          <w:szCs w:val="14"/>
          <w:color w:val="auto"/>
        </w:rPr>
      </w:pPr>
    </w:p>
    <w:p>
      <w:pPr>
        <w:ind w:left="720" w:hanging="323"/>
        <w:spacing w:after="0"/>
        <w:tabs>
          <w:tab w:leader="none" w:pos="720" w:val="left"/>
        </w:tabs>
        <w:numPr>
          <w:ilvl w:val="0"/>
          <w:numId w:val="12"/>
        </w:numPr>
        <w:rPr>
          <w:rFonts w:ascii="Arial" w:cs="Arial" w:eastAsia="Arial" w:hAnsi="Arial"/>
          <w:sz w:val="14"/>
          <w:szCs w:val="14"/>
          <w:color w:val="auto"/>
        </w:rPr>
      </w:pPr>
      <w:r>
        <w:rPr>
          <w:rFonts w:ascii="Arial" w:cs="Arial" w:eastAsia="Arial" w:hAnsi="Arial"/>
          <w:sz w:val="14"/>
          <w:szCs w:val="14"/>
          <w:color w:val="auto"/>
        </w:rPr>
        <w:t>Adjusted for changes in restricted cash.</w:t>
      </w:r>
    </w:p>
    <w:p>
      <w:pPr>
        <w:spacing w:after="0" w:line="1" w:lineRule="exact"/>
        <w:rPr>
          <w:rFonts w:ascii="Arial" w:cs="Arial" w:eastAsia="Arial" w:hAnsi="Arial"/>
          <w:sz w:val="14"/>
          <w:szCs w:val="14"/>
          <w:color w:val="auto"/>
        </w:rPr>
      </w:pPr>
    </w:p>
    <w:p>
      <w:pPr>
        <w:ind w:left="720" w:right="20" w:hanging="323"/>
        <w:spacing w:after="0" w:line="241" w:lineRule="auto"/>
        <w:tabs>
          <w:tab w:leader="none" w:pos="713" w:val="left"/>
        </w:tabs>
        <w:numPr>
          <w:ilvl w:val="0"/>
          <w:numId w:val="12"/>
        </w:numPr>
        <w:rPr>
          <w:rFonts w:ascii="Arial" w:cs="Arial" w:eastAsia="Arial" w:hAnsi="Arial"/>
          <w:sz w:val="14"/>
          <w:szCs w:val="14"/>
          <w:color w:val="auto"/>
        </w:rPr>
      </w:pPr>
      <w:r>
        <w:rPr>
          <w:rFonts w:ascii="Arial" w:cs="Arial" w:eastAsia="Arial" w:hAnsi="Arial"/>
          <w:sz w:val="14"/>
          <w:szCs w:val="14"/>
          <w:color w:val="auto"/>
        </w:rPr>
        <w:t>The individual components of the financial outlook may not foot to the totals, as the Company does not expect actual results for every component to be at the low end or high end of the outlook range simultaneously.</w:t>
      </w:r>
    </w:p>
    <w:p>
      <w:pPr>
        <w:ind w:left="720" w:hanging="323"/>
        <w:spacing w:after="0"/>
        <w:tabs>
          <w:tab w:leader="none" w:pos="72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115.3 million basic shares and 1.0 million shares representing the potential dilution from unvested employee stock grants.</w:t>
      </w:r>
    </w:p>
    <w:p>
      <w:pPr>
        <w:spacing w:after="0" w:line="238"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Key assumptions and dependencies underlying the Company’s outlook include: the timely delivery of the titles included in this financial outlook; a stable economic environment; continued consumer acceptance of Xbox One and PlayStation 4, as well as continued growth in the installed base of PlayStation 5 and Xbox Series X|S; the ability to develop and publish products that capture market share for these current generation systems while also leveraging opportunities on PC, mobile and other platforms; and stable foreign exchange rates. See also “Cautionary Note Regarding Forward Looking Statements” below.</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Product Releases</w:t>
      </w:r>
    </w:p>
    <w:p>
      <w:pPr>
        <w:spacing w:after="0" w:line="274" w:lineRule="exact"/>
        <w:rPr>
          <w:sz w:val="20"/>
          <w:szCs w:val="20"/>
          <w:color w:val="auto"/>
        </w:rPr>
      </w:pPr>
    </w:p>
    <w:p>
      <w:pPr>
        <w:ind w:left="900"/>
        <w:spacing w:after="0"/>
        <w:rPr>
          <w:sz w:val="20"/>
          <w:szCs w:val="20"/>
          <w:color w:val="auto"/>
        </w:rPr>
      </w:pPr>
      <w:r>
        <w:rPr>
          <w:rFonts w:ascii="Arial" w:cs="Arial" w:eastAsia="Arial" w:hAnsi="Arial"/>
          <w:sz w:val="18"/>
          <w:szCs w:val="18"/>
          <w:color w:val="auto"/>
        </w:rPr>
        <w:t>The following have been released since July 1, 2021:</w:t>
      </w:r>
    </w:p>
    <w:p>
      <w:pPr>
        <w:spacing w:after="0" w:line="260" w:lineRule="exact"/>
        <w:rPr>
          <w:sz w:val="20"/>
          <w:szCs w:val="20"/>
          <w:color w:val="auto"/>
        </w:rPr>
      </w:pPr>
    </w:p>
    <w:tbl>
      <w:tblPr>
        <w:tblLayout w:type="fixed"/>
        <w:tblInd w:w="290" w:type="dxa"/>
        <w:tblCellMar>
          <w:top w:w="0" w:type="dxa"/>
          <w:left w:w="0" w:type="dxa"/>
          <w:bottom w:w="0" w:type="dxa"/>
          <w:right w:w="0" w:type="dxa"/>
        </w:tblCellMar>
      </w:tblPr>
      <w:tr>
        <w:trPr>
          <w:trHeight w:val="257"/>
        </w:trPr>
        <w:tc>
          <w:tcPr>
            <w:tcW w:w="1520" w:type="dxa"/>
            <w:vAlign w:val="bottom"/>
            <w:tcBorders>
              <w:top w:val="single" w:sz="8" w:color="auto"/>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Label</w:t>
            </w:r>
          </w:p>
        </w:tc>
        <w:tc>
          <w:tcPr>
            <w:tcW w:w="47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Product</w:t>
            </w:r>
          </w:p>
        </w:tc>
        <w:tc>
          <w:tcPr>
            <w:tcW w:w="250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Platforms</w:t>
            </w:r>
          </w:p>
        </w:tc>
        <w:tc>
          <w:tcPr>
            <w:tcW w:w="19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Release Date</w:t>
            </w:r>
          </w:p>
        </w:tc>
      </w:tr>
      <w:tr>
        <w:trPr>
          <w:trHeight w:val="27"/>
        </w:trPr>
        <w:tc>
          <w:tcPr>
            <w:tcW w:w="1520" w:type="dxa"/>
            <w:vAlign w:val="bottom"/>
            <w:tcBorders>
              <w:left w:val="single" w:sz="8" w:color="auto"/>
              <w:bottom w:val="single" w:sz="8" w:color="auto"/>
              <w:right w:val="single" w:sz="8" w:color="auto"/>
            </w:tcBorders>
          </w:tcPr>
          <w:p>
            <w:pPr>
              <w:spacing w:after="0"/>
              <w:rPr>
                <w:sz w:val="2"/>
                <w:szCs w:val="2"/>
                <w:color w:val="auto"/>
              </w:rPr>
            </w:pPr>
          </w:p>
        </w:tc>
        <w:tc>
          <w:tcPr>
            <w:tcW w:w="4740" w:type="dxa"/>
            <w:vAlign w:val="bottom"/>
            <w:tcBorders>
              <w:bottom w:val="single" w:sz="8" w:color="auto"/>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c>
          <w:tcPr>
            <w:tcW w:w="1940" w:type="dxa"/>
            <w:vAlign w:val="bottom"/>
            <w:tcBorders>
              <w:bottom w:val="single" w:sz="8" w:color="auto"/>
              <w:right w:val="single" w:sz="8" w:color="auto"/>
            </w:tcBorders>
          </w:tcPr>
          <w:p>
            <w:pPr>
              <w:spacing w:after="0"/>
              <w:rPr>
                <w:sz w:val="2"/>
                <w:szCs w:val="2"/>
                <w:color w:val="auto"/>
              </w:rPr>
            </w:pPr>
          </w:p>
        </w:tc>
      </w:tr>
      <w:tr>
        <w:trPr>
          <w:trHeight w:val="230"/>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Rockstar Games</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 xml:space="preserve">Red Dead Redemption Online: Blood Money </w:t>
            </w:r>
            <w:r>
              <w:rPr>
                <w:rFonts w:ascii="Arial" w:cs="Arial" w:eastAsia="Arial" w:hAnsi="Arial"/>
                <w:sz w:val="16"/>
                <w:szCs w:val="16"/>
                <w:color w:val="auto"/>
              </w:rPr>
              <w:t>Update</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PS4, Xbox One, PC</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July 13, 2021</w:t>
            </w:r>
          </w:p>
        </w:tc>
      </w:tr>
      <w:tr>
        <w:trPr>
          <w:trHeight w:val="237"/>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Rockstar Games</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 xml:space="preserve">Grand Theft Auto Online: Los Santos Tuners </w:t>
            </w:r>
            <w:r>
              <w:rPr>
                <w:rFonts w:ascii="Arial" w:cs="Arial" w:eastAsia="Arial" w:hAnsi="Arial"/>
                <w:sz w:val="16"/>
                <w:szCs w:val="16"/>
                <w:color w:val="auto"/>
              </w:rPr>
              <w:t>Update</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PS4, Xbox One, PC</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July 20, 2021</w:t>
            </w:r>
          </w:p>
        </w:tc>
      </w:tr>
      <w:tr>
        <w:trPr>
          <w:trHeight w:val="218"/>
        </w:trPr>
        <w:tc>
          <w:tcPr>
            <w:tcW w:w="152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Private Division</w:t>
            </w:r>
          </w:p>
        </w:tc>
        <w:tc>
          <w:tcPr>
            <w:tcW w:w="4740" w:type="dxa"/>
            <w:vAlign w:val="bottom"/>
            <w:tcBorders>
              <w:right w:val="single" w:sz="8" w:color="auto"/>
            </w:tcBorders>
          </w:tcPr>
          <w:p>
            <w:pPr>
              <w:spacing w:after="0"/>
              <w:rPr>
                <w:sz w:val="20"/>
                <w:szCs w:val="20"/>
                <w:color w:val="auto"/>
              </w:rPr>
            </w:pPr>
            <w:r>
              <w:rPr>
                <w:rFonts w:ascii="Arial" w:cs="Arial" w:eastAsia="Arial" w:hAnsi="Arial"/>
                <w:sz w:val="16"/>
                <w:szCs w:val="16"/>
                <w:i w:val="1"/>
                <w:iCs w:val="1"/>
                <w:color w:val="auto"/>
              </w:rPr>
              <w:t xml:space="preserve">Hades </w:t>
            </w:r>
            <w:r>
              <w:rPr>
                <w:rFonts w:ascii="Arial" w:cs="Arial" w:eastAsia="Arial" w:hAnsi="Arial"/>
                <w:sz w:val="16"/>
                <w:szCs w:val="16"/>
                <w:color w:val="auto"/>
              </w:rPr>
              <w:t>(physical release)</w:t>
            </w:r>
          </w:p>
        </w:tc>
        <w:tc>
          <w:tcPr>
            <w:tcW w:w="25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PS4, PS5, Xbox One, Xbox</w:t>
            </w:r>
          </w:p>
        </w:tc>
        <w:tc>
          <w:tcPr>
            <w:tcW w:w="194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August 13, 2021</w:t>
            </w:r>
          </w:p>
        </w:tc>
      </w:tr>
      <w:tr>
        <w:trPr>
          <w:trHeight w:val="208"/>
        </w:trPr>
        <w:tc>
          <w:tcPr>
            <w:tcW w:w="1520" w:type="dxa"/>
            <w:vAlign w:val="bottom"/>
            <w:tcBorders>
              <w:left w:val="single" w:sz="8" w:color="auto"/>
              <w:bottom w:val="single" w:sz="8" w:color="auto"/>
              <w:right w:val="single" w:sz="8" w:color="auto"/>
            </w:tcBorders>
          </w:tcPr>
          <w:p>
            <w:pPr>
              <w:spacing w:after="0"/>
              <w:rPr>
                <w:sz w:val="18"/>
                <w:szCs w:val="18"/>
                <w:color w:val="auto"/>
              </w:rPr>
            </w:pPr>
          </w:p>
        </w:tc>
        <w:tc>
          <w:tcPr>
            <w:tcW w:w="4740" w:type="dxa"/>
            <w:vAlign w:val="bottom"/>
            <w:tcBorders>
              <w:bottom w:val="single" w:sz="8" w:color="auto"/>
              <w:right w:val="single" w:sz="8" w:color="auto"/>
            </w:tcBorders>
          </w:tcPr>
          <w:p>
            <w:pPr>
              <w:spacing w:after="0"/>
              <w:rPr>
                <w:sz w:val="18"/>
                <w:szCs w:val="18"/>
                <w:color w:val="auto"/>
              </w:rPr>
            </w:pP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Series X</w:t>
            </w:r>
          </w:p>
        </w:tc>
        <w:tc>
          <w:tcPr>
            <w:tcW w:w="1940" w:type="dxa"/>
            <w:vAlign w:val="bottom"/>
            <w:tcBorders>
              <w:bottom w:val="single" w:sz="8" w:color="auto"/>
              <w:right w:val="single" w:sz="8" w:color="auto"/>
            </w:tcBorders>
          </w:tcPr>
          <w:p>
            <w:pPr>
              <w:spacing w:after="0"/>
              <w:rPr>
                <w:sz w:val="18"/>
                <w:szCs w:val="18"/>
                <w:color w:val="auto"/>
              </w:rPr>
            </w:pPr>
          </w:p>
        </w:tc>
      </w:tr>
      <w:tr>
        <w:trPr>
          <w:trHeight w:val="236"/>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Private Division</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 xml:space="preserve">The Outer Worlds: Murder on Eridanos </w:t>
            </w:r>
            <w:r>
              <w:rPr>
                <w:rFonts w:ascii="Arial" w:cs="Arial" w:eastAsia="Arial" w:hAnsi="Arial"/>
                <w:sz w:val="16"/>
                <w:szCs w:val="16"/>
                <w:color w:val="auto"/>
              </w:rPr>
              <w:t>(DLC)</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Switch</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September 8, 2021</w:t>
            </w:r>
          </w:p>
        </w:tc>
      </w:tr>
      <w:tr>
        <w:trPr>
          <w:trHeight w:val="218"/>
        </w:trPr>
        <w:tc>
          <w:tcPr>
            <w:tcW w:w="152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2K</w:t>
            </w:r>
          </w:p>
        </w:tc>
        <w:tc>
          <w:tcPr>
            <w:tcW w:w="4740" w:type="dxa"/>
            <w:vAlign w:val="bottom"/>
            <w:tcBorders>
              <w:right w:val="single" w:sz="8" w:color="auto"/>
            </w:tcBorders>
          </w:tcPr>
          <w:p>
            <w:pPr>
              <w:spacing w:after="0"/>
              <w:rPr>
                <w:sz w:val="20"/>
                <w:szCs w:val="20"/>
                <w:color w:val="auto"/>
              </w:rPr>
            </w:pPr>
            <w:r>
              <w:rPr>
                <w:rFonts w:ascii="Arial" w:cs="Arial" w:eastAsia="Arial" w:hAnsi="Arial"/>
                <w:sz w:val="16"/>
                <w:szCs w:val="16"/>
                <w:i w:val="1"/>
                <w:iCs w:val="1"/>
                <w:color w:val="auto"/>
              </w:rPr>
              <w:t>NBA 2K22</w:t>
            </w:r>
          </w:p>
        </w:tc>
        <w:tc>
          <w:tcPr>
            <w:tcW w:w="250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PS4, PS5, Xbox One, Xbox</w:t>
            </w:r>
          </w:p>
        </w:tc>
        <w:tc>
          <w:tcPr>
            <w:tcW w:w="194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September 10, 2021</w:t>
            </w:r>
          </w:p>
        </w:tc>
      </w:tr>
      <w:tr>
        <w:trPr>
          <w:trHeight w:val="208"/>
        </w:trPr>
        <w:tc>
          <w:tcPr>
            <w:tcW w:w="1520" w:type="dxa"/>
            <w:vAlign w:val="bottom"/>
            <w:tcBorders>
              <w:left w:val="single" w:sz="8" w:color="auto"/>
              <w:bottom w:val="single" w:sz="8" w:color="auto"/>
              <w:right w:val="single" w:sz="8" w:color="auto"/>
            </w:tcBorders>
          </w:tcPr>
          <w:p>
            <w:pPr>
              <w:spacing w:after="0"/>
              <w:rPr>
                <w:sz w:val="18"/>
                <w:szCs w:val="18"/>
                <w:color w:val="auto"/>
              </w:rPr>
            </w:pPr>
          </w:p>
        </w:tc>
        <w:tc>
          <w:tcPr>
            <w:tcW w:w="4740" w:type="dxa"/>
            <w:vAlign w:val="bottom"/>
            <w:tcBorders>
              <w:bottom w:val="single" w:sz="8" w:color="auto"/>
              <w:right w:val="single" w:sz="8" w:color="auto"/>
            </w:tcBorders>
          </w:tcPr>
          <w:p>
            <w:pPr>
              <w:spacing w:after="0"/>
              <w:rPr>
                <w:sz w:val="18"/>
                <w:szCs w:val="18"/>
                <w:color w:val="auto"/>
              </w:rPr>
            </w:pP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Series X|S, PC, Switch</w:t>
            </w:r>
          </w:p>
        </w:tc>
        <w:tc>
          <w:tcPr>
            <w:tcW w:w="1940" w:type="dxa"/>
            <w:vAlign w:val="bottom"/>
            <w:tcBorders>
              <w:bottom w:val="single" w:sz="8" w:color="auto"/>
              <w:right w:val="single" w:sz="8" w:color="auto"/>
            </w:tcBorders>
          </w:tcPr>
          <w:p>
            <w:pPr>
              <w:spacing w:after="0"/>
              <w:rPr>
                <w:sz w:val="18"/>
                <w:szCs w:val="18"/>
                <w:color w:val="auto"/>
              </w:rPr>
            </w:pPr>
          </w:p>
        </w:tc>
      </w:tr>
      <w:tr>
        <w:trPr>
          <w:trHeight w:val="237"/>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Private Division</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Kerbal Space Program Enhanced Edition</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PS5, Xbox Series X|S</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September 24, 2021</w:t>
            </w:r>
          </w:p>
        </w:tc>
      </w:tr>
      <w:tr>
        <w:trPr>
          <w:trHeight w:val="236"/>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2K</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Mafia III: Definitive Edition</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Stadia</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October 1, 2021</w:t>
            </w:r>
          </w:p>
        </w:tc>
      </w:tr>
      <w:tr>
        <w:trPr>
          <w:trHeight w:val="237"/>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Nordeus</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Top Eleven 2022</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iOs, Android</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October 11, 2021</w:t>
            </w:r>
          </w:p>
        </w:tc>
      </w:tr>
      <w:tr>
        <w:trPr>
          <w:trHeight w:val="237"/>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2K</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PGA TOUR 2K21 Baller Edition</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PS4, Xbox One, PC</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October 14, 2021</w:t>
            </w:r>
          </w:p>
        </w:tc>
      </w:tr>
      <w:tr>
        <w:trPr>
          <w:trHeight w:val="236"/>
        </w:trPr>
        <w:tc>
          <w:tcPr>
            <w:tcW w:w="15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2K</w:t>
            </w:r>
          </w:p>
        </w:tc>
        <w:tc>
          <w:tcPr>
            <w:tcW w:w="47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i w:val="1"/>
                <w:iCs w:val="1"/>
                <w:color w:val="auto"/>
              </w:rPr>
              <w:t>NBA 2K22 Arcade Edition</w:t>
            </w:r>
          </w:p>
        </w:tc>
        <w:tc>
          <w:tcPr>
            <w:tcW w:w="25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Apple Arcade</w:t>
            </w:r>
          </w:p>
        </w:tc>
        <w:tc>
          <w:tcPr>
            <w:tcW w:w="194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October 19, 2021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990" w:right="339" w:bottom="1440" w:gutter="0" w:footer="0" w:header="0"/>
        </w:sectPr>
      </w:pPr>
    </w:p>
    <w:bookmarkStart w:id="9" w:name="page10"/>
    <w:bookmarkEnd w:id="9"/>
    <w:p>
      <w:pPr>
        <w:ind w:left="660"/>
        <w:spacing w:after="0"/>
        <w:rPr>
          <w:sz w:val="20"/>
          <w:szCs w:val="20"/>
          <w:color w:val="auto"/>
        </w:rPr>
      </w:pPr>
      <w:r>
        <w:rPr>
          <w:rFonts w:ascii="Arial" w:cs="Arial" w:eastAsia="Arial" w:hAnsi="Arial"/>
          <w:sz w:val="18"/>
          <w:szCs w:val="18"/>
          <w:color w:val="auto"/>
        </w:rPr>
        <w:t>Take-Two's future lineup announced to-date includes:</w:t>
      </w:r>
    </w:p>
    <w:p>
      <w:pPr>
        <w:spacing w:after="0" w:line="17" w:lineRule="exact"/>
        <w:rPr>
          <w:sz w:val="20"/>
          <w:szCs w:val="20"/>
          <w:color w:val="auto"/>
        </w:rPr>
      </w:pPr>
    </w:p>
    <w:tbl>
      <w:tblPr>
        <w:tblLayout w:type="fixed"/>
        <w:tblInd w:w="90" w:type="dxa"/>
        <w:tblCellMar>
          <w:top w:w="0" w:type="dxa"/>
          <w:left w:w="0" w:type="dxa"/>
          <w:bottom w:w="0" w:type="dxa"/>
          <w:right w:w="0" w:type="dxa"/>
        </w:tblCellMar>
      </w:tblPr>
      <w:tr>
        <w:trPr>
          <w:trHeight w:val="216"/>
        </w:trPr>
        <w:tc>
          <w:tcPr>
            <w:tcW w:w="1600" w:type="dxa"/>
            <w:vAlign w:val="bottom"/>
            <w:tcBorders>
              <w:top w:val="single" w:sz="8" w:color="auto"/>
              <w:left w:val="single" w:sz="8" w:color="auto"/>
              <w:right w:val="single" w:sz="8" w:color="auto"/>
            </w:tcBorders>
            <w:gridSpan w:val="3"/>
          </w:tcPr>
          <w:p>
            <w:pPr>
              <w:ind w:left="80"/>
              <w:spacing w:after="0"/>
              <w:rPr>
                <w:sz w:val="20"/>
                <w:szCs w:val="20"/>
                <w:color w:val="auto"/>
              </w:rPr>
            </w:pPr>
            <w:r>
              <w:rPr>
                <w:rFonts w:ascii="Arial" w:cs="Arial" w:eastAsia="Arial" w:hAnsi="Arial"/>
                <w:sz w:val="18"/>
                <w:szCs w:val="18"/>
                <w:b w:val="1"/>
                <w:bCs w:val="1"/>
                <w:color w:val="auto"/>
              </w:rPr>
              <w:t>Label</w:t>
            </w:r>
          </w:p>
        </w:tc>
        <w:tc>
          <w:tcPr>
            <w:tcW w:w="4280" w:type="dxa"/>
            <w:vAlign w:val="bottom"/>
            <w:tcBorders>
              <w:top w:val="single" w:sz="8" w:color="auto"/>
              <w:right w:val="single" w:sz="8" w:color="auto"/>
            </w:tcBorders>
            <w:gridSpan w:val="3"/>
          </w:tcPr>
          <w:p>
            <w:pPr>
              <w:ind w:left="40"/>
              <w:spacing w:after="0"/>
              <w:rPr>
                <w:sz w:val="20"/>
                <w:szCs w:val="20"/>
                <w:color w:val="auto"/>
              </w:rPr>
            </w:pPr>
            <w:r>
              <w:rPr>
                <w:rFonts w:ascii="Arial" w:cs="Arial" w:eastAsia="Arial" w:hAnsi="Arial"/>
                <w:sz w:val="18"/>
                <w:szCs w:val="18"/>
                <w:b w:val="1"/>
                <w:bCs w:val="1"/>
                <w:color w:val="auto"/>
              </w:rPr>
              <w:t>Product</w:t>
            </w:r>
          </w:p>
        </w:tc>
        <w:tc>
          <w:tcPr>
            <w:tcW w:w="2840" w:type="dxa"/>
            <w:vAlign w:val="bottom"/>
            <w:tcBorders>
              <w:top w:val="single" w:sz="8" w:color="auto"/>
              <w:right w:val="single" w:sz="8" w:color="auto"/>
            </w:tcBorders>
            <w:gridSpan w:val="3"/>
          </w:tcPr>
          <w:p>
            <w:pPr>
              <w:ind w:left="60"/>
              <w:spacing w:after="0"/>
              <w:rPr>
                <w:sz w:val="20"/>
                <w:szCs w:val="20"/>
                <w:color w:val="auto"/>
              </w:rPr>
            </w:pPr>
            <w:r>
              <w:rPr>
                <w:rFonts w:ascii="Arial" w:cs="Arial" w:eastAsia="Arial" w:hAnsi="Arial"/>
                <w:sz w:val="18"/>
                <w:szCs w:val="18"/>
                <w:b w:val="1"/>
                <w:bCs w:val="1"/>
                <w:color w:val="auto"/>
              </w:rPr>
              <w:t>Platforms</w:t>
            </w:r>
          </w:p>
        </w:tc>
        <w:tc>
          <w:tcPr>
            <w:tcW w:w="2400" w:type="dxa"/>
            <w:vAlign w:val="bottom"/>
            <w:tcBorders>
              <w:top w:val="single" w:sz="8" w:color="auto"/>
              <w:right w:val="single" w:sz="8" w:color="auto"/>
            </w:tcBorders>
            <w:gridSpan w:val="3"/>
          </w:tcPr>
          <w:p>
            <w:pPr>
              <w:ind w:left="60"/>
              <w:spacing w:after="0"/>
              <w:rPr>
                <w:sz w:val="20"/>
                <w:szCs w:val="20"/>
                <w:color w:val="auto"/>
              </w:rPr>
            </w:pPr>
            <w:r>
              <w:rPr>
                <w:rFonts w:ascii="Arial" w:cs="Arial" w:eastAsia="Arial" w:hAnsi="Arial"/>
                <w:sz w:val="18"/>
                <w:szCs w:val="18"/>
                <w:b w:val="1"/>
                <w:bCs w:val="1"/>
                <w:color w:val="auto"/>
              </w:rPr>
              <w:t>Release Date</w:t>
            </w:r>
          </w:p>
        </w:tc>
      </w:tr>
      <w:tr>
        <w:trPr>
          <w:trHeight w:val="48"/>
        </w:trPr>
        <w:tc>
          <w:tcPr>
            <w:tcW w:w="80" w:type="dxa"/>
            <w:vAlign w:val="bottom"/>
            <w:tcBorders>
              <w:left w:val="single" w:sz="8" w:color="auto"/>
              <w:bottom w:val="single" w:sz="8" w:color="auto"/>
            </w:tcBorders>
          </w:tcPr>
          <w:p>
            <w:pPr>
              <w:spacing w:after="0"/>
              <w:rPr>
                <w:sz w:val="4"/>
                <w:szCs w:val="4"/>
                <w:color w:val="auto"/>
              </w:rPr>
            </w:pPr>
          </w:p>
        </w:tc>
        <w:tc>
          <w:tcPr>
            <w:tcW w:w="480" w:type="dxa"/>
            <w:vAlign w:val="bottom"/>
            <w:tcBorders>
              <w:top w:val="single" w:sz="8" w:color="auto"/>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80" w:type="dxa"/>
            <w:vAlign w:val="bottom"/>
            <w:tcBorders>
              <w:top w:val="single" w:sz="8" w:color="auto"/>
              <w:bottom w:val="single" w:sz="8" w:color="auto"/>
            </w:tcBorders>
          </w:tcPr>
          <w:p>
            <w:pPr>
              <w:spacing w:after="0"/>
              <w:rPr>
                <w:sz w:val="4"/>
                <w:szCs w:val="4"/>
                <w:color w:val="auto"/>
              </w:rPr>
            </w:pPr>
          </w:p>
        </w:tc>
        <w:tc>
          <w:tcPr>
            <w:tcW w:w="356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840" w:type="dxa"/>
            <w:vAlign w:val="bottom"/>
            <w:tcBorders>
              <w:top w:val="single" w:sz="8" w:color="auto"/>
              <w:bottom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120" w:type="dxa"/>
            <w:vAlign w:val="bottom"/>
            <w:tcBorders>
              <w:top w:val="single" w:sz="8" w:color="auto"/>
              <w:bottom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r>
      <w:tr>
        <w:trPr>
          <w:trHeight w:val="211"/>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Rockstar Games</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Grand Theft Auto: The Trilogy — The Definitive Edition</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November 11, 2021</w:t>
            </w:r>
          </w:p>
        </w:tc>
      </w:tr>
      <w:tr>
        <w:trPr>
          <w:trHeight w:val="208"/>
        </w:trPr>
        <w:tc>
          <w:tcPr>
            <w:tcW w:w="80" w:type="dxa"/>
            <w:vAlign w:val="bottom"/>
            <w:tcBorders>
              <w:left w:val="single" w:sz="8" w:color="auto"/>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428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color w:val="auto"/>
              </w:rPr>
              <w:t>(digital release)</w:t>
            </w: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X|S, Switch</w:t>
            </w:r>
          </w:p>
        </w:tc>
        <w:tc>
          <w:tcPr>
            <w:tcW w:w="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tcPr>
          <w:p>
            <w:pPr>
              <w:spacing w:after="0"/>
              <w:rPr>
                <w:sz w:val="18"/>
                <w:szCs w:val="18"/>
                <w:color w:val="auto"/>
              </w:rPr>
            </w:pPr>
          </w:p>
        </w:tc>
      </w:tr>
      <w:tr>
        <w:trPr>
          <w:trHeight w:val="237"/>
        </w:trPr>
        <w:tc>
          <w:tcPr>
            <w:tcW w:w="1600" w:type="dxa"/>
            <w:vAlign w:val="bottom"/>
            <w:tcBorders>
              <w:left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2K</w:t>
            </w:r>
          </w:p>
        </w:tc>
        <w:tc>
          <w:tcPr>
            <w:tcW w:w="428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i w:val="1"/>
                <w:iCs w:val="1"/>
                <w:color w:val="auto"/>
              </w:rPr>
              <w:t xml:space="preserve">Borderlands 3 Ultimate Edition </w:t>
            </w:r>
            <w:r>
              <w:rPr>
                <w:rFonts w:ascii="Arial" w:cs="Arial" w:eastAsia="Arial" w:hAnsi="Arial"/>
                <w:sz w:val="16"/>
                <w:szCs w:val="16"/>
                <w:color w:val="auto"/>
              </w:rPr>
              <w:t>(physical only)</w:t>
            </w: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PS5, Xbox Series X</w:t>
            </w:r>
          </w:p>
        </w:tc>
        <w:tc>
          <w:tcPr>
            <w:tcW w:w="240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color w:val="auto"/>
              </w:rPr>
              <w:t>November 12, 2021</w:t>
            </w:r>
          </w:p>
        </w:tc>
      </w:tr>
      <w:tr>
        <w:trPr>
          <w:trHeight w:val="218"/>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Rockstar Games</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Grand Theft Auto: The Trilogy – The Definitive Edition</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 X,</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December 7, 2021</w:t>
            </w:r>
          </w:p>
        </w:tc>
      </w:tr>
      <w:tr>
        <w:trPr>
          <w:trHeight w:val="208"/>
        </w:trPr>
        <w:tc>
          <w:tcPr>
            <w:tcW w:w="80" w:type="dxa"/>
            <w:vAlign w:val="bottom"/>
            <w:tcBorders>
              <w:left w:val="single" w:sz="8" w:color="auto"/>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428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color w:val="auto"/>
              </w:rPr>
              <w:t>(physical release)</w:t>
            </w: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Switch</w:t>
            </w:r>
          </w:p>
        </w:tc>
        <w:tc>
          <w:tcPr>
            <w:tcW w:w="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tcPr>
          <w:p>
            <w:pPr>
              <w:spacing w:after="0"/>
              <w:rPr>
                <w:sz w:val="18"/>
                <w:szCs w:val="18"/>
                <w:color w:val="auto"/>
              </w:rPr>
            </w:pPr>
          </w:p>
        </w:tc>
      </w:tr>
      <w:tr>
        <w:trPr>
          <w:trHeight w:val="218"/>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Private Division</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OlliOlli World</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Q4 Fiscal 2022</w:t>
            </w:r>
          </w:p>
        </w:tc>
      </w:tr>
      <w:tr>
        <w:trPr>
          <w:trHeight w:val="208"/>
        </w:trPr>
        <w:tc>
          <w:tcPr>
            <w:tcW w:w="80" w:type="dxa"/>
            <w:vAlign w:val="bottom"/>
            <w:tcBorders>
              <w:left w:val="single" w:sz="8" w:color="auto"/>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3560" w:type="dxa"/>
            <w:vAlign w:val="bottom"/>
            <w:tcBorders>
              <w:bottom w:val="single" w:sz="8" w:color="auto"/>
              <w:right w:val="single" w:sz="8" w:color="auto"/>
            </w:tcBorders>
          </w:tcPr>
          <w:p>
            <w:pPr>
              <w:spacing w:after="0"/>
              <w:rPr>
                <w:sz w:val="18"/>
                <w:szCs w:val="18"/>
                <w:color w:val="auto"/>
              </w:rPr>
            </w:pP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X|S, Switch (digital only)</w:t>
            </w:r>
          </w:p>
        </w:tc>
        <w:tc>
          <w:tcPr>
            <w:tcW w:w="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tcPr>
          <w:p>
            <w:pPr>
              <w:spacing w:after="0"/>
              <w:rPr>
                <w:sz w:val="18"/>
                <w:szCs w:val="18"/>
                <w:color w:val="auto"/>
              </w:rPr>
            </w:pPr>
          </w:p>
        </w:tc>
      </w:tr>
      <w:tr>
        <w:trPr>
          <w:trHeight w:val="218"/>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2K</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Tiny Tina's Wonderlands</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March 25, 2022</w:t>
            </w:r>
          </w:p>
        </w:tc>
      </w:tr>
      <w:tr>
        <w:trPr>
          <w:trHeight w:val="208"/>
        </w:trPr>
        <w:tc>
          <w:tcPr>
            <w:tcW w:w="80" w:type="dxa"/>
            <w:vAlign w:val="bottom"/>
            <w:tcBorders>
              <w:left w:val="single" w:sz="8" w:color="auto"/>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3560" w:type="dxa"/>
            <w:vAlign w:val="bottom"/>
            <w:tcBorders>
              <w:bottom w:val="single" w:sz="8" w:color="auto"/>
              <w:right w:val="single" w:sz="8" w:color="auto"/>
            </w:tcBorders>
          </w:tcPr>
          <w:p>
            <w:pPr>
              <w:spacing w:after="0"/>
              <w:rPr>
                <w:sz w:val="18"/>
                <w:szCs w:val="18"/>
                <w:color w:val="auto"/>
              </w:rPr>
            </w:pP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X|S, PC</w:t>
            </w:r>
          </w:p>
        </w:tc>
        <w:tc>
          <w:tcPr>
            <w:tcW w:w="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tcPr>
          <w:p>
            <w:pPr>
              <w:spacing w:after="0"/>
              <w:rPr>
                <w:sz w:val="18"/>
                <w:szCs w:val="18"/>
                <w:color w:val="auto"/>
              </w:rPr>
            </w:pPr>
          </w:p>
        </w:tc>
      </w:tr>
      <w:tr>
        <w:trPr>
          <w:trHeight w:val="243"/>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Rockstar Games</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Grand Theft Auto V: Expanded and Enhanced</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PS5, Xbox Series X</w:t>
            </w:r>
            <w:r>
              <w:rPr>
                <w:rFonts w:ascii="Arial" w:cs="Arial" w:eastAsia="Arial" w:hAnsi="Arial"/>
                <w:sz w:val="17"/>
                <w:szCs w:val="17"/>
                <w:color w:val="auto"/>
              </w:rPr>
              <w:t>|</w:t>
            </w:r>
            <w:r>
              <w:rPr>
                <w:rFonts w:ascii="Arial" w:cs="Arial" w:eastAsia="Arial" w:hAnsi="Arial"/>
                <w:sz w:val="16"/>
                <w:szCs w:val="16"/>
                <w:color w:val="auto"/>
              </w:rPr>
              <w:t>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March 2022</w:t>
            </w:r>
          </w:p>
        </w:tc>
      </w:tr>
      <w:tr>
        <w:trPr>
          <w:trHeight w:val="27"/>
        </w:trPr>
        <w:tc>
          <w:tcPr>
            <w:tcW w:w="80" w:type="dxa"/>
            <w:vAlign w:val="bottom"/>
            <w:tcBorders>
              <w:left w:val="single" w:sz="8" w:color="auto"/>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56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9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r>
      <w:tr>
        <w:trPr>
          <w:trHeight w:val="209"/>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Rockstar Games</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 xml:space="preserve">Grand Theft Auto Online – </w:t>
            </w:r>
            <w:r>
              <w:rPr>
                <w:rFonts w:ascii="Arial" w:cs="Arial" w:eastAsia="Arial" w:hAnsi="Arial"/>
                <w:sz w:val="16"/>
                <w:szCs w:val="16"/>
                <w:color w:val="auto"/>
              </w:rPr>
              <w:t>Standalone</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March 2022</w:t>
            </w:r>
          </w:p>
        </w:tc>
      </w:tr>
      <w:tr>
        <w:trPr>
          <w:trHeight w:val="217"/>
        </w:trPr>
        <w:tc>
          <w:tcPr>
            <w:tcW w:w="80" w:type="dxa"/>
            <w:vAlign w:val="bottom"/>
            <w:tcBorders>
              <w:left w:val="single" w:sz="8" w:color="auto"/>
            </w:tcBorders>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560" w:type="dxa"/>
            <w:vAlign w:val="bottom"/>
            <w:tcBorders>
              <w:right w:val="single" w:sz="8" w:color="auto"/>
            </w:tcBorders>
          </w:tcPr>
          <w:p>
            <w:pPr>
              <w:spacing w:after="0"/>
              <w:rPr>
                <w:sz w:val="18"/>
                <w:szCs w:val="18"/>
                <w:color w:val="auto"/>
              </w:rPr>
            </w:pP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X</w:t>
            </w:r>
            <w:r>
              <w:rPr>
                <w:rFonts w:ascii="Arial" w:cs="Arial" w:eastAsia="Arial" w:hAnsi="Arial"/>
                <w:sz w:val="17"/>
                <w:szCs w:val="17"/>
                <w:color w:val="auto"/>
              </w:rPr>
              <w:t>|</w:t>
            </w:r>
            <w:r>
              <w:rPr>
                <w:rFonts w:ascii="Arial" w:cs="Arial" w:eastAsia="Arial" w:hAnsi="Arial"/>
                <w:sz w:val="16"/>
                <w:szCs w:val="16"/>
                <w:color w:val="auto"/>
              </w:rPr>
              <w:t>S, PC</w:t>
            </w:r>
          </w:p>
        </w:tc>
        <w:tc>
          <w:tcPr>
            <w:tcW w:w="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r>
      <w:tr>
        <w:trPr>
          <w:trHeight w:val="27"/>
        </w:trPr>
        <w:tc>
          <w:tcPr>
            <w:tcW w:w="80" w:type="dxa"/>
            <w:vAlign w:val="bottom"/>
            <w:tcBorders>
              <w:left w:val="single" w:sz="8" w:color="auto"/>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56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9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r>
      <w:tr>
        <w:trPr>
          <w:trHeight w:val="230"/>
        </w:trPr>
        <w:tc>
          <w:tcPr>
            <w:tcW w:w="1600" w:type="dxa"/>
            <w:vAlign w:val="bottom"/>
            <w:tcBorders>
              <w:left w:val="single" w:sz="8" w:color="auto"/>
              <w:bottom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2K</w:t>
            </w:r>
          </w:p>
        </w:tc>
        <w:tc>
          <w:tcPr>
            <w:tcW w:w="428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i w:val="1"/>
                <w:iCs w:val="1"/>
                <w:color w:val="auto"/>
              </w:rPr>
              <w:t>WWE 2K22</w:t>
            </w: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TBA</w:t>
            </w:r>
          </w:p>
        </w:tc>
        <w:tc>
          <w:tcPr>
            <w:tcW w:w="240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color w:val="auto"/>
              </w:rPr>
              <w:t>March 2022</w:t>
            </w:r>
          </w:p>
        </w:tc>
      </w:tr>
      <w:tr>
        <w:trPr>
          <w:trHeight w:val="218"/>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Rockstar Games</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Grand Theft Auto: The Trilogy — The Definitive Edition</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iOS, Android</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First Half of Calendar 2022</w:t>
            </w:r>
          </w:p>
        </w:tc>
      </w:tr>
      <w:tr>
        <w:trPr>
          <w:trHeight w:val="208"/>
        </w:trPr>
        <w:tc>
          <w:tcPr>
            <w:tcW w:w="80" w:type="dxa"/>
            <w:vAlign w:val="bottom"/>
            <w:tcBorders>
              <w:left w:val="single" w:sz="8" w:color="auto"/>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428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color w:val="auto"/>
              </w:rPr>
              <w:t>(mobile release)</w:t>
            </w:r>
          </w:p>
        </w:tc>
        <w:tc>
          <w:tcPr>
            <w:tcW w:w="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940" w:type="dxa"/>
            <w:vAlign w:val="bottom"/>
            <w:tcBorders>
              <w:bottom w:val="single" w:sz="8" w:color="auto"/>
              <w:right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220" w:type="dxa"/>
            <w:vAlign w:val="bottom"/>
            <w:tcBorders>
              <w:bottom w:val="single" w:sz="8" w:color="auto"/>
              <w:right w:val="single" w:sz="8" w:color="auto"/>
            </w:tcBorders>
          </w:tcPr>
          <w:p>
            <w:pPr>
              <w:spacing w:after="0"/>
              <w:rPr>
                <w:sz w:val="18"/>
                <w:szCs w:val="18"/>
                <w:color w:val="auto"/>
              </w:rPr>
            </w:pPr>
          </w:p>
        </w:tc>
      </w:tr>
      <w:tr>
        <w:trPr>
          <w:trHeight w:val="218"/>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2K</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Marvel's Midnight Suns</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Second Half of Calendar 2022</w:t>
            </w:r>
          </w:p>
        </w:tc>
      </w:tr>
      <w:tr>
        <w:trPr>
          <w:trHeight w:val="208"/>
        </w:trPr>
        <w:tc>
          <w:tcPr>
            <w:tcW w:w="80" w:type="dxa"/>
            <w:vAlign w:val="bottom"/>
            <w:tcBorders>
              <w:left w:val="single" w:sz="8" w:color="auto"/>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3560" w:type="dxa"/>
            <w:vAlign w:val="bottom"/>
            <w:tcBorders>
              <w:bottom w:val="single" w:sz="8" w:color="auto"/>
              <w:right w:val="single" w:sz="8" w:color="auto"/>
            </w:tcBorders>
          </w:tcPr>
          <w:p>
            <w:pPr>
              <w:spacing w:after="0"/>
              <w:rPr>
                <w:sz w:val="18"/>
                <w:szCs w:val="18"/>
                <w:color w:val="auto"/>
              </w:rPr>
            </w:pPr>
          </w:p>
        </w:tc>
        <w:tc>
          <w:tcPr>
            <w:tcW w:w="2840" w:type="dxa"/>
            <w:vAlign w:val="bottom"/>
            <w:tcBorders>
              <w:bottom w:val="single" w:sz="8" w:color="auto"/>
              <w:right w:val="single" w:sz="8" w:color="auto"/>
            </w:tcBorders>
            <w:gridSpan w:val="3"/>
          </w:tcPr>
          <w:p>
            <w:pPr>
              <w:ind w:left="20"/>
              <w:spacing w:after="0"/>
              <w:rPr>
                <w:sz w:val="20"/>
                <w:szCs w:val="20"/>
                <w:color w:val="auto"/>
              </w:rPr>
            </w:pPr>
            <w:r>
              <w:rPr>
                <w:rFonts w:ascii="Arial" w:cs="Arial" w:eastAsia="Arial" w:hAnsi="Arial"/>
                <w:sz w:val="16"/>
                <w:szCs w:val="16"/>
                <w:color w:val="auto"/>
              </w:rPr>
              <w:t>X|S, PC</w:t>
            </w:r>
          </w:p>
        </w:tc>
        <w:tc>
          <w:tcPr>
            <w:tcW w:w="240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6"/>
                <w:szCs w:val="16"/>
                <w:color w:val="auto"/>
              </w:rPr>
              <w:t>(Fiscal 2023)</w:t>
            </w:r>
          </w:p>
        </w:tc>
      </w:tr>
      <w:tr>
        <w:trPr>
          <w:trHeight w:val="215"/>
        </w:trPr>
        <w:tc>
          <w:tcPr>
            <w:tcW w:w="1600" w:type="dxa"/>
            <w:vAlign w:val="bottom"/>
            <w:tcBorders>
              <w:left w:val="single" w:sz="8" w:color="auto"/>
              <w:right w:val="single" w:sz="8" w:color="auto"/>
            </w:tcBorders>
            <w:gridSpan w:val="3"/>
          </w:tcPr>
          <w:p>
            <w:pPr>
              <w:ind w:left="40"/>
              <w:spacing w:after="0"/>
              <w:rPr>
                <w:sz w:val="20"/>
                <w:szCs w:val="20"/>
                <w:color w:val="auto"/>
              </w:rPr>
            </w:pPr>
            <w:r>
              <w:rPr>
                <w:rFonts w:ascii="Arial" w:cs="Arial" w:eastAsia="Arial" w:hAnsi="Arial"/>
                <w:sz w:val="16"/>
                <w:szCs w:val="16"/>
                <w:color w:val="auto"/>
              </w:rPr>
              <w:t>Private Division</w:t>
            </w:r>
          </w:p>
        </w:tc>
        <w:tc>
          <w:tcPr>
            <w:tcW w:w="4280" w:type="dxa"/>
            <w:vAlign w:val="bottom"/>
            <w:tcBorders>
              <w:right w:val="single" w:sz="8" w:color="auto"/>
            </w:tcBorders>
            <w:gridSpan w:val="3"/>
          </w:tcPr>
          <w:p>
            <w:pPr>
              <w:spacing w:after="0"/>
              <w:rPr>
                <w:sz w:val="20"/>
                <w:szCs w:val="20"/>
                <w:color w:val="auto"/>
              </w:rPr>
            </w:pPr>
            <w:r>
              <w:rPr>
                <w:rFonts w:ascii="Arial" w:cs="Arial" w:eastAsia="Arial" w:hAnsi="Arial"/>
                <w:sz w:val="16"/>
                <w:szCs w:val="16"/>
                <w:i w:val="1"/>
                <w:iCs w:val="1"/>
                <w:color w:val="auto"/>
              </w:rPr>
              <w:t>Kerbal Space Program 2</w:t>
            </w: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PS4, PS5, Xbox One, Xbox Series</w:t>
            </w:r>
          </w:p>
        </w:tc>
        <w:tc>
          <w:tcPr>
            <w:tcW w:w="2400" w:type="dxa"/>
            <w:vAlign w:val="bottom"/>
            <w:tcBorders>
              <w:right w:val="single" w:sz="8" w:color="auto"/>
            </w:tcBorders>
            <w:gridSpan w:val="3"/>
          </w:tcPr>
          <w:p>
            <w:pPr>
              <w:spacing w:after="0"/>
              <w:rPr>
                <w:sz w:val="20"/>
                <w:szCs w:val="20"/>
                <w:color w:val="auto"/>
              </w:rPr>
            </w:pPr>
            <w:r>
              <w:rPr>
                <w:rFonts w:ascii="Arial" w:cs="Arial" w:eastAsia="Arial" w:hAnsi="Arial"/>
                <w:sz w:val="16"/>
                <w:szCs w:val="16"/>
                <w:color w:val="auto"/>
              </w:rPr>
              <w:t>Fiscal 2023</w:t>
            </w:r>
          </w:p>
        </w:tc>
      </w:tr>
      <w:tr>
        <w:trPr>
          <w:trHeight w:val="217"/>
        </w:trPr>
        <w:tc>
          <w:tcPr>
            <w:tcW w:w="80" w:type="dxa"/>
            <w:vAlign w:val="bottom"/>
            <w:tcBorders>
              <w:left w:val="single" w:sz="8" w:color="auto"/>
            </w:tcBorders>
          </w:tcPr>
          <w:p>
            <w:pPr>
              <w:spacing w:after="0"/>
              <w:rPr>
                <w:sz w:val="18"/>
                <w:szCs w:val="18"/>
                <w:color w:val="auto"/>
              </w:rPr>
            </w:pPr>
          </w:p>
        </w:tc>
        <w:tc>
          <w:tcPr>
            <w:tcW w:w="48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560" w:type="dxa"/>
            <w:vAlign w:val="bottom"/>
            <w:tcBorders>
              <w:right w:val="single" w:sz="8" w:color="auto"/>
            </w:tcBorders>
          </w:tcPr>
          <w:p>
            <w:pPr>
              <w:spacing w:after="0"/>
              <w:rPr>
                <w:sz w:val="18"/>
                <w:szCs w:val="18"/>
                <w:color w:val="auto"/>
              </w:rPr>
            </w:pPr>
          </w:p>
        </w:tc>
        <w:tc>
          <w:tcPr>
            <w:tcW w:w="2840" w:type="dxa"/>
            <w:vAlign w:val="bottom"/>
            <w:tcBorders>
              <w:right w:val="single" w:sz="8" w:color="auto"/>
            </w:tcBorders>
            <w:gridSpan w:val="3"/>
          </w:tcPr>
          <w:p>
            <w:pPr>
              <w:ind w:left="20"/>
              <w:spacing w:after="0"/>
              <w:rPr>
                <w:sz w:val="20"/>
                <w:szCs w:val="20"/>
                <w:color w:val="auto"/>
              </w:rPr>
            </w:pPr>
            <w:r>
              <w:rPr>
                <w:rFonts w:ascii="Arial" w:cs="Arial" w:eastAsia="Arial" w:hAnsi="Arial"/>
                <w:sz w:val="16"/>
                <w:szCs w:val="16"/>
                <w:color w:val="auto"/>
              </w:rPr>
              <w:t>X</w:t>
            </w:r>
            <w:r>
              <w:rPr>
                <w:rFonts w:ascii="Arial" w:cs="Arial" w:eastAsia="Arial" w:hAnsi="Arial"/>
                <w:sz w:val="17"/>
                <w:szCs w:val="17"/>
                <w:color w:val="auto"/>
              </w:rPr>
              <w:t>|</w:t>
            </w:r>
            <w:r>
              <w:rPr>
                <w:rFonts w:ascii="Arial" w:cs="Arial" w:eastAsia="Arial" w:hAnsi="Arial"/>
                <w:sz w:val="16"/>
                <w:szCs w:val="16"/>
                <w:color w:val="auto"/>
              </w:rPr>
              <w:t>S, PC</w:t>
            </w:r>
          </w:p>
        </w:tc>
        <w:tc>
          <w:tcPr>
            <w:tcW w:w="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20" w:type="dxa"/>
            <w:vAlign w:val="bottom"/>
            <w:tcBorders>
              <w:right w:val="single" w:sz="8" w:color="auto"/>
            </w:tcBorders>
          </w:tcPr>
          <w:p>
            <w:pPr>
              <w:spacing w:after="0"/>
              <w:rPr>
                <w:sz w:val="18"/>
                <w:szCs w:val="18"/>
                <w:color w:val="auto"/>
              </w:rPr>
            </w:pPr>
          </w:p>
        </w:tc>
      </w:tr>
      <w:tr>
        <w:trPr>
          <w:trHeight w:val="27"/>
        </w:trPr>
        <w:tc>
          <w:tcPr>
            <w:tcW w:w="80" w:type="dxa"/>
            <w:vAlign w:val="bottom"/>
            <w:tcBorders>
              <w:left w:val="single" w:sz="8" w:color="auto"/>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56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9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Share Repurchase Authorization</w:t>
      </w:r>
    </w:p>
    <w:p>
      <w:pPr>
        <w:spacing w:after="0" w:line="274"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 November, the Company's Board of Directors authorized an increase of 7.4 million shares to the number of its shares of common stock that the Company is permitted to repurchase, resulting in an aggregate of 10 million shares remaining available for repurchase as of the date of the additional authorization. The authorization permits the Company to purchase shares from time to time through a variety of methods, including in the open market or through privately negotiated transactions, in accordance with applicable securities laws. It does not obligate the Company to make any purchases at any specific time or situation. Repurchases are subject to the availability of stock, prevailing market conditions, the trading price of the stock, the Company's financial performance and other conditions. The program may be suspended or discontinued at any time for any reason. As of October 22, 2021, the Company had approximately 115.3 million common shares outstanding.</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Conference Call</w:t>
      </w:r>
    </w:p>
    <w:p>
      <w:pPr>
        <w:spacing w:after="0" w:line="274" w:lineRule="exact"/>
        <w:rPr>
          <w:sz w:val="20"/>
          <w:szCs w:val="20"/>
          <w:color w:val="auto"/>
        </w:rPr>
      </w:pPr>
    </w:p>
    <w:p>
      <w:pPr>
        <w:ind w:right="580"/>
        <w:spacing w:after="0" w:line="256" w:lineRule="auto"/>
        <w:rPr>
          <w:sz w:val="20"/>
          <w:szCs w:val="20"/>
          <w:color w:val="auto"/>
        </w:rPr>
      </w:pPr>
      <w:r>
        <w:rPr>
          <w:rFonts w:ascii="Arial" w:cs="Arial" w:eastAsia="Arial" w:hAnsi="Arial"/>
          <w:sz w:val="18"/>
          <w:szCs w:val="18"/>
          <w:color w:val="auto"/>
        </w:rPr>
        <w:t xml:space="preserve">Take-Two will host a conference call today at 4:30 p.m. Eastern Time to review these results and discuss other topics. The call can be accessed by dialing (877) 407-0984 or (201) 689-8577. A live listen-only webcast of the call will be available by visiting </w:t>
      </w:r>
      <w:r>
        <w:rPr>
          <w:rFonts w:ascii="Arial" w:cs="Arial" w:eastAsia="Arial" w:hAnsi="Arial"/>
          <w:sz w:val="18"/>
          <w:szCs w:val="18"/>
          <w:u w:val="single" w:color="auto"/>
          <w:color w:val="0000FF"/>
        </w:rPr>
        <w:t>http://ir.take2games.com</w:t>
      </w:r>
      <w:r>
        <w:rPr>
          <w:rFonts w:ascii="Arial" w:cs="Arial" w:eastAsia="Arial" w:hAnsi="Arial"/>
          <w:sz w:val="18"/>
          <w:szCs w:val="18"/>
          <w:color w:val="0000FF"/>
        </w:rPr>
        <w:t xml:space="preserve"> </w:t>
      </w:r>
      <w:r>
        <w:rPr>
          <w:rFonts w:ascii="Arial" w:cs="Arial" w:eastAsia="Arial" w:hAnsi="Arial"/>
          <w:sz w:val="18"/>
          <w:szCs w:val="18"/>
          <w:color w:val="000000"/>
        </w:rPr>
        <w:t>and a replay will be available following the call at the same location.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Non-GAAP Financial Measure</w:t>
      </w:r>
    </w:p>
    <w:p>
      <w:pPr>
        <w:spacing w:after="0" w:line="274" w:lineRule="exact"/>
        <w:rPr>
          <w:sz w:val="20"/>
          <w:szCs w:val="20"/>
          <w:color w:val="auto"/>
        </w:rPr>
      </w:pPr>
    </w:p>
    <w:p>
      <w:pPr>
        <w:ind w:right="20"/>
        <w:spacing w:after="0" w:line="250" w:lineRule="auto"/>
        <w:rPr>
          <w:sz w:val="20"/>
          <w:szCs w:val="20"/>
          <w:color w:val="auto"/>
        </w:rPr>
      </w:pPr>
      <w:r>
        <w:rPr>
          <w:rFonts w:ascii="Arial" w:cs="Arial" w:eastAsia="Arial" w:hAnsi="Arial"/>
          <w:sz w:val="18"/>
          <w:szCs w:val="18"/>
          <w:color w:val="auto"/>
        </w:rPr>
        <w:t xml:space="preserve">In addition to reporting financial results in accordance with U.S. generally accepted accounting principles (GAAP), the Company uses a Non-GAAP measure of financial performance: </w:t>
      </w:r>
      <w:r>
        <w:rPr>
          <w:rFonts w:ascii="Arial" w:cs="Arial" w:eastAsia="Arial" w:hAnsi="Arial"/>
          <w:sz w:val="18"/>
          <w:szCs w:val="18"/>
          <w:b w:val="1"/>
          <w:bCs w:val="1"/>
          <w:i w:val="1"/>
          <w:iCs w:val="1"/>
          <w:color w:val="auto"/>
        </w:rPr>
        <w:t>Adjusted Unrestricted Operating Cash Flow</w:t>
      </w:r>
      <w:r>
        <w:rPr>
          <w:rFonts w:ascii="Arial" w:cs="Arial" w:eastAsia="Arial" w:hAnsi="Arial"/>
          <w:sz w:val="18"/>
          <w:szCs w:val="18"/>
          <w:color w:val="auto"/>
        </w:rPr>
        <w:t>, which is defined as GAAP net cash from operating activities, adjusted for changes in restricted cash. The Company’s management believes it is important to consider Adjusted Unrestricted Operating Cash Flow, in addition to net cash from operating activities, as it provides more transparency into current business trends without regard to the timing of payments from restricted cash, which is primarily related to a dedicated account limited to the payment of certain internal royalty obligations.</w:t>
      </w:r>
    </w:p>
    <w:p>
      <w:pPr>
        <w:spacing w:after="0" w:line="2" w:lineRule="exact"/>
        <w:rPr>
          <w:sz w:val="20"/>
          <w:szCs w:val="20"/>
          <w:color w:val="auto"/>
        </w:rPr>
      </w:pPr>
    </w:p>
    <w:p>
      <w:pPr>
        <w:ind w:right="140"/>
        <w:spacing w:after="0" w:line="252" w:lineRule="auto"/>
        <w:rPr>
          <w:sz w:val="20"/>
          <w:szCs w:val="20"/>
          <w:color w:val="auto"/>
        </w:rPr>
      </w:pPr>
      <w:r>
        <w:rPr>
          <w:rFonts w:ascii="Arial" w:cs="Arial" w:eastAsia="Arial" w:hAnsi="Arial"/>
          <w:sz w:val="18"/>
          <w:szCs w:val="18"/>
          <w:color w:val="auto"/>
        </w:rPr>
        <w:t>This Non-GAAP financial measure is not intended to be considered in isolation from, as a substitute for, or superior to, GAAP results. This Non-GAAP financial measure may be different from similarly titled measures used by other companies. In the future, Take-Two may also consider whether other items should also be excluded in calculating this Non-GAAP financial measure used by the Company. Management believes that the presentation of this Non-GAAP financial measure provides investors with additional useful information to measure Take-Two's financial and operating performance. In particular, this measure facilitates comparison of our operating performance between periods and may help investors to understand better the operating results of Take-Two. Internally, management uses this Non-GAAP financial measure in assessing the Company's operating results and in</w:t>
      </w:r>
    </w:p>
    <w:p>
      <w:pPr>
        <w:sectPr>
          <w:pgSz w:w="11900" w:h="16838" w:orient="portrait"/>
          <w:cols w:equalWidth="0" w:num="1">
            <w:col w:w="11200"/>
          </w:cols>
          <w:pgMar w:left="320" w:top="949" w:right="379" w:bottom="1440" w:gutter="0" w:footer="0" w:header="0"/>
        </w:sectPr>
      </w:pPr>
    </w:p>
    <w:p>
      <w:pPr>
        <w:spacing w:after="0" w:line="382"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200"/>
          </w:cols>
          <w:pgMar w:left="320" w:top="949" w:right="379" w:bottom="1440" w:gutter="0" w:footer="0" w:header="0"/>
          <w:type w:val="continuous"/>
        </w:sectPr>
      </w:pPr>
    </w:p>
    <w:bookmarkStart w:id="10" w:name="page11"/>
    <w:bookmarkEnd w:id="10"/>
    <w:p>
      <w:pPr>
        <w:ind w:right="300"/>
        <w:spacing w:after="0" w:line="261" w:lineRule="auto"/>
        <w:rPr>
          <w:sz w:val="20"/>
          <w:szCs w:val="20"/>
          <w:color w:val="auto"/>
        </w:rPr>
      </w:pPr>
      <w:r>
        <w:rPr>
          <w:rFonts w:ascii="Arial" w:cs="Arial" w:eastAsia="Arial" w:hAnsi="Arial"/>
          <w:sz w:val="18"/>
          <w:szCs w:val="18"/>
          <w:color w:val="auto"/>
        </w:rPr>
        <w:t>planning and forecasting. A reconciliation of this Non-GAAP financial measure to the most comparable GAAP measure is contained in the financial tables to this press release.</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Final Results</w:t>
      </w:r>
    </w:p>
    <w:p>
      <w:pPr>
        <w:spacing w:after="0" w:line="274" w:lineRule="exact"/>
        <w:rPr>
          <w:sz w:val="20"/>
          <w:szCs w:val="20"/>
          <w:color w:val="auto"/>
        </w:rPr>
      </w:pPr>
    </w:p>
    <w:p>
      <w:pPr>
        <w:ind w:right="400"/>
        <w:spacing w:after="0" w:line="261" w:lineRule="auto"/>
        <w:rPr>
          <w:sz w:val="20"/>
          <w:szCs w:val="20"/>
          <w:color w:val="auto"/>
        </w:rPr>
      </w:pPr>
      <w:r>
        <w:rPr>
          <w:rFonts w:ascii="Arial" w:cs="Arial" w:eastAsia="Arial" w:hAnsi="Arial"/>
          <w:sz w:val="18"/>
          <w:szCs w:val="18"/>
          <w:color w:val="auto"/>
        </w:rPr>
        <w:t>The financial results discussed herein are presented on a preliminary basis; final data will be included in Take-Two’s Quarterly Report on Form 10−Q for the period ended September 30, 2021.</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Take-Two Interactive Software</w:t>
      </w:r>
    </w:p>
    <w:p>
      <w:pPr>
        <w:spacing w:after="0" w:line="274"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 xml:space="preserve">Headquartered in New York City, Take-Two Interactive Software, Inc. is a leading developer, publisher, and marketer of interactive entertainment for consumers around the globe. We develop and publish products principally through Rockstar Games, 2K, Private Division, and T2 Mobile Games. Our products are designed for console systems and personal computers, including smartphones and tablets, and are delivered through physical retail, digital download, online platforms, and cloud streaming services. The Company’s common stock is publicly traded on NASDAQ under the symbol TTWO. For more corporate and product information please visit our website at </w:t>
      </w:r>
      <w:r>
        <w:rPr>
          <w:rFonts w:ascii="Arial" w:cs="Arial" w:eastAsia="Arial" w:hAnsi="Arial"/>
          <w:sz w:val="18"/>
          <w:szCs w:val="18"/>
          <w:u w:val="single" w:color="auto"/>
          <w:color w:val="0000FF"/>
        </w:rPr>
        <w:t>http://www.take2games.com</w:t>
      </w:r>
      <w:r>
        <w:rPr>
          <w:rFonts w:ascii="Arial" w:cs="Arial" w:eastAsia="Arial" w:hAnsi="Arial"/>
          <w:sz w:val="18"/>
          <w:szCs w:val="18"/>
          <w:color w:val="000000"/>
        </w:rPr>
        <w: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All trademarks and copyrights contained herein are the property of their respective holders.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Cautionary Note Regarding Forward-Looking Statements</w:t>
      </w:r>
    </w:p>
    <w:p>
      <w:pPr>
        <w:spacing w:after="0" w:line="9" w:lineRule="exact"/>
        <w:rPr>
          <w:sz w:val="20"/>
          <w:szCs w:val="20"/>
          <w:color w:val="auto"/>
        </w:rPr>
      </w:pPr>
    </w:p>
    <w:p>
      <w:pPr>
        <w:spacing w:after="0" w:line="251" w:lineRule="auto"/>
        <w:rPr>
          <w:sz w:val="20"/>
          <w:szCs w:val="20"/>
          <w:color w:val="auto"/>
        </w:rPr>
      </w:pPr>
      <w:r>
        <w:rPr>
          <w:rFonts w:ascii="Arial" w:cs="Arial" w:eastAsia="Arial" w:hAnsi="Arial"/>
          <w:sz w:val="18"/>
          <w:szCs w:val="18"/>
          <w:color w:val="auto"/>
        </w:rPr>
        <w:t xml:space="preserve">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uncertainty of the impact of the COVID-19 pandemic and measures taken in response thereto; the effect that measures taken to mitigate the COVID-19 pandemic have on our operations, including our ability to timely deliver our titles and other products, and on the operations of our counterparties, including retailers and distributors; the effects of the COVID-19 pandemic on both consumer demand and the discretionary spending patterns of our customers as the situation with the pandemic continues to evolve; the risks of conducting business internationally; the impact of reductions in interest rates by the Federal Reserve and other central banks, including on our short-term investment portfolio; the impact of potential inflation; volatility in foreign currency exchange rates; our dependence on key management and product development personnel; our dependence on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products and our ability to develop other hit titles; our ability to leverage opportunities on PlayStation®5 and Xbox Series X|S; the timely release and significant market acceptance of our games; the ability to maintain acceptable pricing levels on our games; and risks associated with international operations. Other important factors and information are contained in the Company's most recent Annual Report on Form 10-K, including the risks summarized in the section entitled "Risk Factors," the Company’s most recent Quarterly Report on Form 10-Q, and the Company's other periodic filings with the SEC, which can be accessed at </w:t>
      </w:r>
      <w:r>
        <w:rPr>
          <w:rFonts w:ascii="Arial" w:cs="Arial" w:eastAsia="Arial" w:hAnsi="Arial"/>
          <w:sz w:val="18"/>
          <w:szCs w:val="18"/>
          <w:u w:val="single" w:color="auto"/>
          <w:color w:val="0000FF"/>
        </w:rPr>
        <w:t>www.take2games.com</w:t>
      </w:r>
      <w:r>
        <w:rPr>
          <w:rFonts w:ascii="Arial" w:cs="Arial" w:eastAsia="Arial" w:hAnsi="Arial"/>
          <w:sz w:val="18"/>
          <w:szCs w:val="18"/>
          <w:color w:val="auto"/>
        </w:rPr>
        <w:t>. All forward-looking statements are qualified by these cautionary statements and apply only as of the date they are made. The Company undertakes no obligation to update any forward-looking statement, whether as a result of new information, future events or otherwise.</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 #</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49"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3760" w:type="dxa"/>
            <w:vAlign w:val="bottom"/>
            <w:gridSpan w:val="6"/>
          </w:tcPr>
          <w:p>
            <w:pPr>
              <w:ind w:left="440"/>
              <w:spacing w:after="0"/>
              <w:rPr>
                <w:sz w:val="20"/>
                <w:szCs w:val="20"/>
                <w:color w:val="auto"/>
              </w:rPr>
            </w:pPr>
            <w:r>
              <w:rPr>
                <w:rFonts w:ascii="Arial" w:cs="Arial" w:eastAsia="Arial" w:hAnsi="Arial"/>
                <w:sz w:val="18"/>
                <w:szCs w:val="18"/>
                <w:b w:val="1"/>
                <w:bCs w:val="1"/>
                <w:color w:val="auto"/>
              </w:rPr>
              <w:t>Three Months Ended September 30,</w:t>
            </w:r>
          </w:p>
        </w:tc>
        <w:tc>
          <w:tcPr>
            <w:tcW w:w="340" w:type="dxa"/>
            <w:vAlign w:val="bottom"/>
          </w:tcPr>
          <w:p>
            <w:pPr>
              <w:spacing w:after="0"/>
              <w:rPr>
                <w:sz w:val="20"/>
                <w:szCs w:val="20"/>
                <w:color w:val="auto"/>
              </w:rPr>
            </w:pPr>
          </w:p>
        </w:tc>
        <w:tc>
          <w:tcPr>
            <w:tcW w:w="3360" w:type="dxa"/>
            <w:vAlign w:val="bottom"/>
            <w:gridSpan w:val="4"/>
          </w:tcPr>
          <w:p>
            <w:pPr>
              <w:jc w:val="right"/>
              <w:ind w:right="470"/>
              <w:spacing w:after="0"/>
              <w:rPr>
                <w:sz w:val="20"/>
                <w:szCs w:val="20"/>
                <w:color w:val="auto"/>
              </w:rPr>
            </w:pPr>
            <w:r>
              <w:rPr>
                <w:rFonts w:ascii="Arial" w:cs="Arial" w:eastAsia="Arial" w:hAnsi="Arial"/>
                <w:sz w:val="18"/>
                <w:szCs w:val="18"/>
                <w:b w:val="1"/>
                <w:bCs w:val="1"/>
                <w:color w:val="auto"/>
                <w:w w:val="97"/>
              </w:rPr>
              <w:t>Six Months Ended September 30,</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70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2021</w:t>
            </w:r>
          </w:p>
        </w:tc>
        <w:tc>
          <w:tcPr>
            <w:tcW w:w="6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60" w:type="dxa"/>
            <w:vAlign w:val="bottom"/>
          </w:tcPr>
          <w:p>
            <w:pPr>
              <w:jc w:val="right"/>
              <w:ind w:right="630"/>
              <w:spacing w:after="0"/>
              <w:rPr>
                <w:sz w:val="20"/>
                <w:szCs w:val="20"/>
                <w:color w:val="auto"/>
              </w:rPr>
            </w:pPr>
            <w:r>
              <w:rPr>
                <w:rFonts w:ascii="Arial" w:cs="Arial" w:eastAsia="Arial" w:hAnsi="Arial"/>
                <w:sz w:val="18"/>
                <w:szCs w:val="18"/>
                <w:b w:val="1"/>
                <w:bCs w:val="1"/>
                <w:color w:val="auto"/>
              </w:rPr>
              <w:t>2021</w:t>
            </w: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revenue</w:t>
            </w:r>
          </w:p>
        </w:tc>
        <w:tc>
          <w:tcPr>
            <w:tcW w:w="110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858,198</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841,142</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1,671,544</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1,672,452</w:t>
            </w: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1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Internal royalties</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159,586</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127,804</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304,964</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341,867</w:t>
            </w: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Software development costs and royalties</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w w:val="92"/>
              </w:rPr>
              <w:t>144,869</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142,771</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231,906</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290,818</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Licenses</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86,130</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92,944</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136,534</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148,963</w:t>
            </w: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Product costs</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66,097</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68,986</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112,993</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127,546</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cost of goods sold</w:t>
            </w:r>
          </w:p>
        </w:tc>
        <w:tc>
          <w:tcPr>
            <w:tcW w:w="11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456,682</w:t>
            </w:r>
          </w:p>
        </w:tc>
        <w:tc>
          <w:tcPr>
            <w:tcW w:w="8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432,505</w:t>
            </w:r>
          </w:p>
        </w:tc>
        <w:tc>
          <w:tcPr>
            <w:tcW w:w="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786,397</w:t>
            </w:r>
          </w:p>
        </w:tc>
        <w:tc>
          <w:tcPr>
            <w:tcW w:w="8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909,194</w:t>
            </w:r>
          </w:p>
        </w:tc>
        <w:tc>
          <w:tcPr>
            <w:tcW w:w="0" w:type="dxa"/>
            <w:vAlign w:val="bottom"/>
          </w:tcPr>
          <w:p>
            <w:pPr>
              <w:spacing w:after="0"/>
              <w:rPr>
                <w:sz w:val="1"/>
                <w:szCs w:val="1"/>
                <w:color w:val="auto"/>
              </w:rPr>
            </w:pPr>
          </w:p>
        </w:tc>
      </w:tr>
      <w:tr>
        <w:trPr>
          <w:trHeight w:val="237"/>
        </w:trPr>
        <w:tc>
          <w:tcPr>
            <w:tcW w:w="370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11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2"/>
              </w:rPr>
              <w:t>401,516</w:t>
            </w:r>
          </w:p>
        </w:tc>
        <w:tc>
          <w:tcPr>
            <w:tcW w:w="8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408,637</w:t>
            </w:r>
          </w:p>
        </w:tc>
        <w:tc>
          <w:tcPr>
            <w:tcW w:w="8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885,147</w:t>
            </w:r>
          </w:p>
        </w:tc>
        <w:tc>
          <w:tcPr>
            <w:tcW w:w="8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763,258</w:t>
            </w:r>
          </w:p>
        </w:tc>
        <w:tc>
          <w:tcPr>
            <w:tcW w:w="0" w:type="dxa"/>
            <w:vAlign w:val="bottom"/>
          </w:tcPr>
          <w:p>
            <w:pPr>
              <w:spacing w:after="0"/>
              <w:rPr>
                <w:sz w:val="1"/>
                <w:szCs w:val="1"/>
                <w:color w:val="auto"/>
              </w:rPr>
            </w:pPr>
          </w:p>
        </w:tc>
      </w:tr>
      <w:tr>
        <w:trPr>
          <w:trHeight w:val="61"/>
        </w:trPr>
        <w:tc>
          <w:tcPr>
            <w:tcW w:w="3700" w:type="dxa"/>
            <w:vAlign w:val="bottom"/>
            <w:tcBorders>
              <w:bottom w:val="single" w:sz="8" w:color="CCEEFF"/>
            </w:tcBorders>
          </w:tcPr>
          <w:p>
            <w:pPr>
              <w:spacing w:after="0"/>
              <w:rPr>
                <w:sz w:val="5"/>
                <w:szCs w:val="5"/>
                <w:color w:val="auto"/>
              </w:rPr>
            </w:pPr>
          </w:p>
        </w:tc>
        <w:tc>
          <w:tcPr>
            <w:tcW w:w="1100" w:type="dxa"/>
            <w:vAlign w:val="bottom"/>
            <w:tcBorders>
              <w:bottom w:val="single" w:sz="8" w:color="CCEEFF"/>
            </w:tcBorders>
          </w:tcPr>
          <w:p>
            <w:pPr>
              <w:spacing w:after="0"/>
              <w:rPr>
                <w:sz w:val="5"/>
                <w:szCs w:val="5"/>
                <w:color w:val="auto"/>
              </w:rPr>
            </w:pPr>
          </w:p>
        </w:tc>
        <w:tc>
          <w:tcPr>
            <w:tcW w:w="680" w:type="dxa"/>
            <w:vAlign w:val="bottom"/>
            <w:tcBorders>
              <w:bottom w:val="single" w:sz="8" w:color="CCEEFF"/>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420" w:type="dxa"/>
            <w:vAlign w:val="bottom"/>
            <w:tcBorders>
              <w:bottom w:val="single" w:sz="8" w:color="CCEEFF"/>
            </w:tcBorders>
          </w:tcPr>
          <w:p>
            <w:pPr>
              <w:spacing w:after="0"/>
              <w:rPr>
                <w:sz w:val="5"/>
                <w:szCs w:val="5"/>
                <w:color w:val="auto"/>
              </w:rPr>
            </w:pPr>
          </w:p>
        </w:tc>
        <w:tc>
          <w:tcPr>
            <w:tcW w:w="1400" w:type="dxa"/>
            <w:vAlign w:val="bottom"/>
            <w:tcBorders>
              <w:bottom w:val="single" w:sz="8" w:color="CCEEFF"/>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340" w:type="dxa"/>
            <w:vAlign w:val="bottom"/>
            <w:tcBorders>
              <w:bottom w:val="single" w:sz="8" w:color="CCEEFF"/>
            </w:tcBorders>
          </w:tcPr>
          <w:p>
            <w:pPr>
              <w:spacing w:after="0"/>
              <w:rPr>
                <w:sz w:val="5"/>
                <w:szCs w:val="5"/>
                <w:color w:val="auto"/>
              </w:rPr>
            </w:pPr>
          </w:p>
        </w:tc>
        <w:tc>
          <w:tcPr>
            <w:tcW w:w="1460" w:type="dxa"/>
            <w:vAlign w:val="bottom"/>
            <w:tcBorders>
              <w:bottom w:val="single" w:sz="8" w:color="CCEEFF"/>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420" w:type="dxa"/>
            <w:vAlign w:val="bottom"/>
            <w:tcBorders>
              <w:bottom w:val="single" w:sz="8" w:color="CCEEFF"/>
            </w:tcBorders>
          </w:tcPr>
          <w:p>
            <w:pPr>
              <w:spacing w:after="0"/>
              <w:rPr>
                <w:sz w:val="5"/>
                <w:szCs w:val="5"/>
                <w:color w:val="auto"/>
              </w:rPr>
            </w:pPr>
          </w:p>
        </w:tc>
        <w:tc>
          <w:tcPr>
            <w:tcW w:w="140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Selling and marketing</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w w:val="92"/>
              </w:rPr>
              <w:t>136,019</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113,691</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239,873</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198,470</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General and administrative</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127,331</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91,433</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231,778</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193,606</w:t>
            </w: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Research and development</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w w:val="92"/>
              </w:rPr>
              <w:t>101,508</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74,216</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193,802</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147,324</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Depreciation and amortization</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16,181</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13,691</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28,646</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26,109</w:t>
            </w: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Business reorganization</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326</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239</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423</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239</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operating expenses</w:t>
            </w:r>
          </w:p>
        </w:tc>
        <w:tc>
          <w:tcPr>
            <w:tcW w:w="11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381,365</w:t>
            </w:r>
          </w:p>
        </w:tc>
        <w:tc>
          <w:tcPr>
            <w:tcW w:w="8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293,270</w:t>
            </w:r>
          </w:p>
        </w:tc>
        <w:tc>
          <w:tcPr>
            <w:tcW w:w="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694,522</w:t>
            </w:r>
          </w:p>
        </w:tc>
        <w:tc>
          <w:tcPr>
            <w:tcW w:w="8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565,748</w:t>
            </w:r>
          </w:p>
        </w:tc>
        <w:tc>
          <w:tcPr>
            <w:tcW w:w="0" w:type="dxa"/>
            <w:vAlign w:val="bottom"/>
          </w:tcPr>
          <w:p>
            <w:pPr>
              <w:spacing w:after="0"/>
              <w:rPr>
                <w:sz w:val="1"/>
                <w:szCs w:val="1"/>
                <w:color w:val="auto"/>
              </w:rPr>
            </w:pPr>
          </w:p>
        </w:tc>
      </w:tr>
      <w:tr>
        <w:trPr>
          <w:trHeight w:val="237"/>
        </w:trPr>
        <w:tc>
          <w:tcPr>
            <w:tcW w:w="3700" w:type="dxa"/>
            <w:vAlign w:val="bottom"/>
          </w:tcPr>
          <w:p>
            <w:pPr>
              <w:ind w:left="20"/>
              <w:spacing w:after="0"/>
              <w:rPr>
                <w:sz w:val="20"/>
                <w:szCs w:val="20"/>
                <w:color w:val="auto"/>
              </w:rPr>
            </w:pPr>
            <w:r>
              <w:rPr>
                <w:rFonts w:ascii="Arial" w:cs="Arial" w:eastAsia="Arial" w:hAnsi="Arial"/>
                <w:sz w:val="18"/>
                <w:szCs w:val="18"/>
                <w:color w:val="auto"/>
              </w:rPr>
              <w:t>Income from operations</w:t>
            </w:r>
          </w:p>
        </w:tc>
        <w:tc>
          <w:tcPr>
            <w:tcW w:w="11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20,151</w:t>
            </w:r>
          </w:p>
        </w:tc>
        <w:tc>
          <w:tcPr>
            <w:tcW w:w="8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115,367</w:t>
            </w:r>
          </w:p>
        </w:tc>
        <w:tc>
          <w:tcPr>
            <w:tcW w:w="8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190,625</w:t>
            </w:r>
          </w:p>
        </w:tc>
        <w:tc>
          <w:tcPr>
            <w:tcW w:w="8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197,510</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and other, net</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(572)</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2,706</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(1,599)</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10,924</w:t>
            </w: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Gain (loss) on long-term investments, net</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395</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(655)</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2,392</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(655)</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before income taxes</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19,974</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117,418</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191,418</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207,779</w:t>
            </w: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Provision for income taxes</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9,677</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18,097</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28,865</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19,953</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1100" w:type="dxa"/>
            <w:vAlign w:val="bottom"/>
            <w:tcBorders>
              <w:bottom w:val="single" w:sz="8" w:color="auto"/>
            </w:tcBorders>
            <w:shd w:val="clear" w:color="auto" w:fill="CCEEFF"/>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10,297</w:t>
            </w:r>
          </w:p>
        </w:tc>
        <w:tc>
          <w:tcPr>
            <w:tcW w:w="80" w:type="dxa"/>
            <w:vAlign w:val="bottom"/>
            <w:tcBorders>
              <w:bottom w:val="single" w:sz="8" w:color="CCEEFF"/>
            </w:tcBorders>
            <w:shd w:val="clear" w:color="auto" w:fill="CCEEFF"/>
          </w:tcPr>
          <w:p>
            <w:pPr>
              <w:spacing w:after="0"/>
              <w:rPr>
                <w:sz w:val="24"/>
                <w:szCs w:val="24"/>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99,321</w:t>
            </w:r>
          </w:p>
        </w:tc>
        <w:tc>
          <w:tcPr>
            <w:tcW w:w="8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162,553</w:t>
            </w:r>
          </w:p>
        </w:tc>
        <w:tc>
          <w:tcPr>
            <w:tcW w:w="80" w:type="dxa"/>
            <w:vAlign w:val="bottom"/>
            <w:tcBorders>
              <w:bottom w:val="single" w:sz="8" w:color="CCEEFF"/>
            </w:tcBorders>
            <w:shd w:val="clear" w:color="auto" w:fill="CCEEFF"/>
          </w:tcPr>
          <w:p>
            <w:pPr>
              <w:spacing w:after="0"/>
              <w:rPr>
                <w:sz w:val="24"/>
                <w:szCs w:val="24"/>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187,826</w:t>
            </w:r>
          </w:p>
        </w:tc>
        <w:tc>
          <w:tcPr>
            <w:tcW w:w="0" w:type="dxa"/>
            <w:vAlign w:val="bottom"/>
          </w:tcPr>
          <w:p>
            <w:pPr>
              <w:spacing w:after="0"/>
              <w:rPr>
                <w:sz w:val="1"/>
                <w:szCs w:val="1"/>
                <w:color w:val="auto"/>
              </w:rPr>
            </w:pPr>
          </w:p>
        </w:tc>
      </w:tr>
      <w:tr>
        <w:trPr>
          <w:trHeight w:val="20"/>
        </w:trPr>
        <w:tc>
          <w:tcPr>
            <w:tcW w:w="37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37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0"/>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Earnings per share:</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Basic earnings per share</w:t>
            </w:r>
          </w:p>
        </w:tc>
        <w:tc>
          <w:tcPr>
            <w:tcW w:w="1100" w:type="dxa"/>
            <w:vAlign w:val="bottom"/>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0.09</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0.87</w:t>
            </w:r>
          </w:p>
        </w:tc>
        <w:tc>
          <w:tcPr>
            <w:tcW w:w="8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1.40</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1.65</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Diluted earnings per share</w:t>
            </w:r>
          </w:p>
        </w:tc>
        <w:tc>
          <w:tcPr>
            <w:tcW w:w="110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0.09</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0.86</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1.39</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w:t>
            </w: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Weighted average shares outstanding</w:t>
            </w:r>
          </w:p>
        </w:tc>
        <w:tc>
          <w:tcPr>
            <w:tcW w:w="1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Basic</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115,757</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114,444</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115,727</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114,153</w:t>
            </w: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Diluted</w:t>
            </w:r>
          </w:p>
        </w:tc>
        <w:tc>
          <w:tcPr>
            <w:tcW w:w="1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w w:val="92"/>
              </w:rPr>
              <w:t>116,803</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115,414</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116,891</w:t>
            </w:r>
          </w:p>
        </w:tc>
        <w:tc>
          <w:tcPr>
            <w:tcW w:w="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115,245</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Computation of Basic EPS:</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Net income</w:t>
            </w:r>
          </w:p>
        </w:tc>
        <w:tc>
          <w:tcPr>
            <w:tcW w:w="1100" w:type="dxa"/>
            <w:vAlign w:val="bottom"/>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10,297</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99,321</w:t>
            </w:r>
          </w:p>
        </w:tc>
        <w:tc>
          <w:tcPr>
            <w:tcW w:w="8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162,553</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187,826</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w w:val="98"/>
              </w:rPr>
              <w:t>Weighted average shares outstanding - basic</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115,757</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114,444</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115,727</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114,153</w:t>
            </w: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Basic earnings per share</w:t>
            </w:r>
          </w:p>
        </w:tc>
        <w:tc>
          <w:tcPr>
            <w:tcW w:w="1100" w:type="dxa"/>
            <w:vAlign w:val="bottom"/>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0.09</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0.87</w:t>
            </w:r>
          </w:p>
        </w:tc>
        <w:tc>
          <w:tcPr>
            <w:tcW w:w="8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1.40</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1.65</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Computation of Diluted EPS:</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700" w:type="dxa"/>
            <w:vAlign w:val="bottom"/>
          </w:tcPr>
          <w:p>
            <w:pPr>
              <w:ind w:left="140"/>
              <w:spacing w:after="0"/>
              <w:rPr>
                <w:sz w:val="20"/>
                <w:szCs w:val="20"/>
                <w:color w:val="auto"/>
              </w:rPr>
            </w:pPr>
            <w:r>
              <w:rPr>
                <w:rFonts w:ascii="Arial" w:cs="Arial" w:eastAsia="Arial" w:hAnsi="Arial"/>
                <w:sz w:val="18"/>
                <w:szCs w:val="18"/>
                <w:color w:val="auto"/>
              </w:rPr>
              <w:t>Net income</w:t>
            </w:r>
          </w:p>
        </w:tc>
        <w:tc>
          <w:tcPr>
            <w:tcW w:w="1100" w:type="dxa"/>
            <w:vAlign w:val="bottom"/>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10,297</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99,321</w:t>
            </w:r>
          </w:p>
        </w:tc>
        <w:tc>
          <w:tcPr>
            <w:tcW w:w="8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Pr>
          <w:p>
            <w:pPr>
              <w:jc w:val="right"/>
              <w:spacing w:after="0"/>
              <w:rPr>
                <w:sz w:val="20"/>
                <w:szCs w:val="20"/>
                <w:color w:val="auto"/>
              </w:rPr>
            </w:pPr>
            <w:r>
              <w:rPr>
                <w:rFonts w:ascii="Arial" w:cs="Arial" w:eastAsia="Arial" w:hAnsi="Arial"/>
                <w:sz w:val="18"/>
                <w:szCs w:val="18"/>
                <w:b w:val="1"/>
                <w:bCs w:val="1"/>
                <w:color w:val="auto"/>
              </w:rPr>
              <w:t>162,553</w:t>
            </w:r>
          </w:p>
        </w:tc>
        <w:tc>
          <w:tcPr>
            <w:tcW w:w="8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187,826</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w w:val="99"/>
              </w:rPr>
              <w:t>Weighed average shares outstanding - basic</w:t>
            </w:r>
          </w:p>
        </w:tc>
        <w:tc>
          <w:tcPr>
            <w:tcW w:w="1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115,757</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114,444</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115,727</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114,153</w:t>
            </w:r>
          </w:p>
        </w:tc>
        <w:tc>
          <w:tcPr>
            <w:tcW w:w="0" w:type="dxa"/>
            <w:vAlign w:val="bottom"/>
          </w:tcPr>
          <w:p>
            <w:pPr>
              <w:spacing w:after="0"/>
              <w:rPr>
                <w:sz w:val="1"/>
                <w:szCs w:val="1"/>
                <w:color w:val="auto"/>
              </w:rPr>
            </w:pPr>
          </w:p>
        </w:tc>
      </w:tr>
      <w:tr>
        <w:trPr>
          <w:trHeight w:val="229"/>
        </w:trPr>
        <w:tc>
          <w:tcPr>
            <w:tcW w:w="3700" w:type="dxa"/>
            <w:vAlign w:val="bottom"/>
          </w:tcPr>
          <w:p>
            <w:pPr>
              <w:ind w:left="140"/>
              <w:spacing w:after="0"/>
              <w:rPr>
                <w:sz w:val="20"/>
                <w:szCs w:val="20"/>
                <w:color w:val="auto"/>
              </w:rPr>
            </w:pPr>
            <w:r>
              <w:rPr>
                <w:rFonts w:ascii="Arial" w:cs="Arial" w:eastAsia="Arial" w:hAnsi="Arial"/>
                <w:sz w:val="18"/>
                <w:szCs w:val="18"/>
                <w:color w:val="auto"/>
              </w:rPr>
              <w:t>Add: dilutive effect of common stock</w:t>
            </w:r>
          </w:p>
        </w:tc>
        <w:tc>
          <w:tcPr>
            <w:tcW w:w="1100" w:type="dxa"/>
            <w:vAlign w:val="bottom"/>
          </w:tcPr>
          <w:p>
            <w:pPr>
              <w:spacing w:after="0"/>
              <w:rPr>
                <w:sz w:val="19"/>
                <w:szCs w:val="19"/>
                <w:color w:val="auto"/>
              </w:rPr>
            </w:pPr>
          </w:p>
        </w:tc>
        <w:tc>
          <w:tcPr>
            <w:tcW w:w="6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1,046</w:t>
            </w: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1,164</w:t>
            </w: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00" w:type="dxa"/>
            <w:vAlign w:val="bottom"/>
          </w:tcPr>
          <w:p>
            <w:pPr>
              <w:ind w:left="140"/>
              <w:spacing w:after="0"/>
              <w:rPr>
                <w:sz w:val="20"/>
                <w:szCs w:val="20"/>
                <w:color w:val="auto"/>
              </w:rPr>
            </w:pPr>
            <w:r>
              <w:rPr>
                <w:rFonts w:ascii="Arial" w:cs="Arial" w:eastAsia="Arial" w:hAnsi="Arial"/>
                <w:sz w:val="18"/>
                <w:szCs w:val="18"/>
                <w:color w:val="auto"/>
              </w:rPr>
              <w:t>equivalents</w:t>
            </w:r>
          </w:p>
        </w:tc>
        <w:tc>
          <w:tcPr>
            <w:tcW w:w="1100" w:type="dxa"/>
            <w:vAlign w:val="bottom"/>
          </w:tcPr>
          <w:p>
            <w:pPr>
              <w:spacing w:after="0"/>
              <w:rPr>
                <w:sz w:val="20"/>
                <w:szCs w:val="20"/>
                <w:color w:val="auto"/>
              </w:rPr>
            </w:pPr>
          </w:p>
        </w:tc>
        <w:tc>
          <w:tcPr>
            <w:tcW w:w="68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970</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6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1,092</w:t>
            </w:r>
          </w:p>
        </w:tc>
        <w:tc>
          <w:tcPr>
            <w:tcW w:w="0" w:type="dxa"/>
            <w:vAlign w:val="bottom"/>
          </w:tcPr>
          <w:p>
            <w:pPr>
              <w:spacing w:after="0"/>
              <w:rPr>
                <w:sz w:val="1"/>
                <w:szCs w:val="1"/>
                <w:color w:val="auto"/>
              </w:rPr>
            </w:pPr>
          </w:p>
        </w:tc>
      </w:tr>
      <w:tr>
        <w:trPr>
          <w:trHeight w:val="27"/>
        </w:trPr>
        <w:tc>
          <w:tcPr>
            <w:tcW w:w="37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70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1"/>
              </w:rPr>
              <w:t>Weighted average common shares outstanding -</w:t>
            </w:r>
          </w:p>
        </w:tc>
        <w:tc>
          <w:tcPr>
            <w:tcW w:w="1100" w:type="dxa"/>
            <w:vAlign w:val="bottom"/>
            <w:shd w:val="clear" w:color="auto" w:fill="CCEEFF"/>
          </w:tcPr>
          <w:p>
            <w:pPr>
              <w:spacing w:after="0"/>
              <w:rPr>
                <w:sz w:val="18"/>
                <w:szCs w:val="18"/>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116,803</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116,891</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37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diluted</w:t>
            </w:r>
          </w:p>
        </w:tc>
        <w:tc>
          <w:tcPr>
            <w:tcW w:w="11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vMerge w:val="continue"/>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115,414</w:t>
            </w:r>
          </w:p>
        </w:tc>
        <w:tc>
          <w:tcPr>
            <w:tcW w:w="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vMerge w:val="continue"/>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115,245</w:t>
            </w:r>
          </w:p>
        </w:tc>
        <w:tc>
          <w:tcPr>
            <w:tcW w:w="0" w:type="dxa"/>
            <w:vAlign w:val="bottom"/>
          </w:tcPr>
          <w:p>
            <w:pPr>
              <w:spacing w:after="0"/>
              <w:rPr>
                <w:sz w:val="1"/>
                <w:szCs w:val="1"/>
                <w:color w:val="auto"/>
              </w:rPr>
            </w:pPr>
          </w:p>
        </w:tc>
      </w:tr>
      <w:tr>
        <w:trPr>
          <w:trHeight w:val="236"/>
        </w:trPr>
        <w:tc>
          <w:tcPr>
            <w:tcW w:w="3700" w:type="dxa"/>
            <w:vAlign w:val="bottom"/>
          </w:tcPr>
          <w:p>
            <w:pPr>
              <w:ind w:left="140"/>
              <w:spacing w:after="0"/>
              <w:rPr>
                <w:sz w:val="20"/>
                <w:szCs w:val="20"/>
                <w:color w:val="auto"/>
              </w:rPr>
            </w:pPr>
            <w:r>
              <w:rPr>
                <w:rFonts w:ascii="Arial" w:cs="Arial" w:eastAsia="Arial" w:hAnsi="Arial"/>
                <w:sz w:val="18"/>
                <w:szCs w:val="18"/>
                <w:color w:val="auto"/>
              </w:rPr>
              <w:t>Diluted earnings per share</w:t>
            </w:r>
          </w:p>
        </w:tc>
        <w:tc>
          <w:tcPr>
            <w:tcW w:w="1100" w:type="dxa"/>
            <w:vAlign w:val="bottom"/>
            <w:tcBorders>
              <w:top w:val="single" w:sz="8" w:color="auto"/>
            </w:tcBorders>
          </w:tcPr>
          <w:p>
            <w:pPr>
              <w:jc w:val="right"/>
              <w:ind w:right="910"/>
              <w:spacing w:after="0"/>
              <w:rPr>
                <w:sz w:val="20"/>
                <w:szCs w:val="20"/>
                <w:color w:val="auto"/>
              </w:rPr>
            </w:pPr>
            <w:r>
              <w:rPr>
                <w:rFonts w:ascii="Arial" w:cs="Arial" w:eastAsia="Arial" w:hAnsi="Arial"/>
                <w:sz w:val="18"/>
                <w:szCs w:val="18"/>
                <w:b w:val="1"/>
                <w:bCs w:val="1"/>
                <w:color w:val="auto"/>
                <w:w w:val="79"/>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0.09</w:t>
            </w:r>
          </w:p>
        </w:tc>
        <w:tc>
          <w:tcPr>
            <w:tcW w:w="80" w:type="dxa"/>
            <w:vAlign w:val="bottom"/>
          </w:tcPr>
          <w:p>
            <w:pPr>
              <w:spacing w:after="0"/>
              <w:rPr>
                <w:sz w:val="20"/>
                <w:szCs w:val="20"/>
                <w:color w:val="auto"/>
              </w:rPr>
            </w:pPr>
          </w:p>
        </w:tc>
        <w:tc>
          <w:tcPr>
            <w:tcW w:w="420" w:type="dxa"/>
            <w:vAlign w:val="bottom"/>
            <w:tcBorders>
              <w:top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0.86</w:t>
            </w:r>
          </w:p>
        </w:tc>
        <w:tc>
          <w:tcPr>
            <w:tcW w:w="80" w:type="dxa"/>
            <w:vAlign w:val="bottom"/>
          </w:tcPr>
          <w:p>
            <w:pPr>
              <w:spacing w:after="0"/>
              <w:rPr>
                <w:sz w:val="20"/>
                <w:szCs w:val="20"/>
                <w:color w:val="auto"/>
              </w:rPr>
            </w:pP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1.39</w:t>
            </w:r>
          </w:p>
        </w:tc>
        <w:tc>
          <w:tcPr>
            <w:tcW w:w="80" w:type="dxa"/>
            <w:vAlign w:val="bottom"/>
          </w:tcPr>
          <w:p>
            <w:pPr>
              <w:spacing w:after="0"/>
              <w:rPr>
                <w:sz w:val="20"/>
                <w:szCs w:val="20"/>
                <w:color w:val="auto"/>
              </w:rPr>
            </w:pPr>
          </w:p>
        </w:tc>
        <w:tc>
          <w:tcPr>
            <w:tcW w:w="420" w:type="dxa"/>
            <w:vAlign w:val="bottom"/>
            <w:tcBorders>
              <w:top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1.63</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160"/>
          </w:cols>
          <w:pgMar w:left="320" w:top="904" w:right="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ectPr>
          <w:pgSz w:w="11900" w:h="16838" w:orient="portrait"/>
          <w:cols w:equalWidth="0" w:num="1">
            <w:col w:w="11160"/>
          </w:cols>
          <w:pgMar w:left="320" w:top="904" w:right="419" w:bottom="1440" w:gutter="0" w:footer="0" w:header="0"/>
          <w:type w:val="continuous"/>
        </w:sectPr>
      </w:pPr>
    </w:p>
    <w:bookmarkStart w:id="12" w:name="page13"/>
    <w:bookmarkEnd w:id="12"/>
    <w:tbl>
      <w:tblPr>
        <w:tblLayout w:type="fixed"/>
        <w:tblInd w:w="0" w:type="dxa"/>
        <w:tblCellMar>
          <w:top w:w="0" w:type="dxa"/>
          <w:left w:w="0" w:type="dxa"/>
          <w:bottom w:w="0" w:type="dxa"/>
          <w:right w:w="0" w:type="dxa"/>
        </w:tblCellMar>
      </w:tblPr>
      <w:tr>
        <w:trPr>
          <w:trHeight w:val="234"/>
        </w:trPr>
        <w:tc>
          <w:tcPr>
            <w:tcW w:w="7280" w:type="dxa"/>
            <w:vAlign w:val="bottom"/>
          </w:tcPr>
          <w:p>
            <w:pPr>
              <w:ind w:left="4000"/>
              <w:spacing w:after="0"/>
              <w:rPr>
                <w:sz w:val="20"/>
                <w:szCs w:val="20"/>
                <w:color w:val="auto"/>
              </w:rPr>
            </w:pPr>
            <w:r>
              <w:rPr>
                <w:rFonts w:ascii="Arial" w:cs="Arial" w:eastAsia="Arial" w:hAnsi="Arial"/>
                <w:sz w:val="18"/>
                <w:szCs w:val="18"/>
                <w:b w:val="1"/>
                <w:bCs w:val="1"/>
                <w:color w:val="auto"/>
                <w:w w:val="91"/>
              </w:rPr>
              <w:t>(in thousands, except per share amounts)</w:t>
            </w:r>
          </w:p>
        </w:tc>
        <w:tc>
          <w:tcPr>
            <w:tcW w:w="16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0"/>
        </w:trPr>
        <w:tc>
          <w:tcPr>
            <w:tcW w:w="7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September 30, 2021</w:t>
            </w:r>
          </w:p>
        </w:tc>
        <w:tc>
          <w:tcPr>
            <w:tcW w:w="220" w:type="dxa"/>
            <w:vAlign w:val="bottom"/>
          </w:tcPr>
          <w:p>
            <w:pPr>
              <w:spacing w:after="0"/>
              <w:rPr>
                <w:sz w:val="24"/>
                <w:szCs w:val="24"/>
                <w:color w:val="auto"/>
              </w:rPr>
            </w:pPr>
          </w:p>
        </w:tc>
        <w:tc>
          <w:tcPr>
            <w:tcW w:w="1660" w:type="dxa"/>
            <w:vAlign w:val="bottom"/>
          </w:tcPr>
          <w:p>
            <w:pPr>
              <w:jc w:val="right"/>
              <w:ind w:right="250"/>
              <w:spacing w:after="0"/>
              <w:rPr>
                <w:sz w:val="20"/>
                <w:szCs w:val="20"/>
                <w:color w:val="auto"/>
              </w:rPr>
            </w:pPr>
            <w:r>
              <w:rPr>
                <w:rFonts w:ascii="Arial" w:cs="Arial" w:eastAsia="Arial" w:hAnsi="Arial"/>
                <w:sz w:val="18"/>
                <w:szCs w:val="18"/>
                <w:b w:val="1"/>
                <w:bCs w:val="1"/>
                <w:color w:val="auto"/>
              </w:rPr>
              <w:t>March 31, 2021</w:t>
            </w:r>
          </w:p>
        </w:tc>
        <w:tc>
          <w:tcPr>
            <w:tcW w:w="0" w:type="dxa"/>
            <w:vAlign w:val="bottom"/>
          </w:tcPr>
          <w:p>
            <w:pPr>
              <w:spacing w:after="0"/>
              <w:rPr>
                <w:sz w:val="1"/>
                <w:szCs w:val="1"/>
                <w:color w:val="auto"/>
              </w:rPr>
            </w:pPr>
          </w:p>
        </w:tc>
      </w:tr>
      <w:tr>
        <w:trPr>
          <w:trHeight w:val="27"/>
        </w:trPr>
        <w:tc>
          <w:tcPr>
            <w:tcW w:w="72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gridSpan w:val="2"/>
            <w:shd w:val="clear" w:color="auto" w:fill="CCEEFF"/>
          </w:tcPr>
          <w:p>
            <w:pPr>
              <w:jc w:val="center"/>
              <w:ind w:right="240"/>
              <w:spacing w:after="0"/>
              <w:rPr>
                <w:sz w:val="20"/>
                <w:szCs w:val="20"/>
                <w:color w:val="auto"/>
              </w:rPr>
            </w:pPr>
            <w:r>
              <w:rPr>
                <w:rFonts w:ascii="Arial" w:cs="Arial" w:eastAsia="Arial" w:hAnsi="Arial"/>
                <w:sz w:val="18"/>
                <w:szCs w:val="18"/>
                <w:b w:val="1"/>
                <w:bCs w:val="1"/>
                <w:color w:val="auto"/>
                <w:w w:val="93"/>
              </w:rPr>
              <w:t>(Unaudited)</w:t>
            </w: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3280"/>
              <w:spacing w:after="0"/>
              <w:rPr>
                <w:sz w:val="20"/>
                <w:szCs w:val="20"/>
                <w:color w:val="auto"/>
              </w:rPr>
            </w:pPr>
            <w:r>
              <w:rPr>
                <w:rFonts w:ascii="Arial" w:cs="Arial" w:eastAsia="Arial" w:hAnsi="Arial"/>
                <w:sz w:val="18"/>
                <w:szCs w:val="18"/>
                <w:b w:val="1"/>
                <w:bCs w:val="1"/>
                <w:color w:val="auto"/>
              </w:rPr>
              <w:t>ASSETS</w:t>
            </w:r>
          </w:p>
        </w:tc>
        <w:tc>
          <w:tcPr>
            <w:tcW w:w="16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assets: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Cash and cash equivalents</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856,901</w:t>
            </w:r>
          </w:p>
        </w:tc>
        <w:tc>
          <w:tcPr>
            <w:tcW w:w="8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1,422,884</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Short-term investments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1,440,631</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1,308,692</w:t>
            </w: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Restricted cash and cash equivalents</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754,368</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538,822</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28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3"/>
              </w:rPr>
              <w:t>Accounts receivable, net of allowances of $350 and $350 at September 30, 2021 and March 31,</w:t>
            </w:r>
          </w:p>
        </w:tc>
        <w:tc>
          <w:tcPr>
            <w:tcW w:w="160" w:type="dxa"/>
            <w:vAlign w:val="bottom"/>
            <w:shd w:val="clear" w:color="auto" w:fill="CCEEFF"/>
          </w:tcPr>
          <w:p>
            <w:pPr>
              <w:spacing w:after="0"/>
              <w:rPr>
                <w:sz w:val="19"/>
                <w:szCs w:val="19"/>
                <w:color w:val="auto"/>
              </w:rPr>
            </w:pPr>
          </w:p>
        </w:tc>
        <w:tc>
          <w:tcPr>
            <w:tcW w:w="174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804,468</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2021, respectively</w:t>
            </w:r>
          </w:p>
        </w:tc>
        <w:tc>
          <w:tcPr>
            <w:tcW w:w="16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vMerge w:val="continue"/>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552,762</w:t>
            </w: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Inventory</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12,579</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17,742</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Software development costs and licenses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54,540</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43,443</w:t>
            </w: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Deferred cost of goods sold</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12,601</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15,524</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Prepaid expenses and other</w:t>
            </w:r>
          </w:p>
        </w:tc>
        <w:tc>
          <w:tcPr>
            <w:tcW w:w="16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307,370</w:t>
            </w:r>
          </w:p>
        </w:tc>
        <w:tc>
          <w:tcPr>
            <w:tcW w:w="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320,646</w:t>
            </w:r>
          </w:p>
        </w:tc>
        <w:tc>
          <w:tcPr>
            <w:tcW w:w="0" w:type="dxa"/>
            <w:vAlign w:val="bottom"/>
          </w:tcPr>
          <w:p>
            <w:pPr>
              <w:spacing w:after="0"/>
              <w:rPr>
                <w:sz w:val="1"/>
                <w:szCs w:val="1"/>
                <w:color w:val="auto"/>
              </w:rPr>
            </w:pPr>
          </w:p>
        </w:tc>
      </w:tr>
      <w:tr>
        <w:trPr>
          <w:trHeight w:val="237"/>
        </w:trPr>
        <w:tc>
          <w:tcPr>
            <w:tcW w:w="7280" w:type="dxa"/>
            <w:vAlign w:val="bottom"/>
          </w:tcPr>
          <w:p>
            <w:pPr>
              <w:ind w:left="240"/>
              <w:spacing w:after="0"/>
              <w:rPr>
                <w:sz w:val="20"/>
                <w:szCs w:val="20"/>
                <w:color w:val="auto"/>
              </w:rPr>
            </w:pPr>
            <w:r>
              <w:rPr>
                <w:rFonts w:ascii="Arial" w:cs="Arial" w:eastAsia="Arial" w:hAnsi="Arial"/>
                <w:sz w:val="18"/>
                <w:szCs w:val="18"/>
                <w:color w:val="auto"/>
              </w:rPr>
              <w:t>Total current assets</w:t>
            </w:r>
          </w:p>
        </w:tc>
        <w:tc>
          <w:tcPr>
            <w:tcW w:w="16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4,243,458</w:t>
            </w:r>
          </w:p>
        </w:tc>
        <w:tc>
          <w:tcPr>
            <w:tcW w:w="8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4,220,515</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2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Fixed assets, net</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231,230</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149,364</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Right-of-use assets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208,751</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164,763</w:t>
            </w: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Software development costs and licenses, net of current portion</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621,470</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490,892</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662,585</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535,306</w:t>
            </w: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Other intangibles, net</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288,090</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121,591</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assets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74,994</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90,206</w:t>
            </w: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Long-term restricted cash and cash equivalents</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103,437</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98,541</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16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185,016</w:t>
            </w:r>
          </w:p>
        </w:tc>
        <w:tc>
          <w:tcPr>
            <w:tcW w:w="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157,040</w:t>
            </w:r>
          </w:p>
        </w:tc>
        <w:tc>
          <w:tcPr>
            <w:tcW w:w="0" w:type="dxa"/>
            <w:vAlign w:val="bottom"/>
          </w:tcPr>
          <w:p>
            <w:pPr>
              <w:spacing w:after="0"/>
              <w:rPr>
                <w:sz w:val="1"/>
                <w:szCs w:val="1"/>
                <w:color w:val="auto"/>
              </w:rPr>
            </w:pPr>
          </w:p>
        </w:tc>
      </w:tr>
      <w:tr>
        <w:trPr>
          <w:trHeight w:val="263"/>
        </w:trPr>
        <w:tc>
          <w:tcPr>
            <w:tcW w:w="7280" w:type="dxa"/>
            <w:vAlign w:val="bottom"/>
          </w:tcPr>
          <w:p>
            <w:pPr>
              <w:ind w:left="240"/>
              <w:spacing w:after="0"/>
              <w:rPr>
                <w:sz w:val="20"/>
                <w:szCs w:val="20"/>
                <w:color w:val="auto"/>
              </w:rPr>
            </w:pPr>
            <w:r>
              <w:rPr>
                <w:rFonts w:ascii="Arial" w:cs="Arial" w:eastAsia="Arial" w:hAnsi="Arial"/>
                <w:sz w:val="18"/>
                <w:szCs w:val="18"/>
                <w:color w:val="auto"/>
              </w:rPr>
              <w:t>Total assets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6,619,031</w:t>
            </w:r>
          </w:p>
        </w:tc>
        <w:tc>
          <w:tcPr>
            <w:tcW w:w="8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6,028,218</w:t>
            </w:r>
          </w:p>
        </w:tc>
        <w:tc>
          <w:tcPr>
            <w:tcW w:w="0" w:type="dxa"/>
            <w:vAlign w:val="bottom"/>
          </w:tcPr>
          <w:p>
            <w:pPr>
              <w:spacing w:after="0"/>
              <w:rPr>
                <w:sz w:val="1"/>
                <w:szCs w:val="1"/>
                <w:color w:val="auto"/>
              </w:rPr>
            </w:pP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7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460"/>
              <w:spacing w:after="0"/>
              <w:rPr>
                <w:sz w:val="20"/>
                <w:szCs w:val="20"/>
                <w:color w:val="auto"/>
              </w:rPr>
            </w:pPr>
            <w:r>
              <w:rPr>
                <w:rFonts w:ascii="Arial" w:cs="Arial" w:eastAsia="Arial" w:hAnsi="Arial"/>
                <w:sz w:val="18"/>
                <w:szCs w:val="18"/>
                <w:b w:val="1"/>
                <w:bCs w:val="1"/>
                <w:color w:val="auto"/>
              </w:rPr>
              <w:t>LIABILITIES AND EQUITY</w:t>
            </w:r>
          </w:p>
        </w:tc>
        <w:tc>
          <w:tcPr>
            <w:tcW w:w="16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Accounts payable</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83,401</w:t>
            </w:r>
          </w:p>
        </w:tc>
        <w:tc>
          <w:tcPr>
            <w:tcW w:w="8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71,001</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Accrued expenses and other current 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1,499,898</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1,204,090</w:t>
            </w: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Deferred revenue</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951,612</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928,029</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Lease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31,962</w:t>
            </w:r>
          </w:p>
        </w:tc>
        <w:tc>
          <w:tcPr>
            <w:tcW w:w="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31,595</w:t>
            </w:r>
          </w:p>
        </w:tc>
        <w:tc>
          <w:tcPr>
            <w:tcW w:w="0" w:type="dxa"/>
            <w:vAlign w:val="bottom"/>
          </w:tcPr>
          <w:p>
            <w:pPr>
              <w:spacing w:after="0"/>
              <w:rPr>
                <w:sz w:val="1"/>
                <w:szCs w:val="1"/>
                <w:color w:val="auto"/>
              </w:rPr>
            </w:pPr>
          </w:p>
        </w:tc>
      </w:tr>
      <w:tr>
        <w:trPr>
          <w:trHeight w:val="237"/>
        </w:trPr>
        <w:tc>
          <w:tcPr>
            <w:tcW w:w="7280" w:type="dxa"/>
            <w:vAlign w:val="bottom"/>
          </w:tcPr>
          <w:p>
            <w:pPr>
              <w:ind w:left="240"/>
              <w:spacing w:after="0"/>
              <w:rPr>
                <w:sz w:val="20"/>
                <w:szCs w:val="20"/>
                <w:color w:val="auto"/>
              </w:rPr>
            </w:pPr>
            <w:r>
              <w:rPr>
                <w:rFonts w:ascii="Arial" w:cs="Arial" w:eastAsia="Arial" w:hAnsi="Arial"/>
                <w:sz w:val="18"/>
                <w:szCs w:val="18"/>
                <w:color w:val="auto"/>
              </w:rPr>
              <w:t>Total current liabilities</w:t>
            </w:r>
          </w:p>
        </w:tc>
        <w:tc>
          <w:tcPr>
            <w:tcW w:w="16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2,566,873</w:t>
            </w:r>
          </w:p>
        </w:tc>
        <w:tc>
          <w:tcPr>
            <w:tcW w:w="8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2,234,715</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Non-current deferred revenue</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51,531</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37,302</w:t>
            </w: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Non-current lease liabilities</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207,437</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159,671</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Non-current software development royalties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112,459</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110,127</w:t>
            </w: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Other long-term liabilities</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211,063</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154,511</w:t>
            </w:r>
          </w:p>
        </w:tc>
        <w:tc>
          <w:tcPr>
            <w:tcW w:w="0" w:type="dxa"/>
            <w:vAlign w:val="bottom"/>
          </w:tcPr>
          <w:p>
            <w:pPr>
              <w:spacing w:after="0"/>
              <w:rPr>
                <w:sz w:val="1"/>
                <w:szCs w:val="1"/>
                <w:color w:val="auto"/>
              </w:rPr>
            </w:pPr>
          </w:p>
        </w:tc>
      </w:tr>
      <w:tr>
        <w:trPr>
          <w:trHeight w:val="27"/>
        </w:trPr>
        <w:tc>
          <w:tcPr>
            <w:tcW w:w="72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72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 liabilities</w:t>
            </w:r>
          </w:p>
        </w:tc>
        <w:tc>
          <w:tcPr>
            <w:tcW w:w="160" w:type="dxa"/>
            <w:vAlign w:val="bottom"/>
            <w:tcBorders>
              <w:bottom w:val="single" w:sz="8" w:color="auto"/>
            </w:tcBorders>
            <w:shd w:val="clear" w:color="auto" w:fill="CCEEFF"/>
          </w:tcPr>
          <w:p>
            <w:pPr>
              <w:spacing w:after="0"/>
              <w:rPr>
                <w:sz w:val="24"/>
                <w:szCs w:val="24"/>
                <w:color w:val="auto"/>
              </w:rPr>
            </w:pPr>
          </w:p>
        </w:tc>
        <w:tc>
          <w:tcPr>
            <w:tcW w:w="1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3,149,363</w:t>
            </w:r>
          </w:p>
        </w:tc>
        <w:tc>
          <w:tcPr>
            <w:tcW w:w="8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2,696,326</w:t>
            </w:r>
          </w:p>
        </w:tc>
        <w:tc>
          <w:tcPr>
            <w:tcW w:w="0" w:type="dxa"/>
            <w:vAlign w:val="bottom"/>
          </w:tcPr>
          <w:p>
            <w:pPr>
              <w:spacing w:after="0"/>
              <w:rPr>
                <w:sz w:val="1"/>
                <w:szCs w:val="1"/>
                <w:color w:val="auto"/>
              </w:rPr>
            </w:pPr>
          </w:p>
        </w:tc>
      </w:tr>
      <w:tr>
        <w:trPr>
          <w:trHeight w:val="20"/>
        </w:trPr>
        <w:tc>
          <w:tcPr>
            <w:tcW w:w="72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Stockholders' equity:</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72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28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2"/>
              </w:rPr>
              <w:t>Preferred stock, $0.01 par value, 5,000 shares authorized; no shares issued and outstanding at</w:t>
            </w:r>
          </w:p>
        </w:tc>
        <w:tc>
          <w:tcPr>
            <w:tcW w:w="160" w:type="dxa"/>
            <w:vAlign w:val="bottom"/>
            <w:shd w:val="clear" w:color="auto" w:fill="CCEEFF"/>
          </w:tcPr>
          <w:p>
            <w:pPr>
              <w:spacing w:after="0"/>
              <w:rPr>
                <w:sz w:val="19"/>
                <w:szCs w:val="19"/>
                <w:color w:val="auto"/>
              </w:rPr>
            </w:pPr>
          </w:p>
        </w:tc>
        <w:tc>
          <w:tcPr>
            <w:tcW w:w="18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2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September 30, 2021 and March 31, 2021</w:t>
            </w:r>
          </w:p>
        </w:tc>
        <w:tc>
          <w:tcPr>
            <w:tcW w:w="160" w:type="dxa"/>
            <w:vAlign w:val="bottom"/>
            <w:tcBorders>
              <w:bottom w:val="single" w:sz="8" w:color="CCEEFF"/>
            </w:tcBorders>
            <w:shd w:val="clear" w:color="auto" w:fill="CCEEFF"/>
          </w:tcPr>
          <w:p>
            <w:pPr>
              <w:spacing w:after="0"/>
              <w:rPr>
                <w:sz w:val="20"/>
                <w:szCs w:val="20"/>
                <w:color w:val="auto"/>
              </w:rPr>
            </w:pPr>
          </w:p>
        </w:tc>
        <w:tc>
          <w:tcPr>
            <w:tcW w:w="1820" w:type="dxa"/>
            <w:vAlign w:val="bottom"/>
            <w:tcBorders>
              <w:bottom w:val="single" w:sz="8" w:color="CCEEFF"/>
            </w:tcBorders>
            <w:gridSpan w:val="2"/>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280" w:type="dxa"/>
            <w:vAlign w:val="bottom"/>
          </w:tcPr>
          <w:p>
            <w:pPr>
              <w:ind w:left="260"/>
              <w:spacing w:after="0"/>
              <w:rPr>
                <w:sz w:val="20"/>
                <w:szCs w:val="20"/>
                <w:color w:val="auto"/>
              </w:rPr>
            </w:pPr>
            <w:r>
              <w:rPr>
                <w:rFonts w:ascii="Arial" w:cs="Arial" w:eastAsia="Arial" w:hAnsi="Arial"/>
                <w:sz w:val="18"/>
                <w:szCs w:val="18"/>
                <w:color w:val="auto"/>
                <w:w w:val="90"/>
              </w:rPr>
              <w:t>Common stock, $0.01 par value, 200,000 shares authorized; 138,891 and 137,584 shares issued</w:t>
            </w:r>
          </w:p>
        </w:tc>
        <w:tc>
          <w:tcPr>
            <w:tcW w:w="160" w:type="dxa"/>
            <w:vAlign w:val="bottom"/>
          </w:tcPr>
          <w:p>
            <w:pPr>
              <w:spacing w:after="0"/>
              <w:rPr>
                <w:sz w:val="19"/>
                <w:szCs w:val="19"/>
                <w:color w:val="auto"/>
              </w:rPr>
            </w:pPr>
          </w:p>
        </w:tc>
        <w:tc>
          <w:tcPr>
            <w:tcW w:w="1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1,390</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260"/>
              <w:spacing w:after="0"/>
              <w:rPr>
                <w:sz w:val="20"/>
                <w:szCs w:val="20"/>
                <w:color w:val="auto"/>
              </w:rPr>
            </w:pPr>
            <w:r>
              <w:rPr>
                <w:rFonts w:ascii="Arial" w:cs="Arial" w:eastAsia="Arial" w:hAnsi="Arial"/>
                <w:sz w:val="18"/>
                <w:szCs w:val="18"/>
                <w:color w:val="auto"/>
                <w:w w:val="91"/>
              </w:rPr>
              <w:t>and 115,210 and 115,163 outstanding at September 30, 2021 and March 31, 2021, respectively</w:t>
            </w:r>
          </w:p>
        </w:tc>
        <w:tc>
          <w:tcPr>
            <w:tcW w:w="160" w:type="dxa"/>
            <w:vAlign w:val="bottom"/>
          </w:tcPr>
          <w:p>
            <w:pPr>
              <w:spacing w:after="0"/>
              <w:rPr>
                <w:sz w:val="20"/>
                <w:szCs w:val="20"/>
                <w:color w:val="auto"/>
              </w:rPr>
            </w:pPr>
          </w:p>
        </w:tc>
        <w:tc>
          <w:tcPr>
            <w:tcW w:w="174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1,376</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Additional paid-in capital</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2,475,085</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2,288,781</w:t>
            </w:r>
          </w:p>
        </w:tc>
        <w:tc>
          <w:tcPr>
            <w:tcW w:w="0" w:type="dxa"/>
            <w:vAlign w:val="bottom"/>
          </w:tcPr>
          <w:p>
            <w:pPr>
              <w:spacing w:after="0"/>
              <w:rPr>
                <w:sz w:val="1"/>
                <w:szCs w:val="1"/>
                <w:color w:val="auto"/>
              </w:rPr>
            </w:pPr>
          </w:p>
        </w:tc>
      </w:tr>
      <w:tr>
        <w:trPr>
          <w:trHeight w:val="229"/>
        </w:trPr>
        <w:tc>
          <w:tcPr>
            <w:tcW w:w="7280" w:type="dxa"/>
            <w:vAlign w:val="bottom"/>
          </w:tcPr>
          <w:p>
            <w:pPr>
              <w:ind w:left="140"/>
              <w:spacing w:after="0"/>
              <w:rPr>
                <w:sz w:val="20"/>
                <w:szCs w:val="20"/>
                <w:color w:val="auto"/>
              </w:rPr>
            </w:pPr>
            <w:r>
              <w:rPr>
                <w:rFonts w:ascii="Arial" w:cs="Arial" w:eastAsia="Arial" w:hAnsi="Arial"/>
                <w:sz w:val="18"/>
                <w:szCs w:val="18"/>
                <w:color w:val="auto"/>
                <w:w w:val="90"/>
              </w:rPr>
              <w:t>Treasury stock, at cost; 23,681 and 22,421 common shares at September 30, 2021 and March 31,</w:t>
            </w:r>
          </w:p>
        </w:tc>
        <w:tc>
          <w:tcPr>
            <w:tcW w:w="160" w:type="dxa"/>
            <w:vAlign w:val="bottom"/>
          </w:tcPr>
          <w:p>
            <w:pPr>
              <w:spacing w:after="0"/>
              <w:rPr>
                <w:sz w:val="19"/>
                <w:szCs w:val="19"/>
                <w:color w:val="auto"/>
              </w:rPr>
            </w:pPr>
          </w:p>
        </w:tc>
        <w:tc>
          <w:tcPr>
            <w:tcW w:w="17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(1,020,584)</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140"/>
              <w:spacing w:after="0"/>
              <w:rPr>
                <w:sz w:val="20"/>
                <w:szCs w:val="20"/>
                <w:color w:val="auto"/>
              </w:rPr>
            </w:pPr>
            <w:r>
              <w:rPr>
                <w:rFonts w:ascii="Arial" w:cs="Arial" w:eastAsia="Arial" w:hAnsi="Arial"/>
                <w:sz w:val="18"/>
                <w:szCs w:val="18"/>
                <w:color w:val="auto"/>
              </w:rPr>
              <w:t>2021, respectively</w:t>
            </w:r>
          </w:p>
        </w:tc>
        <w:tc>
          <w:tcPr>
            <w:tcW w:w="160" w:type="dxa"/>
            <w:vAlign w:val="bottom"/>
          </w:tcPr>
          <w:p>
            <w:pPr>
              <w:spacing w:after="0"/>
              <w:rPr>
                <w:sz w:val="20"/>
                <w:szCs w:val="20"/>
                <w:color w:val="auto"/>
              </w:rPr>
            </w:pPr>
          </w:p>
        </w:tc>
        <w:tc>
          <w:tcPr>
            <w:tcW w:w="174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(820,572)</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Retained earnings</w:t>
            </w:r>
          </w:p>
        </w:tc>
        <w:tc>
          <w:tcPr>
            <w:tcW w:w="16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2,033,524</w:t>
            </w:r>
          </w:p>
        </w:tc>
        <w:tc>
          <w:tcPr>
            <w:tcW w:w="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1,870,971</w:t>
            </w:r>
          </w:p>
        </w:tc>
        <w:tc>
          <w:tcPr>
            <w:tcW w:w="0" w:type="dxa"/>
            <w:vAlign w:val="bottom"/>
          </w:tcPr>
          <w:p>
            <w:pPr>
              <w:spacing w:after="0"/>
              <w:rPr>
                <w:sz w:val="1"/>
                <w:szCs w:val="1"/>
                <w:color w:val="auto"/>
              </w:rPr>
            </w:pPr>
          </w:p>
        </w:tc>
      </w:tr>
      <w:tr>
        <w:trPr>
          <w:trHeight w:val="243"/>
        </w:trPr>
        <w:tc>
          <w:tcPr>
            <w:tcW w:w="7280" w:type="dxa"/>
            <w:vAlign w:val="bottom"/>
          </w:tcPr>
          <w:p>
            <w:pPr>
              <w:ind w:left="14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b w:val="1"/>
                <w:bCs w:val="1"/>
                <w:color w:val="auto"/>
              </w:rPr>
              <w:t>(19,747)</w:t>
            </w: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(8,664)</w:t>
            </w:r>
          </w:p>
        </w:tc>
        <w:tc>
          <w:tcPr>
            <w:tcW w:w="0" w:type="dxa"/>
            <w:vAlign w:val="bottom"/>
          </w:tcPr>
          <w:p>
            <w:pPr>
              <w:spacing w:after="0"/>
              <w:rPr>
                <w:sz w:val="1"/>
                <w:szCs w:val="1"/>
                <w:color w:val="auto"/>
              </w:rPr>
            </w:pPr>
          </w:p>
        </w:tc>
      </w:tr>
      <w:tr>
        <w:trPr>
          <w:trHeight w:val="27"/>
        </w:trPr>
        <w:tc>
          <w:tcPr>
            <w:tcW w:w="72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72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Total stockholders' equity</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3,469,668</w:t>
            </w:r>
          </w:p>
        </w:tc>
        <w:tc>
          <w:tcPr>
            <w:tcW w:w="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3,331,892</w:t>
            </w:r>
          </w:p>
        </w:tc>
        <w:tc>
          <w:tcPr>
            <w:tcW w:w="0" w:type="dxa"/>
            <w:vAlign w:val="bottom"/>
          </w:tcPr>
          <w:p>
            <w:pPr>
              <w:spacing w:after="0"/>
              <w:rPr>
                <w:sz w:val="1"/>
                <w:szCs w:val="1"/>
                <w:color w:val="auto"/>
              </w:rPr>
            </w:pPr>
          </w:p>
        </w:tc>
      </w:tr>
      <w:tr>
        <w:trPr>
          <w:trHeight w:val="264"/>
        </w:trPr>
        <w:tc>
          <w:tcPr>
            <w:tcW w:w="7280" w:type="dxa"/>
            <w:vAlign w:val="bottom"/>
          </w:tcPr>
          <w:p>
            <w:pPr>
              <w:ind w:left="240"/>
              <w:spacing w:after="0"/>
              <w:rPr>
                <w:sz w:val="20"/>
                <w:szCs w:val="20"/>
                <w:color w:val="auto"/>
              </w:rPr>
            </w:pPr>
            <w:r>
              <w:rPr>
                <w:rFonts w:ascii="Arial" w:cs="Arial" w:eastAsia="Arial" w:hAnsi="Arial"/>
                <w:sz w:val="18"/>
                <w:szCs w:val="18"/>
                <w:color w:val="auto"/>
              </w:rPr>
              <w:t>Total liabilities and stockholders' equity</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6,619,031</w:t>
            </w:r>
          </w:p>
        </w:tc>
        <w:tc>
          <w:tcPr>
            <w:tcW w:w="8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6,028,218</w:t>
            </w:r>
          </w:p>
        </w:tc>
        <w:tc>
          <w:tcPr>
            <w:tcW w:w="0" w:type="dxa"/>
            <w:vAlign w:val="bottom"/>
          </w:tcPr>
          <w:p>
            <w:pPr>
              <w:spacing w:after="0"/>
              <w:rPr>
                <w:sz w:val="1"/>
                <w:szCs w:val="1"/>
                <w:color w:val="auto"/>
              </w:rPr>
            </w:pPr>
          </w:p>
        </w:tc>
      </w:tr>
      <w:tr>
        <w:trPr>
          <w:trHeight w:val="20"/>
        </w:trPr>
        <w:tc>
          <w:tcPr>
            <w:tcW w:w="7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904" w:right="4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40" w:type="dxa"/>
            <w:vAlign w:val="bottom"/>
          </w:tcPr>
          <w:p>
            <w:pPr>
              <w:spacing w:after="0"/>
              <w:rPr>
                <w:sz w:val="20"/>
                <w:szCs w:val="20"/>
                <w:color w:val="auto"/>
              </w:rPr>
            </w:pPr>
          </w:p>
        </w:tc>
        <w:tc>
          <w:tcPr>
            <w:tcW w:w="3740" w:type="dxa"/>
            <w:vAlign w:val="bottom"/>
            <w:gridSpan w:val="4"/>
          </w:tcPr>
          <w:p>
            <w:pPr>
              <w:jc w:val="right"/>
              <w:ind w:right="70"/>
              <w:spacing w:after="0"/>
              <w:rPr>
                <w:sz w:val="20"/>
                <w:szCs w:val="20"/>
                <w:color w:val="auto"/>
              </w:rPr>
            </w:pPr>
            <w:r>
              <w:rPr>
                <w:rFonts w:ascii="Arial" w:cs="Arial" w:eastAsia="Arial" w:hAnsi="Arial"/>
                <w:sz w:val="18"/>
                <w:szCs w:val="18"/>
                <w:b w:val="1"/>
                <w:bCs w:val="1"/>
                <w:color w:val="auto"/>
              </w:rPr>
              <w:t>Six Months Ended September 30,</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4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2021</w:t>
            </w:r>
          </w:p>
        </w:tc>
        <w:tc>
          <w:tcPr>
            <w:tcW w:w="8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2020</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6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Operating activities:</w:t>
            </w:r>
          </w:p>
        </w:tc>
        <w:tc>
          <w:tcPr>
            <w:tcW w:w="1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1380" w:type="dxa"/>
            <w:vAlign w:val="bottom"/>
          </w:tcPr>
          <w:p>
            <w:pPr>
              <w:jc w:val="right"/>
              <w:ind w:right="119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162,553</w:t>
            </w:r>
          </w:p>
        </w:tc>
        <w:tc>
          <w:tcPr>
            <w:tcW w:w="120" w:type="dxa"/>
            <w:vAlign w:val="bottom"/>
          </w:tcPr>
          <w:p>
            <w:pPr>
              <w:spacing w:after="0"/>
              <w:rPr>
                <w:sz w:val="21"/>
                <w:szCs w:val="21"/>
                <w:color w:val="auto"/>
              </w:rPr>
            </w:pPr>
          </w:p>
        </w:tc>
        <w:tc>
          <w:tcPr>
            <w:tcW w:w="1380" w:type="dxa"/>
            <w:vAlign w:val="bottom"/>
          </w:tcPr>
          <w:p>
            <w:pPr>
              <w:jc w:val="right"/>
              <w:ind w:right="119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187,826</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w w:val="99"/>
              </w:rPr>
              <w:t>Adjustments to reconcile net income to net cash provided by operating activities: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Amortization of software development costs and licenses</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95,339</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72,969</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Impairment of software development costs and licenses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65,049</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19,695</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Depreciation</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28,436</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25,826</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Amortization and impairment of intellectual property</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33,668</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11,801</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Stock-based compensation</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96,196</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98,719</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Other, net</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2,067</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(2,631)</w:t>
            </w:r>
          </w:p>
        </w:tc>
        <w:tc>
          <w:tcPr>
            <w:tcW w:w="0" w:type="dxa"/>
            <w:vAlign w:val="bottom"/>
          </w:tcPr>
          <w:p>
            <w:pPr>
              <w:spacing w:after="0"/>
              <w:rPr>
                <w:sz w:val="1"/>
                <w:szCs w:val="1"/>
                <w:color w:val="auto"/>
              </w:rPr>
            </w:pPr>
          </w:p>
        </w:tc>
      </w:tr>
      <w:tr>
        <w:trPr>
          <w:trHeight w:val="243"/>
        </w:trPr>
        <w:tc>
          <w:tcPr>
            <w:tcW w:w="6640" w:type="dxa"/>
            <w:vAlign w:val="bottom"/>
          </w:tcPr>
          <w:p>
            <w:pPr>
              <w:ind w:left="140"/>
              <w:spacing w:after="0"/>
              <w:rPr>
                <w:sz w:val="20"/>
                <w:szCs w:val="20"/>
                <w:color w:val="auto"/>
              </w:rPr>
            </w:pPr>
            <w:r>
              <w:rPr>
                <w:rFonts w:ascii="Arial" w:cs="Arial" w:eastAsia="Arial" w:hAnsi="Arial"/>
                <w:sz w:val="18"/>
                <w:szCs w:val="18"/>
                <w:color w:val="auto"/>
              </w:rPr>
              <w:t>Changes in assets and liabilities:</w:t>
            </w:r>
          </w:p>
        </w:tc>
        <w:tc>
          <w:tcPr>
            <w:tcW w:w="13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Accounts receivable</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(242,844)</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(189,477)</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Inventory</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5,155</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(7,266)</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Software development costs and licenses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(263,235)</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(127,290)</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Prepaid expenses and other assets</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(35,745)</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65,296</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Deferred revenue</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32,672</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284,441</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Deferred cost of goods sold</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3,018</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4,753</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Accounts payable, accrued expenses and other liabilities</w:t>
            </w: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301,350</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182,083</w:t>
            </w:r>
          </w:p>
        </w:tc>
        <w:tc>
          <w:tcPr>
            <w:tcW w:w="0" w:type="dxa"/>
            <w:vAlign w:val="bottom"/>
          </w:tcPr>
          <w:p>
            <w:pPr>
              <w:spacing w:after="0"/>
              <w:rPr>
                <w:sz w:val="1"/>
                <w:szCs w:val="1"/>
                <w:color w:val="auto"/>
              </w:rPr>
            </w:pPr>
          </w:p>
        </w:tc>
      </w:tr>
      <w:tr>
        <w:trPr>
          <w:trHeight w:val="237"/>
        </w:trPr>
        <w:tc>
          <w:tcPr>
            <w:tcW w:w="6640" w:type="dxa"/>
            <w:vAlign w:val="bottom"/>
          </w:tcPr>
          <w:p>
            <w:pPr>
              <w:ind w:left="140"/>
              <w:spacing w:after="0"/>
              <w:rPr>
                <w:sz w:val="20"/>
                <w:szCs w:val="20"/>
                <w:color w:val="auto"/>
              </w:rPr>
            </w:pPr>
            <w:r>
              <w:rPr>
                <w:rFonts w:ascii="Arial" w:cs="Arial" w:eastAsia="Arial" w:hAnsi="Arial"/>
                <w:sz w:val="18"/>
                <w:szCs w:val="18"/>
                <w:color w:val="auto"/>
              </w:rPr>
              <w:t>Net cash provided by operating activities</w:t>
            </w: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283,679</w:t>
            </w:r>
          </w:p>
        </w:tc>
        <w:tc>
          <w:tcPr>
            <w:tcW w:w="120" w:type="dxa"/>
            <w:vAlign w:val="bottom"/>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626,745</w:t>
            </w:r>
          </w:p>
        </w:tc>
        <w:tc>
          <w:tcPr>
            <w:tcW w:w="0" w:type="dxa"/>
            <w:vAlign w:val="bottom"/>
          </w:tcPr>
          <w:p>
            <w:pPr>
              <w:spacing w:after="0"/>
              <w:rPr>
                <w:sz w:val="1"/>
                <w:szCs w:val="1"/>
                <w:color w:val="auto"/>
              </w:rPr>
            </w:pPr>
          </w:p>
        </w:tc>
      </w:tr>
      <w:tr>
        <w:trPr>
          <w:trHeight w:val="27"/>
        </w:trPr>
        <w:tc>
          <w:tcPr>
            <w:tcW w:w="66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Investing activities:</w:t>
            </w:r>
          </w:p>
        </w:tc>
        <w:tc>
          <w:tcPr>
            <w:tcW w:w="1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Change in bank time deposits</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1,021</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(218,239)</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Proceeds from available-for-sale securities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353,399</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260,729</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Purchases of available-for-sale securities</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(492,582)</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(435,511)</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Purchases of fixed assets</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(111,192)</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(25,021)</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Purchases of long-term investments</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(3,122)</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(9,100)</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Business acquisitions</w:t>
            </w: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(131,617)</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(75,482)</w:t>
            </w:r>
          </w:p>
        </w:tc>
        <w:tc>
          <w:tcPr>
            <w:tcW w:w="0" w:type="dxa"/>
            <w:vAlign w:val="bottom"/>
          </w:tcPr>
          <w:p>
            <w:pPr>
              <w:spacing w:after="0"/>
              <w:rPr>
                <w:sz w:val="1"/>
                <w:szCs w:val="1"/>
                <w:color w:val="auto"/>
              </w:rPr>
            </w:pPr>
          </w:p>
        </w:tc>
      </w:tr>
      <w:tr>
        <w:trPr>
          <w:trHeight w:val="237"/>
        </w:trPr>
        <w:tc>
          <w:tcPr>
            <w:tcW w:w="6640" w:type="dxa"/>
            <w:vAlign w:val="bottom"/>
          </w:tcPr>
          <w:p>
            <w:pPr>
              <w:ind w:left="140"/>
              <w:spacing w:after="0"/>
              <w:rPr>
                <w:sz w:val="20"/>
                <w:szCs w:val="20"/>
                <w:color w:val="auto"/>
              </w:rPr>
            </w:pPr>
            <w:r>
              <w:rPr>
                <w:rFonts w:ascii="Arial" w:cs="Arial" w:eastAsia="Arial" w:hAnsi="Arial"/>
                <w:sz w:val="18"/>
                <w:szCs w:val="18"/>
                <w:color w:val="auto"/>
              </w:rPr>
              <w:t>Net cash used in investing activities</w:t>
            </w: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(384,093)</w:t>
            </w:r>
          </w:p>
        </w:tc>
        <w:tc>
          <w:tcPr>
            <w:tcW w:w="120" w:type="dxa"/>
            <w:vAlign w:val="bottom"/>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(502,624)</w:t>
            </w:r>
          </w:p>
        </w:tc>
        <w:tc>
          <w:tcPr>
            <w:tcW w:w="0" w:type="dxa"/>
            <w:vAlign w:val="bottom"/>
          </w:tcPr>
          <w:p>
            <w:pPr>
              <w:spacing w:after="0"/>
              <w:rPr>
                <w:sz w:val="1"/>
                <w:szCs w:val="1"/>
                <w:color w:val="auto"/>
              </w:rPr>
            </w:pPr>
          </w:p>
        </w:tc>
      </w:tr>
      <w:tr>
        <w:trPr>
          <w:trHeight w:val="27"/>
        </w:trPr>
        <w:tc>
          <w:tcPr>
            <w:tcW w:w="66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Financing activities:</w:t>
            </w:r>
          </w:p>
        </w:tc>
        <w:tc>
          <w:tcPr>
            <w:tcW w:w="1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Tax payment related to net share settlements on restricted stock awards</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(53,370)</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(48,202)</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Issuance of common stock</w:t>
            </w: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9,230</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6,503</w:t>
            </w:r>
          </w:p>
        </w:tc>
        <w:tc>
          <w:tcPr>
            <w:tcW w:w="0" w:type="dxa"/>
            <w:vAlign w:val="bottom"/>
          </w:tcPr>
          <w:p>
            <w:pPr>
              <w:spacing w:after="0"/>
              <w:rPr>
                <w:sz w:val="1"/>
                <w:szCs w:val="1"/>
                <w:color w:val="auto"/>
              </w:rPr>
            </w:pPr>
          </w:p>
        </w:tc>
      </w:tr>
      <w:tr>
        <w:trPr>
          <w:trHeight w:val="243"/>
        </w:trPr>
        <w:tc>
          <w:tcPr>
            <w:tcW w:w="6640" w:type="dxa"/>
            <w:vAlign w:val="bottom"/>
          </w:tcPr>
          <w:p>
            <w:pPr>
              <w:ind w:left="240"/>
              <w:spacing w:after="0"/>
              <w:rPr>
                <w:sz w:val="20"/>
                <w:szCs w:val="20"/>
                <w:color w:val="auto"/>
              </w:rPr>
            </w:pPr>
            <w:r>
              <w:rPr>
                <w:rFonts w:ascii="Arial" w:cs="Arial" w:eastAsia="Arial" w:hAnsi="Arial"/>
                <w:sz w:val="18"/>
                <w:szCs w:val="18"/>
                <w:color w:val="auto"/>
              </w:rPr>
              <w:t>Loan repayment</w:t>
            </w: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(234)</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Repurchase of common stock</w:t>
            </w: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(200,012)</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6"/>
        </w:trPr>
        <w:tc>
          <w:tcPr>
            <w:tcW w:w="6640" w:type="dxa"/>
            <w:vAlign w:val="bottom"/>
          </w:tcPr>
          <w:p>
            <w:pPr>
              <w:ind w:left="140"/>
              <w:spacing w:after="0"/>
              <w:rPr>
                <w:sz w:val="20"/>
                <w:szCs w:val="20"/>
                <w:color w:val="auto"/>
              </w:rPr>
            </w:pPr>
            <w:r>
              <w:rPr>
                <w:rFonts w:ascii="Arial" w:cs="Arial" w:eastAsia="Arial" w:hAnsi="Arial"/>
                <w:sz w:val="18"/>
                <w:szCs w:val="18"/>
                <w:color w:val="auto"/>
              </w:rPr>
              <w:t>Net cash used in financing activities</w:t>
            </w: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(244,386)</w:t>
            </w:r>
          </w:p>
        </w:tc>
        <w:tc>
          <w:tcPr>
            <w:tcW w:w="120" w:type="dxa"/>
            <w:vAlign w:val="bottom"/>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(41,699)</w:t>
            </w:r>
          </w:p>
        </w:tc>
        <w:tc>
          <w:tcPr>
            <w:tcW w:w="0" w:type="dxa"/>
            <w:vAlign w:val="bottom"/>
          </w:tcPr>
          <w:p>
            <w:pPr>
              <w:spacing w:after="0"/>
              <w:rPr>
                <w:sz w:val="1"/>
                <w:szCs w:val="1"/>
                <w:color w:val="auto"/>
              </w:rPr>
            </w:pPr>
          </w:p>
        </w:tc>
      </w:tr>
      <w:tr>
        <w:trPr>
          <w:trHeight w:val="27"/>
        </w:trPr>
        <w:tc>
          <w:tcPr>
            <w:tcW w:w="66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6640" w:type="dxa"/>
            <w:vAlign w:val="bottom"/>
            <w:shd w:val="clear" w:color="auto" w:fill="CCEEFF"/>
          </w:tcPr>
          <w:p>
            <w:pPr>
              <w:ind w:left="20"/>
              <w:spacing w:after="0"/>
              <w:rPr>
                <w:sz w:val="20"/>
                <w:szCs w:val="20"/>
                <w:color w:val="auto"/>
              </w:rPr>
            </w:pPr>
            <w:r>
              <w:rPr>
                <w:rFonts w:ascii="Arial" w:cs="Arial" w:eastAsia="Arial" w:hAnsi="Arial"/>
                <w:sz w:val="18"/>
                <w:szCs w:val="18"/>
                <w:color w:val="auto"/>
                <w:w w:val="92"/>
              </w:rPr>
              <w:t>Effects of foreign currency exchange rates on cash, cash equivalents, and restricted cash</w:t>
            </w:r>
          </w:p>
        </w:tc>
        <w:tc>
          <w:tcPr>
            <w:tcW w:w="1380" w:type="dxa"/>
            <w:vAlign w:val="bottom"/>
            <w:shd w:val="clear" w:color="auto" w:fill="CCEEFF"/>
          </w:tcPr>
          <w:p>
            <w:pPr>
              <w:spacing w:after="0"/>
              <w:rPr>
                <w:sz w:val="18"/>
                <w:szCs w:val="18"/>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(741)</w:t>
            </w:r>
          </w:p>
        </w:tc>
        <w:tc>
          <w:tcPr>
            <w:tcW w:w="1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6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and cash equivalents</w:t>
            </w:r>
          </w:p>
        </w:tc>
        <w:tc>
          <w:tcPr>
            <w:tcW w:w="13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vMerge w:val="continue"/>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8,966</w:t>
            </w:r>
          </w:p>
        </w:tc>
        <w:tc>
          <w:tcPr>
            <w:tcW w:w="0" w:type="dxa"/>
            <w:vAlign w:val="bottom"/>
          </w:tcPr>
          <w:p>
            <w:pPr>
              <w:spacing w:after="0"/>
              <w:rPr>
                <w:sz w:val="1"/>
                <w:szCs w:val="1"/>
                <w:color w:val="auto"/>
              </w:rPr>
            </w:pPr>
          </w:p>
        </w:tc>
      </w:tr>
      <w:tr>
        <w:trPr>
          <w:trHeight w:val="236"/>
        </w:trPr>
        <w:tc>
          <w:tcPr>
            <w:tcW w:w="6640" w:type="dxa"/>
            <w:vAlign w:val="bottom"/>
          </w:tcPr>
          <w:p>
            <w:pPr>
              <w:ind w:left="20"/>
              <w:spacing w:after="0"/>
              <w:rPr>
                <w:sz w:val="20"/>
                <w:szCs w:val="20"/>
                <w:color w:val="auto"/>
              </w:rPr>
            </w:pPr>
            <w:r>
              <w:rPr>
                <w:rFonts w:ascii="Arial" w:cs="Arial" w:eastAsia="Arial" w:hAnsi="Arial"/>
                <w:sz w:val="18"/>
                <w:szCs w:val="18"/>
                <w:color w:val="auto"/>
              </w:rPr>
              <w:t>Net change in cash, cash equivalents, and restricted cash and cash equivalents</w:t>
            </w: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(345,541)</w:t>
            </w:r>
          </w:p>
        </w:tc>
        <w:tc>
          <w:tcPr>
            <w:tcW w:w="120" w:type="dxa"/>
            <w:vAlign w:val="bottom"/>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91,388</w:t>
            </w:r>
          </w:p>
        </w:tc>
        <w:tc>
          <w:tcPr>
            <w:tcW w:w="0" w:type="dxa"/>
            <w:vAlign w:val="bottom"/>
          </w:tcPr>
          <w:p>
            <w:pPr>
              <w:spacing w:after="0"/>
              <w:rPr>
                <w:sz w:val="1"/>
                <w:szCs w:val="1"/>
                <w:color w:val="auto"/>
              </w:rPr>
            </w:pPr>
          </w:p>
        </w:tc>
      </w:tr>
      <w:tr>
        <w:trPr>
          <w:trHeight w:val="27"/>
        </w:trPr>
        <w:tc>
          <w:tcPr>
            <w:tcW w:w="66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8"/>
              </w:rPr>
              <w:t>Cash, cash equivalents, and restricted cash and cash equivalents, beginning of year</w:t>
            </w:r>
          </w:p>
        </w:tc>
        <w:tc>
          <w:tcPr>
            <w:tcW w:w="13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2,060,247</w:t>
            </w:r>
          </w:p>
        </w:tc>
        <w:tc>
          <w:tcPr>
            <w:tcW w:w="1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4"/>
              </w:rPr>
              <w:t>1,993,392</w:t>
            </w:r>
          </w:p>
        </w:tc>
        <w:tc>
          <w:tcPr>
            <w:tcW w:w="0" w:type="dxa"/>
            <w:vAlign w:val="bottom"/>
          </w:tcPr>
          <w:p>
            <w:pPr>
              <w:spacing w:after="0"/>
              <w:rPr>
                <w:sz w:val="1"/>
                <w:szCs w:val="1"/>
                <w:color w:val="auto"/>
              </w:rPr>
            </w:pPr>
          </w:p>
        </w:tc>
      </w:tr>
      <w:tr>
        <w:trPr>
          <w:trHeight w:val="263"/>
        </w:trPr>
        <w:tc>
          <w:tcPr>
            <w:tcW w:w="6640" w:type="dxa"/>
            <w:vAlign w:val="bottom"/>
          </w:tcPr>
          <w:p>
            <w:pPr>
              <w:ind w:left="20"/>
              <w:spacing w:after="0"/>
              <w:rPr>
                <w:sz w:val="20"/>
                <w:szCs w:val="20"/>
                <w:color w:val="auto"/>
              </w:rPr>
            </w:pPr>
            <w:r>
              <w:rPr>
                <w:rFonts w:ascii="Arial" w:cs="Arial" w:eastAsia="Arial" w:hAnsi="Arial"/>
                <w:sz w:val="18"/>
                <w:szCs w:val="18"/>
                <w:color w:val="auto"/>
              </w:rPr>
              <w:t>Cash, cash equivalents, and restricted cash and cash equivalents, end of period</w:t>
            </w:r>
          </w:p>
        </w:tc>
        <w:tc>
          <w:tcPr>
            <w:tcW w:w="1380" w:type="dxa"/>
            <w:vAlign w:val="bottom"/>
            <w:tcBorders>
              <w:top w:val="single" w:sz="8" w:color="auto"/>
              <w:bottom w:val="single" w:sz="8" w:color="auto"/>
            </w:tcBorders>
          </w:tcPr>
          <w:p>
            <w:pPr>
              <w:jc w:val="right"/>
              <w:ind w:right="1190"/>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4"/>
              </w:rPr>
              <w:t>1,714,706</w:t>
            </w:r>
          </w:p>
        </w:tc>
        <w:tc>
          <w:tcPr>
            <w:tcW w:w="120" w:type="dxa"/>
            <w:vAlign w:val="bottom"/>
          </w:tcPr>
          <w:p>
            <w:pPr>
              <w:spacing w:after="0"/>
              <w:rPr>
                <w:sz w:val="22"/>
                <w:szCs w:val="22"/>
                <w:color w:val="auto"/>
              </w:rPr>
            </w:pPr>
          </w:p>
        </w:tc>
        <w:tc>
          <w:tcPr>
            <w:tcW w:w="1380" w:type="dxa"/>
            <w:vAlign w:val="bottom"/>
            <w:tcBorders>
              <w:top w:val="single" w:sz="8" w:color="auto"/>
              <w:bottom w:val="single" w:sz="8" w:color="auto"/>
            </w:tcBorders>
          </w:tcPr>
          <w:p>
            <w:pPr>
              <w:jc w:val="right"/>
              <w:ind w:right="119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2,084,780</w:t>
            </w:r>
          </w:p>
        </w:tc>
        <w:tc>
          <w:tcPr>
            <w:tcW w:w="0" w:type="dxa"/>
            <w:vAlign w:val="bottom"/>
          </w:tcPr>
          <w:p>
            <w:pPr>
              <w:spacing w:after="0"/>
              <w:rPr>
                <w:sz w:val="1"/>
                <w:szCs w:val="1"/>
                <w:color w:val="auto"/>
              </w:rPr>
            </w:pPr>
          </w:p>
        </w:tc>
      </w:tr>
      <w:tr>
        <w:trPr>
          <w:trHeight w:val="21"/>
        </w:trPr>
        <w:tc>
          <w:tcPr>
            <w:tcW w:w="664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4" w:right="339" w:bottom="1440" w:gutter="0" w:footer="0" w:header="0"/>
        </w:sectPr>
      </w:pPr>
    </w:p>
    <w:bookmarkStart w:id="14" w:name="page15"/>
    <w:bookmarkEnd w:id="14"/>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63" w:lineRule="exact"/>
        <w:rPr>
          <w:sz w:val="20"/>
          <w:szCs w:val="20"/>
          <w:color w:val="auto"/>
        </w:rPr>
      </w:pPr>
    </w:p>
    <w:p>
      <w:pPr>
        <w:ind w:left="20" w:right="3880"/>
        <w:spacing w:after="0" w:line="344" w:lineRule="auto"/>
        <w:rPr>
          <w:sz w:val="20"/>
          <w:szCs w:val="20"/>
          <w:color w:val="auto"/>
        </w:rPr>
      </w:pPr>
      <w:r>
        <w:rPr>
          <w:rFonts w:ascii="Arial" w:cs="Arial" w:eastAsia="Arial" w:hAnsi="Arial"/>
          <w:sz w:val="18"/>
          <w:szCs w:val="18"/>
          <w:b w:val="1"/>
          <w:bCs w:val="1"/>
          <w:color w:val="auto"/>
        </w:rPr>
        <w:t>Net Revenue and Net Bookings by Geographic Region, Distribution Channel, and Platform Mix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100" w:type="dxa"/>
            <w:vAlign w:val="bottom"/>
            <w:gridSpan w:val="4"/>
          </w:tcPr>
          <w:p>
            <w:pPr>
              <w:jc w:val="center"/>
              <w:ind w:right="380"/>
              <w:spacing w:after="0"/>
              <w:rPr>
                <w:sz w:val="20"/>
                <w:szCs w:val="20"/>
                <w:color w:val="auto"/>
              </w:rPr>
            </w:pPr>
            <w:r>
              <w:rPr>
                <w:rFonts w:ascii="Arial" w:cs="Arial" w:eastAsia="Arial" w:hAnsi="Arial"/>
                <w:sz w:val="18"/>
                <w:szCs w:val="18"/>
                <w:b w:val="1"/>
                <w:bCs w:val="1"/>
                <w:color w:val="auto"/>
                <w:w w:val="92"/>
              </w:rPr>
              <w:t>Three Months Ended</w:t>
            </w:r>
          </w:p>
        </w:tc>
        <w:tc>
          <w:tcPr>
            <w:tcW w:w="280" w:type="dxa"/>
            <w:vAlign w:val="bottom"/>
          </w:tcPr>
          <w:p>
            <w:pPr>
              <w:spacing w:after="0"/>
              <w:rPr>
                <w:sz w:val="18"/>
                <w:szCs w:val="18"/>
                <w:color w:val="auto"/>
              </w:rPr>
            </w:pPr>
          </w:p>
        </w:tc>
        <w:tc>
          <w:tcPr>
            <w:tcW w:w="2980" w:type="dxa"/>
            <w:vAlign w:val="bottom"/>
            <w:gridSpan w:val="3"/>
          </w:tcPr>
          <w:p>
            <w:pPr>
              <w:jc w:val="center"/>
              <w:ind w:right="210"/>
              <w:spacing w:after="0"/>
              <w:rPr>
                <w:sz w:val="20"/>
                <w:szCs w:val="20"/>
                <w:color w:val="auto"/>
              </w:rPr>
            </w:pPr>
            <w:r>
              <w:rPr>
                <w:rFonts w:ascii="Arial" w:cs="Arial" w:eastAsia="Arial" w:hAnsi="Arial"/>
                <w:sz w:val="18"/>
                <w:szCs w:val="18"/>
                <w:color w:val="auto"/>
                <w:w w:val="90"/>
              </w:rPr>
              <w:t>Three Months Ended</w:t>
            </w:r>
          </w:p>
        </w:tc>
      </w:tr>
      <w:tr>
        <w:trPr>
          <w:trHeight w:val="234"/>
        </w:trPr>
        <w:tc>
          <w:tcPr>
            <w:tcW w:w="4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100" w:type="dxa"/>
            <w:vAlign w:val="bottom"/>
            <w:gridSpan w:val="4"/>
          </w:tcPr>
          <w:p>
            <w:pPr>
              <w:jc w:val="center"/>
              <w:ind w:right="360"/>
              <w:spacing w:after="0"/>
              <w:rPr>
                <w:sz w:val="20"/>
                <w:szCs w:val="20"/>
                <w:color w:val="auto"/>
              </w:rPr>
            </w:pPr>
            <w:r>
              <w:rPr>
                <w:rFonts w:ascii="Arial" w:cs="Arial" w:eastAsia="Arial" w:hAnsi="Arial"/>
                <w:sz w:val="18"/>
                <w:szCs w:val="18"/>
                <w:b w:val="1"/>
                <w:bCs w:val="1"/>
                <w:color w:val="auto"/>
                <w:w w:val="89"/>
              </w:rPr>
              <w:t>September 30, 2021</w:t>
            </w:r>
          </w:p>
        </w:tc>
        <w:tc>
          <w:tcPr>
            <w:tcW w:w="280" w:type="dxa"/>
            <w:vAlign w:val="bottom"/>
          </w:tcPr>
          <w:p>
            <w:pPr>
              <w:spacing w:after="0"/>
              <w:rPr>
                <w:sz w:val="20"/>
                <w:szCs w:val="20"/>
                <w:color w:val="auto"/>
              </w:rPr>
            </w:pPr>
          </w:p>
        </w:tc>
        <w:tc>
          <w:tcPr>
            <w:tcW w:w="2980" w:type="dxa"/>
            <w:vAlign w:val="bottom"/>
            <w:gridSpan w:val="3"/>
          </w:tcPr>
          <w:p>
            <w:pPr>
              <w:jc w:val="center"/>
              <w:ind w:right="210"/>
              <w:spacing w:after="0"/>
              <w:rPr>
                <w:sz w:val="20"/>
                <w:szCs w:val="20"/>
                <w:color w:val="auto"/>
              </w:rPr>
            </w:pPr>
            <w:r>
              <w:rPr>
                <w:rFonts w:ascii="Arial" w:cs="Arial" w:eastAsia="Arial" w:hAnsi="Arial"/>
                <w:sz w:val="18"/>
                <w:szCs w:val="18"/>
                <w:color w:val="auto"/>
                <w:w w:val="88"/>
              </w:rPr>
              <w:t>September 30, 2020</w:t>
            </w:r>
          </w:p>
        </w:tc>
      </w:tr>
      <w:tr>
        <w:trPr>
          <w:trHeight w:val="27"/>
        </w:trPr>
        <w:tc>
          <w:tcPr>
            <w:tcW w:w="46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7"/>
        </w:trPr>
        <w:tc>
          <w:tcPr>
            <w:tcW w:w="4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Amount</w:t>
            </w:r>
          </w:p>
        </w:tc>
        <w:tc>
          <w:tcPr>
            <w:tcW w:w="1780" w:type="dxa"/>
            <w:vAlign w:val="bottom"/>
            <w:gridSpan w:val="2"/>
          </w:tcPr>
          <w:p>
            <w:pPr>
              <w:ind w:left="460"/>
              <w:spacing w:after="0"/>
              <w:rPr>
                <w:sz w:val="20"/>
                <w:szCs w:val="20"/>
                <w:color w:val="auto"/>
              </w:rPr>
            </w:pPr>
            <w:r>
              <w:rPr>
                <w:rFonts w:ascii="Arial" w:cs="Arial" w:eastAsia="Arial" w:hAnsi="Arial"/>
                <w:sz w:val="18"/>
                <w:szCs w:val="18"/>
                <w:b w:val="1"/>
                <w:bCs w:val="1"/>
                <w:color w:val="auto"/>
              </w:rPr>
              <w:t>% of total</w:t>
            </w:r>
          </w:p>
        </w:tc>
        <w:tc>
          <w:tcPr>
            <w:tcW w:w="280" w:type="dxa"/>
            <w:vAlign w:val="bottom"/>
          </w:tcPr>
          <w:p>
            <w:pPr>
              <w:spacing w:after="0"/>
              <w:rPr>
                <w:sz w:val="20"/>
                <w:szCs w:val="20"/>
                <w:color w:val="auto"/>
              </w:rPr>
            </w:pPr>
          </w:p>
        </w:tc>
        <w:tc>
          <w:tcPr>
            <w:tcW w:w="1320" w:type="dxa"/>
            <w:vAlign w:val="bottom"/>
            <w:gridSpan w:val="2"/>
          </w:tcPr>
          <w:p>
            <w:pPr>
              <w:ind w:left="180"/>
              <w:spacing w:after="0"/>
              <w:rPr>
                <w:sz w:val="20"/>
                <w:szCs w:val="20"/>
                <w:color w:val="auto"/>
              </w:rPr>
            </w:pPr>
            <w:r>
              <w:rPr>
                <w:rFonts w:ascii="Arial" w:cs="Arial" w:eastAsia="Arial" w:hAnsi="Arial"/>
                <w:sz w:val="18"/>
                <w:szCs w:val="18"/>
                <w:color w:val="auto"/>
              </w:rPr>
              <w:t>Amount</w:t>
            </w:r>
          </w:p>
        </w:tc>
        <w:tc>
          <w:tcPr>
            <w:tcW w:w="1660" w:type="dxa"/>
            <w:vAlign w:val="bottom"/>
          </w:tcPr>
          <w:p>
            <w:pPr>
              <w:jc w:val="right"/>
              <w:ind w:right="390"/>
              <w:spacing w:after="0"/>
              <w:rPr>
                <w:sz w:val="20"/>
                <w:szCs w:val="20"/>
                <w:color w:val="auto"/>
              </w:rPr>
            </w:pPr>
            <w:r>
              <w:rPr>
                <w:rFonts w:ascii="Arial" w:cs="Arial" w:eastAsia="Arial" w:hAnsi="Arial"/>
                <w:sz w:val="18"/>
                <w:szCs w:val="18"/>
                <w:color w:val="auto"/>
              </w:rPr>
              <w:t>% of total</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by geographic region</w:t>
            </w: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United States</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514,920</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60 %</w:t>
            </w:r>
          </w:p>
        </w:tc>
        <w:tc>
          <w:tcPr>
            <w:tcW w:w="8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503,583</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60 %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International</w:t>
            </w: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343,278</w:t>
            </w:r>
          </w:p>
        </w:tc>
        <w:tc>
          <w:tcPr>
            <w:tcW w:w="8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40 %</w:t>
            </w:r>
          </w:p>
        </w:tc>
        <w:tc>
          <w:tcPr>
            <w:tcW w:w="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337,559</w:t>
            </w:r>
          </w:p>
        </w:tc>
        <w:tc>
          <w:tcPr>
            <w:tcW w:w="8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40 %</w:t>
            </w:r>
          </w:p>
        </w:tc>
      </w:tr>
      <w:tr>
        <w:trPr>
          <w:trHeight w:val="263"/>
        </w:trPr>
        <w:tc>
          <w:tcPr>
            <w:tcW w:w="4600" w:type="dxa"/>
            <w:vAlign w:val="bottom"/>
          </w:tcPr>
          <w:p>
            <w:pPr>
              <w:ind w:left="20"/>
              <w:spacing w:after="0"/>
              <w:rPr>
                <w:sz w:val="20"/>
                <w:szCs w:val="20"/>
                <w:color w:val="auto"/>
              </w:rPr>
            </w:pPr>
            <w:r>
              <w:rPr>
                <w:rFonts w:ascii="Arial" w:cs="Arial" w:eastAsia="Arial" w:hAnsi="Arial"/>
                <w:sz w:val="18"/>
                <w:szCs w:val="18"/>
                <w:color w:val="auto"/>
              </w:rPr>
              <w:t>Total net revenue</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858,198</w:t>
            </w:r>
          </w:p>
        </w:tc>
        <w:tc>
          <w:tcPr>
            <w:tcW w:w="80" w:type="dxa"/>
            <w:vAlign w:val="bottom"/>
          </w:tcPr>
          <w:p>
            <w:pPr>
              <w:spacing w:after="0"/>
              <w:rPr>
                <w:sz w:val="22"/>
                <w:szCs w:val="22"/>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841,142</w:t>
            </w:r>
          </w:p>
        </w:tc>
        <w:tc>
          <w:tcPr>
            <w:tcW w:w="80" w:type="dxa"/>
            <w:vAlign w:val="bottom"/>
          </w:tcPr>
          <w:p>
            <w:pPr>
              <w:spacing w:after="0"/>
              <w:rPr>
                <w:sz w:val="22"/>
                <w:szCs w:val="22"/>
                <w:color w:val="auto"/>
              </w:rPr>
            </w:pP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r>
        <w:trPr>
          <w:trHeight w:val="237"/>
        </w:trPr>
        <w:tc>
          <w:tcPr>
            <w:tcW w:w="46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b w:val="1"/>
                <w:bCs w:val="1"/>
                <w:color w:val="auto"/>
              </w:rPr>
              <w:t>Net Bookings by geographic region</w:t>
            </w: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6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United States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603,744</w:t>
            </w:r>
          </w:p>
        </w:tc>
        <w:tc>
          <w:tcPr>
            <w:tcW w:w="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61 %</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612,813</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International</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381,108</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39 %</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344,721</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36 %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8"/>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Bookings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984,852</w:t>
            </w:r>
          </w:p>
        </w:tc>
        <w:tc>
          <w:tcPr>
            <w:tcW w:w="80" w:type="dxa"/>
            <w:vAlign w:val="bottom"/>
            <w:tcBorders>
              <w:bottom w:val="single" w:sz="8" w:color="auto"/>
            </w:tcBorders>
            <w:shd w:val="clear" w:color="auto" w:fill="CCEEFF"/>
          </w:tcPr>
          <w:p>
            <w:pPr>
              <w:spacing w:after="0"/>
              <w:rPr>
                <w:sz w:val="24"/>
                <w:szCs w:val="2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957,534</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80" w:type="dxa"/>
            <w:vAlign w:val="bottom"/>
            <w:tcBorders>
              <w:top w:val="single" w:sz="8" w:color="CCEEFF"/>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gridSpan w:val="2"/>
          </w:tcPr>
          <w:p>
            <w:pPr>
              <w:spacing w:after="0" w:line="20" w:lineRule="exact"/>
              <w:rPr>
                <w:sz w:val="1"/>
                <w:szCs w:val="1"/>
                <w:color w:val="auto"/>
              </w:rPr>
            </w:pPr>
          </w:p>
        </w:tc>
      </w:tr>
      <w:tr>
        <w:trPr>
          <w:trHeight w:val="217"/>
        </w:trPr>
        <w:tc>
          <w:tcPr>
            <w:tcW w:w="46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7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r>
      <w:tr>
        <w:trPr>
          <w:trHeight w:val="225"/>
        </w:trPr>
        <w:tc>
          <w:tcPr>
            <w:tcW w:w="46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100" w:type="dxa"/>
            <w:vAlign w:val="bottom"/>
            <w:gridSpan w:val="4"/>
            <w:shd w:val="clear" w:color="auto" w:fill="CCEEFF"/>
          </w:tcPr>
          <w:p>
            <w:pPr>
              <w:jc w:val="center"/>
              <w:ind w:right="380"/>
              <w:spacing w:after="0"/>
              <w:rPr>
                <w:sz w:val="20"/>
                <w:szCs w:val="20"/>
                <w:color w:val="auto"/>
              </w:rPr>
            </w:pPr>
            <w:r>
              <w:rPr>
                <w:rFonts w:ascii="Arial" w:cs="Arial" w:eastAsia="Arial" w:hAnsi="Arial"/>
                <w:sz w:val="18"/>
                <w:szCs w:val="18"/>
                <w:b w:val="1"/>
                <w:bCs w:val="1"/>
                <w:color w:val="auto"/>
                <w:w w:val="92"/>
              </w:rPr>
              <w:t>Three Months Ended</w:t>
            </w:r>
          </w:p>
        </w:tc>
        <w:tc>
          <w:tcPr>
            <w:tcW w:w="280" w:type="dxa"/>
            <w:vAlign w:val="bottom"/>
            <w:shd w:val="clear" w:color="auto" w:fill="CCEEFF"/>
          </w:tcPr>
          <w:p>
            <w:pPr>
              <w:spacing w:after="0"/>
              <w:rPr>
                <w:sz w:val="19"/>
                <w:szCs w:val="19"/>
                <w:color w:val="auto"/>
              </w:rPr>
            </w:pPr>
          </w:p>
        </w:tc>
        <w:tc>
          <w:tcPr>
            <w:tcW w:w="2980" w:type="dxa"/>
            <w:vAlign w:val="bottom"/>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90"/>
              </w:rPr>
              <w:t>Three Months Ended</w:t>
            </w:r>
          </w:p>
        </w:tc>
      </w:tr>
      <w:tr>
        <w:trPr>
          <w:trHeight w:val="261"/>
        </w:trPr>
        <w:tc>
          <w:tcPr>
            <w:tcW w:w="46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3100" w:type="dxa"/>
            <w:vAlign w:val="bottom"/>
            <w:tcBorders>
              <w:bottom w:val="single" w:sz="8" w:color="CCEEFF"/>
            </w:tcBorders>
            <w:gridSpan w:val="4"/>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89"/>
              </w:rPr>
              <w:t>September 30, 2021</w:t>
            </w:r>
          </w:p>
        </w:tc>
        <w:tc>
          <w:tcPr>
            <w:tcW w:w="280" w:type="dxa"/>
            <w:vAlign w:val="bottom"/>
            <w:tcBorders>
              <w:bottom w:val="single" w:sz="8" w:color="CCEEFF"/>
            </w:tcBorders>
            <w:shd w:val="clear" w:color="auto" w:fill="CCEEFF"/>
          </w:tcPr>
          <w:p>
            <w:pPr>
              <w:spacing w:after="0"/>
              <w:rPr>
                <w:sz w:val="22"/>
                <w:szCs w:val="22"/>
                <w:color w:val="auto"/>
              </w:rPr>
            </w:pPr>
          </w:p>
        </w:tc>
        <w:tc>
          <w:tcPr>
            <w:tcW w:w="2980" w:type="dxa"/>
            <w:vAlign w:val="bottom"/>
            <w:tcBorders>
              <w:bottom w:val="single" w:sz="8" w:color="CCEEFF"/>
            </w:tcBorders>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88"/>
              </w:rPr>
              <w:t>September 30, 2020</w:t>
            </w:r>
          </w:p>
        </w:tc>
      </w:tr>
      <w:tr>
        <w:trPr>
          <w:trHeight w:val="237"/>
        </w:trPr>
        <w:tc>
          <w:tcPr>
            <w:tcW w:w="46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60"/>
              <w:spacing w:after="0"/>
              <w:rPr>
                <w:sz w:val="20"/>
                <w:szCs w:val="20"/>
                <w:color w:val="auto"/>
              </w:rPr>
            </w:pPr>
            <w:r>
              <w:rPr>
                <w:rFonts w:ascii="Arial" w:cs="Arial" w:eastAsia="Arial" w:hAnsi="Arial"/>
                <w:sz w:val="18"/>
                <w:szCs w:val="18"/>
                <w:b w:val="1"/>
                <w:bCs w:val="1"/>
                <w:color w:val="auto"/>
              </w:rPr>
              <w:t>Amount</w:t>
            </w:r>
          </w:p>
        </w:tc>
        <w:tc>
          <w:tcPr>
            <w:tcW w:w="1700" w:type="dxa"/>
            <w:vAlign w:val="bottom"/>
            <w:tcBorders>
              <w:top w:val="single" w:sz="8" w:color="auto"/>
            </w:tcBorders>
          </w:tcPr>
          <w:p>
            <w:pPr>
              <w:ind w:left="460"/>
              <w:spacing w:after="0"/>
              <w:rPr>
                <w:sz w:val="20"/>
                <w:szCs w:val="20"/>
                <w:color w:val="auto"/>
              </w:rPr>
            </w:pPr>
            <w:r>
              <w:rPr>
                <w:rFonts w:ascii="Arial" w:cs="Arial" w:eastAsia="Arial" w:hAnsi="Arial"/>
                <w:sz w:val="18"/>
                <w:szCs w:val="18"/>
                <w:b w:val="1"/>
                <w:bCs w:val="1"/>
                <w:color w:val="auto"/>
              </w:rPr>
              <w:t>% of total</w:t>
            </w:r>
          </w:p>
        </w:tc>
        <w:tc>
          <w:tcPr>
            <w:tcW w:w="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80"/>
              <w:spacing w:after="0"/>
              <w:rPr>
                <w:sz w:val="20"/>
                <w:szCs w:val="20"/>
                <w:color w:val="auto"/>
              </w:rPr>
            </w:pPr>
            <w:r>
              <w:rPr>
                <w:rFonts w:ascii="Arial" w:cs="Arial" w:eastAsia="Arial" w:hAnsi="Arial"/>
                <w:sz w:val="18"/>
                <w:szCs w:val="18"/>
                <w:color w:val="auto"/>
              </w:rPr>
              <w:t>Amount</w:t>
            </w:r>
          </w:p>
        </w:tc>
        <w:tc>
          <w:tcPr>
            <w:tcW w:w="166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rPr>
              <w:t>% of total</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by distribution channel</w:t>
            </w: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Digital online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779,097</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91 %</w:t>
            </w:r>
          </w:p>
        </w:tc>
        <w:tc>
          <w:tcPr>
            <w:tcW w:w="8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725,684</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86 %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Physical retail and other</w:t>
            </w: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79,101</w:t>
            </w:r>
          </w:p>
        </w:tc>
        <w:tc>
          <w:tcPr>
            <w:tcW w:w="8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9 %</w:t>
            </w:r>
          </w:p>
        </w:tc>
        <w:tc>
          <w:tcPr>
            <w:tcW w:w="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115,458</w:t>
            </w:r>
          </w:p>
        </w:tc>
        <w:tc>
          <w:tcPr>
            <w:tcW w:w="8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r>
      <w:tr>
        <w:trPr>
          <w:trHeight w:val="263"/>
        </w:trPr>
        <w:tc>
          <w:tcPr>
            <w:tcW w:w="4600" w:type="dxa"/>
            <w:vAlign w:val="bottom"/>
          </w:tcPr>
          <w:p>
            <w:pPr>
              <w:ind w:left="20"/>
              <w:spacing w:after="0"/>
              <w:rPr>
                <w:sz w:val="20"/>
                <w:szCs w:val="20"/>
                <w:color w:val="auto"/>
              </w:rPr>
            </w:pPr>
            <w:r>
              <w:rPr>
                <w:rFonts w:ascii="Arial" w:cs="Arial" w:eastAsia="Arial" w:hAnsi="Arial"/>
                <w:sz w:val="18"/>
                <w:szCs w:val="18"/>
                <w:color w:val="auto"/>
              </w:rPr>
              <w:t>Total net revenue</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858,198</w:t>
            </w:r>
          </w:p>
        </w:tc>
        <w:tc>
          <w:tcPr>
            <w:tcW w:w="80" w:type="dxa"/>
            <w:vAlign w:val="bottom"/>
          </w:tcPr>
          <w:p>
            <w:pPr>
              <w:spacing w:after="0"/>
              <w:rPr>
                <w:sz w:val="22"/>
                <w:szCs w:val="22"/>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841,142</w:t>
            </w:r>
          </w:p>
        </w:tc>
        <w:tc>
          <w:tcPr>
            <w:tcW w:w="80" w:type="dxa"/>
            <w:vAlign w:val="bottom"/>
          </w:tcPr>
          <w:p>
            <w:pPr>
              <w:spacing w:after="0"/>
              <w:rPr>
                <w:sz w:val="22"/>
                <w:szCs w:val="22"/>
                <w:color w:val="auto"/>
              </w:rPr>
            </w:pP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r>
        <w:trPr>
          <w:trHeight w:val="237"/>
        </w:trPr>
        <w:tc>
          <w:tcPr>
            <w:tcW w:w="46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b w:val="1"/>
                <w:bCs w:val="1"/>
                <w:color w:val="auto"/>
              </w:rPr>
              <w:t>Net Bookings by distribution channel</w:t>
            </w: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6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Digital online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876,059</w:t>
            </w:r>
          </w:p>
        </w:tc>
        <w:tc>
          <w:tcPr>
            <w:tcW w:w="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89 %</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806,090</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Physical retail and other</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108,793</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11 %</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151,444</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16 %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8"/>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Bookings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984,852</w:t>
            </w:r>
          </w:p>
        </w:tc>
        <w:tc>
          <w:tcPr>
            <w:tcW w:w="80" w:type="dxa"/>
            <w:vAlign w:val="bottom"/>
            <w:tcBorders>
              <w:bottom w:val="single" w:sz="8" w:color="auto"/>
            </w:tcBorders>
            <w:shd w:val="clear" w:color="auto" w:fill="CCEEFF"/>
          </w:tcPr>
          <w:p>
            <w:pPr>
              <w:spacing w:after="0"/>
              <w:rPr>
                <w:sz w:val="24"/>
                <w:szCs w:val="2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957,534</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80" w:type="dxa"/>
            <w:vAlign w:val="bottom"/>
            <w:tcBorders>
              <w:top w:val="single" w:sz="8" w:color="CCEEFF"/>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gridSpan w:val="2"/>
          </w:tcPr>
          <w:p>
            <w:pPr>
              <w:spacing w:after="0" w:line="20" w:lineRule="exact"/>
              <w:rPr>
                <w:sz w:val="1"/>
                <w:szCs w:val="1"/>
                <w:color w:val="auto"/>
              </w:rPr>
            </w:pPr>
          </w:p>
        </w:tc>
      </w:tr>
      <w:tr>
        <w:trPr>
          <w:trHeight w:val="217"/>
        </w:trPr>
        <w:tc>
          <w:tcPr>
            <w:tcW w:w="46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7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r>
      <w:tr>
        <w:trPr>
          <w:trHeight w:val="225"/>
        </w:trPr>
        <w:tc>
          <w:tcPr>
            <w:tcW w:w="46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100" w:type="dxa"/>
            <w:vAlign w:val="bottom"/>
            <w:gridSpan w:val="4"/>
            <w:shd w:val="clear" w:color="auto" w:fill="CCEEFF"/>
          </w:tcPr>
          <w:p>
            <w:pPr>
              <w:jc w:val="center"/>
              <w:ind w:right="380"/>
              <w:spacing w:after="0"/>
              <w:rPr>
                <w:sz w:val="20"/>
                <w:szCs w:val="20"/>
                <w:color w:val="auto"/>
              </w:rPr>
            </w:pPr>
            <w:r>
              <w:rPr>
                <w:rFonts w:ascii="Arial" w:cs="Arial" w:eastAsia="Arial" w:hAnsi="Arial"/>
                <w:sz w:val="18"/>
                <w:szCs w:val="18"/>
                <w:b w:val="1"/>
                <w:bCs w:val="1"/>
                <w:color w:val="auto"/>
                <w:w w:val="92"/>
              </w:rPr>
              <w:t>Three Months Ended</w:t>
            </w:r>
          </w:p>
        </w:tc>
        <w:tc>
          <w:tcPr>
            <w:tcW w:w="280" w:type="dxa"/>
            <w:vAlign w:val="bottom"/>
            <w:shd w:val="clear" w:color="auto" w:fill="CCEEFF"/>
          </w:tcPr>
          <w:p>
            <w:pPr>
              <w:spacing w:after="0"/>
              <w:rPr>
                <w:sz w:val="19"/>
                <w:szCs w:val="19"/>
                <w:color w:val="auto"/>
              </w:rPr>
            </w:pPr>
          </w:p>
        </w:tc>
        <w:tc>
          <w:tcPr>
            <w:tcW w:w="2980" w:type="dxa"/>
            <w:vAlign w:val="bottom"/>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90"/>
              </w:rPr>
              <w:t>Three Months Ended</w:t>
            </w:r>
          </w:p>
        </w:tc>
      </w:tr>
      <w:tr>
        <w:trPr>
          <w:trHeight w:val="261"/>
        </w:trPr>
        <w:tc>
          <w:tcPr>
            <w:tcW w:w="46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3100" w:type="dxa"/>
            <w:vAlign w:val="bottom"/>
            <w:tcBorders>
              <w:bottom w:val="single" w:sz="8" w:color="CCEEFF"/>
            </w:tcBorders>
            <w:gridSpan w:val="4"/>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89"/>
              </w:rPr>
              <w:t>September 30, 2021</w:t>
            </w:r>
          </w:p>
        </w:tc>
        <w:tc>
          <w:tcPr>
            <w:tcW w:w="280" w:type="dxa"/>
            <w:vAlign w:val="bottom"/>
            <w:tcBorders>
              <w:bottom w:val="single" w:sz="8" w:color="CCEEFF"/>
            </w:tcBorders>
            <w:shd w:val="clear" w:color="auto" w:fill="CCEEFF"/>
          </w:tcPr>
          <w:p>
            <w:pPr>
              <w:spacing w:after="0"/>
              <w:rPr>
                <w:sz w:val="22"/>
                <w:szCs w:val="22"/>
                <w:color w:val="auto"/>
              </w:rPr>
            </w:pPr>
          </w:p>
        </w:tc>
        <w:tc>
          <w:tcPr>
            <w:tcW w:w="2980" w:type="dxa"/>
            <w:vAlign w:val="bottom"/>
            <w:tcBorders>
              <w:bottom w:val="single" w:sz="8" w:color="CCEEFF"/>
            </w:tcBorders>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88"/>
              </w:rPr>
              <w:t>September 30, 2020</w:t>
            </w:r>
          </w:p>
        </w:tc>
      </w:tr>
      <w:tr>
        <w:trPr>
          <w:trHeight w:val="237"/>
        </w:trPr>
        <w:tc>
          <w:tcPr>
            <w:tcW w:w="46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60"/>
              <w:spacing w:after="0"/>
              <w:rPr>
                <w:sz w:val="20"/>
                <w:szCs w:val="20"/>
                <w:color w:val="auto"/>
              </w:rPr>
            </w:pPr>
            <w:r>
              <w:rPr>
                <w:rFonts w:ascii="Arial" w:cs="Arial" w:eastAsia="Arial" w:hAnsi="Arial"/>
                <w:sz w:val="18"/>
                <w:szCs w:val="18"/>
                <w:b w:val="1"/>
                <w:bCs w:val="1"/>
                <w:color w:val="auto"/>
              </w:rPr>
              <w:t>Amount</w:t>
            </w:r>
          </w:p>
        </w:tc>
        <w:tc>
          <w:tcPr>
            <w:tcW w:w="1700" w:type="dxa"/>
            <w:vAlign w:val="bottom"/>
            <w:tcBorders>
              <w:top w:val="single" w:sz="8" w:color="auto"/>
            </w:tcBorders>
          </w:tcPr>
          <w:p>
            <w:pPr>
              <w:ind w:left="460"/>
              <w:spacing w:after="0"/>
              <w:rPr>
                <w:sz w:val="20"/>
                <w:szCs w:val="20"/>
                <w:color w:val="auto"/>
              </w:rPr>
            </w:pPr>
            <w:r>
              <w:rPr>
                <w:rFonts w:ascii="Arial" w:cs="Arial" w:eastAsia="Arial" w:hAnsi="Arial"/>
                <w:sz w:val="18"/>
                <w:szCs w:val="18"/>
                <w:b w:val="1"/>
                <w:bCs w:val="1"/>
                <w:color w:val="auto"/>
              </w:rPr>
              <w:t>% of total</w:t>
            </w:r>
          </w:p>
        </w:tc>
        <w:tc>
          <w:tcPr>
            <w:tcW w:w="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80"/>
              <w:spacing w:after="0"/>
              <w:rPr>
                <w:sz w:val="20"/>
                <w:szCs w:val="20"/>
                <w:color w:val="auto"/>
              </w:rPr>
            </w:pPr>
            <w:r>
              <w:rPr>
                <w:rFonts w:ascii="Arial" w:cs="Arial" w:eastAsia="Arial" w:hAnsi="Arial"/>
                <w:sz w:val="18"/>
                <w:szCs w:val="18"/>
                <w:color w:val="auto"/>
              </w:rPr>
              <w:t>Amount</w:t>
            </w:r>
          </w:p>
        </w:tc>
        <w:tc>
          <w:tcPr>
            <w:tcW w:w="166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rPr>
              <w:t>% of total</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by platform mix</w:t>
            </w: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Console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596,080</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70 %</w:t>
            </w:r>
          </w:p>
        </w:tc>
        <w:tc>
          <w:tcPr>
            <w:tcW w:w="8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641,269</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76 %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PC and other</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147,002</w:t>
            </w:r>
          </w:p>
        </w:tc>
        <w:tc>
          <w:tcPr>
            <w:tcW w:w="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17 %</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138,686</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Mobile</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115,116</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13 %</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61,187</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7 %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8"/>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revenue</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858,198</w:t>
            </w:r>
          </w:p>
        </w:tc>
        <w:tc>
          <w:tcPr>
            <w:tcW w:w="80" w:type="dxa"/>
            <w:vAlign w:val="bottom"/>
            <w:tcBorders>
              <w:bottom w:val="single" w:sz="8" w:color="CCEEFF"/>
            </w:tcBorders>
            <w:shd w:val="clear" w:color="auto" w:fill="CCEEFF"/>
          </w:tcPr>
          <w:p>
            <w:pPr>
              <w:spacing w:after="0"/>
              <w:rPr>
                <w:sz w:val="24"/>
                <w:szCs w:val="2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841,142</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r>
      <w:tr>
        <w:trPr>
          <w:trHeight w:val="217"/>
        </w:trPr>
        <w:tc>
          <w:tcPr>
            <w:tcW w:w="4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Bookings by platform mix</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Console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724,337</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74 %</w:t>
            </w:r>
          </w:p>
        </w:tc>
        <w:tc>
          <w:tcPr>
            <w:tcW w:w="8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761,450</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80 %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PC and other</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154,584</w:t>
            </w:r>
          </w:p>
        </w:tc>
        <w:tc>
          <w:tcPr>
            <w:tcW w:w="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16 %</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133,205</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Mobile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105,931</w:t>
            </w:r>
          </w:p>
        </w:tc>
        <w:tc>
          <w:tcPr>
            <w:tcW w:w="8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b w:val="1"/>
                <w:bCs w:val="1"/>
                <w:color w:val="auto"/>
              </w:rPr>
              <w:t>10 %</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62,879</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6 %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9"/>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Bookings</w:t>
            </w:r>
          </w:p>
        </w:tc>
        <w:tc>
          <w:tcPr>
            <w:tcW w:w="280" w:type="dxa"/>
            <w:vAlign w:val="bottom"/>
            <w:tcBorders>
              <w:bottom w:val="single" w:sz="8" w:color="auto"/>
            </w:tcBorders>
            <w:shd w:val="clear" w:color="auto" w:fill="CCEEFF"/>
          </w:tcPr>
          <w:p>
            <w:pPr>
              <w:spacing w:after="0"/>
              <w:rPr>
                <w:sz w:val="24"/>
                <w:szCs w:val="24"/>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984,852</w:t>
            </w:r>
          </w:p>
        </w:tc>
        <w:tc>
          <w:tcPr>
            <w:tcW w:w="80" w:type="dxa"/>
            <w:vAlign w:val="bottom"/>
            <w:tcBorders>
              <w:bottom w:val="single" w:sz="8" w:color="CCEEFF"/>
            </w:tcBorders>
            <w:shd w:val="clear" w:color="auto" w:fill="CCEEFF"/>
          </w:tcPr>
          <w:p>
            <w:pPr>
              <w:spacing w:after="0"/>
              <w:rPr>
                <w:sz w:val="24"/>
                <w:szCs w:val="24"/>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957,534</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904" w:right="339" w:bottom="1440" w:gutter="0" w:footer="0" w:header="0"/>
        </w:sectPr>
      </w:pPr>
    </w:p>
    <w:bookmarkStart w:id="15" w:name="page16"/>
    <w:bookmarkEnd w:id="15"/>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63" w:lineRule="exact"/>
        <w:rPr>
          <w:sz w:val="20"/>
          <w:szCs w:val="20"/>
          <w:color w:val="auto"/>
        </w:rPr>
      </w:pPr>
    </w:p>
    <w:p>
      <w:pPr>
        <w:ind w:left="20" w:right="3880"/>
        <w:spacing w:after="0" w:line="344" w:lineRule="auto"/>
        <w:rPr>
          <w:sz w:val="20"/>
          <w:szCs w:val="20"/>
          <w:color w:val="auto"/>
        </w:rPr>
      </w:pPr>
      <w:r>
        <w:rPr>
          <w:rFonts w:ascii="Arial" w:cs="Arial" w:eastAsia="Arial" w:hAnsi="Arial"/>
          <w:sz w:val="18"/>
          <w:szCs w:val="18"/>
          <w:b w:val="1"/>
          <w:bCs w:val="1"/>
          <w:color w:val="auto"/>
        </w:rPr>
        <w:t>Net Revenue and Net Bookings by Geographic Region, Distribution Channel, and Platform Mix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80" w:type="dxa"/>
            <w:vAlign w:val="bottom"/>
            <w:gridSpan w:val="4"/>
          </w:tcPr>
          <w:p>
            <w:pPr>
              <w:jc w:val="center"/>
              <w:ind w:right="380"/>
              <w:spacing w:after="0"/>
              <w:rPr>
                <w:sz w:val="20"/>
                <w:szCs w:val="20"/>
                <w:color w:val="auto"/>
              </w:rPr>
            </w:pPr>
            <w:r>
              <w:rPr>
                <w:rFonts w:ascii="Arial" w:cs="Arial" w:eastAsia="Arial" w:hAnsi="Arial"/>
                <w:sz w:val="18"/>
                <w:szCs w:val="18"/>
                <w:b w:val="1"/>
                <w:bCs w:val="1"/>
                <w:color w:val="auto"/>
                <w:w w:val="90"/>
              </w:rPr>
              <w:t>Six Months Ended</w:t>
            </w:r>
          </w:p>
        </w:tc>
        <w:tc>
          <w:tcPr>
            <w:tcW w:w="300" w:type="dxa"/>
            <w:vAlign w:val="bottom"/>
          </w:tcPr>
          <w:p>
            <w:pPr>
              <w:spacing w:after="0"/>
              <w:rPr>
                <w:sz w:val="18"/>
                <w:szCs w:val="18"/>
                <w:color w:val="auto"/>
              </w:rPr>
            </w:pPr>
          </w:p>
        </w:tc>
        <w:tc>
          <w:tcPr>
            <w:tcW w:w="2980" w:type="dxa"/>
            <w:vAlign w:val="bottom"/>
            <w:gridSpan w:val="3"/>
          </w:tcPr>
          <w:p>
            <w:pPr>
              <w:jc w:val="center"/>
              <w:ind w:right="210"/>
              <w:spacing w:after="0"/>
              <w:rPr>
                <w:sz w:val="20"/>
                <w:szCs w:val="20"/>
                <w:color w:val="auto"/>
              </w:rPr>
            </w:pPr>
            <w:r>
              <w:rPr>
                <w:rFonts w:ascii="Arial" w:cs="Arial" w:eastAsia="Arial" w:hAnsi="Arial"/>
                <w:sz w:val="18"/>
                <w:szCs w:val="18"/>
                <w:color w:val="auto"/>
                <w:w w:val="90"/>
              </w:rPr>
              <w:t>Six Months Ended</w:t>
            </w:r>
          </w:p>
        </w:tc>
      </w:tr>
      <w:tr>
        <w:trPr>
          <w:trHeight w:val="234"/>
        </w:trPr>
        <w:tc>
          <w:tcPr>
            <w:tcW w:w="4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80" w:type="dxa"/>
            <w:vAlign w:val="bottom"/>
            <w:gridSpan w:val="4"/>
          </w:tcPr>
          <w:p>
            <w:pPr>
              <w:jc w:val="center"/>
              <w:ind w:right="360"/>
              <w:spacing w:after="0"/>
              <w:rPr>
                <w:sz w:val="20"/>
                <w:szCs w:val="20"/>
                <w:color w:val="auto"/>
              </w:rPr>
            </w:pPr>
            <w:r>
              <w:rPr>
                <w:rFonts w:ascii="Arial" w:cs="Arial" w:eastAsia="Arial" w:hAnsi="Arial"/>
                <w:sz w:val="18"/>
                <w:szCs w:val="18"/>
                <w:b w:val="1"/>
                <w:bCs w:val="1"/>
                <w:color w:val="auto"/>
                <w:w w:val="90"/>
              </w:rPr>
              <w:t>September 30, 2021</w:t>
            </w:r>
          </w:p>
        </w:tc>
        <w:tc>
          <w:tcPr>
            <w:tcW w:w="300" w:type="dxa"/>
            <w:vAlign w:val="bottom"/>
          </w:tcPr>
          <w:p>
            <w:pPr>
              <w:spacing w:after="0"/>
              <w:rPr>
                <w:sz w:val="20"/>
                <w:szCs w:val="20"/>
                <w:color w:val="auto"/>
              </w:rPr>
            </w:pPr>
          </w:p>
        </w:tc>
        <w:tc>
          <w:tcPr>
            <w:tcW w:w="2980" w:type="dxa"/>
            <w:vAlign w:val="bottom"/>
            <w:gridSpan w:val="3"/>
          </w:tcPr>
          <w:p>
            <w:pPr>
              <w:jc w:val="center"/>
              <w:ind w:right="210"/>
              <w:spacing w:after="0"/>
              <w:rPr>
                <w:sz w:val="20"/>
                <w:szCs w:val="20"/>
                <w:color w:val="auto"/>
              </w:rPr>
            </w:pPr>
            <w:r>
              <w:rPr>
                <w:rFonts w:ascii="Arial" w:cs="Arial" w:eastAsia="Arial" w:hAnsi="Arial"/>
                <w:sz w:val="18"/>
                <w:szCs w:val="18"/>
                <w:color w:val="auto"/>
                <w:w w:val="88"/>
              </w:rPr>
              <w:t>September 30, 2020</w:t>
            </w:r>
          </w:p>
        </w:tc>
      </w:tr>
      <w:tr>
        <w:trPr>
          <w:trHeight w:val="27"/>
        </w:trPr>
        <w:tc>
          <w:tcPr>
            <w:tcW w:w="46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7"/>
        </w:trPr>
        <w:tc>
          <w:tcPr>
            <w:tcW w:w="4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b w:val="1"/>
                <w:bCs w:val="1"/>
                <w:color w:val="auto"/>
              </w:rPr>
              <w:t>Amount</w:t>
            </w:r>
          </w:p>
        </w:tc>
        <w:tc>
          <w:tcPr>
            <w:tcW w:w="1760" w:type="dxa"/>
            <w:vAlign w:val="bottom"/>
            <w:gridSpan w:val="2"/>
          </w:tcPr>
          <w:p>
            <w:pPr>
              <w:ind w:left="460"/>
              <w:spacing w:after="0"/>
              <w:rPr>
                <w:sz w:val="20"/>
                <w:szCs w:val="20"/>
                <w:color w:val="auto"/>
              </w:rPr>
            </w:pPr>
            <w:r>
              <w:rPr>
                <w:rFonts w:ascii="Arial" w:cs="Arial" w:eastAsia="Arial" w:hAnsi="Arial"/>
                <w:sz w:val="18"/>
                <w:szCs w:val="18"/>
                <w:b w:val="1"/>
                <w:bCs w:val="1"/>
                <w:color w:val="auto"/>
              </w:rPr>
              <w:t>% of total</w:t>
            </w:r>
          </w:p>
        </w:tc>
        <w:tc>
          <w:tcPr>
            <w:tcW w:w="300" w:type="dxa"/>
            <w:vAlign w:val="bottom"/>
          </w:tcPr>
          <w:p>
            <w:pPr>
              <w:spacing w:after="0"/>
              <w:rPr>
                <w:sz w:val="20"/>
                <w:szCs w:val="20"/>
                <w:color w:val="auto"/>
              </w:rPr>
            </w:pPr>
          </w:p>
        </w:tc>
        <w:tc>
          <w:tcPr>
            <w:tcW w:w="1320" w:type="dxa"/>
            <w:vAlign w:val="bottom"/>
            <w:gridSpan w:val="2"/>
          </w:tcPr>
          <w:p>
            <w:pPr>
              <w:ind w:left="180"/>
              <w:spacing w:after="0"/>
              <w:rPr>
                <w:sz w:val="20"/>
                <w:szCs w:val="20"/>
                <w:color w:val="auto"/>
              </w:rPr>
            </w:pPr>
            <w:r>
              <w:rPr>
                <w:rFonts w:ascii="Arial" w:cs="Arial" w:eastAsia="Arial" w:hAnsi="Arial"/>
                <w:sz w:val="18"/>
                <w:szCs w:val="18"/>
                <w:color w:val="auto"/>
              </w:rPr>
              <w:t>Amount</w:t>
            </w:r>
          </w:p>
        </w:tc>
        <w:tc>
          <w:tcPr>
            <w:tcW w:w="1660" w:type="dxa"/>
            <w:vAlign w:val="bottom"/>
          </w:tcPr>
          <w:p>
            <w:pPr>
              <w:jc w:val="right"/>
              <w:ind w:right="390"/>
              <w:spacing w:after="0"/>
              <w:rPr>
                <w:sz w:val="20"/>
                <w:szCs w:val="20"/>
                <w:color w:val="auto"/>
              </w:rPr>
            </w:pPr>
            <w:r>
              <w:rPr>
                <w:rFonts w:ascii="Arial" w:cs="Arial" w:eastAsia="Arial" w:hAnsi="Arial"/>
                <w:sz w:val="18"/>
                <w:szCs w:val="18"/>
                <w:color w:val="auto"/>
              </w:rPr>
              <w:t>% of total</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by geographic region</w:t>
            </w: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United States</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1,008,106</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60 %</w:t>
            </w:r>
          </w:p>
        </w:tc>
        <w:tc>
          <w:tcPr>
            <w:tcW w:w="8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974,073</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58 %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International</w:t>
            </w: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663,438</w:t>
            </w:r>
          </w:p>
        </w:tc>
        <w:tc>
          <w:tcPr>
            <w:tcW w:w="8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40 %</w:t>
            </w:r>
          </w:p>
        </w:tc>
        <w:tc>
          <w:tcPr>
            <w:tcW w:w="8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698,379</w:t>
            </w:r>
          </w:p>
        </w:tc>
        <w:tc>
          <w:tcPr>
            <w:tcW w:w="8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42 %</w:t>
            </w:r>
          </w:p>
        </w:tc>
      </w:tr>
      <w:tr>
        <w:trPr>
          <w:trHeight w:val="263"/>
        </w:trPr>
        <w:tc>
          <w:tcPr>
            <w:tcW w:w="4600" w:type="dxa"/>
            <w:vAlign w:val="bottom"/>
          </w:tcPr>
          <w:p>
            <w:pPr>
              <w:ind w:left="20"/>
              <w:spacing w:after="0"/>
              <w:rPr>
                <w:sz w:val="20"/>
                <w:szCs w:val="20"/>
                <w:color w:val="auto"/>
              </w:rPr>
            </w:pPr>
            <w:r>
              <w:rPr>
                <w:rFonts w:ascii="Arial" w:cs="Arial" w:eastAsia="Arial" w:hAnsi="Arial"/>
                <w:sz w:val="18"/>
                <w:szCs w:val="18"/>
                <w:color w:val="auto"/>
              </w:rPr>
              <w:t>Total net revenue</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1,671,544</w:t>
            </w:r>
          </w:p>
        </w:tc>
        <w:tc>
          <w:tcPr>
            <w:tcW w:w="80" w:type="dxa"/>
            <w:vAlign w:val="bottom"/>
          </w:tcPr>
          <w:p>
            <w:pPr>
              <w:spacing w:after="0"/>
              <w:rPr>
                <w:sz w:val="22"/>
                <w:szCs w:val="22"/>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1,672,452</w:t>
            </w:r>
          </w:p>
        </w:tc>
        <w:tc>
          <w:tcPr>
            <w:tcW w:w="80" w:type="dxa"/>
            <w:vAlign w:val="bottom"/>
          </w:tcPr>
          <w:p>
            <w:pPr>
              <w:spacing w:after="0"/>
              <w:rPr>
                <w:sz w:val="22"/>
                <w:szCs w:val="22"/>
                <w:color w:val="auto"/>
              </w:rPr>
            </w:pP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r>
        <w:trPr>
          <w:trHeight w:val="237"/>
        </w:trPr>
        <w:tc>
          <w:tcPr>
            <w:tcW w:w="46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b w:val="1"/>
                <w:bCs w:val="1"/>
                <w:color w:val="auto"/>
              </w:rPr>
              <w:t>Net Bookings by geographic region</w:t>
            </w: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6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United States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1,022,559</w:t>
            </w:r>
          </w:p>
        </w:tc>
        <w:tc>
          <w:tcPr>
            <w:tcW w:w="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60 %</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1,199,927</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International</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673,723</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40 %</w:t>
            </w:r>
          </w:p>
        </w:tc>
        <w:tc>
          <w:tcPr>
            <w:tcW w:w="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753,857</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39 %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8"/>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Bookings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1,696,282</w:t>
            </w:r>
          </w:p>
        </w:tc>
        <w:tc>
          <w:tcPr>
            <w:tcW w:w="80" w:type="dxa"/>
            <w:vAlign w:val="bottom"/>
            <w:tcBorders>
              <w:bottom w:val="single" w:sz="8" w:color="auto"/>
            </w:tcBorders>
            <w:shd w:val="clear" w:color="auto" w:fill="CCEEFF"/>
          </w:tcPr>
          <w:p>
            <w:pPr>
              <w:spacing w:after="0"/>
              <w:rPr>
                <w:sz w:val="24"/>
                <w:szCs w:val="24"/>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1,953,784</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60" w:type="dxa"/>
            <w:vAlign w:val="bottom"/>
            <w:tcBorders>
              <w:top w:val="single" w:sz="8" w:color="CCEEFF"/>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gridSpan w:val="2"/>
          </w:tcPr>
          <w:p>
            <w:pPr>
              <w:spacing w:after="0" w:line="20" w:lineRule="exact"/>
              <w:rPr>
                <w:sz w:val="1"/>
                <w:szCs w:val="1"/>
                <w:color w:val="auto"/>
              </w:rPr>
            </w:pPr>
          </w:p>
        </w:tc>
      </w:tr>
      <w:tr>
        <w:trPr>
          <w:trHeight w:val="217"/>
        </w:trPr>
        <w:tc>
          <w:tcPr>
            <w:tcW w:w="46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r>
      <w:tr>
        <w:trPr>
          <w:trHeight w:val="225"/>
        </w:trPr>
        <w:tc>
          <w:tcPr>
            <w:tcW w:w="46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080" w:type="dxa"/>
            <w:vAlign w:val="bottom"/>
            <w:gridSpan w:val="4"/>
            <w:shd w:val="clear" w:color="auto" w:fill="CCEEFF"/>
          </w:tcPr>
          <w:p>
            <w:pPr>
              <w:jc w:val="center"/>
              <w:ind w:right="380"/>
              <w:spacing w:after="0"/>
              <w:rPr>
                <w:sz w:val="20"/>
                <w:szCs w:val="20"/>
                <w:color w:val="auto"/>
              </w:rPr>
            </w:pPr>
            <w:r>
              <w:rPr>
                <w:rFonts w:ascii="Arial" w:cs="Arial" w:eastAsia="Arial" w:hAnsi="Arial"/>
                <w:sz w:val="18"/>
                <w:szCs w:val="18"/>
                <w:b w:val="1"/>
                <w:bCs w:val="1"/>
                <w:color w:val="auto"/>
                <w:w w:val="90"/>
              </w:rPr>
              <w:t>Six Months Ended</w:t>
            </w:r>
          </w:p>
        </w:tc>
        <w:tc>
          <w:tcPr>
            <w:tcW w:w="300" w:type="dxa"/>
            <w:vAlign w:val="bottom"/>
            <w:shd w:val="clear" w:color="auto" w:fill="CCEEFF"/>
          </w:tcPr>
          <w:p>
            <w:pPr>
              <w:spacing w:after="0"/>
              <w:rPr>
                <w:sz w:val="19"/>
                <w:szCs w:val="19"/>
                <w:color w:val="auto"/>
              </w:rPr>
            </w:pPr>
          </w:p>
        </w:tc>
        <w:tc>
          <w:tcPr>
            <w:tcW w:w="2980" w:type="dxa"/>
            <w:vAlign w:val="bottom"/>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90"/>
              </w:rPr>
              <w:t>Six Months Ended</w:t>
            </w:r>
          </w:p>
        </w:tc>
      </w:tr>
      <w:tr>
        <w:trPr>
          <w:trHeight w:val="261"/>
        </w:trPr>
        <w:tc>
          <w:tcPr>
            <w:tcW w:w="46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3080" w:type="dxa"/>
            <w:vAlign w:val="bottom"/>
            <w:tcBorders>
              <w:bottom w:val="single" w:sz="8" w:color="CCEEFF"/>
            </w:tcBorders>
            <w:gridSpan w:val="4"/>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90"/>
              </w:rPr>
              <w:t>September 30, 2021</w:t>
            </w:r>
          </w:p>
        </w:tc>
        <w:tc>
          <w:tcPr>
            <w:tcW w:w="300" w:type="dxa"/>
            <w:vAlign w:val="bottom"/>
            <w:tcBorders>
              <w:bottom w:val="single" w:sz="8" w:color="CCEEFF"/>
            </w:tcBorders>
            <w:shd w:val="clear" w:color="auto" w:fill="CCEEFF"/>
          </w:tcPr>
          <w:p>
            <w:pPr>
              <w:spacing w:after="0"/>
              <w:rPr>
                <w:sz w:val="22"/>
                <w:szCs w:val="22"/>
                <w:color w:val="auto"/>
              </w:rPr>
            </w:pPr>
          </w:p>
        </w:tc>
        <w:tc>
          <w:tcPr>
            <w:tcW w:w="2980" w:type="dxa"/>
            <w:vAlign w:val="bottom"/>
            <w:tcBorders>
              <w:bottom w:val="single" w:sz="8" w:color="CCEEFF"/>
            </w:tcBorders>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88"/>
              </w:rPr>
              <w:t>September 30, 2020</w:t>
            </w:r>
          </w:p>
        </w:tc>
      </w:tr>
      <w:tr>
        <w:trPr>
          <w:trHeight w:val="237"/>
        </w:trPr>
        <w:tc>
          <w:tcPr>
            <w:tcW w:w="46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60"/>
              <w:spacing w:after="0"/>
              <w:rPr>
                <w:sz w:val="20"/>
                <w:szCs w:val="20"/>
                <w:color w:val="auto"/>
              </w:rPr>
            </w:pPr>
            <w:r>
              <w:rPr>
                <w:rFonts w:ascii="Arial" w:cs="Arial" w:eastAsia="Arial" w:hAnsi="Arial"/>
                <w:sz w:val="18"/>
                <w:szCs w:val="18"/>
                <w:b w:val="1"/>
                <w:bCs w:val="1"/>
                <w:color w:val="auto"/>
              </w:rPr>
              <w:t>Amount</w:t>
            </w:r>
          </w:p>
        </w:tc>
        <w:tc>
          <w:tcPr>
            <w:tcW w:w="1680" w:type="dxa"/>
            <w:vAlign w:val="bottom"/>
            <w:tcBorders>
              <w:top w:val="single" w:sz="8" w:color="auto"/>
            </w:tcBorders>
          </w:tcPr>
          <w:p>
            <w:pPr>
              <w:ind w:left="460"/>
              <w:spacing w:after="0"/>
              <w:rPr>
                <w:sz w:val="20"/>
                <w:szCs w:val="20"/>
                <w:color w:val="auto"/>
              </w:rPr>
            </w:pPr>
            <w:r>
              <w:rPr>
                <w:rFonts w:ascii="Arial" w:cs="Arial" w:eastAsia="Arial" w:hAnsi="Arial"/>
                <w:sz w:val="18"/>
                <w:szCs w:val="18"/>
                <w:b w:val="1"/>
                <w:bCs w:val="1"/>
                <w:color w:val="auto"/>
              </w:rPr>
              <w:t>% of total</w:t>
            </w:r>
          </w:p>
        </w:tc>
        <w:tc>
          <w:tcPr>
            <w:tcW w:w="8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80"/>
              <w:spacing w:after="0"/>
              <w:rPr>
                <w:sz w:val="20"/>
                <w:szCs w:val="20"/>
                <w:color w:val="auto"/>
              </w:rPr>
            </w:pPr>
            <w:r>
              <w:rPr>
                <w:rFonts w:ascii="Arial" w:cs="Arial" w:eastAsia="Arial" w:hAnsi="Arial"/>
                <w:sz w:val="18"/>
                <w:szCs w:val="18"/>
                <w:color w:val="auto"/>
              </w:rPr>
              <w:t>Amount</w:t>
            </w:r>
          </w:p>
        </w:tc>
        <w:tc>
          <w:tcPr>
            <w:tcW w:w="166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rPr>
              <w:t>% of total</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by distribution channel</w:t>
            </w: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Digital online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1,519,903</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91 %</w:t>
            </w:r>
          </w:p>
        </w:tc>
        <w:tc>
          <w:tcPr>
            <w:tcW w:w="8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1,461,260</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87 %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Physical retail and other</w:t>
            </w: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151,641</w:t>
            </w:r>
          </w:p>
        </w:tc>
        <w:tc>
          <w:tcPr>
            <w:tcW w:w="8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9 %</w:t>
            </w:r>
          </w:p>
        </w:tc>
        <w:tc>
          <w:tcPr>
            <w:tcW w:w="8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211,192</w:t>
            </w:r>
          </w:p>
        </w:tc>
        <w:tc>
          <w:tcPr>
            <w:tcW w:w="8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13 %</w:t>
            </w:r>
          </w:p>
        </w:tc>
      </w:tr>
      <w:tr>
        <w:trPr>
          <w:trHeight w:val="264"/>
        </w:trPr>
        <w:tc>
          <w:tcPr>
            <w:tcW w:w="4600" w:type="dxa"/>
            <w:vAlign w:val="bottom"/>
          </w:tcPr>
          <w:p>
            <w:pPr>
              <w:ind w:left="20"/>
              <w:spacing w:after="0"/>
              <w:rPr>
                <w:sz w:val="20"/>
                <w:szCs w:val="20"/>
                <w:color w:val="auto"/>
              </w:rPr>
            </w:pPr>
            <w:r>
              <w:rPr>
                <w:rFonts w:ascii="Arial" w:cs="Arial" w:eastAsia="Arial" w:hAnsi="Arial"/>
                <w:sz w:val="18"/>
                <w:szCs w:val="18"/>
                <w:color w:val="auto"/>
              </w:rPr>
              <w:t>Total net revenue</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1,671,544</w:t>
            </w:r>
          </w:p>
        </w:tc>
        <w:tc>
          <w:tcPr>
            <w:tcW w:w="80" w:type="dxa"/>
            <w:vAlign w:val="bottom"/>
          </w:tcPr>
          <w:p>
            <w:pPr>
              <w:spacing w:after="0"/>
              <w:rPr>
                <w:sz w:val="22"/>
                <w:szCs w:val="22"/>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1,672,452</w:t>
            </w:r>
          </w:p>
        </w:tc>
        <w:tc>
          <w:tcPr>
            <w:tcW w:w="80" w:type="dxa"/>
            <w:vAlign w:val="bottom"/>
          </w:tcPr>
          <w:p>
            <w:pPr>
              <w:spacing w:after="0"/>
              <w:rPr>
                <w:sz w:val="22"/>
                <w:szCs w:val="22"/>
                <w:color w:val="auto"/>
              </w:rPr>
            </w:pP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r>
        <w:trPr>
          <w:trHeight w:val="237"/>
        </w:trPr>
        <w:tc>
          <w:tcPr>
            <w:tcW w:w="46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r>
      <w:tr>
        <w:trPr>
          <w:trHeight w:val="243"/>
        </w:trPr>
        <w:tc>
          <w:tcPr>
            <w:tcW w:w="4600" w:type="dxa"/>
            <w:vAlign w:val="bottom"/>
          </w:tcPr>
          <w:p>
            <w:pPr>
              <w:ind w:left="20"/>
              <w:spacing w:after="0"/>
              <w:rPr>
                <w:sz w:val="20"/>
                <w:szCs w:val="20"/>
                <w:color w:val="auto"/>
              </w:rPr>
            </w:pPr>
            <w:r>
              <w:rPr>
                <w:rFonts w:ascii="Arial" w:cs="Arial" w:eastAsia="Arial" w:hAnsi="Arial"/>
                <w:sz w:val="18"/>
                <w:szCs w:val="18"/>
                <w:b w:val="1"/>
                <w:bCs w:val="1"/>
                <w:color w:val="auto"/>
              </w:rPr>
              <w:t>Net Bookings by distribution channel</w:t>
            </w: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60" w:type="dxa"/>
            <w:vAlign w:val="bottom"/>
          </w:tcPr>
          <w:p>
            <w:pPr>
              <w:spacing w:after="0"/>
              <w:rPr>
                <w:sz w:val="21"/>
                <w:szCs w:val="21"/>
                <w:color w:val="auto"/>
              </w:rPr>
            </w:pP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Digital online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1,556,444</w:t>
            </w:r>
          </w:p>
        </w:tc>
        <w:tc>
          <w:tcPr>
            <w:tcW w:w="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92 %</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1,727,151</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Physical retail and other</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139,838</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8 %</w:t>
            </w:r>
          </w:p>
        </w:tc>
        <w:tc>
          <w:tcPr>
            <w:tcW w:w="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226,633</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12 %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8"/>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Bookings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1,696,282</w:t>
            </w:r>
          </w:p>
        </w:tc>
        <w:tc>
          <w:tcPr>
            <w:tcW w:w="80" w:type="dxa"/>
            <w:vAlign w:val="bottom"/>
            <w:tcBorders>
              <w:bottom w:val="single" w:sz="8" w:color="auto"/>
            </w:tcBorders>
            <w:shd w:val="clear" w:color="auto" w:fill="CCEEFF"/>
          </w:tcPr>
          <w:p>
            <w:pPr>
              <w:spacing w:after="0"/>
              <w:rPr>
                <w:sz w:val="24"/>
                <w:szCs w:val="24"/>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1,953,784</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60" w:type="dxa"/>
            <w:vAlign w:val="bottom"/>
            <w:tcBorders>
              <w:top w:val="single" w:sz="8" w:color="CCEEFF"/>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gridSpan w:val="2"/>
          </w:tcPr>
          <w:p>
            <w:pPr>
              <w:spacing w:after="0" w:line="20" w:lineRule="exact"/>
              <w:rPr>
                <w:sz w:val="1"/>
                <w:szCs w:val="1"/>
                <w:color w:val="auto"/>
              </w:rPr>
            </w:pPr>
          </w:p>
        </w:tc>
      </w:tr>
      <w:tr>
        <w:trPr>
          <w:trHeight w:val="217"/>
        </w:trPr>
        <w:tc>
          <w:tcPr>
            <w:tcW w:w="46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r>
      <w:tr>
        <w:trPr>
          <w:trHeight w:val="225"/>
        </w:trPr>
        <w:tc>
          <w:tcPr>
            <w:tcW w:w="46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080" w:type="dxa"/>
            <w:vAlign w:val="bottom"/>
            <w:gridSpan w:val="4"/>
            <w:shd w:val="clear" w:color="auto" w:fill="CCEEFF"/>
          </w:tcPr>
          <w:p>
            <w:pPr>
              <w:jc w:val="center"/>
              <w:ind w:right="380"/>
              <w:spacing w:after="0"/>
              <w:rPr>
                <w:sz w:val="20"/>
                <w:szCs w:val="20"/>
                <w:color w:val="auto"/>
              </w:rPr>
            </w:pPr>
            <w:r>
              <w:rPr>
                <w:rFonts w:ascii="Arial" w:cs="Arial" w:eastAsia="Arial" w:hAnsi="Arial"/>
                <w:sz w:val="18"/>
                <w:szCs w:val="18"/>
                <w:b w:val="1"/>
                <w:bCs w:val="1"/>
                <w:color w:val="auto"/>
                <w:w w:val="90"/>
              </w:rPr>
              <w:t>Six Months Ended</w:t>
            </w:r>
          </w:p>
        </w:tc>
        <w:tc>
          <w:tcPr>
            <w:tcW w:w="300" w:type="dxa"/>
            <w:vAlign w:val="bottom"/>
            <w:shd w:val="clear" w:color="auto" w:fill="CCEEFF"/>
          </w:tcPr>
          <w:p>
            <w:pPr>
              <w:spacing w:after="0"/>
              <w:rPr>
                <w:sz w:val="19"/>
                <w:szCs w:val="19"/>
                <w:color w:val="auto"/>
              </w:rPr>
            </w:pPr>
          </w:p>
        </w:tc>
        <w:tc>
          <w:tcPr>
            <w:tcW w:w="2980" w:type="dxa"/>
            <w:vAlign w:val="bottom"/>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90"/>
              </w:rPr>
              <w:t>Six Months Ended</w:t>
            </w:r>
          </w:p>
        </w:tc>
      </w:tr>
      <w:tr>
        <w:trPr>
          <w:trHeight w:val="261"/>
        </w:trPr>
        <w:tc>
          <w:tcPr>
            <w:tcW w:w="46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3080" w:type="dxa"/>
            <w:vAlign w:val="bottom"/>
            <w:tcBorders>
              <w:bottom w:val="single" w:sz="8" w:color="CCEEFF"/>
            </w:tcBorders>
            <w:gridSpan w:val="4"/>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90"/>
              </w:rPr>
              <w:t>September 30, 2021</w:t>
            </w:r>
          </w:p>
        </w:tc>
        <w:tc>
          <w:tcPr>
            <w:tcW w:w="300" w:type="dxa"/>
            <w:vAlign w:val="bottom"/>
            <w:tcBorders>
              <w:bottom w:val="single" w:sz="8" w:color="CCEEFF"/>
            </w:tcBorders>
            <w:shd w:val="clear" w:color="auto" w:fill="CCEEFF"/>
          </w:tcPr>
          <w:p>
            <w:pPr>
              <w:spacing w:after="0"/>
              <w:rPr>
                <w:sz w:val="22"/>
                <w:szCs w:val="22"/>
                <w:color w:val="auto"/>
              </w:rPr>
            </w:pPr>
          </w:p>
        </w:tc>
        <w:tc>
          <w:tcPr>
            <w:tcW w:w="2980" w:type="dxa"/>
            <w:vAlign w:val="bottom"/>
            <w:tcBorders>
              <w:bottom w:val="single" w:sz="8" w:color="CCEEFF"/>
            </w:tcBorders>
            <w:gridSpan w:val="3"/>
            <w:shd w:val="clear" w:color="auto" w:fill="CCEEFF"/>
          </w:tcPr>
          <w:p>
            <w:pPr>
              <w:jc w:val="center"/>
              <w:ind w:right="210"/>
              <w:spacing w:after="0"/>
              <w:rPr>
                <w:sz w:val="20"/>
                <w:szCs w:val="20"/>
                <w:color w:val="auto"/>
              </w:rPr>
            </w:pPr>
            <w:r>
              <w:rPr>
                <w:rFonts w:ascii="Arial" w:cs="Arial" w:eastAsia="Arial" w:hAnsi="Arial"/>
                <w:sz w:val="18"/>
                <w:szCs w:val="18"/>
                <w:color w:val="auto"/>
                <w:w w:val="88"/>
              </w:rPr>
              <w:t>September 30, 2020</w:t>
            </w:r>
          </w:p>
        </w:tc>
      </w:tr>
      <w:tr>
        <w:trPr>
          <w:trHeight w:val="236"/>
        </w:trPr>
        <w:tc>
          <w:tcPr>
            <w:tcW w:w="46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60"/>
              <w:spacing w:after="0"/>
              <w:rPr>
                <w:sz w:val="20"/>
                <w:szCs w:val="20"/>
                <w:color w:val="auto"/>
              </w:rPr>
            </w:pPr>
            <w:r>
              <w:rPr>
                <w:rFonts w:ascii="Arial" w:cs="Arial" w:eastAsia="Arial" w:hAnsi="Arial"/>
                <w:sz w:val="18"/>
                <w:szCs w:val="18"/>
                <w:b w:val="1"/>
                <w:bCs w:val="1"/>
                <w:color w:val="auto"/>
              </w:rPr>
              <w:t>Amount</w:t>
            </w:r>
          </w:p>
        </w:tc>
        <w:tc>
          <w:tcPr>
            <w:tcW w:w="1680" w:type="dxa"/>
            <w:vAlign w:val="bottom"/>
            <w:tcBorders>
              <w:top w:val="single" w:sz="8" w:color="auto"/>
            </w:tcBorders>
          </w:tcPr>
          <w:p>
            <w:pPr>
              <w:ind w:left="460"/>
              <w:spacing w:after="0"/>
              <w:rPr>
                <w:sz w:val="20"/>
                <w:szCs w:val="20"/>
                <w:color w:val="auto"/>
              </w:rPr>
            </w:pPr>
            <w:r>
              <w:rPr>
                <w:rFonts w:ascii="Arial" w:cs="Arial" w:eastAsia="Arial" w:hAnsi="Arial"/>
                <w:sz w:val="18"/>
                <w:szCs w:val="18"/>
                <w:b w:val="1"/>
                <w:bCs w:val="1"/>
                <w:color w:val="auto"/>
              </w:rPr>
              <w:t>% of total</w:t>
            </w:r>
          </w:p>
        </w:tc>
        <w:tc>
          <w:tcPr>
            <w:tcW w:w="8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gridSpan w:val="2"/>
          </w:tcPr>
          <w:p>
            <w:pPr>
              <w:ind w:left="180"/>
              <w:spacing w:after="0"/>
              <w:rPr>
                <w:sz w:val="20"/>
                <w:szCs w:val="20"/>
                <w:color w:val="auto"/>
              </w:rPr>
            </w:pPr>
            <w:r>
              <w:rPr>
                <w:rFonts w:ascii="Arial" w:cs="Arial" w:eastAsia="Arial" w:hAnsi="Arial"/>
                <w:sz w:val="18"/>
                <w:szCs w:val="18"/>
                <w:color w:val="auto"/>
              </w:rPr>
              <w:t>Amount</w:t>
            </w:r>
          </w:p>
        </w:tc>
        <w:tc>
          <w:tcPr>
            <w:tcW w:w="166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rPr>
              <w:t>% of total</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3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by platform mix</w:t>
            </w:r>
          </w:p>
        </w:tc>
        <w:tc>
          <w:tcPr>
            <w:tcW w:w="2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Console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1,198,523</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72 %</w:t>
            </w:r>
          </w:p>
        </w:tc>
        <w:tc>
          <w:tcPr>
            <w:tcW w:w="8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1,252,954</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75 %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PC and other</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275,647</w:t>
            </w:r>
          </w:p>
        </w:tc>
        <w:tc>
          <w:tcPr>
            <w:tcW w:w="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16 %</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303,946</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Mobile</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197,374</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12 %</w:t>
            </w:r>
          </w:p>
        </w:tc>
        <w:tc>
          <w:tcPr>
            <w:tcW w:w="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115,552</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7 %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8"/>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revenue</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1,671,544</w:t>
            </w:r>
          </w:p>
        </w:tc>
        <w:tc>
          <w:tcPr>
            <w:tcW w:w="80" w:type="dxa"/>
            <w:vAlign w:val="bottom"/>
            <w:tcBorders>
              <w:bottom w:val="single" w:sz="8" w:color="CCEEFF"/>
            </w:tcBorders>
            <w:shd w:val="clear" w:color="auto" w:fill="CCEEFF"/>
          </w:tcPr>
          <w:p>
            <w:pPr>
              <w:spacing w:after="0"/>
              <w:rPr>
                <w:sz w:val="24"/>
                <w:szCs w:val="24"/>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1,672,452</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r>
      <w:tr>
        <w:trPr>
          <w:trHeight w:val="217"/>
        </w:trPr>
        <w:tc>
          <w:tcPr>
            <w:tcW w:w="4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Bookings by platform mix</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Console</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1,215,864</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72 %</w:t>
            </w:r>
          </w:p>
        </w:tc>
        <w:tc>
          <w:tcPr>
            <w:tcW w:w="8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1,484,249</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76 %</w:t>
            </w:r>
          </w:p>
        </w:tc>
      </w:tr>
      <w:tr>
        <w:trPr>
          <w:trHeight w:val="27"/>
        </w:trPr>
        <w:tc>
          <w:tcPr>
            <w:tcW w:w="4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PC and other</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284,698</w:t>
            </w:r>
          </w:p>
        </w:tc>
        <w:tc>
          <w:tcPr>
            <w:tcW w:w="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16 %</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339,757</w:t>
            </w:r>
          </w:p>
        </w:tc>
        <w:tc>
          <w:tcPr>
            <w:tcW w:w="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r>
      <w:tr>
        <w:trPr>
          <w:trHeight w:val="243"/>
        </w:trPr>
        <w:tc>
          <w:tcPr>
            <w:tcW w:w="4600" w:type="dxa"/>
            <w:vAlign w:val="bottom"/>
          </w:tcPr>
          <w:p>
            <w:pPr>
              <w:ind w:left="140"/>
              <w:spacing w:after="0"/>
              <w:rPr>
                <w:sz w:val="20"/>
                <w:szCs w:val="20"/>
                <w:color w:val="auto"/>
              </w:rPr>
            </w:pPr>
            <w:r>
              <w:rPr>
                <w:rFonts w:ascii="Arial" w:cs="Arial" w:eastAsia="Arial" w:hAnsi="Arial"/>
                <w:sz w:val="18"/>
                <w:szCs w:val="18"/>
                <w:color w:val="auto"/>
              </w:rPr>
              <w:t>Mobile</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195,720</w:t>
            </w:r>
          </w:p>
        </w:tc>
        <w:tc>
          <w:tcPr>
            <w:tcW w:w="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b w:val="1"/>
                <w:bCs w:val="1"/>
                <w:color w:val="auto"/>
              </w:rPr>
              <w:t>12 %</w:t>
            </w:r>
          </w:p>
        </w:tc>
        <w:tc>
          <w:tcPr>
            <w:tcW w:w="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129,778</w:t>
            </w:r>
          </w:p>
        </w:tc>
        <w:tc>
          <w:tcPr>
            <w:tcW w:w="8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8 %</w:t>
            </w:r>
          </w:p>
        </w:tc>
      </w:tr>
      <w:tr>
        <w:trPr>
          <w:trHeight w:val="27"/>
        </w:trPr>
        <w:tc>
          <w:tcPr>
            <w:tcW w:w="46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89"/>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Net Bookings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1,696,282</w:t>
            </w:r>
          </w:p>
        </w:tc>
        <w:tc>
          <w:tcPr>
            <w:tcW w:w="80" w:type="dxa"/>
            <w:vAlign w:val="bottom"/>
            <w:tcBorders>
              <w:bottom w:val="single" w:sz="8" w:color="CCEEFF"/>
            </w:tcBorders>
            <w:shd w:val="clear" w:color="auto" w:fill="CCEEFF"/>
          </w:tcPr>
          <w:p>
            <w:pPr>
              <w:spacing w:after="0"/>
              <w:rPr>
                <w:sz w:val="24"/>
                <w:szCs w:val="24"/>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100 %</w:t>
            </w:r>
          </w:p>
        </w:tc>
        <w:tc>
          <w:tcPr>
            <w:tcW w:w="8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1,953,784</w:t>
            </w:r>
          </w:p>
        </w:tc>
        <w:tc>
          <w:tcPr>
            <w:tcW w:w="80" w:type="dxa"/>
            <w:vAlign w:val="bottom"/>
            <w:tcBorders>
              <w:bottom w:val="single" w:sz="8" w:color="CCEEFF"/>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0"/>
        </w:trPr>
        <w:tc>
          <w:tcPr>
            <w:tcW w:w="46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904" w:right="339" w:bottom="1440" w:gutter="0" w:footer="0" w:header="0"/>
        </w:sectPr>
      </w:pPr>
    </w:p>
    <w:bookmarkStart w:id="16" w:name="page17"/>
    <w:bookmarkEnd w:id="16"/>
    <w:p>
      <w:pPr>
        <w:ind w:left="20"/>
        <w:spacing w:after="0"/>
        <w:rPr>
          <w:sz w:val="20"/>
          <w:szCs w:val="20"/>
          <w:color w:val="auto"/>
        </w:rPr>
      </w:pPr>
      <w:r>
        <w:rPr>
          <w:rFonts w:ascii="Arial" w:cs="Arial" w:eastAsia="Arial" w:hAnsi="Arial"/>
          <w:sz w:val="16"/>
          <w:szCs w:val="16"/>
          <w:b w:val="1"/>
          <w:bCs w:val="1"/>
          <w:color w:val="auto"/>
        </w:rPr>
        <w:t>TAKE-TWO INTERACTIVE SOFTWARE, INC. and SUBSIDIARIES</w:t>
      </w:r>
    </w:p>
    <w:p>
      <w:pPr>
        <w:spacing w:after="0" w:line="59"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ADDITIONAL DATA</w:t>
      </w:r>
    </w:p>
    <w:p>
      <w:pPr>
        <w:spacing w:after="0" w:line="59"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(in thousands)</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 sold-</w:t>
            </w: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780" w:type="dxa"/>
            <w:vAlign w:val="bottom"/>
          </w:tcPr>
          <w:p>
            <w:pPr>
              <w:ind w:left="20"/>
              <w:spacing w:after="0"/>
              <w:rPr>
                <w:sz w:val="20"/>
                <w:szCs w:val="20"/>
                <w:color w:val="auto"/>
              </w:rPr>
            </w:pPr>
            <w:r>
              <w:rPr>
                <w:rFonts w:ascii="Arial" w:cs="Arial" w:eastAsia="Arial" w:hAnsi="Arial"/>
                <w:sz w:val="16"/>
                <w:szCs w:val="16"/>
                <w:b w:val="1"/>
                <w:bCs w:val="1"/>
                <w:color w:val="auto"/>
              </w:rPr>
              <w:t>Software</w:t>
            </w: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w w:val="98"/>
              </w:rPr>
              <w:t>Cost of goods</w:t>
            </w: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Internal</w:t>
            </w: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development costs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Product</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Selling and</w:t>
            </w: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Three Months Ended September 30, 2021</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Net revenue</w:t>
            </w:r>
          </w:p>
        </w:tc>
        <w:tc>
          <w:tcPr>
            <w:tcW w:w="620" w:type="dxa"/>
            <w:vAlign w:val="bottom"/>
          </w:tcPr>
          <w:p>
            <w:pPr>
              <w:ind w:left="20"/>
              <w:spacing w:after="0"/>
              <w:rPr>
                <w:sz w:val="20"/>
                <w:szCs w:val="20"/>
                <w:color w:val="auto"/>
              </w:rPr>
            </w:pPr>
            <w:r>
              <w:rPr>
                <w:rFonts w:ascii="Arial" w:cs="Arial" w:eastAsia="Arial" w:hAnsi="Arial"/>
                <w:sz w:val="16"/>
                <w:szCs w:val="16"/>
                <w:b w:val="1"/>
                <w:bCs w:val="1"/>
                <w:color w:val="auto"/>
                <w:w w:val="88"/>
              </w:rPr>
              <w:t>royalties</w:t>
            </w: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and royalties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Licenses</w:t>
            </w:r>
          </w:p>
        </w:tc>
        <w:tc>
          <w:tcPr>
            <w:tcW w:w="440" w:type="dxa"/>
            <w:vAlign w:val="bottom"/>
          </w:tcPr>
          <w:p>
            <w:pPr>
              <w:ind w:left="20"/>
              <w:spacing w:after="0"/>
              <w:rPr>
                <w:sz w:val="20"/>
                <w:szCs w:val="20"/>
                <w:color w:val="auto"/>
              </w:rPr>
            </w:pPr>
            <w:r>
              <w:rPr>
                <w:rFonts w:ascii="Arial" w:cs="Arial" w:eastAsia="Arial" w:hAnsi="Arial"/>
                <w:sz w:val="16"/>
                <w:szCs w:val="16"/>
                <w:b w:val="1"/>
                <w:bCs w:val="1"/>
                <w:color w:val="auto"/>
                <w:w w:val="95"/>
              </w:rPr>
              <w:t>costs</w:t>
            </w: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marketing</w:t>
            </w: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42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858,198</w:t>
            </w:r>
          </w:p>
        </w:tc>
        <w:tc>
          <w:tcPr>
            <w:tcW w:w="80" w:type="dxa"/>
            <w:vAlign w:val="bottom"/>
            <w:tcBorders>
              <w:top w:val="single" w:sz="8" w:color="CCEEFF"/>
            </w:tcBorders>
            <w:shd w:val="clear" w:color="auto" w:fill="CCEEFF"/>
          </w:tcPr>
          <w:p>
            <w:pPr>
              <w:spacing w:after="0"/>
              <w:rPr>
                <w:sz w:val="21"/>
                <w:szCs w:val="21"/>
                <w:color w:val="auto"/>
              </w:rPr>
            </w:pPr>
          </w:p>
        </w:tc>
        <w:tc>
          <w:tcPr>
            <w:tcW w:w="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6"/>
              </w:rPr>
              <w:t>159,586</w:t>
            </w:r>
          </w:p>
        </w:tc>
        <w:tc>
          <w:tcPr>
            <w:tcW w:w="80" w:type="dxa"/>
            <w:vAlign w:val="bottom"/>
            <w:tcBorders>
              <w:top w:val="single" w:sz="8" w:color="CCEEFF"/>
            </w:tcBorders>
            <w:shd w:val="clear" w:color="auto" w:fill="CCEEFF"/>
          </w:tcPr>
          <w:p>
            <w:pPr>
              <w:spacing w:after="0"/>
              <w:rPr>
                <w:sz w:val="21"/>
                <w:szCs w:val="21"/>
                <w:color w:val="auto"/>
              </w:rPr>
            </w:pPr>
          </w:p>
        </w:tc>
        <w:tc>
          <w:tcPr>
            <w:tcW w:w="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144,869</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86,130</w:t>
            </w:r>
          </w:p>
        </w:tc>
        <w:tc>
          <w:tcPr>
            <w:tcW w:w="80" w:type="dxa"/>
            <w:vAlign w:val="bottom"/>
            <w:tcBorders>
              <w:top w:val="single" w:sz="8" w:color="CCEEFF"/>
            </w:tcBorders>
            <w:shd w:val="clear" w:color="auto" w:fill="CCEEFF"/>
          </w:tcPr>
          <w:p>
            <w:pPr>
              <w:spacing w:after="0"/>
              <w:rPr>
                <w:sz w:val="21"/>
                <w:szCs w:val="21"/>
                <w:color w:val="auto"/>
              </w:rPr>
            </w:pPr>
          </w:p>
        </w:tc>
        <w:tc>
          <w:tcPr>
            <w:tcW w:w="4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66,097</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136,019</w:t>
            </w: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4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126,654</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6,439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530</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1,637</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(10,366)</w:t>
            </w: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(7,134)</w:t>
            </w: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(13,985)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(1,833)</w:t>
            </w:r>
          </w:p>
        </w:tc>
      </w:tr>
      <w:tr>
        <w:trPr>
          <w:trHeight w:val="266"/>
        </w:trPr>
        <w:tc>
          <w:tcPr>
            <w:tcW w:w="366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spacing w:after="0"/>
              <w:rPr>
                <w:sz w:val="23"/>
                <w:szCs w:val="23"/>
                <w:color w:val="auto"/>
              </w:rPr>
            </w:pPr>
          </w:p>
        </w:tc>
      </w:tr>
      <w:tr>
        <w:trPr>
          <w:trHeight w:val="202"/>
        </w:trPr>
        <w:tc>
          <w:tcPr>
            <w:tcW w:w="36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w w:val="97"/>
              </w:rPr>
              <w:t>Gain (loss) on</w:t>
            </w:r>
          </w:p>
        </w:tc>
      </w:t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long-term</w:t>
            </w:r>
          </w:p>
        </w:tc>
      </w:tr>
      <w:tr>
        <w:trPr>
          <w:trHeight w:val="189"/>
        </w:trPr>
        <w:tc>
          <w:tcPr>
            <w:tcW w:w="366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General and</w:t>
            </w: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Research and</w:t>
            </w: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Depreciation and</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Business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Interest and</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investments,</w:t>
            </w: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Three Months Ended September 30, 2021</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administrative</w:t>
            </w: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development</w:t>
            </w: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amortization</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reorganization</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other, net</w:t>
            </w:r>
          </w:p>
        </w:tc>
        <w:tc>
          <w:tcPr>
            <w:tcW w:w="340" w:type="dxa"/>
            <w:vAlign w:val="bottom"/>
          </w:tcPr>
          <w:p>
            <w:pPr>
              <w:ind w:left="20"/>
              <w:spacing w:after="0"/>
              <w:rPr>
                <w:sz w:val="20"/>
                <w:szCs w:val="20"/>
                <w:color w:val="auto"/>
              </w:rPr>
            </w:pPr>
            <w:r>
              <w:rPr>
                <w:rFonts w:ascii="Arial" w:cs="Arial" w:eastAsia="Arial" w:hAnsi="Arial"/>
                <w:sz w:val="16"/>
                <w:szCs w:val="16"/>
                <w:b w:val="1"/>
                <w:bCs w:val="1"/>
                <w:color w:val="auto"/>
              </w:rPr>
              <w:t>net</w:t>
            </w:r>
          </w:p>
        </w:tc>
        <w:tc>
          <w:tcPr>
            <w:tcW w:w="740" w:type="dxa"/>
            <w:vAlign w:val="bottom"/>
          </w:tcPr>
          <w:p>
            <w:pPr>
              <w:spacing w:after="0"/>
              <w:rPr>
                <w:sz w:val="19"/>
                <w:szCs w:val="19"/>
                <w:color w:val="auto"/>
              </w:rPr>
            </w:pP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42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127,331</w:t>
            </w:r>
          </w:p>
        </w:tc>
        <w:tc>
          <w:tcPr>
            <w:tcW w:w="80" w:type="dxa"/>
            <w:vAlign w:val="bottom"/>
            <w:tcBorders>
              <w:top w:val="single" w:sz="8" w:color="CCEEFF"/>
            </w:tcBorders>
            <w:shd w:val="clear" w:color="auto" w:fill="CCEEFF"/>
          </w:tcPr>
          <w:p>
            <w:pPr>
              <w:spacing w:after="0"/>
              <w:rPr>
                <w:sz w:val="21"/>
                <w:szCs w:val="21"/>
                <w:color w:val="auto"/>
              </w:rPr>
            </w:pPr>
          </w:p>
        </w:tc>
        <w:tc>
          <w:tcPr>
            <w:tcW w:w="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6"/>
              </w:rPr>
              <w:t>101,508</w:t>
            </w:r>
          </w:p>
        </w:tc>
        <w:tc>
          <w:tcPr>
            <w:tcW w:w="80" w:type="dxa"/>
            <w:vAlign w:val="bottom"/>
            <w:tcBorders>
              <w:top w:val="single" w:sz="8" w:color="CCEEFF"/>
            </w:tcBorders>
            <w:shd w:val="clear" w:color="auto" w:fill="CCEEFF"/>
          </w:tcPr>
          <w:p>
            <w:pPr>
              <w:spacing w:after="0"/>
              <w:rPr>
                <w:sz w:val="21"/>
                <w:szCs w:val="21"/>
                <w:color w:val="auto"/>
              </w:rPr>
            </w:pPr>
          </w:p>
        </w:tc>
        <w:tc>
          <w:tcPr>
            <w:tcW w:w="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16,181</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326</w:t>
            </w:r>
          </w:p>
        </w:tc>
        <w:tc>
          <w:tcPr>
            <w:tcW w:w="80" w:type="dxa"/>
            <w:vAlign w:val="bottom"/>
            <w:tcBorders>
              <w:top w:val="single" w:sz="8" w:color="CCEEFF"/>
            </w:tcBorders>
            <w:shd w:val="clear" w:color="auto" w:fill="CCEEFF"/>
          </w:tcPr>
          <w:p>
            <w:pPr>
              <w:spacing w:after="0"/>
              <w:rPr>
                <w:sz w:val="21"/>
                <w:szCs w:val="21"/>
                <w:color w:val="auto"/>
              </w:rPr>
            </w:pPr>
          </w:p>
        </w:tc>
        <w:tc>
          <w:tcPr>
            <w:tcW w:w="4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(572)</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395</w:t>
            </w: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935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(16,666)</w:t>
            </w: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0"/>
              </w:rPr>
              <w:t>(13,010)</w:t>
            </w: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(1,643)</w:t>
            </w: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(335)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Impact of business reorganization</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(326)</w:t>
            </w: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r>
      <w:tr>
        <w:trPr>
          <w:trHeight w:val="233"/>
        </w:trPr>
        <w:tc>
          <w:tcPr>
            <w:tcW w:w="3660" w:type="dxa"/>
            <w:vAlign w:val="bottom"/>
          </w:tcPr>
          <w:p>
            <w:pPr>
              <w:ind w:left="240"/>
              <w:spacing w:after="0"/>
              <w:rPr>
                <w:sz w:val="20"/>
                <w:szCs w:val="20"/>
                <w:color w:val="auto"/>
              </w:rPr>
            </w:pPr>
            <w:r>
              <w:rPr>
                <w:rFonts w:ascii="Arial" w:cs="Arial" w:eastAsia="Arial" w:hAnsi="Arial"/>
                <w:sz w:val="16"/>
                <w:szCs w:val="16"/>
                <w:color w:val="auto"/>
              </w:rPr>
              <w:t>Acquisition related expenses</w:t>
            </w:r>
          </w:p>
        </w:tc>
        <w:tc>
          <w:tcPr>
            <w:tcW w:w="4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(23,368)</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Gain on long-term investments, net</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(395)</w:t>
            </w:r>
          </w:p>
        </w:tc>
      </w:tr>
      <w:tr>
        <w:trPr>
          <w:trHeight w:val="459"/>
        </w:trPr>
        <w:tc>
          <w:tcPr>
            <w:tcW w:w="3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 sold-</w:t>
            </w:r>
          </w:p>
        </w:tc>
        <w:tc>
          <w:tcPr>
            <w:tcW w:w="3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780" w:type="dxa"/>
            <w:vAlign w:val="bottom"/>
          </w:tcPr>
          <w:p>
            <w:pPr>
              <w:ind w:left="20"/>
              <w:spacing w:after="0"/>
              <w:rPr>
                <w:sz w:val="20"/>
                <w:szCs w:val="20"/>
                <w:color w:val="auto"/>
              </w:rPr>
            </w:pPr>
            <w:r>
              <w:rPr>
                <w:rFonts w:ascii="Arial" w:cs="Arial" w:eastAsia="Arial" w:hAnsi="Arial"/>
                <w:sz w:val="16"/>
                <w:szCs w:val="16"/>
                <w:b w:val="1"/>
                <w:bCs w:val="1"/>
                <w:color w:val="auto"/>
              </w:rPr>
              <w:t>Software</w:t>
            </w: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w w:val="98"/>
              </w:rPr>
              <w:t>Cost of goods</w:t>
            </w: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Internal</w:t>
            </w: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development costs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Product</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Selling and</w:t>
            </w: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Three Months Ended September 30, 2020</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Net revenue</w:t>
            </w:r>
          </w:p>
        </w:tc>
        <w:tc>
          <w:tcPr>
            <w:tcW w:w="620" w:type="dxa"/>
            <w:vAlign w:val="bottom"/>
          </w:tcPr>
          <w:p>
            <w:pPr>
              <w:ind w:left="20"/>
              <w:spacing w:after="0"/>
              <w:rPr>
                <w:sz w:val="20"/>
                <w:szCs w:val="20"/>
                <w:color w:val="auto"/>
              </w:rPr>
            </w:pPr>
            <w:r>
              <w:rPr>
                <w:rFonts w:ascii="Arial" w:cs="Arial" w:eastAsia="Arial" w:hAnsi="Arial"/>
                <w:sz w:val="16"/>
                <w:szCs w:val="16"/>
                <w:b w:val="1"/>
                <w:bCs w:val="1"/>
                <w:color w:val="auto"/>
                <w:w w:val="88"/>
              </w:rPr>
              <w:t>royalties</w:t>
            </w: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and royalties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Licenses</w:t>
            </w:r>
          </w:p>
        </w:tc>
        <w:tc>
          <w:tcPr>
            <w:tcW w:w="440" w:type="dxa"/>
            <w:vAlign w:val="bottom"/>
          </w:tcPr>
          <w:p>
            <w:pPr>
              <w:ind w:left="20"/>
              <w:spacing w:after="0"/>
              <w:rPr>
                <w:sz w:val="20"/>
                <w:szCs w:val="20"/>
                <w:color w:val="auto"/>
              </w:rPr>
            </w:pPr>
            <w:r>
              <w:rPr>
                <w:rFonts w:ascii="Arial" w:cs="Arial" w:eastAsia="Arial" w:hAnsi="Arial"/>
                <w:sz w:val="16"/>
                <w:szCs w:val="16"/>
                <w:b w:val="1"/>
                <w:bCs w:val="1"/>
                <w:color w:val="auto"/>
                <w:w w:val="95"/>
              </w:rPr>
              <w:t>costs</w:t>
            </w: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marketing</w:t>
            </w: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42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841,142</w:t>
            </w:r>
          </w:p>
        </w:tc>
        <w:tc>
          <w:tcPr>
            <w:tcW w:w="80" w:type="dxa"/>
            <w:vAlign w:val="bottom"/>
            <w:tcBorders>
              <w:top w:val="single" w:sz="8" w:color="CCEEFF"/>
            </w:tcBorders>
            <w:shd w:val="clear" w:color="auto" w:fill="CCEEFF"/>
          </w:tcPr>
          <w:p>
            <w:pPr>
              <w:spacing w:after="0"/>
              <w:rPr>
                <w:sz w:val="21"/>
                <w:szCs w:val="21"/>
                <w:color w:val="auto"/>
              </w:rPr>
            </w:pPr>
          </w:p>
        </w:tc>
        <w:tc>
          <w:tcPr>
            <w:tcW w:w="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6"/>
              </w:rPr>
              <w:t>127,804</w:t>
            </w:r>
          </w:p>
        </w:tc>
        <w:tc>
          <w:tcPr>
            <w:tcW w:w="80" w:type="dxa"/>
            <w:vAlign w:val="bottom"/>
            <w:tcBorders>
              <w:top w:val="single" w:sz="8" w:color="CCEEFF"/>
            </w:tcBorders>
            <w:shd w:val="clear" w:color="auto" w:fill="CCEEFF"/>
          </w:tcPr>
          <w:p>
            <w:pPr>
              <w:spacing w:after="0"/>
              <w:rPr>
                <w:sz w:val="21"/>
                <w:szCs w:val="21"/>
                <w:color w:val="auto"/>
              </w:rPr>
            </w:pPr>
          </w:p>
        </w:tc>
        <w:tc>
          <w:tcPr>
            <w:tcW w:w="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142,771</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92,944</w:t>
            </w:r>
          </w:p>
        </w:tc>
        <w:tc>
          <w:tcPr>
            <w:tcW w:w="80" w:type="dxa"/>
            <w:vAlign w:val="bottom"/>
            <w:tcBorders>
              <w:top w:val="single" w:sz="8" w:color="CCEEFF"/>
            </w:tcBorders>
            <w:shd w:val="clear" w:color="auto" w:fill="CCEEFF"/>
          </w:tcPr>
          <w:p>
            <w:pPr>
              <w:spacing w:after="0"/>
              <w:rPr>
                <w:sz w:val="21"/>
                <w:szCs w:val="21"/>
                <w:color w:val="auto"/>
              </w:rPr>
            </w:pPr>
          </w:p>
        </w:tc>
        <w:tc>
          <w:tcPr>
            <w:tcW w:w="4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68,986</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spacing w:after="0"/>
              <w:rPr>
                <w:sz w:val="21"/>
                <w:szCs w:val="21"/>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$113,691</w:t>
            </w: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4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116,392</w:t>
            </w: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16,209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(3,994)</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1,235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(19,396)</w:t>
            </w: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(4,439)</w:t>
            </w: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(4,411)</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(517)</w:t>
            </w:r>
          </w:p>
        </w:tc>
      </w:tr>
      <w:tr>
        <w:trPr>
          <w:trHeight w:val="266"/>
        </w:trPr>
        <w:tc>
          <w:tcPr>
            <w:tcW w:w="366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5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spacing w:after="0"/>
              <w:rPr>
                <w:sz w:val="23"/>
                <w:szCs w:val="23"/>
                <w:color w:val="auto"/>
              </w:rPr>
            </w:pPr>
          </w:p>
        </w:tc>
      </w:tr>
      <w:tr>
        <w:trPr>
          <w:trHeight w:val="202"/>
        </w:trPr>
        <w:tc>
          <w:tcPr>
            <w:tcW w:w="36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w w:val="97"/>
              </w:rPr>
              <w:t>Gain (loss) on</w:t>
            </w:r>
          </w:p>
        </w:tc>
      </w:tr>
      <w:tr>
        <w:trPr>
          <w:trHeight w:val="189"/>
        </w:trPr>
        <w:tc>
          <w:tcPr>
            <w:tcW w:w="36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long-term</w:t>
            </w:r>
          </w:p>
        </w:tc>
      </w:tr>
      <w:tr>
        <w:trPr>
          <w:trHeight w:val="189"/>
        </w:trPr>
        <w:tc>
          <w:tcPr>
            <w:tcW w:w="366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General and</w:t>
            </w: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Research and</w:t>
            </w: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Depreciation and</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Business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Interest and</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investments,</w:t>
            </w: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Three Months Ended September 30, 2020</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administrative</w:t>
            </w:r>
          </w:p>
        </w:tc>
        <w:tc>
          <w:tcPr>
            <w:tcW w:w="1280" w:type="dxa"/>
            <w:vAlign w:val="bottom"/>
            <w:gridSpan w:val="3"/>
          </w:tcPr>
          <w:p>
            <w:pPr>
              <w:ind w:left="20"/>
              <w:spacing w:after="0"/>
              <w:rPr>
                <w:sz w:val="20"/>
                <w:szCs w:val="20"/>
                <w:color w:val="auto"/>
              </w:rPr>
            </w:pPr>
            <w:r>
              <w:rPr>
                <w:rFonts w:ascii="Arial" w:cs="Arial" w:eastAsia="Arial" w:hAnsi="Arial"/>
                <w:sz w:val="16"/>
                <w:szCs w:val="16"/>
                <w:b w:val="1"/>
                <w:bCs w:val="1"/>
                <w:color w:val="auto"/>
              </w:rPr>
              <w:t>development</w:t>
            </w:r>
          </w:p>
        </w:tc>
        <w:tc>
          <w:tcPr>
            <w:tcW w:w="1580" w:type="dxa"/>
            <w:vAlign w:val="bottom"/>
            <w:gridSpan w:val="3"/>
          </w:tcPr>
          <w:p>
            <w:pPr>
              <w:ind w:left="20"/>
              <w:spacing w:after="0"/>
              <w:rPr>
                <w:sz w:val="20"/>
                <w:szCs w:val="20"/>
                <w:color w:val="auto"/>
              </w:rPr>
            </w:pPr>
            <w:r>
              <w:rPr>
                <w:rFonts w:ascii="Arial" w:cs="Arial" w:eastAsia="Arial" w:hAnsi="Arial"/>
                <w:sz w:val="16"/>
                <w:szCs w:val="16"/>
                <w:b w:val="1"/>
                <w:bCs w:val="1"/>
                <w:color w:val="auto"/>
              </w:rPr>
              <w:t>amortization</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reorganization</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other, net</w:t>
            </w:r>
          </w:p>
        </w:tc>
        <w:tc>
          <w:tcPr>
            <w:tcW w:w="340" w:type="dxa"/>
            <w:vAlign w:val="bottom"/>
          </w:tcPr>
          <w:p>
            <w:pPr>
              <w:ind w:left="20"/>
              <w:spacing w:after="0"/>
              <w:rPr>
                <w:sz w:val="20"/>
                <w:szCs w:val="20"/>
                <w:color w:val="auto"/>
              </w:rPr>
            </w:pPr>
            <w:r>
              <w:rPr>
                <w:rFonts w:ascii="Arial" w:cs="Arial" w:eastAsia="Arial" w:hAnsi="Arial"/>
                <w:sz w:val="16"/>
                <w:szCs w:val="16"/>
                <w:b w:val="1"/>
                <w:bCs w:val="1"/>
                <w:color w:val="auto"/>
              </w:rPr>
              <w:t>net</w:t>
            </w:r>
          </w:p>
        </w:tc>
        <w:tc>
          <w:tcPr>
            <w:tcW w:w="740" w:type="dxa"/>
            <w:vAlign w:val="bottom"/>
          </w:tcPr>
          <w:p>
            <w:pPr>
              <w:spacing w:after="0"/>
              <w:rPr>
                <w:sz w:val="19"/>
                <w:szCs w:val="19"/>
                <w:color w:val="auto"/>
              </w:rPr>
            </w:pP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42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91,433</w:t>
            </w:r>
          </w:p>
        </w:tc>
        <w:tc>
          <w:tcPr>
            <w:tcW w:w="80" w:type="dxa"/>
            <w:vAlign w:val="bottom"/>
            <w:tcBorders>
              <w:top w:val="single" w:sz="8" w:color="CCEEFF"/>
            </w:tcBorders>
            <w:shd w:val="clear" w:color="auto" w:fill="CCEEFF"/>
          </w:tcPr>
          <w:p>
            <w:pPr>
              <w:spacing w:after="0"/>
              <w:rPr>
                <w:sz w:val="21"/>
                <w:szCs w:val="21"/>
                <w:color w:val="auto"/>
              </w:rPr>
            </w:pPr>
          </w:p>
        </w:tc>
        <w:tc>
          <w:tcPr>
            <w:tcW w:w="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74,216</w:t>
            </w:r>
          </w:p>
        </w:tc>
        <w:tc>
          <w:tcPr>
            <w:tcW w:w="80" w:type="dxa"/>
            <w:vAlign w:val="bottom"/>
            <w:tcBorders>
              <w:top w:val="single" w:sz="8" w:color="CCEEFF"/>
            </w:tcBorders>
            <w:shd w:val="clear" w:color="auto" w:fill="CCEEFF"/>
          </w:tcPr>
          <w:p>
            <w:pPr>
              <w:spacing w:after="0"/>
              <w:rPr>
                <w:sz w:val="21"/>
                <w:szCs w:val="21"/>
                <w:color w:val="auto"/>
              </w:rPr>
            </w:pPr>
          </w:p>
        </w:tc>
        <w:tc>
          <w:tcPr>
            <w:tcW w:w="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13,691</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80" w:type="dxa"/>
            <w:vAlign w:val="bottom"/>
            <w:tcBorders>
              <w:top w:val="single" w:sz="8" w:color="CCEEFF"/>
            </w:tcBorders>
            <w:shd w:val="clear" w:color="auto" w:fill="CCEEFF"/>
          </w:tcPr>
          <w:p>
            <w:pPr>
              <w:spacing w:after="0"/>
              <w:rPr>
                <w:sz w:val="21"/>
                <w:szCs w:val="21"/>
                <w:color w:val="auto"/>
              </w:rPr>
            </w:pPr>
          </w:p>
        </w:tc>
        <w:tc>
          <w:tcPr>
            <w:tcW w:w="4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2,706</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(655)</w:t>
            </w: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(1,669)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(13,830)</w:t>
            </w: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(7,643)</w:t>
            </w: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4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(1,684)</w:t>
            </w: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(163)</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Impact of business reorganization</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r>
      <w:tr>
        <w:trPr>
          <w:trHeight w:val="233"/>
        </w:trPr>
        <w:tc>
          <w:tcPr>
            <w:tcW w:w="3660" w:type="dxa"/>
            <w:vAlign w:val="bottom"/>
          </w:tcPr>
          <w:p>
            <w:pPr>
              <w:ind w:left="240"/>
              <w:spacing w:after="0"/>
              <w:rPr>
                <w:sz w:val="20"/>
                <w:szCs w:val="20"/>
                <w:color w:val="auto"/>
              </w:rPr>
            </w:pPr>
            <w:r>
              <w:rPr>
                <w:rFonts w:ascii="Arial" w:cs="Arial" w:eastAsia="Arial" w:hAnsi="Arial"/>
                <w:sz w:val="16"/>
                <w:szCs w:val="16"/>
                <w:color w:val="auto"/>
              </w:rPr>
              <w:t>Acquisition related expenses</w:t>
            </w:r>
          </w:p>
        </w:tc>
        <w:tc>
          <w:tcPr>
            <w:tcW w:w="4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(2,512)</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Loss on long-term investments</w:t>
            </w: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(655)</w:t>
            </w:r>
          </w:p>
        </w:tc>
      </w:tr>
    </w:tbl>
    <w:p>
      <w:pPr>
        <w:sectPr>
          <w:pgSz w:w="11900" w:h="16838" w:orient="portrait"/>
          <w:cols w:equalWidth="0" w:num="1">
            <w:col w:w="11240"/>
          </w:cols>
          <w:pgMar w:left="320" w:top="909" w:right="339" w:bottom="1440" w:gutter="0" w:footer="0" w:header="0"/>
        </w:sectPr>
      </w:pPr>
    </w:p>
    <w:bookmarkStart w:id="17" w:name="page18"/>
    <w:bookmarkEnd w:id="1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040" w:type="dxa"/>
            <w:vAlign w:val="bottom"/>
            <w:gridSpan w:val="4"/>
          </w:tcPr>
          <w:p>
            <w:pPr>
              <w:ind w:left="20"/>
              <w:spacing w:after="0"/>
              <w:rPr>
                <w:sz w:val="20"/>
                <w:szCs w:val="20"/>
                <w:color w:val="auto"/>
              </w:rPr>
            </w:pPr>
            <w:r>
              <w:rPr>
                <w:rFonts w:ascii="Arial" w:cs="Arial" w:eastAsia="Arial" w:hAnsi="Arial"/>
                <w:sz w:val="16"/>
                <w:szCs w:val="16"/>
                <w:b w:val="1"/>
                <w:bCs w:val="1"/>
                <w:color w:val="auto"/>
              </w:rPr>
              <w:t>TAKE-TWO INTERACTIVE SOFTWARE, INC. and SUBSIDIARIES</w:t>
            </w: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ADDITIONAL DATA</w:t>
            </w:r>
          </w:p>
        </w:tc>
        <w:tc>
          <w:tcPr>
            <w:tcW w:w="3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(in thousands)</w:t>
            </w:r>
          </w:p>
        </w:tc>
        <w:tc>
          <w:tcPr>
            <w:tcW w:w="3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36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w w:val="95"/>
              </w:rPr>
              <w:t>Cost of goods sold-</w:t>
            </w:r>
          </w:p>
        </w:tc>
        <w:tc>
          <w:tcPr>
            <w:tcW w:w="2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720" w:type="dxa"/>
            <w:vAlign w:val="bottom"/>
          </w:tcPr>
          <w:p>
            <w:pPr>
              <w:ind w:left="20"/>
              <w:spacing w:after="0"/>
              <w:rPr>
                <w:sz w:val="20"/>
                <w:szCs w:val="20"/>
                <w:color w:val="auto"/>
              </w:rPr>
            </w:pPr>
            <w:r>
              <w:rPr>
                <w:rFonts w:ascii="Arial" w:cs="Arial" w:eastAsia="Arial" w:hAnsi="Arial"/>
                <w:sz w:val="16"/>
                <w:szCs w:val="16"/>
                <w:b w:val="1"/>
                <w:bCs w:val="1"/>
                <w:color w:val="auto"/>
              </w:rPr>
              <w:t>Software</w:t>
            </w: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w w:val="98"/>
              </w:rPr>
              <w:t>Cost of goods</w:t>
            </w: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Internal</w:t>
            </w: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w w:val="99"/>
              </w:rPr>
              <w:t>development costs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Product</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Selling and</w:t>
            </w:r>
          </w:p>
        </w:tc>
        <w:tc>
          <w:tcPr>
            <w:tcW w:w="0" w:type="dxa"/>
            <w:vAlign w:val="bottom"/>
          </w:tcPr>
          <w:p>
            <w:pPr>
              <w:spacing w:after="0"/>
              <w:rPr>
                <w:sz w:val="1"/>
                <w:szCs w:val="1"/>
                <w:color w:val="auto"/>
              </w:rPr>
            </w:pP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Six Months Ended September 30, 2021</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Net revenue</w:t>
            </w:r>
          </w:p>
        </w:tc>
        <w:tc>
          <w:tcPr>
            <w:tcW w:w="660" w:type="dxa"/>
            <w:vAlign w:val="bottom"/>
          </w:tcPr>
          <w:p>
            <w:pPr>
              <w:ind w:left="20"/>
              <w:spacing w:after="0"/>
              <w:rPr>
                <w:sz w:val="20"/>
                <w:szCs w:val="20"/>
                <w:color w:val="auto"/>
              </w:rPr>
            </w:pPr>
            <w:r>
              <w:rPr>
                <w:rFonts w:ascii="Arial" w:cs="Arial" w:eastAsia="Arial" w:hAnsi="Arial"/>
                <w:sz w:val="16"/>
                <w:szCs w:val="16"/>
                <w:b w:val="1"/>
                <w:bCs w:val="1"/>
                <w:color w:val="auto"/>
                <w:w w:val="94"/>
              </w:rPr>
              <w:t>royalties</w:t>
            </w: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rPr>
              <w:t>and royalties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Licenses</w:t>
            </w:r>
          </w:p>
        </w:tc>
        <w:tc>
          <w:tcPr>
            <w:tcW w:w="380" w:type="dxa"/>
            <w:vAlign w:val="bottom"/>
          </w:tcPr>
          <w:p>
            <w:pPr>
              <w:ind w:left="20"/>
              <w:spacing w:after="0"/>
              <w:rPr>
                <w:sz w:val="20"/>
                <w:szCs w:val="20"/>
                <w:color w:val="auto"/>
              </w:rPr>
            </w:pPr>
            <w:r>
              <w:rPr>
                <w:rFonts w:ascii="Arial" w:cs="Arial" w:eastAsia="Arial" w:hAnsi="Arial"/>
                <w:sz w:val="16"/>
                <w:szCs w:val="16"/>
                <w:b w:val="1"/>
                <w:bCs w:val="1"/>
                <w:color w:val="auto"/>
                <w:w w:val="81"/>
              </w:rPr>
              <w:t>costs</w:t>
            </w: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marketing</w:t>
            </w:r>
          </w:p>
        </w:tc>
        <w:tc>
          <w:tcPr>
            <w:tcW w:w="0" w:type="dxa"/>
            <w:vAlign w:val="bottom"/>
          </w:tcPr>
          <w:p>
            <w:pPr>
              <w:spacing w:after="0"/>
              <w:rPr>
                <w:sz w:val="1"/>
                <w:szCs w:val="1"/>
                <w:color w:val="auto"/>
              </w:rPr>
            </w:pP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36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1,671,544</w:t>
            </w:r>
          </w:p>
        </w:tc>
        <w:tc>
          <w:tcPr>
            <w:tcW w:w="80" w:type="dxa"/>
            <w:vAlign w:val="bottom"/>
            <w:tcBorders>
              <w:top w:val="single" w:sz="8" w:color="CCEEFF"/>
            </w:tcBorders>
            <w:shd w:val="clear" w:color="auto" w:fill="CCEEFF"/>
          </w:tcPr>
          <w:p>
            <w:pPr>
              <w:spacing w:after="0"/>
              <w:rPr>
                <w:sz w:val="21"/>
                <w:szCs w:val="21"/>
                <w:color w:val="auto"/>
              </w:rPr>
            </w:pPr>
          </w:p>
        </w:tc>
        <w:tc>
          <w:tcPr>
            <w:tcW w:w="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96"/>
              </w:rPr>
              <w:t>304,964</w:t>
            </w:r>
          </w:p>
        </w:tc>
        <w:tc>
          <w:tcPr>
            <w:tcW w:w="8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231,906</w:t>
            </w:r>
          </w:p>
        </w:tc>
        <w:tc>
          <w:tcPr>
            <w:tcW w:w="8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136,534</w:t>
            </w:r>
          </w:p>
        </w:tc>
        <w:tc>
          <w:tcPr>
            <w:tcW w:w="8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96"/>
              </w:rPr>
              <w:t>112,993</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239,873</w:t>
            </w: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3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24,737</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3,580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393</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(3,500)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(22,386)</w:t>
            </w: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(15,167)</w:t>
            </w: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(25,096)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(3,650)</w:t>
            </w:r>
          </w:p>
        </w:tc>
        <w:tc>
          <w:tcPr>
            <w:tcW w:w="0" w:type="dxa"/>
            <w:vAlign w:val="bottom"/>
          </w:tcPr>
          <w:p>
            <w:pPr>
              <w:spacing w:after="0"/>
              <w:rPr>
                <w:sz w:val="1"/>
                <w:szCs w:val="1"/>
                <w:color w:val="auto"/>
              </w:rPr>
            </w:pPr>
          </w:p>
        </w:tc>
      </w:tr>
      <w:tr>
        <w:trPr>
          <w:trHeight w:val="266"/>
        </w:trPr>
        <w:tc>
          <w:tcPr>
            <w:tcW w:w="366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02"/>
        </w:trPr>
        <w:tc>
          <w:tcPr>
            <w:tcW w:w="36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w w:val="97"/>
              </w:rPr>
              <w:t>Gain (loss) on</w:t>
            </w: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long-term</w:t>
            </w: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General and</w:t>
            </w: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Research and</w:t>
            </w: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rPr>
              <w:t>Depreciation and</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Business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Interest and</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investments,</w:t>
            </w:r>
          </w:p>
        </w:tc>
        <w:tc>
          <w:tcPr>
            <w:tcW w:w="0" w:type="dxa"/>
            <w:vAlign w:val="bottom"/>
          </w:tcPr>
          <w:p>
            <w:pPr>
              <w:spacing w:after="0"/>
              <w:rPr>
                <w:sz w:val="1"/>
                <w:szCs w:val="1"/>
                <w:color w:val="auto"/>
              </w:rPr>
            </w:pP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Six Months Ended September 30, 2021</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administrative</w:t>
            </w: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development</w:t>
            </w: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rPr>
              <w:t>amortization</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reorganization</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other, net</w:t>
            </w:r>
          </w:p>
        </w:tc>
        <w:tc>
          <w:tcPr>
            <w:tcW w:w="340" w:type="dxa"/>
            <w:vAlign w:val="bottom"/>
          </w:tcPr>
          <w:p>
            <w:pPr>
              <w:ind w:left="20"/>
              <w:spacing w:after="0"/>
              <w:rPr>
                <w:sz w:val="20"/>
                <w:szCs w:val="20"/>
                <w:color w:val="auto"/>
              </w:rPr>
            </w:pPr>
            <w:r>
              <w:rPr>
                <w:rFonts w:ascii="Arial" w:cs="Arial" w:eastAsia="Arial" w:hAnsi="Arial"/>
                <w:sz w:val="16"/>
                <w:szCs w:val="16"/>
                <w:b w:val="1"/>
                <w:bCs w:val="1"/>
                <w:color w:val="auto"/>
              </w:rPr>
              <w:t>net</w:t>
            </w:r>
          </w:p>
        </w:tc>
        <w:tc>
          <w:tcPr>
            <w:tcW w:w="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36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231,778</w:t>
            </w:r>
          </w:p>
        </w:tc>
        <w:tc>
          <w:tcPr>
            <w:tcW w:w="80" w:type="dxa"/>
            <w:vAlign w:val="bottom"/>
            <w:tcBorders>
              <w:top w:val="single" w:sz="8" w:color="CCEEFF"/>
            </w:tcBorders>
            <w:shd w:val="clear" w:color="auto" w:fill="CCEEFF"/>
          </w:tcPr>
          <w:p>
            <w:pPr>
              <w:spacing w:after="0"/>
              <w:rPr>
                <w:sz w:val="21"/>
                <w:szCs w:val="21"/>
                <w:color w:val="auto"/>
              </w:rPr>
            </w:pPr>
          </w:p>
        </w:tc>
        <w:tc>
          <w:tcPr>
            <w:tcW w:w="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96"/>
              </w:rPr>
              <w:t>193,802</w:t>
            </w:r>
          </w:p>
        </w:tc>
        <w:tc>
          <w:tcPr>
            <w:tcW w:w="8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28,646</w:t>
            </w:r>
          </w:p>
        </w:tc>
        <w:tc>
          <w:tcPr>
            <w:tcW w:w="8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423</w:t>
            </w:r>
          </w:p>
        </w:tc>
        <w:tc>
          <w:tcPr>
            <w:tcW w:w="8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(1,599)</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2,392</w:t>
            </w: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325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(33,863)</w:t>
            </w: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(24,780)</w:t>
            </w: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(3,350)</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(706)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Impact of business reorganization</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(423)</w:t>
            </w: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3"/>
        </w:trPr>
        <w:tc>
          <w:tcPr>
            <w:tcW w:w="3660" w:type="dxa"/>
            <w:vAlign w:val="bottom"/>
          </w:tcPr>
          <w:p>
            <w:pPr>
              <w:ind w:left="240"/>
              <w:spacing w:after="0"/>
              <w:rPr>
                <w:sz w:val="20"/>
                <w:szCs w:val="20"/>
                <w:color w:val="auto"/>
              </w:rPr>
            </w:pPr>
            <w:r>
              <w:rPr>
                <w:rFonts w:ascii="Arial" w:cs="Arial" w:eastAsia="Arial" w:hAnsi="Arial"/>
                <w:sz w:val="16"/>
                <w:szCs w:val="16"/>
                <w:color w:val="auto"/>
              </w:rPr>
              <w:t>Acquisition related expenses</w:t>
            </w:r>
          </w:p>
        </w:tc>
        <w:tc>
          <w:tcPr>
            <w:tcW w:w="3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(25,554)</w:t>
            </w: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Gain on long-term investments, net</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(2,392)</w:t>
            </w:r>
          </w:p>
        </w:tc>
        <w:tc>
          <w:tcPr>
            <w:tcW w:w="0" w:type="dxa"/>
            <w:vAlign w:val="bottom"/>
          </w:tcPr>
          <w:p>
            <w:pPr>
              <w:spacing w:after="0"/>
              <w:rPr>
                <w:sz w:val="1"/>
                <w:szCs w:val="1"/>
                <w:color w:val="auto"/>
              </w:rPr>
            </w:pPr>
          </w:p>
        </w:tc>
      </w:tr>
      <w:tr>
        <w:trPr>
          <w:trHeight w:val="202"/>
        </w:trPr>
        <w:tc>
          <w:tcPr>
            <w:tcW w:w="36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w w:val="95"/>
              </w:rPr>
              <w:t>Cost of goods sold-</w:t>
            </w: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720" w:type="dxa"/>
            <w:vAlign w:val="bottom"/>
          </w:tcPr>
          <w:p>
            <w:pPr>
              <w:ind w:left="20"/>
              <w:spacing w:after="0"/>
              <w:rPr>
                <w:sz w:val="20"/>
                <w:szCs w:val="20"/>
                <w:color w:val="auto"/>
              </w:rPr>
            </w:pPr>
            <w:r>
              <w:rPr>
                <w:rFonts w:ascii="Arial" w:cs="Arial" w:eastAsia="Arial" w:hAnsi="Arial"/>
                <w:sz w:val="16"/>
                <w:szCs w:val="16"/>
                <w:b w:val="1"/>
                <w:bCs w:val="1"/>
                <w:color w:val="auto"/>
              </w:rPr>
              <w:t>Software</w:t>
            </w: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w w:val="98"/>
              </w:rPr>
              <w:t>Cost of goods</w:t>
            </w: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Internal</w:t>
            </w: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w w:val="99"/>
              </w:rPr>
              <w:t>development costs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Cost of goods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Product</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Selling and</w:t>
            </w:r>
          </w:p>
        </w:tc>
        <w:tc>
          <w:tcPr>
            <w:tcW w:w="0" w:type="dxa"/>
            <w:vAlign w:val="bottom"/>
          </w:tcPr>
          <w:p>
            <w:pPr>
              <w:spacing w:after="0"/>
              <w:rPr>
                <w:sz w:val="1"/>
                <w:szCs w:val="1"/>
                <w:color w:val="auto"/>
              </w:rPr>
            </w:pP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Six Months Ended September 30, 2020</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Net revenue</w:t>
            </w:r>
          </w:p>
        </w:tc>
        <w:tc>
          <w:tcPr>
            <w:tcW w:w="660" w:type="dxa"/>
            <w:vAlign w:val="bottom"/>
          </w:tcPr>
          <w:p>
            <w:pPr>
              <w:ind w:left="20"/>
              <w:spacing w:after="0"/>
              <w:rPr>
                <w:sz w:val="20"/>
                <w:szCs w:val="20"/>
                <w:color w:val="auto"/>
              </w:rPr>
            </w:pPr>
            <w:r>
              <w:rPr>
                <w:rFonts w:ascii="Arial" w:cs="Arial" w:eastAsia="Arial" w:hAnsi="Arial"/>
                <w:sz w:val="16"/>
                <w:szCs w:val="16"/>
                <w:b w:val="1"/>
                <w:bCs w:val="1"/>
                <w:color w:val="auto"/>
                <w:w w:val="94"/>
              </w:rPr>
              <w:t>royalties</w:t>
            </w: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rPr>
              <w:t>and royalties</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sold- Licenses</w:t>
            </w:r>
          </w:p>
        </w:tc>
        <w:tc>
          <w:tcPr>
            <w:tcW w:w="380" w:type="dxa"/>
            <w:vAlign w:val="bottom"/>
          </w:tcPr>
          <w:p>
            <w:pPr>
              <w:ind w:left="20"/>
              <w:spacing w:after="0"/>
              <w:rPr>
                <w:sz w:val="20"/>
                <w:szCs w:val="20"/>
                <w:color w:val="auto"/>
              </w:rPr>
            </w:pPr>
            <w:r>
              <w:rPr>
                <w:rFonts w:ascii="Arial" w:cs="Arial" w:eastAsia="Arial" w:hAnsi="Arial"/>
                <w:sz w:val="16"/>
                <w:szCs w:val="16"/>
                <w:b w:val="1"/>
                <w:bCs w:val="1"/>
                <w:color w:val="auto"/>
                <w:w w:val="81"/>
              </w:rPr>
              <w:t>costs</w:t>
            </w: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marketing</w:t>
            </w:r>
          </w:p>
        </w:tc>
        <w:tc>
          <w:tcPr>
            <w:tcW w:w="0" w:type="dxa"/>
            <w:vAlign w:val="bottom"/>
          </w:tcPr>
          <w:p>
            <w:pPr>
              <w:spacing w:after="0"/>
              <w:rPr>
                <w:sz w:val="1"/>
                <w:szCs w:val="1"/>
                <w:color w:val="auto"/>
              </w:rPr>
            </w:pP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36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1,672,452</w:t>
            </w:r>
          </w:p>
        </w:tc>
        <w:tc>
          <w:tcPr>
            <w:tcW w:w="80" w:type="dxa"/>
            <w:vAlign w:val="bottom"/>
            <w:tcBorders>
              <w:top w:val="single" w:sz="8" w:color="CCEEFF"/>
            </w:tcBorders>
            <w:shd w:val="clear" w:color="auto" w:fill="CCEEFF"/>
          </w:tcPr>
          <w:p>
            <w:pPr>
              <w:spacing w:after="0"/>
              <w:rPr>
                <w:sz w:val="21"/>
                <w:szCs w:val="21"/>
                <w:color w:val="auto"/>
              </w:rPr>
            </w:pPr>
          </w:p>
        </w:tc>
        <w:tc>
          <w:tcPr>
            <w:tcW w:w="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6"/>
              </w:rPr>
              <w:t>341,867</w:t>
            </w:r>
          </w:p>
        </w:tc>
        <w:tc>
          <w:tcPr>
            <w:tcW w:w="8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290,818</w:t>
            </w:r>
          </w:p>
        </w:tc>
        <w:tc>
          <w:tcPr>
            <w:tcW w:w="8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148,963</w:t>
            </w:r>
          </w:p>
        </w:tc>
        <w:tc>
          <w:tcPr>
            <w:tcW w:w="8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6"/>
              </w:rPr>
              <w:t>127,546</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spacing w:after="0"/>
              <w:rPr>
                <w:sz w:val="21"/>
                <w:szCs w:val="21"/>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$198,470</w:t>
            </w: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3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281,331</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20,260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(4,444)</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(3,589)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(48,429)</w:t>
            </w: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(9,167)</w:t>
            </w: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vMerge w:val="restart"/>
          </w:tcPr>
          <w:p>
            <w:pPr>
              <w:jc w:val="right"/>
              <w:spacing w:after="0"/>
              <w:rPr>
                <w:sz w:val="20"/>
                <w:szCs w:val="20"/>
                <w:color w:val="auto"/>
              </w:rPr>
            </w:pPr>
            <w:r>
              <w:rPr>
                <w:rFonts w:ascii="Arial" w:cs="Arial" w:eastAsia="Arial" w:hAnsi="Arial"/>
                <w:sz w:val="18"/>
                <w:szCs w:val="18"/>
                <w:color w:val="auto"/>
              </w:rPr>
              <w:t>(517)</w:t>
            </w: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(7,694)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66"/>
        </w:trPr>
        <w:tc>
          <w:tcPr>
            <w:tcW w:w="366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02"/>
        </w:trPr>
        <w:tc>
          <w:tcPr>
            <w:tcW w:w="36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w w:val="97"/>
              </w:rPr>
              <w:t>Gain (loss) on</w:t>
            </w: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long-term</w:t>
            </w:r>
          </w:p>
        </w:tc>
        <w:tc>
          <w:tcPr>
            <w:tcW w:w="0" w:type="dxa"/>
            <w:vAlign w:val="bottom"/>
          </w:tcPr>
          <w:p>
            <w:pPr>
              <w:spacing w:after="0"/>
              <w:rPr>
                <w:sz w:val="1"/>
                <w:szCs w:val="1"/>
                <w:color w:val="auto"/>
              </w:rPr>
            </w:pPr>
          </w:p>
        </w:tc>
      </w:tr>
      <w:tr>
        <w:trPr>
          <w:trHeight w:val="189"/>
        </w:trPr>
        <w:tc>
          <w:tcPr>
            <w:tcW w:w="366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General and</w:t>
            </w: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Research and</w:t>
            </w: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rPr>
              <w:t>Depreciation and</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Business</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Interest and</w:t>
            </w:r>
          </w:p>
        </w:tc>
        <w:tc>
          <w:tcPr>
            <w:tcW w:w="1080" w:type="dxa"/>
            <w:vAlign w:val="bottom"/>
            <w:gridSpan w:val="2"/>
          </w:tcPr>
          <w:p>
            <w:pPr>
              <w:ind w:left="20"/>
              <w:spacing w:after="0"/>
              <w:rPr>
                <w:sz w:val="20"/>
                <w:szCs w:val="20"/>
                <w:color w:val="auto"/>
              </w:rPr>
            </w:pPr>
            <w:r>
              <w:rPr>
                <w:rFonts w:ascii="Arial" w:cs="Arial" w:eastAsia="Arial" w:hAnsi="Arial"/>
                <w:sz w:val="16"/>
                <w:szCs w:val="16"/>
                <w:b w:val="1"/>
                <w:bCs w:val="1"/>
                <w:color w:val="auto"/>
              </w:rPr>
              <w:t>investments,</w:t>
            </w:r>
          </w:p>
        </w:tc>
        <w:tc>
          <w:tcPr>
            <w:tcW w:w="0" w:type="dxa"/>
            <w:vAlign w:val="bottom"/>
          </w:tcPr>
          <w:p>
            <w:pPr>
              <w:spacing w:after="0"/>
              <w:rPr>
                <w:sz w:val="1"/>
                <w:szCs w:val="1"/>
                <w:color w:val="auto"/>
              </w:rPr>
            </w:pPr>
          </w:p>
        </w:tc>
      </w:tr>
      <w:tr>
        <w:trPr>
          <w:trHeight w:val="223"/>
        </w:trPr>
        <w:tc>
          <w:tcPr>
            <w:tcW w:w="3660" w:type="dxa"/>
            <w:vAlign w:val="bottom"/>
          </w:tcPr>
          <w:p>
            <w:pPr>
              <w:ind w:left="20"/>
              <w:spacing w:after="0"/>
              <w:rPr>
                <w:sz w:val="20"/>
                <w:szCs w:val="20"/>
                <w:color w:val="auto"/>
              </w:rPr>
            </w:pPr>
            <w:r>
              <w:rPr>
                <w:rFonts w:ascii="Arial" w:cs="Arial" w:eastAsia="Arial" w:hAnsi="Arial"/>
                <w:sz w:val="16"/>
                <w:szCs w:val="16"/>
                <w:b w:val="1"/>
                <w:bCs w:val="1"/>
                <w:color w:val="auto"/>
              </w:rPr>
              <w:t>Six Months Ended September 30, 2020</w:t>
            </w:r>
          </w:p>
        </w:tc>
        <w:tc>
          <w:tcPr>
            <w:tcW w:w="1380" w:type="dxa"/>
            <w:vAlign w:val="bottom"/>
            <w:gridSpan w:val="3"/>
          </w:tcPr>
          <w:p>
            <w:pPr>
              <w:ind w:left="40"/>
              <w:spacing w:after="0"/>
              <w:rPr>
                <w:sz w:val="20"/>
                <w:szCs w:val="20"/>
                <w:color w:val="auto"/>
              </w:rPr>
            </w:pPr>
            <w:r>
              <w:rPr>
                <w:rFonts w:ascii="Arial" w:cs="Arial" w:eastAsia="Arial" w:hAnsi="Arial"/>
                <w:sz w:val="16"/>
                <w:szCs w:val="16"/>
                <w:b w:val="1"/>
                <w:bCs w:val="1"/>
                <w:color w:val="auto"/>
              </w:rPr>
              <w:t>administrative</w:t>
            </w:r>
          </w:p>
        </w:tc>
        <w:tc>
          <w:tcPr>
            <w:tcW w:w="1380" w:type="dxa"/>
            <w:vAlign w:val="bottom"/>
            <w:gridSpan w:val="3"/>
          </w:tcPr>
          <w:p>
            <w:pPr>
              <w:ind w:left="20"/>
              <w:spacing w:after="0"/>
              <w:rPr>
                <w:sz w:val="20"/>
                <w:szCs w:val="20"/>
                <w:color w:val="auto"/>
              </w:rPr>
            </w:pPr>
            <w:r>
              <w:rPr>
                <w:rFonts w:ascii="Arial" w:cs="Arial" w:eastAsia="Arial" w:hAnsi="Arial"/>
                <w:sz w:val="16"/>
                <w:szCs w:val="16"/>
                <w:b w:val="1"/>
                <w:bCs w:val="1"/>
                <w:color w:val="auto"/>
              </w:rPr>
              <w:t>development</w:t>
            </w:r>
          </w:p>
        </w:tc>
        <w:tc>
          <w:tcPr>
            <w:tcW w:w="1480" w:type="dxa"/>
            <w:vAlign w:val="bottom"/>
            <w:gridSpan w:val="3"/>
          </w:tcPr>
          <w:p>
            <w:pPr>
              <w:ind w:left="20"/>
              <w:spacing w:after="0"/>
              <w:rPr>
                <w:sz w:val="20"/>
                <w:szCs w:val="20"/>
                <w:color w:val="auto"/>
              </w:rPr>
            </w:pPr>
            <w:r>
              <w:rPr>
                <w:rFonts w:ascii="Arial" w:cs="Arial" w:eastAsia="Arial" w:hAnsi="Arial"/>
                <w:sz w:val="16"/>
                <w:szCs w:val="16"/>
                <w:b w:val="1"/>
                <w:bCs w:val="1"/>
                <w:color w:val="auto"/>
              </w:rPr>
              <w:t>amortization</w:t>
            </w:r>
          </w:p>
        </w:tc>
        <w:tc>
          <w:tcPr>
            <w:tcW w:w="1160" w:type="dxa"/>
            <w:vAlign w:val="bottom"/>
            <w:gridSpan w:val="3"/>
          </w:tcPr>
          <w:p>
            <w:pPr>
              <w:ind w:left="20"/>
              <w:spacing w:after="0"/>
              <w:rPr>
                <w:sz w:val="20"/>
                <w:szCs w:val="20"/>
                <w:color w:val="auto"/>
              </w:rPr>
            </w:pPr>
            <w:r>
              <w:rPr>
                <w:rFonts w:ascii="Arial" w:cs="Arial" w:eastAsia="Arial" w:hAnsi="Arial"/>
                <w:sz w:val="16"/>
                <w:szCs w:val="16"/>
                <w:b w:val="1"/>
                <w:bCs w:val="1"/>
                <w:color w:val="auto"/>
              </w:rPr>
              <w:t>reorganization</w:t>
            </w:r>
          </w:p>
        </w:tc>
        <w:tc>
          <w:tcPr>
            <w:tcW w:w="1100" w:type="dxa"/>
            <w:vAlign w:val="bottom"/>
            <w:gridSpan w:val="3"/>
          </w:tcPr>
          <w:p>
            <w:pPr>
              <w:ind w:left="20"/>
              <w:spacing w:after="0"/>
              <w:rPr>
                <w:sz w:val="20"/>
                <w:szCs w:val="20"/>
                <w:color w:val="auto"/>
              </w:rPr>
            </w:pPr>
            <w:r>
              <w:rPr>
                <w:rFonts w:ascii="Arial" w:cs="Arial" w:eastAsia="Arial" w:hAnsi="Arial"/>
                <w:sz w:val="16"/>
                <w:szCs w:val="16"/>
                <w:b w:val="1"/>
                <w:bCs w:val="1"/>
                <w:color w:val="auto"/>
              </w:rPr>
              <w:t>other, net</w:t>
            </w:r>
          </w:p>
        </w:tc>
        <w:tc>
          <w:tcPr>
            <w:tcW w:w="340" w:type="dxa"/>
            <w:vAlign w:val="bottom"/>
          </w:tcPr>
          <w:p>
            <w:pPr>
              <w:ind w:left="20"/>
              <w:spacing w:after="0"/>
              <w:rPr>
                <w:sz w:val="20"/>
                <w:szCs w:val="20"/>
                <w:color w:val="auto"/>
              </w:rPr>
            </w:pPr>
            <w:r>
              <w:rPr>
                <w:rFonts w:ascii="Arial" w:cs="Arial" w:eastAsia="Arial" w:hAnsi="Arial"/>
                <w:sz w:val="16"/>
                <w:szCs w:val="16"/>
                <w:b w:val="1"/>
                <w:bCs w:val="1"/>
                <w:color w:val="auto"/>
              </w:rPr>
              <w:t>net</w:t>
            </w:r>
          </w:p>
        </w:tc>
        <w:tc>
          <w:tcPr>
            <w:tcW w:w="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3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As reported</w:t>
            </w:r>
          </w:p>
        </w:tc>
        <w:tc>
          <w:tcPr>
            <w:tcW w:w="36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193,606</w:t>
            </w:r>
          </w:p>
        </w:tc>
        <w:tc>
          <w:tcPr>
            <w:tcW w:w="80" w:type="dxa"/>
            <w:vAlign w:val="bottom"/>
            <w:tcBorders>
              <w:top w:val="single" w:sz="8" w:color="CCEEFF"/>
            </w:tcBorders>
            <w:shd w:val="clear" w:color="auto" w:fill="CCEEFF"/>
          </w:tcPr>
          <w:p>
            <w:pPr>
              <w:spacing w:after="0"/>
              <w:rPr>
                <w:sz w:val="21"/>
                <w:szCs w:val="21"/>
                <w:color w:val="auto"/>
              </w:rPr>
            </w:pPr>
          </w:p>
        </w:tc>
        <w:tc>
          <w:tcPr>
            <w:tcW w:w="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6"/>
              </w:rPr>
              <w:t>147,324</w:t>
            </w:r>
          </w:p>
        </w:tc>
        <w:tc>
          <w:tcPr>
            <w:tcW w:w="8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26,109</w:t>
            </w:r>
          </w:p>
        </w:tc>
        <w:tc>
          <w:tcPr>
            <w:tcW w:w="8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80" w:type="dxa"/>
            <w:vAlign w:val="bottom"/>
            <w:tcBorders>
              <w:top w:val="single" w:sz="8" w:color="CCEEFF"/>
            </w:tcBorders>
            <w:shd w:val="clear" w:color="auto" w:fill="CCEEFF"/>
          </w:tcPr>
          <w:p>
            <w:pPr>
              <w:spacing w:after="0"/>
              <w:rPr>
                <w:sz w:val="21"/>
                <w:szCs w:val="21"/>
                <w:color w:val="auto"/>
              </w:rPr>
            </w:pPr>
          </w:p>
        </w:tc>
        <w:tc>
          <w:tcPr>
            <w:tcW w:w="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10,924</w:t>
            </w:r>
          </w:p>
        </w:tc>
        <w:tc>
          <w:tcPr>
            <w:tcW w:w="8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(655)</w:t>
            </w: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w w:val="92"/>
              </w:rPr>
              <w:t>Net effect from deferred revenue and related cost of</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goods sold</w:t>
            </w: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(2,430)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Stock-based compensation</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(27,030)</w:t>
            </w: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14,093</w:t>
            </w: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660" w:type="dxa"/>
            <w:vAlign w:val="bottom"/>
          </w:tcPr>
          <w:p>
            <w:pPr>
              <w:ind w:left="240"/>
              <w:spacing w:after="0"/>
              <w:rPr>
                <w:sz w:val="20"/>
                <w:szCs w:val="20"/>
                <w:color w:val="auto"/>
              </w:rPr>
            </w:pPr>
            <w:r>
              <w:rPr>
                <w:rFonts w:ascii="Arial" w:cs="Arial" w:eastAsia="Arial" w:hAnsi="Arial"/>
                <w:sz w:val="16"/>
                <w:szCs w:val="16"/>
                <w:color w:val="auto"/>
              </w:rPr>
              <w:t>Amortization and impairment of acquired</w:t>
            </w:r>
          </w:p>
        </w:tc>
        <w:tc>
          <w:tcPr>
            <w:tcW w:w="3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60" w:type="dxa"/>
            <w:vAlign w:val="bottom"/>
          </w:tcPr>
          <w:p>
            <w:pPr>
              <w:ind w:left="240"/>
              <w:spacing w:after="0"/>
              <w:rPr>
                <w:sz w:val="20"/>
                <w:szCs w:val="20"/>
                <w:color w:val="auto"/>
              </w:rPr>
            </w:pPr>
            <w:r>
              <w:rPr>
                <w:rFonts w:ascii="Arial" w:cs="Arial" w:eastAsia="Arial" w:hAnsi="Arial"/>
                <w:sz w:val="16"/>
                <w:szCs w:val="16"/>
                <w:color w:val="auto"/>
              </w:rPr>
              <w:t>intangibles</w:t>
            </w: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(3,237)</w:t>
            </w: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(283)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Impact of business reorganization</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3"/>
        </w:trPr>
        <w:tc>
          <w:tcPr>
            <w:tcW w:w="3660" w:type="dxa"/>
            <w:vAlign w:val="bottom"/>
          </w:tcPr>
          <w:p>
            <w:pPr>
              <w:ind w:left="240"/>
              <w:spacing w:after="0"/>
              <w:rPr>
                <w:sz w:val="20"/>
                <w:szCs w:val="20"/>
                <w:color w:val="auto"/>
              </w:rPr>
            </w:pPr>
            <w:r>
              <w:rPr>
                <w:rFonts w:ascii="Arial" w:cs="Arial" w:eastAsia="Arial" w:hAnsi="Arial"/>
                <w:sz w:val="16"/>
                <w:szCs w:val="16"/>
                <w:color w:val="auto"/>
              </w:rPr>
              <w:t>Acquisition related expenses</w:t>
            </w:r>
          </w:p>
        </w:tc>
        <w:tc>
          <w:tcPr>
            <w:tcW w:w="3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(2,512)</w:t>
            </w: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3"/>
        </w:trPr>
        <w:tc>
          <w:tcPr>
            <w:tcW w:w="3660" w:type="dxa"/>
            <w:vAlign w:val="bottom"/>
            <w:shd w:val="clear" w:color="auto" w:fill="CCEEFF"/>
          </w:tcPr>
          <w:p>
            <w:pPr>
              <w:ind w:left="240"/>
              <w:spacing w:after="0"/>
              <w:rPr>
                <w:sz w:val="20"/>
                <w:szCs w:val="20"/>
                <w:color w:val="auto"/>
              </w:rPr>
            </w:pPr>
            <w:r>
              <w:rPr>
                <w:rFonts w:ascii="Arial" w:cs="Arial" w:eastAsia="Arial" w:hAnsi="Arial"/>
                <w:sz w:val="16"/>
                <w:szCs w:val="16"/>
                <w:color w:val="auto"/>
              </w:rPr>
              <w:t>Loss on long-term investments</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(655)</w:t>
            </w:r>
          </w:p>
        </w:tc>
        <w:tc>
          <w:tcPr>
            <w:tcW w:w="0" w:type="dxa"/>
            <w:vAlign w:val="bottom"/>
          </w:tcPr>
          <w:p>
            <w:pPr>
              <w:spacing w:after="0"/>
              <w:rPr>
                <w:sz w:val="1"/>
                <w:szCs w:val="1"/>
                <w:color w:val="auto"/>
              </w:rPr>
            </w:pPr>
          </w:p>
        </w:tc>
      </w:tr>
    </w:tbl>
    <w:p>
      <w:pPr>
        <w:sectPr>
          <w:pgSz w:w="11900" w:h="16838" w:orient="portrait"/>
          <w:cols w:equalWidth="0" w:num="1">
            <w:col w:w="11240"/>
          </w:cols>
          <w:pgMar w:left="320" w:top="909" w:right="339" w:bottom="1440" w:gutter="0" w:footer="0" w:header="0"/>
        </w:sectPr>
      </w:pPr>
    </w:p>
    <w:bookmarkStart w:id="18" w:name="page19"/>
    <w:bookmarkEnd w:id="18"/>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RECONCILIATION OF GAAP TO NON-GAAP MEASURE</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(in thousands)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20" w:type="dxa"/>
            <w:vAlign w:val="bottom"/>
          </w:tcPr>
          <w:p>
            <w:pPr>
              <w:spacing w:after="0"/>
              <w:rPr>
                <w:sz w:val="20"/>
                <w:szCs w:val="20"/>
                <w:color w:val="auto"/>
              </w:rPr>
            </w:pPr>
          </w:p>
        </w:tc>
        <w:tc>
          <w:tcPr>
            <w:tcW w:w="3720" w:type="dxa"/>
            <w:vAlign w:val="bottom"/>
            <w:gridSpan w:val="5"/>
          </w:tcPr>
          <w:p>
            <w:pPr>
              <w:jc w:val="right"/>
              <w:ind w:right="490"/>
              <w:spacing w:after="0"/>
              <w:rPr>
                <w:sz w:val="20"/>
                <w:szCs w:val="20"/>
                <w:color w:val="auto"/>
              </w:rPr>
            </w:pPr>
            <w:r>
              <w:rPr>
                <w:rFonts w:ascii="Arial" w:cs="Arial" w:eastAsia="Arial" w:hAnsi="Arial"/>
                <w:sz w:val="18"/>
                <w:szCs w:val="18"/>
                <w:b w:val="1"/>
                <w:bCs w:val="1"/>
                <w:color w:val="auto"/>
              </w:rPr>
              <w:t>Six Months Ended September 30,</w:t>
            </w:r>
          </w:p>
        </w:tc>
      </w:tr>
      <w:tr>
        <w:trPr>
          <w:trHeight w:val="27"/>
        </w:trPr>
        <w:tc>
          <w:tcPr>
            <w:tcW w:w="752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37"/>
        </w:trPr>
        <w:tc>
          <w:tcPr>
            <w:tcW w:w="75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2021</w:t>
            </w: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0" w:type="dxa"/>
            <w:vAlign w:val="bottom"/>
          </w:tcPr>
          <w:p>
            <w:pPr>
              <w:jc w:val="right"/>
              <w:ind w:right="650"/>
              <w:spacing w:after="0"/>
              <w:rPr>
                <w:sz w:val="20"/>
                <w:szCs w:val="20"/>
                <w:color w:val="auto"/>
              </w:rPr>
            </w:pPr>
            <w:r>
              <w:rPr>
                <w:rFonts w:ascii="Arial" w:cs="Arial" w:eastAsia="Arial" w:hAnsi="Arial"/>
                <w:sz w:val="18"/>
                <w:szCs w:val="18"/>
                <w:b w:val="1"/>
                <w:bCs w:val="1"/>
                <w:color w:val="auto"/>
              </w:rPr>
              <w:t>2020</w:t>
            </w:r>
          </w:p>
        </w:tc>
      </w:tr>
      <w:tr>
        <w:trPr>
          <w:trHeight w:val="27"/>
        </w:trPr>
        <w:tc>
          <w:tcPr>
            <w:tcW w:w="752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3"/>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cash from operating activities</w:t>
            </w:r>
          </w:p>
        </w:tc>
        <w:tc>
          <w:tcPr>
            <w:tcW w:w="1080" w:type="dxa"/>
            <w:vAlign w:val="bottom"/>
            <w:tcBorders>
              <w:bottom w:val="single" w:sz="8" w:color="CCEEFF"/>
            </w:tcBorders>
            <w:shd w:val="clear" w:color="auto" w:fill="CCEEFF"/>
          </w:tcPr>
          <w:p>
            <w:pPr>
              <w:jc w:val="right"/>
              <w:ind w:right="89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8"/>
              </w:rPr>
              <w:t>283,679</w:t>
            </w:r>
          </w:p>
        </w:tc>
        <w:tc>
          <w:tcPr>
            <w:tcW w:w="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40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8"/>
                <w:szCs w:val="18"/>
                <w:color w:val="auto"/>
                <w:w w:val="98"/>
              </w:rPr>
              <w:t>626,745</w:t>
            </w:r>
          </w:p>
        </w:tc>
      </w:tr>
      <w:tr>
        <w:trPr>
          <w:trHeight w:val="270"/>
        </w:trPr>
        <w:tc>
          <w:tcPr>
            <w:tcW w:w="752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 xml:space="preserve">Net change in Restricted cash </w:t>
            </w:r>
            <w:r>
              <w:rPr>
                <w:rFonts w:ascii="Arial" w:cs="Arial" w:eastAsia="Arial" w:hAnsi="Arial"/>
                <w:sz w:val="23"/>
                <w:szCs w:val="23"/>
                <w:color w:val="auto"/>
                <w:vertAlign w:val="superscript"/>
              </w:rPr>
              <w:t>(1)</w:t>
            </w:r>
          </w:p>
        </w:tc>
        <w:tc>
          <w:tcPr>
            <w:tcW w:w="108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(227,573)</w:t>
            </w:r>
          </w:p>
        </w:tc>
        <w:tc>
          <w:tcPr>
            <w:tcW w:w="80" w:type="dxa"/>
            <w:vAlign w:val="bottom"/>
            <w:tcBorders>
              <w:bottom w:val="single" w:sz="8" w:color="CCEEFF"/>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ind w:left="760"/>
              <w:spacing w:after="0"/>
              <w:rPr>
                <w:sz w:val="20"/>
                <w:szCs w:val="20"/>
                <w:color w:val="auto"/>
              </w:rPr>
            </w:pPr>
            <w:r>
              <w:rPr>
                <w:rFonts w:ascii="Arial" w:cs="Arial" w:eastAsia="Arial" w:hAnsi="Arial"/>
                <w:sz w:val="18"/>
                <w:szCs w:val="18"/>
                <w:color w:val="auto"/>
                <w:w w:val="92"/>
              </w:rPr>
              <w:t>(90,513)</w:t>
            </w:r>
          </w:p>
        </w:tc>
      </w:tr>
      <w:tr>
        <w:trPr>
          <w:trHeight w:val="288"/>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Unrestricted Operating Cash Flow</w:t>
            </w:r>
          </w:p>
        </w:tc>
        <w:tc>
          <w:tcPr>
            <w:tcW w:w="1080" w:type="dxa"/>
            <w:vAlign w:val="bottom"/>
            <w:tcBorders>
              <w:bottom w:val="single" w:sz="8" w:color="auto"/>
            </w:tcBorders>
            <w:shd w:val="clear" w:color="auto" w:fill="CCEEFF"/>
          </w:tcPr>
          <w:p>
            <w:pPr>
              <w:jc w:val="right"/>
              <w:ind w:right="89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56,106</w:t>
            </w:r>
          </w:p>
        </w:tc>
        <w:tc>
          <w:tcPr>
            <w:tcW w:w="80" w:type="dxa"/>
            <w:vAlign w:val="bottom"/>
            <w:tcBorders>
              <w:bottom w:val="single" w:sz="8" w:color="CCEEFF"/>
            </w:tcBorders>
            <w:shd w:val="clear" w:color="auto" w:fill="CCEEFF"/>
          </w:tcPr>
          <w:p>
            <w:pPr>
              <w:spacing w:after="0"/>
              <w:rPr>
                <w:sz w:val="24"/>
                <w:szCs w:val="24"/>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400" w:type="dxa"/>
            <w:vAlign w:val="bottom"/>
            <w:tcBorders>
              <w:bottom w:val="single" w:sz="8" w:color="auto"/>
            </w:tcBorders>
            <w:shd w:val="clear" w:color="auto" w:fill="CCEEFF"/>
          </w:tcPr>
          <w:p>
            <w:pPr>
              <w:ind w:left="740"/>
              <w:spacing w:after="0"/>
              <w:rPr>
                <w:sz w:val="20"/>
                <w:szCs w:val="20"/>
                <w:color w:val="auto"/>
              </w:rPr>
            </w:pPr>
            <w:r>
              <w:rPr>
                <w:rFonts w:ascii="Arial" w:cs="Arial" w:eastAsia="Arial" w:hAnsi="Arial"/>
                <w:sz w:val="18"/>
                <w:szCs w:val="18"/>
                <w:color w:val="auto"/>
                <w:w w:val="98"/>
              </w:rPr>
              <w:t>536,232</w:t>
            </w:r>
          </w:p>
        </w:tc>
      </w:tr>
      <w:tr>
        <w:trPr>
          <w:trHeight w:val="20"/>
        </w:trPr>
        <w:tc>
          <w:tcPr>
            <w:tcW w:w="75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r>
    </w:tbl>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75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560" w:type="dxa"/>
            <w:vAlign w:val="bottom"/>
            <w:gridSpan w:val="2"/>
            <w:shd w:val="clear" w:color="auto" w:fill="CCEEFF"/>
          </w:tcPr>
          <w:p>
            <w:pPr>
              <w:ind w:left="240"/>
              <w:spacing w:after="0"/>
              <w:rPr>
                <w:sz w:val="20"/>
                <w:szCs w:val="20"/>
                <w:color w:val="auto"/>
              </w:rPr>
            </w:pPr>
            <w:r>
              <w:rPr>
                <w:rFonts w:ascii="Arial" w:cs="Arial" w:eastAsia="Arial" w:hAnsi="Arial"/>
                <w:sz w:val="18"/>
                <w:szCs w:val="18"/>
                <w:b w:val="1"/>
                <w:bCs w:val="1"/>
                <w:color w:val="auto"/>
              </w:rPr>
              <w:t>FY 2022</w:t>
            </w:r>
          </w:p>
        </w:tc>
        <w:tc>
          <w:tcPr>
            <w:tcW w:w="340" w:type="dxa"/>
            <w:vAlign w:val="bottom"/>
            <w:shd w:val="clear" w:color="auto" w:fill="CCEEFF"/>
          </w:tcPr>
          <w:p>
            <w:pPr>
              <w:spacing w:after="0"/>
              <w:rPr>
                <w:sz w:val="22"/>
                <w:szCs w:val="22"/>
                <w:color w:val="auto"/>
              </w:rPr>
            </w:pPr>
          </w:p>
        </w:tc>
        <w:tc>
          <w:tcPr>
            <w:tcW w:w="1480" w:type="dxa"/>
            <w:vAlign w:val="bottom"/>
            <w:shd w:val="clear" w:color="auto" w:fill="CCEEFF"/>
          </w:tcPr>
          <w:p>
            <w:pPr>
              <w:ind w:left="240"/>
              <w:spacing w:after="0"/>
              <w:rPr>
                <w:sz w:val="20"/>
                <w:szCs w:val="20"/>
                <w:color w:val="auto"/>
              </w:rPr>
            </w:pPr>
            <w:r>
              <w:rPr>
                <w:rFonts w:ascii="Arial" w:cs="Arial" w:eastAsia="Arial" w:hAnsi="Arial"/>
                <w:sz w:val="18"/>
                <w:szCs w:val="18"/>
                <w:b w:val="1"/>
                <w:bCs w:val="1"/>
                <w:color w:val="auto"/>
              </w:rPr>
              <w:t>FY 2021</w:t>
            </w:r>
          </w:p>
        </w:tc>
      </w:tr>
      <w:tr>
        <w:trPr>
          <w:trHeight w:val="243"/>
        </w:trPr>
        <w:tc>
          <w:tcPr>
            <w:tcW w:w="7520" w:type="dxa"/>
            <w:vAlign w:val="bottom"/>
          </w:tcPr>
          <w:p>
            <w:pPr>
              <w:ind w:left="240"/>
              <w:spacing w:after="0"/>
              <w:rPr>
                <w:sz w:val="20"/>
                <w:szCs w:val="20"/>
                <w:color w:val="auto"/>
              </w:rPr>
            </w:pPr>
            <w:r>
              <w:rPr>
                <w:rFonts w:ascii="Arial" w:cs="Arial" w:eastAsia="Arial" w:hAnsi="Arial"/>
                <w:sz w:val="18"/>
                <w:szCs w:val="18"/>
                <w:color w:val="auto"/>
              </w:rPr>
              <w:t>Restricted cash beginning of period (4/1)</w:t>
            </w: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637,363</w:t>
            </w:r>
          </w:p>
        </w:tc>
        <w:tc>
          <w:tcPr>
            <w:tcW w:w="80" w:type="dxa"/>
            <w:vAlign w:val="bottom"/>
          </w:tcPr>
          <w:p>
            <w:pPr>
              <w:spacing w:after="0"/>
              <w:rPr>
                <w:sz w:val="21"/>
                <w:szCs w:val="21"/>
                <w:color w:val="auto"/>
              </w:rPr>
            </w:pPr>
          </w:p>
        </w:tc>
        <w:tc>
          <w:tcPr>
            <w:tcW w:w="3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tcBorders>
          </w:tcPr>
          <w:p>
            <w:pPr>
              <w:ind w:left="820"/>
              <w:spacing w:after="0"/>
              <w:rPr>
                <w:sz w:val="20"/>
                <w:szCs w:val="20"/>
                <w:color w:val="auto"/>
              </w:rPr>
            </w:pPr>
            <w:r>
              <w:rPr>
                <w:rFonts w:ascii="Arial" w:cs="Arial" w:eastAsia="Arial" w:hAnsi="Arial"/>
                <w:sz w:val="18"/>
                <w:szCs w:val="18"/>
                <w:color w:val="auto"/>
                <w:w w:val="98"/>
              </w:rPr>
              <w:t>635,728</w:t>
            </w:r>
          </w:p>
        </w:tc>
      </w:tr>
      <w:tr>
        <w:trPr>
          <w:trHeight w:val="27"/>
        </w:trPr>
        <w:tc>
          <w:tcPr>
            <w:tcW w:w="7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75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Restricted cash end of period (9/30)</w:t>
            </w:r>
          </w:p>
        </w:tc>
        <w:tc>
          <w:tcPr>
            <w:tcW w:w="3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857,805</w:t>
            </w: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ind w:left="820"/>
              <w:spacing w:after="0"/>
              <w:rPr>
                <w:sz w:val="20"/>
                <w:szCs w:val="20"/>
                <w:color w:val="auto"/>
              </w:rPr>
            </w:pPr>
            <w:r>
              <w:rPr>
                <w:rFonts w:ascii="Arial" w:cs="Arial" w:eastAsia="Arial" w:hAnsi="Arial"/>
                <w:sz w:val="18"/>
                <w:szCs w:val="18"/>
                <w:color w:val="auto"/>
                <w:w w:val="98"/>
              </w:rPr>
              <w:t>739,681</w:t>
            </w:r>
          </w:p>
        </w:tc>
      </w:tr>
      <w:tr>
        <w:trPr>
          <w:trHeight w:val="243"/>
        </w:trPr>
        <w:tc>
          <w:tcPr>
            <w:tcW w:w="7520" w:type="dxa"/>
            <w:vAlign w:val="bottom"/>
          </w:tcPr>
          <w:p>
            <w:pPr>
              <w:ind w:left="240"/>
              <w:spacing w:after="0"/>
              <w:rPr>
                <w:sz w:val="20"/>
                <w:szCs w:val="20"/>
                <w:color w:val="auto"/>
              </w:rPr>
            </w:pPr>
            <w:r>
              <w:rPr>
                <w:rFonts w:ascii="Arial" w:cs="Arial" w:eastAsia="Arial" w:hAnsi="Arial"/>
                <w:sz w:val="18"/>
                <w:szCs w:val="18"/>
                <w:color w:val="auto"/>
              </w:rPr>
              <w:t>Restricted cash related to acquisitions</w:t>
            </w:r>
          </w:p>
        </w:tc>
        <w:tc>
          <w:tcPr>
            <w:tcW w:w="34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7,131</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80" w:type="dxa"/>
            <w:vAlign w:val="bottom"/>
          </w:tcPr>
          <w:p>
            <w:pPr>
              <w:ind w:left="840"/>
              <w:spacing w:after="0"/>
              <w:rPr>
                <w:sz w:val="20"/>
                <w:szCs w:val="20"/>
                <w:color w:val="auto"/>
              </w:rPr>
            </w:pPr>
            <w:r>
              <w:rPr>
                <w:rFonts w:ascii="Arial" w:cs="Arial" w:eastAsia="Arial" w:hAnsi="Arial"/>
                <w:sz w:val="18"/>
                <w:szCs w:val="18"/>
                <w:color w:val="auto"/>
                <w:w w:val="92"/>
              </w:rPr>
              <w:t>(13,440)</w:t>
            </w:r>
          </w:p>
        </w:tc>
      </w:tr>
      <w:tr>
        <w:trPr>
          <w:trHeight w:val="27"/>
        </w:trPr>
        <w:tc>
          <w:tcPr>
            <w:tcW w:w="75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88"/>
        </w:trPr>
        <w:tc>
          <w:tcPr>
            <w:tcW w:w="75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23"/>
                <w:szCs w:val="23"/>
                <w:color w:val="auto"/>
                <w:vertAlign w:val="superscript"/>
              </w:rPr>
              <w:t>(1)</w:t>
            </w:r>
            <w:r>
              <w:rPr>
                <w:rFonts w:ascii="Arial" w:cs="Arial" w:eastAsia="Arial" w:hAnsi="Arial"/>
                <w:sz w:val="18"/>
                <w:szCs w:val="18"/>
                <w:color w:val="auto"/>
              </w:rPr>
              <w:t xml:space="preserve"> Net change in Restricted cash</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(227,573)</w:t>
            </w:r>
          </w:p>
        </w:tc>
        <w:tc>
          <w:tcPr>
            <w:tcW w:w="8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8"/>
                <w:szCs w:val="18"/>
                <w:color w:val="auto"/>
                <w:w w:val="92"/>
              </w:rPr>
              <w:t>(90,513)</w:t>
            </w:r>
          </w:p>
        </w:tc>
      </w:tr>
      <w:tr>
        <w:trPr>
          <w:trHeight w:val="20"/>
        </w:trPr>
        <w:tc>
          <w:tcPr>
            <w:tcW w:w="75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1)"/>
      <w:numFmt w:val="lowerLetter"/>
      <w:start w:val="4"/>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
      <w:numFmt w:val="bullet"/>
      <w:start w:val="1"/>
    </w:lvl>
    <w:lvl w:ilvl="1">
      <w:lvlJc w:val="left"/>
      <w:lvlText w:val="◦"/>
      <w:numFmt w:val="bullet"/>
      <w:start w:val="1"/>
    </w:lvl>
  </w:abstractNum>
  <w:abstractNum w:abstractNumId="4">
    <w:nsid w:val="515F007C"/>
    <w:multiLevelType w:val="hybridMultilevel"/>
    <w:lvl w:ilvl="0">
      <w:lvlJc w:val="left"/>
      <w:lvlText w:val="•"/>
      <w:numFmt w:val="bullet"/>
      <w:start w:val="1"/>
    </w:lvl>
    <w:lvl w:ilvl="1">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
      <w:numFmt w:val="bullet"/>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2021-11-03T15:25:56Z</dcterms:created>
  <dcterms:modified xsi:type="dcterms:W3CDTF">2021-11-03T15:25:56Z</dcterms:modified>
</cp:coreProperties>
</file>