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2"/>
          <w:szCs w:val="42"/>
          <w:b w:val="1"/>
          <w:bCs w:val="1"/>
          <w:color w:val="auto"/>
        </w:rPr>
        <w:t>TAKE-TWO INTERACTIVE SOFTWARE, INC.</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51-0350842</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110 West 44th Street, 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43"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536-2842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TTWO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On May 20, 2025, Take-Two Interactive Software, Inc. (the “Company”) entered into an underwriting agreement (the “Underwriting Agreement”), by and among the Company and J.P. Morgan Securities LLC and Goldman Sachs &amp; Co. LLC, as representatives (the “Representatives”) of the several underwriters listed on Schedule 1 thereto (the “Underwriters”), pursuant to which the Company has agreed to sell 4,750,000 shares (the “Underwritten Shares”) of its common stock, $0.01 par value (the “Common Stock”) at a price to the public of $225.00 per share. Pursuant to the terms of the Underwriting Agreement, the Company has also granted the Underwriters an option, exercisable for 30 days, to purchase up to an additional 712,500 shares of Common Stock (the “Option Shares” and together with the Underwritten Shares, the “Shares”). On May 21, 2025, the Underwriters exercised their option to purchase all of the Option Shares in full.</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and warranties of the parties, and indemnification and contribution provisions under which the Company has agreed to indemnify the Underwriters against certain liabilities, including liabilities under the Securities Act of 1933, as amended. The representations, warranties, and covenants contained in the Underwriting Agreement were made only for purposes of such agreement and as of specific dates, were solely for the benefit of the parties to such agreement and may be subject to limitations agreed upon by such parties.</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qualified in its entirety by reference to the Underwriting Agreement, a copy of which is attached hereto as Exhibit 1.1 and incorporated by reference herein. The Shares are being offered pursuant to an effective registration statement on Form S-3 (Registration Statement No. 333-284748) filed with the Securities and Exchange Commission (the “SEC”) on February 7, 2025, as supplemented by a prospectus supplement dated May 20, 2025. A copy of the Opinion of Willkie Farr &amp; Gallagher LLP relating to the legality of the issuance and sale of Common Stock in the offering is attached hereto as Exhibit 5.1. The sale of the Shares pursuant to the Underwriting Agreement closed on May 22, 2025.</w:t>
      </w:r>
    </w:p>
    <w:p>
      <w:pPr>
        <w:spacing w:after="0" w:line="18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On May 20, 2025, the Company issued a press release announcing the pricing of the offering. A copy of the press release is attached hereto as Exhibit 99.1 and incorporated by reference 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17" w:lineRule="exact"/>
        <w:rPr>
          <w:sz w:val="20"/>
          <w:szCs w:val="20"/>
          <w:color w:val="auto"/>
        </w:rPr>
      </w:pPr>
    </w:p>
    <w:p>
      <w:pPr>
        <w:ind w:firstLine="440"/>
        <w:spacing w:after="0" w:line="243" w:lineRule="auto"/>
        <w:rPr>
          <w:sz w:val="20"/>
          <w:szCs w:val="20"/>
          <w:color w:val="auto"/>
        </w:rPr>
      </w:pPr>
      <w:r>
        <w:rPr>
          <w:rFonts w:ascii="Times New Roman" w:cs="Times New Roman" w:eastAsia="Times New Roman" w:hAnsi="Times New Roman"/>
          <w:sz w:val="18"/>
          <w:szCs w:val="18"/>
          <w:color w:val="auto"/>
        </w:rPr>
        <w:t xml:space="preserve">Statements contained herein that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the timely release and significant market acceptance of our games; risks relating to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Grand Theft Aut</w:t>
      </w:r>
      <w:r>
        <w:rPr>
          <w:rFonts w:ascii="Times New Roman" w:cs="Times New Roman" w:eastAsia="Times New Roman" w:hAnsi="Times New Roman"/>
          <w:sz w:val="18"/>
          <w:szCs w:val="18"/>
          <w:color w:val="auto"/>
        </w:rPr>
        <w:t>o products and our ability to develop other hit titles; our ability to leverage opportunities on PlayStation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and Xbox Series X|S; factors affecting our mobile business, such as player acquisition costs; and the ability to maintain acceptable pricing levels on our games.</w:t>
      </w:r>
    </w:p>
    <w:p>
      <w:pPr>
        <w:spacing w:after="0" w:line="20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Other important factors and information are contained in the Company’s most recent Annual Report on Form 10-K, including the risks summarized in the section entitled “Risk Factors,” and the Company’s other periodic filings with the SEC.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4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0" w:type="dxa"/>
            <w:vAlign w:val="bottom"/>
            <w:gridSpan w:val="3"/>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3"/>
                <w:szCs w:val="23"/>
                <w:color w:val="auto"/>
              </w:rPr>
            </w:pPr>
          </w:p>
        </w:tc>
        <w:tc>
          <w:tcPr>
            <w:tcW w:w="92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Underwriting Agreement, dated as of May 20, 2025, by and among the Company and J.P. Morgan Securities LLC and Goldman</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Sachs &amp; Co. LLC, as representatives of the several Underwriters named therein</w:t>
            </w: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4"/>
                <w:szCs w:val="24"/>
                <w:color w:val="auto"/>
              </w:rPr>
            </w:pPr>
          </w:p>
        </w:tc>
        <w:tc>
          <w:tcPr>
            <w:tcW w:w="57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Opinion of Willkie Farr &amp; Gallagher LLP</w:t>
            </w:r>
          </w:p>
        </w:tc>
        <w:tc>
          <w:tcPr>
            <w:tcW w:w="34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4"/>
                <w:szCs w:val="24"/>
                <w:color w:val="auto"/>
              </w:rPr>
            </w:pPr>
          </w:p>
        </w:tc>
        <w:tc>
          <w:tcPr>
            <w:tcW w:w="6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Willkie Farr &amp; Gallagher LLP (included in the opinion filed as Exhibit 5.1)</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24"/>
                <w:szCs w:val="24"/>
                <w:color w:val="auto"/>
              </w:rPr>
            </w:pPr>
          </w:p>
        </w:tc>
        <w:tc>
          <w:tcPr>
            <w:tcW w:w="2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May 20, 2025</w:t>
            </w:r>
          </w:p>
        </w:tc>
        <w:tc>
          <w:tcPr>
            <w:tcW w:w="66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9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40"/>
          </w:cols>
          <w:pgMar w:left="440" w:top="293" w:right="10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17145</wp:posOffset>
            </wp:positionV>
            <wp:extent cx="25457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7000"/>
        <w:spacing w:after="0"/>
        <w:tabs>
          <w:tab w:leader="none" w:pos="7600" w:val="left"/>
        </w:tabs>
        <w:rPr>
          <w:sz w:val="20"/>
          <w:szCs w:val="20"/>
          <w:color w:val="auto"/>
        </w:rPr>
      </w:pPr>
      <w:r>
        <w:rPr>
          <w:rFonts w:ascii="Times New Roman" w:cs="Times New Roman" w:eastAsia="Times New Roman" w:hAnsi="Times New Roman"/>
          <w:sz w:val="18"/>
          <w:szCs w:val="18"/>
          <w:color w:val="auto"/>
        </w:rPr>
        <w:t>Name:</w:t>
        <w:tab/>
        <w:t>Matthew Breitman</w:t>
      </w:r>
    </w:p>
    <w:p>
      <w:pPr>
        <w:spacing w:after="0" w:line="27" w:lineRule="exact"/>
        <w:rPr>
          <w:sz w:val="20"/>
          <w:szCs w:val="20"/>
          <w:color w:val="auto"/>
        </w:rPr>
      </w:pPr>
    </w:p>
    <w:p>
      <w:pPr>
        <w:ind w:left="7000"/>
        <w:spacing w:after="0"/>
        <w:tabs>
          <w:tab w:leader="none" w:pos="7600" w:val="left"/>
        </w:tabs>
        <w:rPr>
          <w:sz w:val="20"/>
          <w:szCs w:val="20"/>
          <w:color w:val="auto"/>
        </w:rPr>
      </w:pPr>
      <w:r>
        <w:rPr>
          <w:rFonts w:ascii="Times New Roman" w:cs="Times New Roman" w:eastAsia="Times New Roman" w:hAnsi="Times New Roman"/>
          <w:sz w:val="18"/>
          <w:szCs w:val="18"/>
          <w:color w:val="auto"/>
        </w:rPr>
        <w:t>Title:</w:t>
        <w:tab/>
        <w:t>Senior Vice President, General Counsel</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Americas &amp; Corporate Secretary</w:t>
      </w:r>
    </w:p>
    <w:p>
      <w:pPr>
        <w:sectPr>
          <w:pgSz w:w="11900" w:h="16838" w:orient="portrait"/>
          <w:cols w:equalWidth="0" w:num="1">
            <w:col w:w="10660"/>
          </w:cols>
          <w:pgMar w:left="440" w:top="293" w:right="7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4,750,000 Shares of 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Underwriters listed 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Take-Two Interactive Software,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issue and sell to the several underwriters listed in Schedule 1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are acting as representatives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an aggregate of 4,750,000 shares of Common Stock, par value $0.01 per share, of the Company (the “Underwritten Shares”) and, at the option of the Underwriters, up to an additional 712,500 shares of Common Stock of the Company (the “Option Shares”). The Underwritten Shares and the Option Shares are herein referred to as the “Shares”. The shares of Common Stock of the Company to be outstanding after giving effect to the sale of the Shares are referred to herein as the “Stock”.</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Shares, as follows:</w:t>
      </w:r>
    </w:p>
    <w:p>
      <w:pPr>
        <w:spacing w:after="0" w:line="117" w:lineRule="exact"/>
        <w:rPr>
          <w:sz w:val="20"/>
          <w:szCs w:val="20"/>
          <w:color w:val="auto"/>
        </w:rPr>
      </w:pPr>
    </w:p>
    <w:p>
      <w:pPr>
        <w:ind w:right="40" w:firstLine="436"/>
        <w:spacing w:after="0" w:line="255"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thereunder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 registration statement on Form S-3 (File No. 333-284748),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w:t>
      </w:r>
      <w:r>
        <w:rPr>
          <w:rFonts w:ascii="Times New Roman" w:cs="Times New Roman" w:eastAsia="Times New Roman" w:hAnsi="Times New Roman"/>
          <w:sz w:val="18"/>
          <w:szCs w:val="18"/>
          <w:u w:val="single" w:color="auto"/>
          <w:color w:val="auto"/>
        </w:rPr>
        <w:t>Rule 430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as used herein, the term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means any prospectus filed with the Commission pursuant to Rule 424(a) under the Securities Act and the prospectus included in the Registration Statement at the time of its effectiveness</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omits Rule 430 Information, each as relating to the Shares, and the term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means the prospectus in the form first used (or made available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request of purchasers pursuant to Rule 173 under the Securities Act) in connection with confirmation of sales of the Shares. Any reference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the Registration Statement, any Preliminary Prospectus or the Prospectus shall be deemed to refer to and include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 therein pursuant to Item 12 of Form S-3 under the Securities Act, as of the effective date of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or the date of such Preliminary Prospectus or the Prospectus, as the case may be and any reference to “</w:t>
      </w:r>
      <w:r>
        <w:rPr>
          <w:rFonts w:ascii="Times New Roman" w:cs="Times New Roman" w:eastAsia="Times New Roman" w:hAnsi="Times New Roman"/>
          <w:sz w:val="18"/>
          <w:szCs w:val="18"/>
          <w:u w:val="single" w:color="auto"/>
          <w:color w:val="auto"/>
        </w:rPr>
        <w:t>amend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with respect to the Registration Statement, any Preliminary Prospectus or the Prospectus shall be deemed to refer to and include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after such date under the Securities Exchange Act of 1934, as amended, and the rules and regulations of the Commission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deemed to be incorporated by reference therein. Capitalized terms used but not defined herein shall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meanings given to such terms in the Registration Statement and the Prospectus.</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At or prior to 6:25 p.m., New York City time, on May 20, 2025, the time when sales of the Shares were first made (the “</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the Company had prepared the following information (collectively with the pricing information set forth on Annex A hereto, the “</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a Preliminary Prospectus dated May 20, 2025, and each “</w:t>
      </w:r>
      <w:r>
        <w:rPr>
          <w:rFonts w:ascii="Times New Roman" w:cs="Times New Roman" w:eastAsia="Times New Roman" w:hAnsi="Times New Roman"/>
          <w:sz w:val="18"/>
          <w:szCs w:val="18"/>
          <w:u w:val="single" w:color="auto"/>
          <w:color w:val="auto"/>
        </w:rPr>
        <w:t>free-writing prospectus</w:t>
      </w:r>
      <w:r>
        <w:rPr>
          <w:rFonts w:ascii="Times New Roman" w:cs="Times New Roman" w:eastAsia="Times New Roman" w:hAnsi="Times New Roman"/>
          <w:sz w:val="18"/>
          <w:szCs w:val="18"/>
          <w:color w:val="auto"/>
        </w:rPr>
        <w:t>” (as defined pursuant to Rule 405 under the Securities Act) listed on Annex A hereto.</w:t>
      </w:r>
    </w:p>
    <w:p>
      <w:pPr>
        <w:spacing w:after="0" w:line="180"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the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36"/>
        <w:spacing w:after="0" w:line="261"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Underwritten Shares to the several Underwriters as provided in this agreement (this “Agreement”), and each Underwriter, on the basis of the representations, warranties and agreements set forth herein and subject to the conditions set forth herein, agrees, severally and not jointly, to purchase at a price per share of $218.475 (the “Purchase Price”) from the Company the respective number of Underwritten Shares set forth opposite such Underwriter’s name in Schedule 1 hereto.</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may exercise the option to purchase Option Shares at any time in whole, or from time to time in part, on or before the thirtieth (30th)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one business day prior to the date and time of delivery specified therein.</w:t>
      </w:r>
    </w:p>
    <w:p>
      <w:pPr>
        <w:spacing w:after="0" w:line="187" w:lineRule="exact"/>
        <w:rPr>
          <w:sz w:val="20"/>
          <w:szCs w:val="20"/>
          <w:color w:val="auto"/>
        </w:rPr>
      </w:pPr>
    </w:p>
    <w:p>
      <w:pPr>
        <w:ind w:left="700" w:hanging="264"/>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Shares as soon after the effectiveness of this</w:t>
      </w:r>
    </w:p>
    <w:p>
      <w:pPr>
        <w:spacing w:after="0" w:line="27"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as in the judgment of the Representatives is advisable, and initially to offer the Shares on the terms set forth in the Time of Sale Information. The Company acknowledges and agrees that the Underwriters may offer and sell Shares to or through any affiliate of an Underwriter and that any such affiliate may offer and sell Shares purchased by it to or through any Underwriter.</w:t>
      </w:r>
    </w:p>
    <w:p>
      <w:pPr>
        <w:spacing w:after="0" w:line="185" w:lineRule="exact"/>
        <w:rPr>
          <w:rFonts w:ascii="Times New Roman" w:cs="Times New Roman" w:eastAsia="Times New Roman" w:hAnsi="Times New Roman"/>
          <w:sz w:val="18"/>
          <w:szCs w:val="18"/>
          <w:color w:val="auto"/>
        </w:rPr>
      </w:pPr>
    </w:p>
    <w:p>
      <w:pPr>
        <w:ind w:right="40" w:firstLine="436"/>
        <w:spacing w:after="0" w:line="255"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and delivery of the Shares shall be made by wire transfer in immediately available funds to the account specified by the Company to the Representatives in the case of the Underwritten Shares, at the offices of Latham &amp; Watkins LLP at 10:00 A.M., New York City time, on May 22, 2025,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and delivery of the Underwritten Shares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and each time and date for such payment for and delivery of the Option Shares, if other than the Closing Date, is herein referred to as each “Additional Closing Date”.</w:t>
      </w:r>
    </w:p>
    <w:p>
      <w:pPr>
        <w:spacing w:after="0" w:line="188"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to be purchased on the Closing Date or each Additional Closing Date, as the case may be, shall be made against delivery to the Representatives for the respective accounts of the several Underwriters of the Shares to be purchased on such date or each Additional Closing Date, as the case may be, with any transfer taxes payable in connection with the sale of such Shares duly paid by the Company. Delivery of the Shares shall be made through the facilities of The Depository Trust Company (“DTC”) unless the Representatives shall otherwise instruct.</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each Underwriter is acting solely in the capacity of an arm’s length contractual counterparty to the Company with respect to the offering of Shares contemplated hereby (including in connection with determining the terms of the offering) and not as a financial advisor or a fiduciary to,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Representatives or any Underwriter of the Company, the transactions contemplated hereby or other matters relating to such transactions will be performed solely for the benefit of the Representatives or such Underwriter, as the case may be, and shall not be on behalf of the Company, as the case may be, or any other person.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the Underwriters that:</w:t>
      </w:r>
    </w:p>
    <w:p>
      <w:pPr>
        <w:spacing w:after="0" w:line="115" w:lineRule="exact"/>
        <w:rPr>
          <w:sz w:val="20"/>
          <w:szCs w:val="20"/>
          <w:color w:val="auto"/>
        </w:rPr>
      </w:pPr>
    </w:p>
    <w:p>
      <w:pPr>
        <w:ind w:right="80" w:firstLine="436"/>
        <w:spacing w:after="0" w:line="256"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or on behalf of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182"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Sale Information</w:t>
      </w:r>
      <w:r>
        <w:rPr>
          <w:rFonts w:ascii="Times New Roman" w:cs="Times New Roman" w:eastAsia="Times New Roman" w:hAnsi="Times New Roman"/>
          <w:sz w:val="18"/>
          <w:szCs w:val="18"/>
          <w:color w:val="auto"/>
        </w:rPr>
        <w:t>. The Time of Sale Information, at the Time of Sale did not, and at the Closing Date and each Additional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as the case may be,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or on behalf of such Underwriter through the Representatives expressly for use in the Preliminary Prospectus, the Time of Sale Information or the Prospectus, it being understood and agreed that the only such information furnished by any Underwriter consists of the information described as such in Section 7(b) hereof.</w:t>
      </w:r>
    </w:p>
    <w:p>
      <w:pPr>
        <w:spacing w:after="0" w:line="182"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The Company (including its agents and representatives, other than the Underwriters in their capacity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not prepared, made, used, authorized, approved or referred to and will not prepare, make, use, authorize, approve or refer to any “</w:t>
      </w:r>
      <w:r>
        <w:rPr>
          <w:rFonts w:ascii="Times New Roman" w:cs="Times New Roman" w:eastAsia="Times New Roman" w:hAnsi="Times New Roman"/>
          <w:sz w:val="18"/>
          <w:szCs w:val="18"/>
          <w:u w:val="single" w:color="auto"/>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(as defined in Rule 405 under the Securities Act) that constitutes an offer to sell or solicitation of an offer to buy the Shares (each such communication by the Company or its agents and representatives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8" w:name="page9"/>
    <w:bookmarkEnd w:id="8"/>
    <w:p>
      <w:pPr>
        <w:ind w:left="4" w:right="4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a communication referred to in clauses (i) (ii) and (iii) below) an “</w:t>
      </w: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other than (i) any document not constituting a prospectus pursuant to Section 2(a)(10)(a) of the Securities Act or Rule 134 under the Securities Act, (ii) the Preliminary Prospectus,</w:t>
      </w:r>
    </w:p>
    <w:p>
      <w:pPr>
        <w:spacing w:after="0" w:line="1" w:lineRule="exact"/>
        <w:rPr>
          <w:sz w:val="20"/>
          <w:szCs w:val="20"/>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(iv) the documents listed on Annex A hereto and (v) any electronic road show or other written communications, in each case</w:t>
      </w:r>
    </w:p>
    <w:p>
      <w:pPr>
        <w:spacing w:after="0" w:line="9" w:lineRule="exact"/>
        <w:rPr>
          <w:rFonts w:ascii="Times New Roman" w:cs="Times New Roman" w:eastAsia="Times New Roman" w:hAnsi="Times New Roman"/>
          <w:sz w:val="18"/>
          <w:szCs w:val="18"/>
          <w:color w:val="auto"/>
        </w:rPr>
      </w:pPr>
    </w:p>
    <w:p>
      <w:pPr>
        <w:ind w:left="4" w:right="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at the Time of Sale, did not, and at the Closing Date and each Additional Closing Date, as the case may be,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or on behalf of such Underwriter through the Representatives expressly for use in any Issuer Free Writing Prospectus, it being understood and agreed that the only such information furnished by any Underwriter consists of the information described as such in Section 7(b) hereof.</w:t>
      </w:r>
    </w:p>
    <w:p>
      <w:pPr>
        <w:spacing w:after="0" w:line="175"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 405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threatened by the Commission; as of the applicable effective date of the Registration Statement and any amendment thereto, the Registration Statement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each Additional Closing Date, as the case may be, the Prospectus will comply in all material respects with the Securities Act and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or on behalf of such Underwriter through the Representatives expressly for use in the Registration Statement and the Prospectus and any amendment or supplement thereto, it being understood and agreed that the only such information furnished by or on behalf of any Underwriter consists of the information described as such in Section 7(b) hereof.</w:t>
      </w:r>
    </w:p>
    <w:p>
      <w:pPr>
        <w:spacing w:after="0" w:line="1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ind w:left="4" w:right="60" w:firstLine="436"/>
        <w:spacing w:after="0" w:line="255" w:lineRule="auto"/>
        <w:tabs>
          <w:tab w:leader="none" w:pos="68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Incorporated Documents. </w:t>
      </w:r>
      <w:r>
        <w:rPr>
          <w:rFonts w:ascii="Times New Roman" w:cs="Times New Roman" w:eastAsia="Times New Roman" w:hAnsi="Times New Roman"/>
          <w:sz w:val="18"/>
          <w:szCs w:val="18"/>
          <w:color w:val="auto"/>
        </w:rPr>
        <w:t>The documents incorporated by reference in each of the Registration Statement, the Prospectus and the Time of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when they became effective or were filed with the Commission, as the case may be,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w:t>
      </w:r>
    </w:p>
    <w:p>
      <w:pPr>
        <w:spacing w:after="0" w:line="184" w:lineRule="exact"/>
        <w:rPr>
          <w:rFonts w:ascii="Times New Roman" w:cs="Times New Roman" w:eastAsia="Times New Roman" w:hAnsi="Times New Roman"/>
          <w:sz w:val="18"/>
          <w:szCs w:val="18"/>
          <w:color w:val="auto"/>
        </w:rPr>
      </w:pPr>
    </w:p>
    <w:p>
      <w:pPr>
        <w:ind w:left="4" w:firstLine="436"/>
        <w:spacing w:after="0" w:line="253" w:lineRule="auto"/>
        <w:tabs>
          <w:tab w:leader="none" w:pos="66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(i) The financial statements of the Company and its consolidated subsidiaries and the related notes thereto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each of the Registration Statement, the Time of Sale Information and the Prospectus comply in all material respects with the applicable requirements of the Securities Act and the Exchange Act, as applicable, and present fairly the financial position of the Company and its consolidated subsidiaries in all material respects as of the dates indicated and the results of their operations and the changes in their cash flows for the periods specified; (ii) such financial statements have been prepared in conformity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covered thereby, and the supporting schedules included or incorporated by reference in each of the Registration Statement, the Prospectus and the Time of Sale Information present fairly, in all material respects, the information required to be stated therein; and</w:t>
      </w:r>
    </w:p>
    <w:p>
      <w:pPr>
        <w:spacing w:after="0" w:line="4" w:lineRule="exact"/>
        <w:rPr>
          <w:rFonts w:ascii="Times New Roman" w:cs="Times New Roman" w:eastAsia="Times New Roman" w:hAnsi="Times New Roman"/>
          <w:sz w:val="18"/>
          <w:szCs w:val="18"/>
          <w:color w:val="auto"/>
        </w:rPr>
      </w:pPr>
    </w:p>
    <w:p>
      <w:pPr>
        <w:ind w:left="4" w:right="40" w:hanging="4"/>
        <w:spacing w:after="0" w:line="253"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financial information included or incorporated by reference in each of the Registration Statement, the Time of Sale Information and the Prospectus has been derived from the accounting records of the Company and its consolidated subsidiaries and presents fairly the information shown thereby in all material respects. The interactive data in eXtensible Business Reporting Language included or incorporated by reference in the Registration Statement, the Prospectus and the Time of Sale Information fairly presents the information called for in all material respects and is prepared in accordance with the Commission’s rules and guidelines applicable thereto.</w:t>
      </w:r>
    </w:p>
    <w:p>
      <w:pPr>
        <w:spacing w:after="0" w:line="184" w:lineRule="exact"/>
        <w:rPr>
          <w:rFonts w:ascii="Times New Roman" w:cs="Times New Roman" w:eastAsia="Times New Roman" w:hAnsi="Times New Roman"/>
          <w:sz w:val="18"/>
          <w:szCs w:val="18"/>
          <w:color w:val="auto"/>
        </w:rPr>
      </w:pPr>
    </w:p>
    <w:p>
      <w:pPr>
        <w:ind w:left="4" w:right="160" w:firstLine="436"/>
        <w:spacing w:after="0" w:line="258"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or incorporated by reference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Registration Statement, the Time of Sale Information and the Prospectus, (i) there has not been any change in the capital stock or long-term debt of the Company or any of its Significant Subsidiaries (as defined below),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8" w:right="439" w:bottom="1440" w:gutter="0" w:footer="0" w:header="0"/>
        </w:sectPr>
      </w:pPr>
    </w:p>
    <w:bookmarkStart w:id="10" w:name="page11"/>
    <w:bookmarkEnd w:id="10"/>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position or results of operations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Registration Statement, the Time of Sale Information and the Prospectus.</w:t>
      </w:r>
    </w:p>
    <w:p>
      <w:pPr>
        <w:spacing w:after="0" w:line="185" w:lineRule="exact"/>
        <w:rPr>
          <w:sz w:val="20"/>
          <w:szCs w:val="20"/>
          <w:color w:val="auto"/>
        </w:rPr>
      </w:pPr>
    </w:p>
    <w:p>
      <w:pPr>
        <w:ind w:firstLine="436"/>
        <w:spacing w:after="0" w:line="253"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Company and each of its “significant subsidiaries”, as such term is defined in Rule 1-02 of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S-X under the Exchange Act (each a “</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Significant Subsidiaries</w:t>
      </w:r>
      <w:r>
        <w:rPr>
          <w:rFonts w:ascii="Times New Roman" w:cs="Times New Roman" w:eastAsia="Times New Roman" w:hAnsi="Times New Roman"/>
          <w:sz w:val="18"/>
          <w:szCs w:val="18"/>
          <w:color w:val="auto"/>
        </w:rPr>
        <w:t>”) have been duly organized and are validly existing and in good standing (to the extent the concept of good standing is applicable in the relevant jurisdiction)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 authority would not, individually or in the aggregate, have a material adverse effect on the business, properties, management, financial position or results of operations of the Company and its subsidiaries taken as a whole, or on the performance by the Company of its obligations under this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The Company does not own or control, directly or indirectly, any corporation, association or other entity other than the subsidiaries listed in Exhibit 21 to the Company’s Form 10-K for the year ended March 31, 2025. The subsidiaries listed in Schedule 2 to this Agreement are the only Significant Subsidiaries of the Company.</w:t>
      </w:r>
    </w:p>
    <w:p>
      <w:pPr>
        <w:spacing w:after="0" w:line="191" w:lineRule="exact"/>
        <w:rPr>
          <w:rFonts w:ascii="Times New Roman" w:cs="Times New Roman" w:eastAsia="Times New Roman" w:hAnsi="Times New Roman"/>
          <w:sz w:val="18"/>
          <w:szCs w:val="18"/>
          <w:color w:val="auto"/>
        </w:rPr>
      </w:pPr>
    </w:p>
    <w:p>
      <w:pPr>
        <w:ind w:firstLine="436"/>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the authorized capitalization as set forth in each of the Registration Statement, the Time of Sale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under the heading “Capitalization”; and all the outstanding shares of capital stock or other equity interests of each Significant Subsidiary of the Company have been duly and validly authorized and issued, are fully paid and non-assessable (except, in the case of any foreign subsidiary, for directors’ qualifying shares and except as otherwise described in each of the Registration Statement, the Time of Sale Information and the Prospectus) and are owned directly or indirectly by the Company, free and clear of any lien, charge, encumbrance, security interest, restriction on voting or transfer or any other claim of any third party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right="240" w:firstLine="436"/>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all necessary corporate power and authority to execute and deliver this Agreement and to perform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hereunder; and all action required to be taken for the due and proper authorization, execution and delivery by it of this Agreement and the consummation of the transactions contemplated hereby has been duly and validly taken.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ind w:left="680" w:hanging="26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80" w:firstLine="436"/>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Shares</w:t>
      </w:r>
      <w:r>
        <w:rPr>
          <w:rFonts w:ascii="Times New Roman" w:cs="Times New Roman" w:eastAsia="Times New Roman" w:hAnsi="Times New Roman"/>
          <w:sz w:val="18"/>
          <w:szCs w:val="18"/>
          <w:color w:val="auto"/>
        </w:rPr>
        <w:t>. The Shares to be issued and sold by the Company hereunder have been duly authorized by the Company and, when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and paid for as provided herein, will be duly and validly issued, will be fully paid and nonassessable and will conform to the descriptions thereof in the Registration Statement, the Time of Sale Information and the Prospectus; and the issuance of the Shares is not subject to any preemptive or similar rights.</w:t>
      </w:r>
    </w:p>
    <w:p>
      <w:pPr>
        <w:spacing w:after="0" w:line="179" w:lineRule="exact"/>
        <w:rPr>
          <w:rFonts w:ascii="Times New Roman" w:cs="Times New Roman" w:eastAsia="Times New Roman" w:hAnsi="Times New Roman"/>
          <w:sz w:val="18"/>
          <w:szCs w:val="18"/>
          <w:color w:val="auto"/>
        </w:rPr>
      </w:pPr>
    </w:p>
    <w:p>
      <w:pPr>
        <w:ind w:left="720" w:hanging="304"/>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20" w:right="100" w:firstLine="436"/>
        <w:spacing w:after="0" w:line="284"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the Underwriting Agreement</w:t>
      </w:r>
      <w:r>
        <w:rPr>
          <w:rFonts w:ascii="Times New Roman" w:cs="Times New Roman" w:eastAsia="Times New Roman" w:hAnsi="Times New Roman"/>
          <w:sz w:val="18"/>
          <w:szCs w:val="18"/>
          <w:color w:val="auto"/>
        </w:rPr>
        <w:t>. This Agreement conforms in all material respects to the description thereof contained in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the Time of Sale Information and the Prospectus.</w:t>
      </w:r>
    </w:p>
    <w:p>
      <w:pPr>
        <w:spacing w:after="0" w:line="158" w:lineRule="exact"/>
        <w:rPr>
          <w:rFonts w:ascii="Times New Roman" w:cs="Times New Roman" w:eastAsia="Times New Roman" w:hAnsi="Times New Roman"/>
          <w:sz w:val="18"/>
          <w:szCs w:val="18"/>
          <w:color w:val="auto"/>
        </w:rPr>
      </w:pPr>
    </w:p>
    <w:p>
      <w:pPr>
        <w:ind w:left="-20" w:firstLine="436"/>
        <w:spacing w:after="0" w:line="256"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None of the Company or any of its Significant Subsidiaries is (i) in violation of its charter or by-laws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Significant Subsidiaries is a party or by which the Company or any of its Significant Subsidiaries is bound or to which any property or asset of the Company or any of its Significant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182" w:lineRule="exact"/>
        <w:rPr>
          <w:rFonts w:ascii="Times New Roman" w:cs="Times New Roman" w:eastAsia="Times New Roman" w:hAnsi="Times New Roman"/>
          <w:sz w:val="18"/>
          <w:szCs w:val="18"/>
          <w:color w:val="auto"/>
        </w:rPr>
      </w:pPr>
    </w:p>
    <w:p>
      <w:pPr>
        <w:ind w:left="-20" w:right="60" w:firstLine="436"/>
        <w:spacing w:after="0" w:line="254"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the issuance and sale of the Shares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transactions contemplated by this Agreement or the Time of Sale Information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Significant Subsidiaries pursuant to, any indenture, mortgage, deed of trust, loan agreement or other agreement or instrument to which the Company or any of its Significant Subsidiaries is a party or by which the Company or any of its Significant Subsidiaries is bound or to which any property, right or asset of the Company or any of its Significant Subsidiaries is subject, (ii) result in any violation of the provisions of the charter or by-laws or similar organizational documents of the Company or any of its Significant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68" w:right="459" w:bottom="1440" w:gutter="0" w:footer="0" w:header="0"/>
        </w:sectPr>
      </w:pPr>
    </w:p>
    <w:bookmarkStart w:id="12" w:name="page13"/>
    <w:bookmarkEnd w:id="12"/>
    <w:p>
      <w:pPr>
        <w:ind w:left="704" w:hanging="264"/>
        <w:spacing w:after="0"/>
        <w:tabs>
          <w:tab w:leader="none" w:pos="7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Consents Required</w:t>
      </w:r>
      <w:r>
        <w:rPr>
          <w:rFonts w:ascii="Times New Roman" w:cs="Times New Roman" w:eastAsia="Times New Roman" w:hAnsi="Times New Roman"/>
          <w:sz w:val="18"/>
          <w:szCs w:val="18"/>
          <w:color w:val="auto"/>
        </w:rPr>
        <w:t>. No consent, approval, authorization, order, registration or qualification of or with any court or arbitrator or</w:t>
      </w:r>
    </w:p>
    <w:p>
      <w:pPr>
        <w:spacing w:after="0" w:line="29" w:lineRule="exact"/>
        <w:rPr>
          <w:rFonts w:ascii="Times New Roman" w:cs="Times New Roman" w:eastAsia="Times New Roman" w:hAnsi="Times New Roman"/>
          <w:sz w:val="18"/>
          <w:szCs w:val="18"/>
          <w:color w:val="auto"/>
        </w:rPr>
      </w:pPr>
    </w:p>
    <w:p>
      <w:pPr>
        <w:ind w:left="4"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authority is required for the execution, delivery and performance by the Company of each of this Agreement, the issuance and sale of the Shares and the consummation of the transactions contemplated by this Agreement, except for (i) the registration of the Shares under the Securities Act and (ii)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w:t>
      </w:r>
    </w:p>
    <w:p>
      <w:pPr>
        <w:spacing w:after="0" w:line="184" w:lineRule="exact"/>
        <w:rPr>
          <w:rFonts w:ascii="Times New Roman" w:cs="Times New Roman" w:eastAsia="Times New Roman" w:hAnsi="Times New Roman"/>
          <w:sz w:val="18"/>
          <w:szCs w:val="18"/>
          <w:color w:val="auto"/>
        </w:rPr>
      </w:pPr>
    </w:p>
    <w:p>
      <w:pPr>
        <w:ind w:left="4" w:right="40" w:firstLine="436"/>
        <w:spacing w:after="0" w:line="270" w:lineRule="auto"/>
        <w:tabs>
          <w:tab w:leader="none" w:pos="66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Legal Proceedings. </w:t>
      </w:r>
      <w:r>
        <w:rPr>
          <w:rFonts w:ascii="Times New Roman" w:cs="Times New Roman" w:eastAsia="Times New Roman" w:hAnsi="Times New Roman"/>
          <w:sz w:val="17"/>
          <w:szCs w:val="17"/>
          <w:color w:val="auto"/>
        </w:rPr>
        <w:t>Except as described in each of the Registration Statement, the Time of Sale Information and the Prospectus, there are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legal, governmental or regulatory investigations, actions, demands, claims, suits, arbitrations, inquiries or proceedings (“</w:t>
      </w:r>
      <w:r>
        <w:rPr>
          <w:rFonts w:ascii="Times New Roman" w:cs="Times New Roman" w:eastAsia="Times New Roman" w:hAnsi="Times New Roman"/>
          <w:sz w:val="17"/>
          <w:szCs w:val="17"/>
          <w:u w:val="single" w:color="auto"/>
          <w:color w:val="auto"/>
        </w:rPr>
        <w:t>Actions</w:t>
      </w:r>
      <w:r>
        <w:rPr>
          <w:rFonts w:ascii="Times New Roman" w:cs="Times New Roman" w:eastAsia="Times New Roman" w:hAnsi="Times New Roman"/>
          <w:sz w:val="17"/>
          <w:szCs w:val="17"/>
          <w:color w:val="auto"/>
        </w:rPr>
        <w:t>”) pending to which the Company or any of its subsidiaries is a party or to which any property of the Company or any of its subsidiaries is the subject that, individually or in the aggregate, if determined adversely to the Company or any of its subsidiaries, could reasonably be expected to have a Material Adverse Effect; no such Actions are, to the knowledge of the Company, threatened or contemplated by any governmental or regulatory authority or threatened by others; and</w:t>
      </w:r>
    </w:p>
    <w:p>
      <w:pPr>
        <w:ind w:left="4" w:hanging="4"/>
        <w:spacing w:after="0" w:line="253"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current or pending Actions that are required under the Securities Act to be described in the Registration Statement or the Prospectus that are not so described in the Registration Statement, the Time of Sale Information and the Prospectus and (ii) there are no statutes, regulations or contracts or other documents that are required under the Securities Act to be filed as exhibits to the Registration Statement or described in the Registration Statement and the Prospectus that are not so filed as exhibits to the Registration Statement or described in the Registration Statement, the Time of Sale Information and the Prospectus.</w:t>
      </w:r>
    </w:p>
    <w:p>
      <w:pPr>
        <w:spacing w:after="0" w:line="184" w:lineRule="exact"/>
        <w:rPr>
          <w:rFonts w:ascii="Times New Roman" w:cs="Times New Roman" w:eastAsia="Times New Roman" w:hAnsi="Times New Roman"/>
          <w:sz w:val="18"/>
          <w:szCs w:val="18"/>
          <w:color w:val="auto"/>
        </w:rPr>
      </w:pPr>
    </w:p>
    <w:p>
      <w:pPr>
        <w:ind w:left="4" w:right="320" w:firstLine="436"/>
        <w:spacing w:after="0" w:line="290" w:lineRule="auto"/>
        <w:tabs>
          <w:tab w:leader="none" w:pos="679"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Independent Accountants. </w:t>
      </w:r>
      <w:r>
        <w:rPr>
          <w:rFonts w:ascii="Times New Roman" w:cs="Times New Roman" w:eastAsia="Times New Roman" w:hAnsi="Times New Roman"/>
          <w:sz w:val="17"/>
          <w:szCs w:val="17"/>
          <w:color w:val="auto"/>
        </w:rPr>
        <w:t>Ernst &amp; Young LLP, who have certified certain financial statements of the Company and its subsidiaries, is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independent registered public accounting firm with respect to each of the Company and its consolidated subsidiaries, within the applicable rules and regulations adopted by the Commission and the Public Company Accounting Oversight Board (United States) and as required by the Securities Act.</w:t>
      </w:r>
    </w:p>
    <w:p>
      <w:pPr>
        <w:spacing w:after="0" w:line="155" w:lineRule="exact"/>
        <w:rPr>
          <w:rFonts w:ascii="Times New Roman" w:cs="Times New Roman" w:eastAsia="Times New Roman" w:hAnsi="Times New Roman"/>
          <w:sz w:val="17"/>
          <w:szCs w:val="17"/>
          <w:color w:val="auto"/>
        </w:rPr>
      </w:pPr>
    </w:p>
    <w:p>
      <w:pPr>
        <w:ind w:left="4" w:right="60" w:firstLine="436"/>
        <w:spacing w:after="0" w:line="255" w:lineRule="auto"/>
        <w:tabs>
          <w:tab w:leader="none" w:pos="65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Except as would not reasonably be expected to have a Material Adverse Effect, (i) the Company and its subsidiaries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used in the conduct of their respective businesses as currently conducted; (ii) the Company and its subsidiaries’ conduct of their respective businesses does not infringe, misappropriate or otherwise violate any Intellectual Property of any person; (iii) neither the Company nor its subsidiaries have received any written notice of any claim relating to Intellectual Property; and (iv) to the knowledge of the Company, the Intellectual Property of the Company and its subsidiaries is not being infringed, misappropriated or otherwise violated by any person.</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8" w:right="479" w:bottom="1440" w:gutter="0" w:footer="0" w:header="0"/>
        </w:sectPr>
      </w:pPr>
    </w:p>
    <w:bookmarkStart w:id="13" w:name="page14"/>
    <w:bookmarkEnd w:id="13"/>
    <w:p>
      <w:pPr>
        <w:ind w:left="4" w:right="40" w:firstLine="436"/>
        <w:spacing w:after="0" w:line="261" w:lineRule="auto"/>
        <w:tabs>
          <w:tab w:leader="none" w:pos="6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 Company Act. </w:t>
      </w:r>
      <w:r>
        <w:rPr>
          <w:rFonts w:ascii="Times New Roman" w:cs="Times New Roman" w:eastAsia="Times New Roman" w:hAnsi="Times New Roman"/>
          <w:sz w:val="18"/>
          <w:szCs w:val="18"/>
          <w:color w:val="auto"/>
        </w:rPr>
        <w:t>The Company is not, and after giving effect to the offering and sale of the Shares and the application of the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as described in each of the Registration Statement, the Time of Sale Information and the Prospectus, will not be an “investment company” or an entity “controlled” by an “investment company” within the meaning of the Investment Company Act of 1940, as amended, and the rules and regulations of the Commission thereunder.</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Except as would not reasonably be expected to have a Material Adverse Effect, the Company and its subsidiaries have paid all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local and foreign taxes and filed all tax returns required to be paid or filed through the date hereof; and except as otherwise disclosed in each of the Registration Statement, the Time of Sale Information and the Prospectus, there is no tax deficiency that has been, or could reasonably be expected to be, asserted against the Company or any of its subsidiaries or any of their respective properties or assets.</w:t>
      </w:r>
    </w:p>
    <w:p>
      <w:pPr>
        <w:spacing w:after="0" w:line="179" w:lineRule="exact"/>
        <w:rPr>
          <w:rFonts w:ascii="Times New Roman" w:cs="Times New Roman" w:eastAsia="Times New Roman" w:hAnsi="Times New Roman"/>
          <w:sz w:val="18"/>
          <w:szCs w:val="18"/>
          <w:color w:val="auto"/>
        </w:rPr>
      </w:pPr>
    </w:p>
    <w:p>
      <w:pPr>
        <w:ind w:left="4" w:firstLine="436"/>
        <w:spacing w:after="0" w:line="255" w:lineRule="auto"/>
        <w:tabs>
          <w:tab w:leader="none" w:pos="7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its Significant Subsidiaries possess all licenses, sub-licenses, certificates, permits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Time of Sale Information and the Prospectus, except where the failure to possess or make the same would not, individually or in the aggregate, have a Material Adverse Effect; and except as described in each of the Registration Statement, the Time of Sale Information and the Prospectus, neither the Company nor any of its Significant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spacing w:after="0" w:line="184" w:lineRule="exact"/>
        <w:rPr>
          <w:rFonts w:ascii="Times New Roman" w:cs="Times New Roman" w:eastAsia="Times New Roman" w:hAnsi="Times New Roman"/>
          <w:sz w:val="18"/>
          <w:szCs w:val="18"/>
          <w:color w:val="auto"/>
        </w:rPr>
      </w:pPr>
    </w:p>
    <w:p>
      <w:pPr>
        <w:ind w:left="4" w:right="200" w:firstLine="436"/>
        <w:spacing w:after="0" w:line="268" w:lineRule="auto"/>
        <w:tabs>
          <w:tab w:leader="none" w:pos="699"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Environmental Matters</w:t>
      </w:r>
      <w:r>
        <w:rPr>
          <w:rFonts w:ascii="Times New Roman" w:cs="Times New Roman" w:eastAsia="Times New Roman" w:hAnsi="Times New Roman"/>
          <w:sz w:val="17"/>
          <w:szCs w:val="17"/>
          <w:color w:val="auto"/>
        </w:rPr>
        <w:t>. (i) The Company and its subsidiaries (x) are in compliance with all, and have not violated any,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of or relating to the Company or its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8" w:right="459" w:bottom="1440" w:gutter="0" w:footer="0" w:header="0"/>
        </w:sectPr>
      </w:pPr>
    </w:p>
    <w:bookmarkStart w:id="14" w:name="page15"/>
    <w:bookmarkEnd w:id="14"/>
    <w:p>
      <w:pPr>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except in the case of each of (i) and (ii) above, for any such matter as would not, individually or in the aggregate, reasonably be expected to have a Material Adverse Effect; and (iii) except as described in each of the Time of Sale Information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w:t>
      </w:r>
    </w:p>
    <w:p>
      <w:pPr>
        <w:spacing w:after="0" w:line="3" w:lineRule="exact"/>
        <w:rPr>
          <w:sz w:val="20"/>
          <w:szCs w:val="20"/>
          <w:color w:val="auto"/>
        </w:rPr>
      </w:pPr>
    </w:p>
    <w:p>
      <w:pPr>
        <w:ind w:left="4" w:right="160" w:hanging="4"/>
        <w:spacing w:after="0" w:line="253"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neither the Company nor its subsidiaries anticipates material capital expenditures relating to any Environmental Laws.</w:t>
      </w:r>
    </w:p>
    <w:p>
      <w:pPr>
        <w:spacing w:after="0" w:line="186" w:lineRule="exact"/>
        <w:rPr>
          <w:rFonts w:ascii="Times New Roman" w:cs="Times New Roman" w:eastAsia="Times New Roman" w:hAnsi="Times New Roman"/>
          <w:sz w:val="18"/>
          <w:szCs w:val="18"/>
          <w:color w:val="auto"/>
        </w:rPr>
      </w:pPr>
    </w:p>
    <w:p>
      <w:pPr>
        <w:ind w:left="4" w:right="220" w:firstLine="436"/>
        <w:spacing w:after="0" w:line="256" w:lineRule="auto"/>
        <w:tabs>
          <w:tab w:leader="none" w:pos="69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ind w:left="4" w:right="140" w:firstLine="436"/>
        <w:spacing w:after="0" w:line="254" w:lineRule="auto"/>
        <w:tabs>
          <w:tab w:leader="none" w:pos="6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Accounting Controls</w:t>
      </w:r>
      <w:r>
        <w:rPr>
          <w:rFonts w:ascii="Times New Roman" w:cs="Times New Roman" w:eastAsia="Times New Roman" w:hAnsi="Times New Roman"/>
          <w:sz w:val="18"/>
          <w:szCs w:val="18"/>
          <w:color w:val="auto"/>
        </w:rPr>
        <w:t>. The Company and its subsidiaries maintain systems of “internal control over financial reporting”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There are no material weaknesses or significant deficiencies in the Company’s internal controls.</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5" w:name="page16"/>
    <w:bookmarkEnd w:id="15"/>
    <w:p>
      <w:pPr>
        <w:ind w:left="4" w:right="20" w:firstLine="436"/>
        <w:spacing w:after="0" w:line="269" w:lineRule="auto"/>
        <w:tabs>
          <w:tab w:leader="none" w:pos="76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Unlawful Payments. </w:t>
      </w:r>
      <w:r>
        <w:rPr>
          <w:rFonts w:ascii="Times New Roman" w:cs="Times New Roman" w:eastAsia="Times New Roman" w:hAnsi="Times New Roman"/>
          <w:sz w:val="17"/>
          <w:szCs w:val="17"/>
          <w:color w:val="auto"/>
        </w:rPr>
        <w:t>Neither the Company nor any of its subsidiaries, nor any director, officer or employee of the Company or any of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nor, to the knowledge of the Company, any employee,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3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reasonably designed to promote and ensure compliance with all applicable anti-bribery and anti-corruption laws.</w:t>
      </w:r>
    </w:p>
    <w:p>
      <w:pPr>
        <w:spacing w:after="0" w:line="186"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7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compliance in all material respects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2"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76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officers or employees,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and including, without limitation, the designation as a “specially designated national” or “blocked person”), the United Nations Security Council (“</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without limitation, the Crimea, Zaporizhzhia and Kherson Regions of Ukraine, the so-called Donetsk People’s Republic, the so-called Luhansk People’s Republic, Cuba, Iran, North Korea and Syria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8" w:right="459" w:bottom="1440" w:gutter="0" w:footer="0" w:header="0"/>
        </w:sectPr>
      </w:pPr>
    </w:p>
    <w:bookmarkStart w:id="16" w:name="page17"/>
    <w:bookmarkEnd w:id="16"/>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ten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81" w:lineRule="exact"/>
        <w:rPr>
          <w:sz w:val="20"/>
          <w:szCs w:val="20"/>
          <w:color w:val="auto"/>
        </w:rPr>
      </w:pPr>
    </w:p>
    <w:p>
      <w:pPr>
        <w:ind w:firstLine="436"/>
        <w:spacing w:after="0" w:line="253"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 Data Protection</w:t>
      </w:r>
      <w:r>
        <w:rPr>
          <w:rFonts w:ascii="Times New Roman" w:cs="Times New Roman" w:eastAsia="Times New Roman" w:hAnsi="Times New Roman"/>
          <w:sz w:val="18"/>
          <w:szCs w:val="18"/>
          <w:color w:val="auto"/>
        </w:rPr>
        <w:t>. The Company and its subsidiaries’ information technology assets and equipment, computers,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used in connection with their businesses, and, except as described in each of the Registration Statement, the Time of Sale Information and the Prospectus,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7" w:lineRule="exact"/>
        <w:rPr>
          <w:rFonts w:ascii="Times New Roman" w:cs="Times New Roman" w:eastAsia="Times New Roman" w:hAnsi="Times New Roman"/>
          <w:sz w:val="18"/>
          <w:szCs w:val="18"/>
          <w:color w:val="auto"/>
        </w:rPr>
      </w:pPr>
    </w:p>
    <w:p>
      <w:pPr>
        <w:ind w:right="200" w:firstLine="436"/>
        <w:spacing w:after="0" w:line="261" w:lineRule="auto"/>
        <w:tabs>
          <w:tab w:leader="none" w:pos="7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in all material respects with any provision of the Sarbanes-Oxley Act of 2002, as amended,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ind w:right="220" w:firstLine="436"/>
        <w:spacing w:after="0" w:line="284" w:lineRule="auto"/>
        <w:tabs>
          <w:tab w:leader="none" w:pos="7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The Company is not an ineligible issuer and is a well-known seasoned issuer, in each case, as defined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in each case at the times specified in the Securities Act in connection with the offering of the Securities.</w:t>
      </w:r>
    </w:p>
    <w:p>
      <w:pPr>
        <w:spacing w:after="0" w:line="158" w:lineRule="exact"/>
        <w:rPr>
          <w:rFonts w:ascii="Times New Roman" w:cs="Times New Roman" w:eastAsia="Times New Roman" w:hAnsi="Times New Roman"/>
          <w:sz w:val="18"/>
          <w:szCs w:val="18"/>
          <w:color w:val="auto"/>
        </w:rPr>
      </w:pPr>
    </w:p>
    <w:p>
      <w:pPr>
        <w:ind w:right="140" w:firstLine="436"/>
        <w:spacing w:after="0" w:line="284"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by reason of the filing of the Registration Statement with the Commission or the issuance and sale of the Shares.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ind w:left="4" w:right="160" w:firstLine="436"/>
        <w:spacing w:after="0" w:line="284" w:lineRule="auto"/>
        <w:tabs>
          <w:tab w:leader="none" w:pos="7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Stabilization</w:t>
      </w:r>
      <w:r>
        <w:rPr>
          <w:rFonts w:ascii="Times New Roman" w:cs="Times New Roman" w:eastAsia="Times New Roman" w:hAnsi="Times New Roman"/>
          <w:sz w:val="18"/>
          <w:szCs w:val="18"/>
          <w:color w:val="auto"/>
        </w:rPr>
        <w:t>. Neither the Company nor any of its subsidiaries or affiliates has taken, directly or indirectly, any action designed to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reasonably be expected to cause or result in any stabilization or manipulation of the price of the Shares.</w:t>
      </w:r>
    </w:p>
    <w:p>
      <w:pPr>
        <w:spacing w:after="0" w:line="158" w:lineRule="exact"/>
        <w:rPr>
          <w:rFonts w:ascii="Times New Roman" w:cs="Times New Roman" w:eastAsia="Times New Roman" w:hAnsi="Times New Roman"/>
          <w:sz w:val="18"/>
          <w:szCs w:val="18"/>
          <w:color w:val="auto"/>
        </w:rPr>
      </w:pPr>
    </w:p>
    <w:p>
      <w:pPr>
        <w:ind w:left="4" w:right="40" w:firstLine="436"/>
        <w:spacing w:after="0" w:line="267" w:lineRule="auto"/>
        <w:tabs>
          <w:tab w:leader="none" w:pos="7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Registration Statement, the Time of Sale Information and the Prospectus will violate Regulation T, U or X of the Board of Governors of the Federal Reserve System or any other regulation of such Board of Governors.</w:t>
      </w:r>
    </w:p>
    <w:p>
      <w:pPr>
        <w:spacing w:after="0" w:line="17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Outbound Investment Rule</w:t>
      </w:r>
      <w:r>
        <w:rPr>
          <w:rFonts w:ascii="Times New Roman" w:cs="Times New Roman" w:eastAsia="Times New Roman" w:hAnsi="Times New Roman"/>
          <w:sz w:val="18"/>
          <w:szCs w:val="18"/>
          <w:color w:val="auto"/>
        </w:rPr>
        <w:t>. Neither the Company nor any of its subsidiaries is a “covered foreign person,” as that term is defined in 31 C.F.R.</w:t>
      </w:r>
    </w:p>
    <w:p>
      <w:pPr>
        <w:spacing w:after="0" w:line="29" w:lineRule="exact"/>
        <w:rPr>
          <w:rFonts w:ascii="Times New Roman" w:cs="Times New Roman" w:eastAsia="Times New Roman" w:hAnsi="Times New Roman"/>
          <w:sz w:val="18"/>
          <w:szCs w:val="18"/>
          <w:color w:val="auto"/>
        </w:rPr>
      </w:pPr>
    </w:p>
    <w:p>
      <w:pPr>
        <w:jc w:val="both"/>
        <w:ind w:left="4" w:right="340" w:hanging="4"/>
        <w:spacing w:after="0" w:line="255" w:lineRule="auto"/>
        <w:tabs>
          <w:tab w:leader="none" w:pos="1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850.209. The transactions contemplated in this Agreement will not result in the establishment of a covered foreign person or the engagement by a “person of a country of concern,” as defined in 31 C.F.R. § 850.221, in a covered activity, as that term is defined in 31 C.F.R. § 850.208. Neither the Company nor any of its subsidiaries currently engages, or has plans to engage, directly or indirectly, in a covered activity.”</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sz w:val="20"/>
          <w:szCs w:val="20"/>
          <w:color w:val="auto"/>
        </w:rPr>
      </w:pPr>
    </w:p>
    <w:p>
      <w:pPr>
        <w:ind w:left="4" w:firstLine="436"/>
        <w:spacing w:after="0" w:line="254" w:lineRule="auto"/>
        <w:tabs>
          <w:tab w:leader="none" w:pos="6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188"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upon written request (i) to the Representatives, two conformed copies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as originally filed and each amendment thereto, in each case including all exhibits and consents filed therewith; and (ii) to each Underwriter (A) a conformed copy of the Registration Statement as originally filed and each amendment thereto, (without exhibits and consents thereto)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8" w:right="459" w:bottom="1440" w:gutter="0" w:footer="0" w:header="0"/>
        </w:sectPr>
      </w:pPr>
    </w:p>
    <w:bookmarkStart w:id="18" w:name="page19"/>
    <w:bookmarkEnd w:id="18"/>
    <w:p>
      <w:pPr>
        <w:ind w:left="-20" w:right="60" w:firstLine="436"/>
        <w:spacing w:after="0" w:line="277" w:lineRule="auto"/>
        <w:tabs>
          <w:tab w:leader="none" w:pos="66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Amendments or Supplements; Issuer Free Writing Prospectuses. </w:t>
      </w:r>
      <w:r>
        <w:rPr>
          <w:rFonts w:ascii="Times New Roman" w:cs="Times New Roman" w:eastAsia="Times New Roman" w:hAnsi="Times New Roman"/>
          <w:sz w:val="17"/>
          <w:szCs w:val="17"/>
          <w:color w:val="auto"/>
        </w:rPr>
        <w:t>Before making, preparing, using, authorizing, approving, referring to or filing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67" w:lineRule="exact"/>
        <w:rPr>
          <w:rFonts w:ascii="Times New Roman" w:cs="Times New Roman" w:eastAsia="Times New Roman" w:hAnsi="Times New Roman"/>
          <w:sz w:val="17"/>
          <w:szCs w:val="17"/>
          <w:color w:val="auto"/>
        </w:rPr>
      </w:pPr>
    </w:p>
    <w:p>
      <w:pPr>
        <w:ind w:left="-20" w:firstLine="436"/>
        <w:spacing w:after="0" w:line="252" w:lineRule="auto"/>
        <w:tabs>
          <w:tab w:leader="none" w:pos="6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(i) when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Registration Statement has been filed or becomes effective; (ii) when any supplement to the Prospectus or any Issuer Free Writing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or any other governmental or regulatory authority of any order suspending the effectiveness of the Registration Statement or preventing or suspending the use of any Preliminary Prospectus, the Prospectus, any Time of Sale Information or any Issuer Free Writing Prospectus or the initiation or threatening of any proceeding for that purpose or pursuant to Section 8A of the Securities Act; (v) of the occurrence of any event or development within the Prospectus Delivery Period as a result of which the Prospectus, any of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Shares and, if any such order is issued, will use its reasonable best efforts to obtain as soon as possible the withdrawal thereof.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68" w:right="459" w:bottom="1440" w:gutter="0" w:footer="0" w:header="0"/>
        </w:sectPr>
      </w:pPr>
    </w:p>
    <w:bookmarkStart w:id="19" w:name="page20"/>
    <w:bookmarkEnd w:id="19"/>
    <w:p>
      <w:pPr>
        <w:ind w:left="-20" w:right="120" w:firstLine="436"/>
        <w:spacing w:after="0" w:line="254"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Time of Sale Information. </w:t>
      </w:r>
      <w:r>
        <w:rPr>
          <w:rFonts w:ascii="Times New Roman" w:cs="Times New Roman" w:eastAsia="Times New Roman" w:hAnsi="Times New Roman"/>
          <w:sz w:val="18"/>
          <w:szCs w:val="18"/>
          <w:color w:val="auto"/>
        </w:rPr>
        <w:t>If at any time prior to the Closing Date (i) any event shall occur or condition shall exist as a result of which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as then amended or supplemented would include any untrue statement of a material fact or omit to state any material fact required to be stated therein or necessary in order to make the statements therein, in the light of the circumstances under which they were made, not misleading or (ii) it is necessary to amend or supplement the Time of Sale Information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spacing w:after="0" w:line="188" w:lineRule="exact"/>
        <w:rPr>
          <w:rFonts w:ascii="Times New Roman" w:cs="Times New Roman" w:eastAsia="Times New Roman" w:hAnsi="Times New Roman"/>
          <w:sz w:val="18"/>
          <w:szCs w:val="18"/>
          <w:color w:val="auto"/>
        </w:rPr>
      </w:pPr>
    </w:p>
    <w:p>
      <w:pPr>
        <w:ind w:left="-20" w:firstLine="436"/>
        <w:spacing w:after="0" w:line="254" w:lineRule="auto"/>
        <w:tabs>
          <w:tab w:leader="none" w:pos="6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Ongoing Compliance</w:t>
      </w:r>
      <w:r>
        <w:rPr>
          <w:rFonts w:ascii="Times New Roman" w:cs="Times New Roman" w:eastAsia="Times New Roman" w:hAnsi="Times New Roman"/>
          <w:sz w:val="18"/>
          <w:szCs w:val="18"/>
          <w:color w:val="auto"/>
        </w:rPr>
        <w:t>. If during the Prospectus Delivery Period (i) any event shall occur or condition shall exist as a result of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as then amended or supplemented would include any untrue statement of a material fact or omit to state any material fact required to be stated therein or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Times New Roman" w:cs="Times New Roman" w:eastAsia="Times New Roman" w:hAnsi="Times New Roman"/>
          <w:sz w:val="18"/>
          <w:szCs w:val="18"/>
          <w:i w:val="1"/>
          <w:iCs w:val="1"/>
          <w:color w:val="auto"/>
        </w:rPr>
        <w:t>.</w:t>
      </w:r>
    </w:p>
    <w:p>
      <w:pPr>
        <w:spacing w:after="0" w:line="188"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reasonably cooperate with the Representatives and counsel for the Underwriters to qualify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offer and sale under the securities or Blue Sky laws of such jurisdictions as the Representatives shall reasonably request and will continue such qualifications in effect so long as required for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60" w:top="268" w:right="459" w:bottom="1440" w:gutter="0" w:footer="0" w:header="0"/>
        </w:sectPr>
      </w:pPr>
    </w:p>
    <w:bookmarkStart w:id="20" w:name="page21"/>
    <w:bookmarkEnd w:id="20"/>
    <w:p>
      <w:pPr>
        <w:ind w:right="140" w:firstLine="436"/>
        <w:spacing w:after="0" w:line="258"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Representatives, including by filing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the Company will be deemed to comply with such requirement by furnishing such earnings statements on the Commission’s Electronic Data Gathering, Analysis, and Retrieval system.</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75 days after the date of the Prospectus, the Company will not (i) offer, pledge, sell, contract to sell, sell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may file a registration statement on Form S-3 in connection with the grants of restricted units to ZMC Advisors,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L.P., consistent with past practice,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J.P. Morgan Securities LLC and Goldman Sachs &amp; Co. LLC, other than the Shares to be sold hereunder.</w:t>
      </w:r>
    </w:p>
    <w:p>
      <w:pPr>
        <w:spacing w:after="0" w:line="190" w:lineRule="exact"/>
        <w:rPr>
          <w:sz w:val="20"/>
          <w:szCs w:val="20"/>
          <w:color w:val="auto"/>
        </w:rPr>
      </w:pPr>
    </w:p>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t>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or (iii)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w:t>
      </w:r>
    </w:p>
    <w:p>
      <w:pPr>
        <w:spacing w:after="0" w:line="171" w:lineRule="exact"/>
        <w:rPr>
          <w:sz w:val="20"/>
          <w:szCs w:val="20"/>
          <w:color w:val="auto"/>
        </w:rPr>
      </w:pPr>
    </w:p>
    <w:p>
      <w:pPr>
        <w:ind w:right="160" w:firstLine="436"/>
        <w:spacing w:after="0" w:line="28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Shares as described in each of the Registration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Sale Information and the Prospectus under the heading “Use of Proceeds”.</w:t>
      </w:r>
    </w:p>
    <w:p>
      <w:pPr>
        <w:spacing w:after="0" w:line="158" w:lineRule="exact"/>
        <w:rPr>
          <w:rFonts w:ascii="Times New Roman" w:cs="Times New Roman" w:eastAsia="Times New Roman" w:hAnsi="Times New Roman"/>
          <w:sz w:val="18"/>
          <w:szCs w:val="18"/>
          <w:color w:val="auto"/>
        </w:rPr>
      </w:pPr>
    </w:p>
    <w:p>
      <w:pPr>
        <w:ind w:right="360" w:firstLine="436"/>
        <w:spacing w:after="0" w:line="284"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its subsidiaries or affiliates will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Stock.</w:t>
      </w:r>
    </w:p>
    <w:p>
      <w:pPr>
        <w:spacing w:after="0" w:line="158"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Company will use its reasonable best efforts to list for quotation the Shares on the Nasdaq Global Select Market.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21" w:name="page22"/>
    <w:bookmarkEnd w:id="21"/>
    <w:p>
      <w:pPr>
        <w:ind w:right="120" w:firstLine="436"/>
        <w:spacing w:after="0" w:line="261" w:lineRule="auto"/>
        <w:tabs>
          <w:tab w:leader="none" w:pos="7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Reports</w:t>
      </w:r>
      <w:r>
        <w:rPr>
          <w:rFonts w:ascii="Times New Roman" w:cs="Times New Roman" w:eastAsia="Times New Roman" w:hAnsi="Times New Roman"/>
          <w:sz w:val="18"/>
          <w:szCs w:val="18"/>
          <w:color w:val="auto"/>
        </w:rPr>
        <w:t>. For a period one year after the date of the Prospectus, the Company will furnish to the Representative, as soon as they are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copies of any reports and financial statements furnished to or filed with the Commission or any national securities exchange or automatic quotation system; provided the Company will be deemed to have furnished such reports and financial statements to the Representative to the extent they are filed on the Commission’s Electronic Data Gathering, Analysis, and Retrieval system.</w:t>
      </w:r>
    </w:p>
    <w:p>
      <w:pPr>
        <w:spacing w:after="0" w:line="179" w:lineRule="exact"/>
        <w:rPr>
          <w:rFonts w:ascii="Times New Roman" w:cs="Times New Roman" w:eastAsia="Times New Roman" w:hAnsi="Times New Roman"/>
          <w:sz w:val="18"/>
          <w:szCs w:val="18"/>
          <w:color w:val="auto"/>
        </w:rPr>
      </w:pPr>
    </w:p>
    <w:p>
      <w:pPr>
        <w:ind w:right="320" w:firstLine="436"/>
        <w:spacing w:after="0" w:line="284"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that is not filed with the Commission in accordance with Rule 433 under the Securities Act.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sz w:val="20"/>
          <w:szCs w:val="20"/>
          <w:color w:val="auto"/>
        </w:rPr>
      </w:pPr>
    </w:p>
    <w:p>
      <w:pPr>
        <w:ind w:right="20" w:firstLine="436"/>
        <w:spacing w:after="0" w:line="255"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 w:cs="Times New Roman" w:eastAsia="Times New Roman" w:hAnsi="Times New Roman"/>
          <w:sz w:val="18"/>
          <w:szCs w:val="18"/>
          <w:u w:val="single" w:color="auto"/>
          <w:color w:val="auto"/>
        </w:rPr>
        <w:t>Underwriter Free Writing Prospectus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2" w:lineRule="exact"/>
        <w:rPr>
          <w:sz w:val="20"/>
          <w:szCs w:val="20"/>
          <w:color w:val="auto"/>
        </w:rPr>
      </w:pPr>
    </w:p>
    <w:p>
      <w:pPr>
        <w:jc w:val="both"/>
        <w:ind w:right="200" w:firstLine="436"/>
        <w:spacing w:after="0" w:line="266"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Underwritten Shares on the Closing Date or the Option Shares on each Additional Closing Date, as the case may be, as provided herein is subject to the performance by the Company of its covenants and other obligations hereunder and to the following additional conditions:</w:t>
      </w:r>
    </w:p>
    <w:p>
      <w:pPr>
        <w:spacing w:after="0" w:line="66" w:lineRule="exact"/>
        <w:rPr>
          <w:sz w:val="20"/>
          <w:szCs w:val="20"/>
          <w:color w:val="auto"/>
        </w:rPr>
      </w:pPr>
    </w:p>
    <w:p>
      <w:pPr>
        <w:ind w:firstLine="436"/>
        <w:spacing w:after="0" w:line="257"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to the Company’s knowledge,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22" w:name="page23"/>
    <w:bookmarkEnd w:id="22"/>
    <w:p>
      <w:pPr>
        <w:ind w:left="4" w:right="80" w:firstLine="436"/>
        <w:spacing w:after="0" w:line="261"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and on and as of the Closing Date or each Additional Closing Date, as the case may be; and the statements of the Company and its officers made in any certificates delivered pursuant to this Agreement shall be true and correct on and as of the Closing Date or each Additional Closing Date, as the case may be.</w:t>
      </w:r>
    </w:p>
    <w:p>
      <w:pPr>
        <w:spacing w:after="0" w:line="179"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Downgrade</w:t>
      </w:r>
      <w:r>
        <w:rPr>
          <w:rFonts w:ascii="Times New Roman" w:cs="Times New Roman" w:eastAsia="Times New Roman" w:hAnsi="Times New Roman"/>
          <w:sz w:val="18"/>
          <w:szCs w:val="18"/>
          <w:color w:val="auto"/>
        </w:rPr>
        <w:t>. Subsequent to the earlier of (A) the Time of Sale and (B) the execution and delivery of this Agreement, (i) no downgrading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w:t>
      </w:r>
    </w:p>
    <w:p>
      <w:pPr>
        <w:ind w:left="4" w:right="20" w:hanging="4"/>
        <w:spacing w:after="0" w:line="255"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organization shall have publicly announced that it has under surveillance or review, or has changed its outlook with respect to, its rating of any debt securities, convertible securities or preferred stock issued or guaranteed by the Company or any of its subsidiaries (other than an announcement with positive implications of a possible upgrading).</w:t>
      </w:r>
    </w:p>
    <w:p>
      <w:pPr>
        <w:spacing w:after="0" w:line="183" w:lineRule="exact"/>
        <w:rPr>
          <w:rFonts w:ascii="Times New Roman" w:cs="Times New Roman" w:eastAsia="Times New Roman" w:hAnsi="Times New Roman"/>
          <w:sz w:val="18"/>
          <w:szCs w:val="18"/>
          <w:color w:val="auto"/>
        </w:rPr>
      </w:pPr>
    </w:p>
    <w:p>
      <w:pPr>
        <w:ind w:left="4" w:right="140" w:firstLine="436"/>
        <w:spacing w:after="0" w:line="277" w:lineRule="auto"/>
        <w:tabs>
          <w:tab w:leader="none" w:pos="69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No event or condition of a type described in Section 3(g) hereof shall have occurred or shall exist, which event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condition is not described in each of the Time of Sale Information (excluding any amendment or supplement thereto) and the Prospectus (excluding any amendment or supplement thereto), the effect of which in the judgment of the Representatives (after consultation with the Company, if reasonably practicable) makes it impracticable or inadvisable to proceed with the offering, sale or delivery of the Shares on the Closing Date or each Additional Closing Date, as the case may be, on the terms and in the manner contemplated by this Agreement, the Time of Sale Information and the Prospectus.</w:t>
      </w:r>
    </w:p>
    <w:p>
      <w:pPr>
        <w:spacing w:after="0" w:line="167" w:lineRule="exact"/>
        <w:rPr>
          <w:rFonts w:ascii="Times New Roman" w:cs="Times New Roman" w:eastAsia="Times New Roman" w:hAnsi="Times New Roman"/>
          <w:sz w:val="17"/>
          <w:szCs w:val="17"/>
          <w:color w:val="auto"/>
        </w:rPr>
      </w:pPr>
    </w:p>
    <w:p>
      <w:pPr>
        <w:ind w:left="4" w:right="40" w:firstLine="436"/>
        <w:spacing w:after="0" w:line="256" w:lineRule="auto"/>
        <w:tabs>
          <w:tab w:leader="none" w:pos="6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Representatives shall have received on and as of the Closing Date or each Additional Closing Date, as the case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 certificate of an executive officer of the Company who has specific knowledge of the Company’s financial matters and is satisfactory to the Representatives (i) confirming that such officer has carefully reviewed the Registration Statement, the Time of Sale Information and the Prospectus and, to the knowledge of such officer,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each Additional Closing Date, as the case may be, and (iii) to the effect set forth in paragraphs (a) and (c) above.</w:t>
      </w:r>
    </w:p>
    <w:p>
      <w:pPr>
        <w:spacing w:after="0" w:line="182"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140" w:firstLine="436"/>
        <w:spacing w:after="0" w:line="267" w:lineRule="auto"/>
        <w:tabs>
          <w:tab w:leader="none" w:pos="69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or each Additional Closing Date, as the case may be, Ernst &amp; Young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LLP shall have furnished to the Representatives, at the request of the Company, as applicable, letters, dated the respective dates of delivery thereof and addressed to the Underwriters, in form and substance reasonably satisfactory to the Representatives, containing statements and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8" w:right="459" w:bottom="1440" w:gutter="0" w:footer="0" w:header="0"/>
        </w:sectPr>
      </w:pPr>
    </w:p>
    <w:bookmarkStart w:id="23" w:name="page24"/>
    <w:bookmarkEnd w:id="23"/>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information of the type customarily included in accountants’ “comfort letters” to underwriters with respect to the financial statements and certain financial information contained or incorporated by reference in each of the Registration Statement, the Time of Sale Information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letters delivered on the Closing Date or each Additional Closing Date, as the case may be, shall use a “cut-off” date no more than three business days prior to the Closing Date or such Additional Closing Date, as the case may be.</w:t>
      </w:r>
    </w:p>
    <w:p>
      <w:pPr>
        <w:spacing w:after="0" w:line="178" w:lineRule="exact"/>
        <w:rPr>
          <w:sz w:val="20"/>
          <w:szCs w:val="20"/>
          <w:color w:val="auto"/>
        </w:rPr>
      </w:pPr>
    </w:p>
    <w:p>
      <w:pPr>
        <w:ind w:firstLine="436"/>
        <w:spacing w:after="0" w:line="26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Willkie Farr &amp; Gallagher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Company, their written opinion and 10b-5 statement, in each case relating to the Company, dated the Closing Date or each Additional Closing Date, as the case may be, and addressed to the Underwriters, in form and substance reasonably satisfactory to the Representatives.</w:t>
      </w:r>
    </w:p>
    <w:p>
      <w:pPr>
        <w:spacing w:after="0" w:line="179" w:lineRule="exact"/>
        <w:rPr>
          <w:rFonts w:ascii="Times New Roman" w:cs="Times New Roman" w:eastAsia="Times New Roman" w:hAnsi="Times New Roman"/>
          <w:sz w:val="18"/>
          <w:szCs w:val="18"/>
          <w:color w:val="auto"/>
        </w:rPr>
      </w:pPr>
    </w:p>
    <w:p>
      <w:pPr>
        <w:ind w:right="80" w:firstLine="436"/>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Closing Date 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Closing Date, as the case may be, an opinion and 10b-5 statement, addressed to the Underwriters, of Latham &amp; Watkins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ind w:right="260" w:firstLine="436"/>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and Sale. </w:t>
      </w:r>
      <w:r>
        <w:rPr>
          <w:rFonts w:ascii="Times New Roman" w:cs="Times New Roman" w:eastAsia="Times New Roman" w:hAnsi="Times New Roman"/>
          <w:sz w:val="18"/>
          <w:szCs w:val="18"/>
          <w:color w:val="auto"/>
        </w:rPr>
        <w:t>No action shall have been taken and no statute, rule, regulation or order shall have been enacted,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issued by any federal, state or foreign governmental or regulatory authority that would, as of the Closing Date or each Additional Closing Date, as the case may be, prevent the issuance or sale of the Shares; and no injunction or order of any federal, state or foreign court shall have been issued that would, as of the Closing Date or each Additional Closing Date, as the case may be, prevent the issuance or sale of the Shares.</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Representatives shall have received on and as of the Closing Date or each Additional Closing Date, as the case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satisfactory evidence of the good standing of the Company and its Significant Subsidiaries that are organized in the United States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179" w:lineRule="exact"/>
        <w:rPr>
          <w:rFonts w:ascii="Times New Roman" w:cs="Times New Roman" w:eastAsia="Times New Roman" w:hAnsi="Times New Roman"/>
          <w:sz w:val="18"/>
          <w:szCs w:val="18"/>
          <w:color w:val="auto"/>
        </w:rPr>
      </w:pPr>
    </w:p>
    <w:p>
      <w:pPr>
        <w:ind w:right="620" w:firstLine="436"/>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Shares to be delivered on the Closing Date or each Additional Closing Date, as the case may be, shall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for listing on The Nasdaq Global Select Market, subject to official notice of issuance.</w:t>
      </w:r>
    </w:p>
    <w:p>
      <w:pPr>
        <w:spacing w:after="0" w:line="158" w:lineRule="exact"/>
        <w:rPr>
          <w:rFonts w:ascii="Times New Roman" w:cs="Times New Roman" w:eastAsia="Times New Roman" w:hAnsi="Times New Roman"/>
          <w:sz w:val="18"/>
          <w:szCs w:val="18"/>
          <w:color w:val="auto"/>
        </w:rPr>
      </w:pPr>
    </w:p>
    <w:p>
      <w:pPr>
        <w:ind w:right="160" w:firstLine="436"/>
        <w:spacing w:after="0" w:line="267" w:lineRule="auto"/>
        <w:tabs>
          <w:tab w:leader="none" w:pos="7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Lock-up Agreements. </w:t>
      </w:r>
      <w:r>
        <w:rPr>
          <w:rFonts w:ascii="Times New Roman" w:cs="Times New Roman" w:eastAsia="Times New Roman" w:hAnsi="Times New Roman"/>
          <w:sz w:val="18"/>
          <w:szCs w:val="18"/>
          <w:color w:val="auto"/>
        </w:rPr>
        <w:t>The “lock-up” agreements, each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between you and the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directors of the Company relating to sales and certain other dispositions of shares of Stock or certain other securities, delivered to you on or before the date hereof, shall be in full force and effect on the Closing Date or each Additional Closing Date, as the case may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24" w:name="page25"/>
    <w:bookmarkEnd w:id="24"/>
    <w:p>
      <w:pPr>
        <w:ind w:right="120" w:firstLine="436"/>
        <w:spacing w:after="0" w:line="284"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 Documents. </w:t>
      </w:r>
      <w:r>
        <w:rPr>
          <w:rFonts w:ascii="Times New Roman" w:cs="Times New Roman" w:eastAsia="Times New Roman" w:hAnsi="Times New Roman"/>
          <w:sz w:val="18"/>
          <w:szCs w:val="18"/>
          <w:color w:val="auto"/>
        </w:rPr>
        <w:t>On or prior to the Closing Date or the Additional Closing Date, as the case may be, the Company shall have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Representatives such further certificates and documents as the Representatives may reasonably request.</w:t>
      </w:r>
    </w:p>
    <w:p>
      <w:pPr>
        <w:spacing w:after="0" w:line="16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20" w:hanging="184"/>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436"/>
        <w:spacing w:after="0" w:line="253"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roadshow as defined in Rule 433(h) under the Securities Act (a “road show”) or any Time of Sale Information, or caused by any omission or alleged omission to state therein a material fact required to be stated therein or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or on behalf of such Underwriter through the Representatives expressly for use therein, it being understood and agreed that the only such information furnished by any Underwriter consists of the information described as such in paragraph (b) below.</w:t>
      </w:r>
    </w:p>
    <w:p>
      <w:pPr>
        <w:spacing w:after="0" w:line="18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the Company, its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8" w:right="459" w:bottom="1440" w:gutter="0" w:footer="0" w:header="0"/>
        </w:sectPr>
      </w:pPr>
    </w:p>
    <w:bookmarkStart w:id="25" w:name="page26"/>
    <w:bookmarkEnd w:id="25"/>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in writing by or on behalf of such Underwriter through the Representatives expressly for use in the Registration Statement, the Prospectus (or any amendment or supplement thereto), any Issuer Free Writing Prospectus, any road show or any Time of Sale Information, it being understood and agreed that the only such information consists of the following paragraphs in the Preliminary Prospectus and the Prospectus: the information contained in the fifteenth paragraph (relating to stabilization) under the caption “Underwriters”.</w:t>
      </w:r>
    </w:p>
    <w:p>
      <w:pPr>
        <w:spacing w:after="0" w:line="178" w:lineRule="exact"/>
        <w:rPr>
          <w:sz w:val="20"/>
          <w:szCs w:val="20"/>
          <w:color w:val="auto"/>
        </w:rPr>
      </w:pPr>
    </w:p>
    <w:p>
      <w:pPr>
        <w:ind w:firstLine="436"/>
        <w:spacing w:after="0" w:line="252"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or asserted against any person in respect of which indemnification may be sought pursuant to either paragraph (a) or (b) above, such person (the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shall promptly notify the person against whom such indemnification may be sought (the “</w:t>
      </w:r>
      <w:r>
        <w:rPr>
          <w:rFonts w:ascii="Times New Roman" w:cs="Times New Roman" w:eastAsia="Times New Roman" w:hAnsi="Times New Roman"/>
          <w:sz w:val="18"/>
          <w:szCs w:val="18"/>
          <w:u w:val="single" w:color="auto"/>
          <w:color w:val="auto"/>
        </w:rPr>
        <w:t>Indemnifying Person</w:t>
      </w:r>
      <w:r>
        <w:rPr>
          <w:rFonts w:ascii="Times New Roman" w:cs="Times New Roman" w:eastAsia="Times New Roman" w:hAnsi="Times New Roman"/>
          <w:sz w:val="18"/>
          <w:szCs w:val="18"/>
          <w:color w:val="auto"/>
        </w:rPr>
        <w:t xml:space="preserv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such Indemnified Person and any others entitled to indemnification pursuant to this Section 7 that the Indemnifying Person may designate in such proceeding and shall pay the fees and expenses of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and its directors and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6" w:name="page27"/>
    <w:bookmarkEnd w:id="26"/>
    <w:p>
      <w:pPr>
        <w:ind w:left="4"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w:t>
      </w:r>
    </w:p>
    <w:p>
      <w:pPr>
        <w:spacing w:after="0" w:line="5" w:lineRule="exact"/>
        <w:rPr>
          <w:sz w:val="20"/>
          <w:szCs w:val="20"/>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statement as to or any admission of fault, culpability or a failure to act by or on behalf of any Indemnified Person.</w:t>
      </w:r>
    </w:p>
    <w:p>
      <w:pPr>
        <w:spacing w:after="0" w:line="204"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27" w:name="page28"/>
    <w:bookmarkEnd w:id="27"/>
    <w:p>
      <w:pPr>
        <w:ind w:left="4" w:right="120" w:firstLine="436"/>
        <w:spacing w:after="0" w:line="253" w:lineRule="auto"/>
        <w:tabs>
          <w:tab w:leader="none" w:pos="6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7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91" w:lineRule="exact"/>
        <w:rPr>
          <w:rFonts w:ascii="Times New Roman" w:cs="Times New Roman" w:eastAsia="Times New Roman" w:hAnsi="Times New Roman"/>
          <w:sz w:val="18"/>
          <w:szCs w:val="18"/>
          <w:color w:val="auto"/>
        </w:rPr>
      </w:pPr>
    </w:p>
    <w:p>
      <w:pPr>
        <w:ind w:left="4" w:right="400" w:firstLine="436"/>
        <w:spacing w:after="0" w:line="284" w:lineRule="auto"/>
        <w:tabs>
          <w:tab w:leader="none" w:pos="6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are not exclusive and shall not limit any rights or remedies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160" w:lineRule="exact"/>
        <w:rPr>
          <w:sz w:val="20"/>
          <w:szCs w:val="20"/>
          <w:color w:val="auto"/>
        </w:rPr>
      </w:pPr>
    </w:p>
    <w:p>
      <w:pPr>
        <w:ind w:left="624" w:hanging="184"/>
        <w:spacing w:after="0"/>
        <w:tabs>
          <w:tab w:leader="none" w:pos="6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ind w:left="4" w:right="80" w:firstLine="436"/>
        <w:spacing w:after="0" w:line="276" w:lineRule="auto"/>
        <w:tabs>
          <w:tab w:leader="none" w:pos="624"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in the absolute discretion of the Representatives, by notice to the Company, if after the execution and delivery of this Agreement and on or prior to the Closing Date or, in the case of the Option Shares, prior to each Additional Closing Date</w:t>
      </w:r>
    </w:p>
    <w:p>
      <w:pPr>
        <w:ind w:left="4" w:right="20" w:hanging="4"/>
        <w:spacing w:after="0" w:line="252" w:lineRule="auto"/>
        <w:tabs>
          <w:tab w:leader="none" w:pos="2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generally shall have been suspended or materially limited on the New York Stock Exchange or The Nasdaq Global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each Additional Closing Date, as the case may be, on the terms and in the manner contemplated by this Agreement, the Time of Sale Information and the Prospectus.</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1" w:lineRule="auto"/>
        <w:tabs>
          <w:tab w:leader="none" w:pos="6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or each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68" w:right="479" w:bottom="1440" w:gutter="0" w:footer="0" w:header="0"/>
        </w:sectPr>
      </w:pPr>
    </w:p>
    <w:bookmarkStart w:id="28" w:name="page29"/>
    <w:bookmarkEnd w:id="2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each Additional Closing Date, as the case may be,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includes, for all purposes of this Agreement unless the context otherwise requires, any person not listed in Schedule 1 hereto that, pursuant to this Section 10, purchases Shares that a defaulting Underwriter agreed but failed to purchase.</w:t>
      </w:r>
    </w:p>
    <w:p>
      <w:pPr>
        <w:spacing w:after="0" w:line="192" w:lineRule="exact"/>
        <w:rPr>
          <w:sz w:val="20"/>
          <w:szCs w:val="20"/>
          <w:color w:val="auto"/>
        </w:rPr>
      </w:pPr>
    </w:p>
    <w:p>
      <w:pPr>
        <w:ind w:right="20" w:firstLine="436"/>
        <w:spacing w:after="0" w:line="256"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Shares of a defaulting Underwriter or Underwriters by the non-defaulting Underwriters and the Company as provided in paragraph (a) above, the aggregate number of Shares that remain unpurchased on the Closing Date or each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number of Shares that such Underwriter agreed to purchase on such date) of the Shares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right="240" w:firstLine="436"/>
        <w:spacing w:after="0" w:line="254"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each Additional Closing Date, as the case may be, exceeds one-eleventh of the aggregate amount of Shares to be purchased on such date, or if the Company shall not exercise the right described in paragraph (b) above, then this Agreement or, with respect to each Additional Closing Date, the obligation of the Underwriters to purchase Shares on each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91"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firstLine="436"/>
        <w:spacing w:after="0" w:line="253"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transactions contemplated by this Agreement are consummated or this Agreement is terminated, the Company agrees to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this Agreement; (iv) the fees and expenses of the Company’s counsel and independent accountants; (v)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amounts to be paid by the Company for such counsel pursuant to this clause (v) shall not exceed $5,000); (vi) the cost of preparing stock certificates; (vii) the costs and charges of any transfer agent and any registrar; (viii) all expenses and application fees incurred in connection with any filing with, and clearance of the offering by, FINRA; and (ix) all expenses incurred by the Company in connection with any “road show” presentation to potential investors.</w:t>
      </w:r>
    </w:p>
    <w:p>
      <w:pPr>
        <w:spacing w:after="0" w:line="189"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accountable out-of-pocket costs and expenses (including the reasonable and documented fees and expenses of their counsel) reasonably and actually incurred by the Underwriters in connection with this Agreement and the offering contemplated hereby.</w:t>
      </w:r>
    </w:p>
    <w:p>
      <w:pPr>
        <w:spacing w:after="0" w:line="180" w:lineRule="exact"/>
        <w:rPr>
          <w:sz w:val="20"/>
          <w:szCs w:val="20"/>
          <w:color w:val="auto"/>
        </w:rPr>
      </w:pPr>
    </w:p>
    <w:p>
      <w:pPr>
        <w:ind w:firstLine="436"/>
        <w:spacing w:after="0" w:line="258" w:lineRule="auto"/>
        <w:tabs>
          <w:tab w:leader="none" w:pos="7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3" w:lineRule="exact"/>
        <w:rPr>
          <w:rFonts w:ascii="Times New Roman" w:cs="Times New Roman" w:eastAsia="Times New Roman" w:hAnsi="Times New Roman"/>
          <w:sz w:val="18"/>
          <w:szCs w:val="18"/>
          <w:color w:val="auto"/>
        </w:rPr>
      </w:pPr>
    </w:p>
    <w:p>
      <w:pPr>
        <w:ind w:right="80" w:firstLine="436"/>
        <w:spacing w:after="0" w:line="261" w:lineRule="auto"/>
        <w:tabs>
          <w:tab w:leader="none" w:pos="7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8" w:right="459" w:bottom="1440" w:gutter="0" w:footer="0" w:header="0"/>
        </w:sectPr>
      </w:pPr>
    </w:p>
    <w:bookmarkStart w:id="30" w:name="page31"/>
    <w:bookmarkEnd w:id="30"/>
    <w:p>
      <w:pPr>
        <w:jc w:val="both"/>
        <w:ind w:right="180" w:firstLine="436"/>
        <w:spacing w:after="0" w:line="266"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Defined Terms</w:t>
      </w:r>
      <w:r>
        <w:rPr>
          <w:rFonts w:ascii="Times New Roman" w:cs="Times New Roman" w:eastAsia="Times New Roman" w:hAnsi="Times New Roman"/>
          <w:sz w:val="18"/>
          <w:szCs w:val="18"/>
          <w:color w:val="auto"/>
        </w:rPr>
        <w:t>. For purposes of this Agreement, (a) except where otherwise expressly provided,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set forth in Rule 405 under the Securities Act; (b)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day on which banks are permitted or required to be closed in New York City; and (c) 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has the meaning set forth in Rule 405 under the Securities Act.</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020" w:firstLine="436"/>
        <w:spacing w:after="0" w:line="284"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of the Representatives. </w:t>
      </w:r>
      <w:r>
        <w:rPr>
          <w:rFonts w:ascii="Times New Roman" w:cs="Times New Roman" w:eastAsia="Times New Roman" w:hAnsi="Times New Roman"/>
          <w:sz w:val="18"/>
          <w:szCs w:val="18"/>
          <w:color w:val="auto"/>
        </w:rPr>
        <w:t>Any action by the Underwriters hereunder may be taken by the Representatives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and any such action taken by the Representatives shall be binding upon the Underwriters.</w:t>
      </w:r>
    </w:p>
    <w:p>
      <w:pPr>
        <w:spacing w:after="0" w:line="158"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transmitted and confirmed by any standard form of telecommunication. Notices to the Underwriters shall be given to the Representatives c/o J.P. Morgan Securities LLC, 383 Madison Avenue, New York, New York 10179 (fax: 212-834-6081); Attention: Investment Grade Syndicate Desk and c/o Goldman Sachs &amp; Co. LLC, 200 West Street, New York, New York 10282-2198; Attention: Registration Department, telephone: 1-866-471-2526, facsimile: 212-902-9316 or by emailing </w:t>
      </w:r>
      <w:r>
        <w:rPr>
          <w:rFonts w:ascii="Times New Roman" w:cs="Times New Roman" w:eastAsia="Times New Roman" w:hAnsi="Times New Roman"/>
          <w:sz w:val="18"/>
          <w:szCs w:val="18"/>
          <w:u w:val="single" w:color="auto"/>
          <w:color w:val="auto"/>
        </w:rPr>
        <w:t>Prospectus-ny@ny.email.gs.com</w:t>
      </w:r>
      <w:r>
        <w:rPr>
          <w:rFonts w:ascii="Times New Roman" w:cs="Times New Roman" w:eastAsia="Times New Roman" w:hAnsi="Times New Roman"/>
          <w:sz w:val="18"/>
          <w:szCs w:val="18"/>
          <w:color w:val="auto"/>
        </w:rPr>
        <w:t>. Notices to the Company shall be given to it at Take-Two Interactive Software, Inc., 110 West 44th Street, New York, New York 10036; Attention: Chief Legal Officer, with a copy to Willkie Farr &amp; Gallagher LLP, 787 Seventh Avenue, New York, New York 10019, Attention: Adam M. Turteltaub and Sean Ewen.</w:t>
      </w:r>
    </w:p>
    <w:p>
      <w:pPr>
        <w:spacing w:after="0" w:line="182" w:lineRule="exact"/>
        <w:rPr>
          <w:rFonts w:ascii="Times New Roman" w:cs="Times New Roman" w:eastAsia="Times New Roman" w:hAnsi="Times New Roman"/>
          <w:sz w:val="18"/>
          <w:szCs w:val="18"/>
          <w:color w:val="auto"/>
        </w:rPr>
      </w:pPr>
    </w:p>
    <w:p>
      <w:pPr>
        <w:ind w:right="300" w:firstLine="436"/>
        <w:spacing w:after="0" w:line="284"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hereby submits to the exclusive jurisdiction of the U.S. federal and New York state courts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ind w:left="-436" w:right="220" w:firstLine="436"/>
        <w:spacing w:after="0" w:line="284" w:lineRule="auto"/>
        <w:tabs>
          <w:tab w:leader="none" w:pos="2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Jury Trial</w:t>
      </w:r>
      <w:r>
        <w:rPr>
          <w:rFonts w:ascii="Times New Roman" w:cs="Times New Roman" w:eastAsia="Times New Roman" w:hAnsi="Times New Roman"/>
          <w:sz w:val="18"/>
          <w:szCs w:val="18"/>
          <w:color w:val="auto"/>
        </w:rPr>
        <w:t>. 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 w:right="20" w:firstLine="419"/>
        <w:spacing w:after="0" w:line="261" w:lineRule="auto"/>
        <w:tabs>
          <w:tab w:leader="none" w:pos="64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 w:firstLine="419"/>
        <w:spacing w:after="0" w:line="261" w:lineRule="auto"/>
        <w:tabs>
          <w:tab w:leader="none" w:pos="69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As used in this Section 16(f):</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204" w:hanging="212"/>
        <w:spacing w:after="0"/>
        <w:tabs>
          <w:tab w:leader="none" w:pos="12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264" w:hanging="272"/>
        <w:spacing w:after="0"/>
        <w:tabs>
          <w:tab w:leader="none" w:pos="12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304" w:hanging="312"/>
        <w:spacing w:after="0"/>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804" w:hanging="253"/>
        <w:spacing w:after="0"/>
        <w:tabs>
          <w:tab w:leader="none" w:pos="8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139" w:lineRule="exact"/>
        <w:rPr>
          <w:rFonts w:ascii="Times New Roman" w:cs="Times New Roman" w:eastAsia="Times New Roman" w:hAnsi="Times New Roman"/>
          <w:sz w:val="18"/>
          <w:szCs w:val="18"/>
          <w:color w:val="auto"/>
        </w:rPr>
      </w:pPr>
    </w:p>
    <w:p>
      <w:pPr>
        <w:ind w:left="4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ectPr>
          <w:pgSz w:w="11900" w:h="16838" w:orient="portrait"/>
          <w:cols w:equalWidth="0" w:num="1">
            <w:col w:w="10504"/>
          </w:cols>
          <w:pgMar w:left="876" w:top="268" w:right="519" w:bottom="1440" w:gutter="0" w:footer="0" w:header="0"/>
        </w:sectPr>
      </w:pPr>
    </w:p>
    <w:bookmarkStart w:id="32" w:name="page33"/>
    <w:bookmarkEnd w:id="32"/>
    <w:p>
      <w:pPr>
        <w:ind w:left="-280" w:right="60" w:firstLine="436"/>
        <w:spacing w:after="0" w:line="258" w:lineRule="auto"/>
        <w:tabs>
          <w:tab w:leader="none" w:pos="4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280" w:right="480" w:firstLine="436"/>
        <w:spacing w:after="0" w:line="284" w:lineRule="auto"/>
        <w:tabs>
          <w:tab w:leader="none" w:pos="4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280" w:firstLine="436"/>
        <w:spacing w:after="0" w:line="284" w:lineRule="auto"/>
        <w:tabs>
          <w:tab w:leader="none" w:pos="3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440"/>
          </w:cols>
          <w:pgMar w:left="720" w:top="268" w:right="739" w:bottom="1440" w:gutter="0" w:footer="0" w:header="0"/>
        </w:sectPr>
      </w:pPr>
    </w:p>
    <w:bookmarkStart w:id="33" w:name="page34"/>
    <w:bookmarkEnd w:id="33"/>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TAKE-TWO INTERACTIVE SOFTWARE, INC., as Issuer</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Matthew Breitman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General Counsel</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Americas &amp; Corporate Secretary</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940"/>
          </w:cols>
          <w:pgMar w:left="440" w:top="270"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first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on behalf of the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Blair Seideman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8"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060" w:type="dxa"/>
            <w:vAlign w:val="bottom"/>
          </w:tcPr>
          <w:p>
            <w:pPr>
              <w:spacing w:after="0"/>
              <w:rPr>
                <w:sz w:val="20"/>
                <w:szCs w:val="20"/>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8"/>
              </w:rPr>
              <w:t>Schedule 1</w:t>
            </w:r>
          </w:p>
        </w:tc>
      </w:tr>
      <w:tr>
        <w:trPr>
          <w:trHeight w:val="41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0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3"/>
        </w:trPr>
        <w:tc>
          <w:tcPr>
            <w:tcW w:w="9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1,662,500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1,662,500</w:t>
            </w:r>
          </w:p>
        </w:tc>
      </w:tr>
      <w:tr>
        <w:trPr>
          <w:trHeight w:val="216"/>
        </w:trPr>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570,000</w:t>
            </w:r>
          </w:p>
        </w:tc>
      </w:tr>
      <w:tr>
        <w:trPr>
          <w:trHeight w:val="216"/>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427,500</w:t>
            </w:r>
          </w:p>
        </w:tc>
      </w:tr>
      <w:tr>
        <w:trPr>
          <w:trHeight w:val="216"/>
        </w:trPr>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427,500</w:t>
            </w:r>
          </w:p>
        </w:tc>
      </w:tr>
      <w:tr>
        <w:trPr>
          <w:trHeight w:val="238"/>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4,750,000</w:t>
            </w:r>
          </w:p>
        </w:tc>
      </w:tr>
    </w:tbl>
    <w:p>
      <w:pPr>
        <w:jc w:val="right"/>
        <w:ind w:right="6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Significant Subsidiaries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2KSports,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Firaxis Games,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Concepts Entertainment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Two International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Asia Pte.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DMA Design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Peak Oyun Yazılım ve Pazarlama Anonim Şirketi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 Giant Games Oy</w:t>
      </w:r>
    </w:p>
    <w:p>
      <w:pPr>
        <w:sectPr>
          <w:pgSz w:w="11900" w:h="16838" w:orient="portrait"/>
          <w:cols w:equalWidth="0" w:num="1">
            <w:col w:w="11020"/>
          </w:cols>
          <w:pgMar w:left="440" w:top="270"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Time of Sale Information</w:t>
      </w:r>
    </w:p>
    <w:p>
      <w:pPr>
        <w:spacing w:after="0" w:line="131"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Pricing Disclosure Package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Pricing Information Provided Orally by Underwriters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Public offering price per share: $225</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Underwritten Shares: 4,750,000</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Option Shares: 712,500</w:t>
      </w:r>
    </w:p>
    <w:p>
      <w:pPr>
        <w:sectPr>
          <w:pgSz w:w="11900" w:h="16838" w:orient="portrait"/>
          <w:cols w:equalWidth="0" w:num="1">
            <w:col w:w="11024"/>
          </w:cols>
          <w:pgMar w:left="436" w:top="270" w:right="4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__,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in Schedule 1 to the Underwriting Agreement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10282-2198</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tab/>
        <w:t>Take-Two Interactive Software, Inc.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Representatives of the several Underwriters, propose to enter into an underwriting agreement (the “Underwriting Agreement”) with Take-Two Interactive Software, Inc., a Delaware corporation (the “Company”), providing for the public offering (the “Public Offering”) by the several Underwriters named in Schedule 1 to the Underwriting Agreement (the “Underwriters”), of common stock, $0.01 per share par value, of the Company (“Common Stock”) of the Company (the “Securities”). Capitalized terms used herein and not otherwise defined shall have the meanings set forth in the Underwriting Agreement.</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the Representatives on behalf of the Underwriters, the undersigned will not, and will not cause any controlled affiliate to, during the period beginning on the date of this letter agreement (this “Letter Agreement”) and ending at the close of business 75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w:t>
      </w:r>
    </w:p>
    <w:p>
      <w:pPr>
        <w:sectPr>
          <w:pgSz w:w="11900" w:h="16838" w:orient="portrait"/>
          <w:cols w:equalWidth="0" w:num="1">
            <w:col w:w="11020"/>
          </w:cols>
          <w:pgMar w:left="440" w:top="270" w:right="439" w:bottom="1440" w:gutter="0" w:footer="0" w:header="0"/>
        </w:sectPr>
      </w:pPr>
    </w:p>
    <w:bookmarkStart w:id="39" w:name="page40"/>
    <w:bookmarkEnd w:id="39"/>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provided that the Company may file a registration statement on Form S-3 in connection with grants of restricted units to ZMC Advisors, L.P., consistent with past practice, or</w:t>
      </w:r>
    </w:p>
    <w:p>
      <w:pPr>
        <w:spacing w:after="0" w:line="3" w:lineRule="exact"/>
        <w:rPr>
          <w:sz w:val="20"/>
          <w:szCs w:val="20"/>
          <w:color w:val="auto"/>
        </w:rPr>
      </w:pPr>
    </w:p>
    <w:p>
      <w:pPr>
        <w:ind w:left="4" w:right="140" w:hanging="4"/>
        <w:spacing w:after="0" w:line="252"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131" w:lineRule="exact"/>
        <w:rPr>
          <w:sz w:val="20"/>
          <w:szCs w:val="20"/>
          <w:color w:val="auto"/>
        </w:rPr>
      </w:pPr>
    </w:p>
    <w:p>
      <w:pPr>
        <w:ind w:left="964" w:hanging="532"/>
        <w:spacing w:after="0"/>
        <w:tabs>
          <w:tab w:leader="none" w:pos="9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distribute, or otherwise dispose of (as the case may be) the undersigned’s Lock-Up Securities:</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intestacy,</w:t>
      </w:r>
    </w:p>
    <w:p>
      <w:pPr>
        <w:spacing w:after="0" w:line="130" w:lineRule="exact"/>
        <w:rPr>
          <w:rFonts w:ascii="Times New Roman" w:cs="Times New Roman" w:eastAsia="Times New Roman" w:hAnsi="Times New Roman"/>
          <w:sz w:val="18"/>
          <w:szCs w:val="18"/>
          <w:color w:val="auto"/>
        </w:rPr>
      </w:pPr>
    </w:p>
    <w:p>
      <w:pPr>
        <w:ind w:left="1964" w:hanging="533"/>
        <w:spacing w:after="0" w:line="261" w:lineRule="auto"/>
        <w:tabs>
          <w:tab w:leader="none" w:pos="19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or if the Lock-Up Securities are held by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85" w:lineRule="exact"/>
        <w:rPr>
          <w:rFonts w:ascii="Times New Roman" w:cs="Times New Roman" w:eastAsia="Times New Roman" w:hAnsi="Times New Roman"/>
          <w:sz w:val="18"/>
          <w:szCs w:val="18"/>
          <w:color w:val="auto"/>
        </w:rPr>
      </w:pPr>
    </w:p>
    <w:p>
      <w:pPr>
        <w:ind w:left="1964" w:right="40" w:hanging="533"/>
        <w:spacing w:after="0" w:line="282" w:lineRule="auto"/>
        <w:tabs>
          <w:tab w:leader="none" w:pos="19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limited liability company or other entity of which the undersigned and/or the immediate family of the undersigned are the legal and beneficial owner of all of the outstanding equity securities or similar interests,</w:t>
      </w:r>
    </w:p>
    <w:p>
      <w:pPr>
        <w:spacing w:after="0" w:line="67" w:lineRule="exact"/>
        <w:rPr>
          <w:rFonts w:ascii="Times New Roman" w:cs="Times New Roman" w:eastAsia="Times New Roman" w:hAnsi="Times New Roman"/>
          <w:sz w:val="18"/>
          <w:szCs w:val="18"/>
          <w:color w:val="auto"/>
        </w:rPr>
      </w:pPr>
    </w:p>
    <w:p>
      <w:pPr>
        <w:ind w:left="1964" w:right="320" w:hanging="533"/>
        <w:spacing w:after="0" w:line="282" w:lineRule="auto"/>
        <w:tabs>
          <w:tab w:leader="none" w:pos="19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distribution, transfer or other disposition would be permissible under clauses (i) through (iv) above,</w:t>
      </w:r>
    </w:p>
    <w:p>
      <w:pPr>
        <w:sectPr>
          <w:pgSz w:w="11900" w:h="16838" w:orient="portrait"/>
          <w:cols w:equalWidth="0" w:num="1">
            <w:col w:w="10984"/>
          </w:cols>
          <w:pgMar w:left="436" w:top="270" w:right="479" w:bottom="1440" w:gutter="0" w:footer="0" w:header="0"/>
        </w:sectPr>
      </w:pPr>
    </w:p>
    <w:bookmarkStart w:id="40" w:name="page41"/>
    <w:bookmarkEnd w:id="40"/>
    <w:p>
      <w:pPr>
        <w:ind w:left="960" w:right="120" w:hanging="533"/>
        <w:spacing w:after="0" w:line="255"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Lock-Up Securities are held by a corporation, partnership, limited liability company, trust or other business entity (the “Holder”), (A) to another corporation, partnership, limited liability company, trust or other business entity that is an affiliate (as defined in Rule 405 promulgated under the Securities Act of 1933, as amended) of the Holder, or to any investment fund or other entity controlling, controlled by, managing or managed by or under common control with the Holder or affiliates of the Holder (including, for the avoidance of doubt, where the Holder’s Lock-Up Securities are held by a partnership, to its general partner or a successor partnership or fund, or any other funds managed by such partnership), or (B) as part of a distribution to members, partners, shareholders or other equityholders of the Holder,</w:t>
      </w:r>
    </w:p>
    <w:p>
      <w:pPr>
        <w:spacing w:after="0" w:line="94" w:lineRule="exact"/>
        <w:rPr>
          <w:rFonts w:ascii="Times New Roman" w:cs="Times New Roman" w:eastAsia="Times New Roman" w:hAnsi="Times New Roman"/>
          <w:sz w:val="18"/>
          <w:szCs w:val="18"/>
          <w:color w:val="auto"/>
        </w:rPr>
      </w:pPr>
    </w:p>
    <w:p>
      <w:pPr>
        <w:ind w:left="960" w:right="100" w:hanging="533"/>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separation agreement or other court order,</w:t>
      </w:r>
    </w:p>
    <w:p>
      <w:pPr>
        <w:spacing w:after="0" w:line="67" w:lineRule="exact"/>
        <w:rPr>
          <w:rFonts w:ascii="Times New Roman" w:cs="Times New Roman" w:eastAsia="Times New Roman" w:hAnsi="Times New Roman"/>
          <w:sz w:val="18"/>
          <w:szCs w:val="18"/>
          <w:color w:val="auto"/>
        </w:rPr>
      </w:pPr>
    </w:p>
    <w:p>
      <w:pPr>
        <w:ind w:left="960" w:right="340" w:hanging="533"/>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w:t>
      </w:r>
    </w:p>
    <w:p>
      <w:pPr>
        <w:spacing w:after="0" w:line="67" w:lineRule="exact"/>
        <w:rPr>
          <w:rFonts w:ascii="Times New Roman" w:cs="Times New Roman" w:eastAsia="Times New Roman" w:hAnsi="Times New Roman"/>
          <w:sz w:val="18"/>
          <w:szCs w:val="18"/>
          <w:color w:val="auto"/>
        </w:rPr>
      </w:pPr>
    </w:p>
    <w:p>
      <w:pPr>
        <w:ind w:left="960" w:right="220" w:hanging="533"/>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open market transactions after the closing date for the Public Offering,</w:t>
      </w:r>
    </w:p>
    <w:p>
      <w:pPr>
        <w:spacing w:after="0" w:line="67" w:lineRule="exact"/>
        <w:rPr>
          <w:rFonts w:ascii="Times New Roman" w:cs="Times New Roman" w:eastAsia="Times New Roman" w:hAnsi="Times New Roman"/>
          <w:sz w:val="18"/>
          <w:szCs w:val="18"/>
          <w:color w:val="auto"/>
        </w:rPr>
      </w:pPr>
    </w:p>
    <w:p>
      <w:pPr>
        <w:ind w:left="960" w:right="40" w:hanging="533"/>
        <w:spacing w:after="0" w:line="254"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options, warrants or other equity or equity-based awards or rights with respect or to purchase shares of Common Stock (including, in each case, by way of “net” or “cashless” exercise, “net settlement” or otherwise) (collectively, “Equity-Based Awards”), including for the payment of exercise price and tax and remittance payments due as a result of the vesting, settlement, or exercise of such Equity-Based Awards, provided that any such shares of Common Stock received upon such exercise, vesting or settlement shall be subject to the terms of this Letter Agreement, and provided further that any such Equity-Based Awards are held by the undersigned (or a Holder of the undersigned) pursuant to an agreement or equity awards granted under a stock incentive plan or other equity award plan, each such agreement or plan which is described in the Registration Statement, the Pricing Disclosure Package and the Prospectus,</w:t>
      </w:r>
    </w:p>
    <w:p>
      <w:pPr>
        <w:spacing w:after="0" w:line="93" w:lineRule="exact"/>
        <w:rPr>
          <w:rFonts w:ascii="Times New Roman" w:cs="Times New Roman" w:eastAsia="Times New Roman" w:hAnsi="Times New Roman"/>
          <w:sz w:val="18"/>
          <w:szCs w:val="18"/>
          <w:color w:val="auto"/>
        </w:rPr>
      </w:pPr>
    </w:p>
    <w:p>
      <w:pPr>
        <w:ind w:left="960" w:hanging="533"/>
        <w:spacing w:after="0" w:line="258"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trading plans or instructions (including “sell to cover” elections) pursuant to Rule 10b5-1 under the Exchange Act for the transfer of shares of Lock-Up Securities; provided that such plan or instruction was established prior to the execution of this Agreement by the undersigned; provided further that any filing under Section 16(a) of the Exchange Act that is made in connection with any such sales during the Restricted Period shall state that such sales have been executed under a Rule 10b5-1 trading plan and shall also state the date such 10b5-1 trading plan was adopted, or</w:t>
      </w:r>
    </w:p>
    <w:p>
      <w:pPr>
        <w:sectPr>
          <w:pgSz w:w="11900" w:h="16838" w:orient="portrait"/>
          <w:cols w:equalWidth="0" w:num="1">
            <w:col w:w="10020"/>
          </w:cols>
          <w:pgMar w:left="1440" w:top="270" w:right="439" w:bottom="1440" w:gutter="0" w:footer="0" w:header="0"/>
        </w:sectPr>
      </w:pPr>
    </w:p>
    <w:bookmarkStart w:id="41" w:name="page42"/>
    <w:bookmarkEnd w:id="41"/>
    <w:p>
      <w:pPr>
        <w:ind w:left="1960" w:right="120" w:hanging="533"/>
        <w:spacing w:after="0" w:line="254" w:lineRule="auto"/>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distribution or other disposition pursuant to clause (a)(i), (ii), (iii), (iv), (v), (vi) and (vii), such transfer shall not involve a disposition for value and each donee, devisee, transferee or distributee shall execute and deliver to the Representative a lock-up letter in the form of this Letter Agreement, provided that neither (1) a distributee of a distribution made by ZMC Advisors, L.P. pursuant to clause (vi) who is not otherwise bound by this Agreement or subject to a letter agreement substantially similar to this Letter Agreement, nor (2) any donee that is a 501(c)(3) charitable or nonprofit organization receiving from the undersigned a transfer of Lock-Up Securities cumulatively with a market value (which will be determined based on the closing pricing of such Lock-Up Securities on the day of such transfer) of no more than $20,000 shall be required execute and deliver such lock-up letter, (B) in the case of any transfer, distribution or other disposition pursuant to clause (a) (i), (ii), (iii), (iv), (v), (vi) and (ix), no filing by any party (donor, donee, devisee, transferor, transferee, distributer or distributee) under the Securities Exchange Act of 1934, as amended (the “Exchange Act”), or other public announcement shall be required or shall be made voluntarily in connection with such transfer, distribution or other disposition (other than (1) a filing on a Form 5 made after the expiration of the Restricted Period referred to above or (2) a required filing under Section 16(a) of the Exchange Act that discloses therein that such transfer, distribution or other disposition is a bona fide gift or otherwise a disposition for no value) and (C) in the case of any transfer, distribution or other disposition pursuant to clause (a)(vii),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distribution or other disposition shall be legally required during the Restricted Period, such filing, report or announcement shall clearly indicate in the footnotes thereto the nature and conditions of such transfer;</w:t>
      </w:r>
    </w:p>
    <w:p>
      <w:pPr>
        <w:sectPr>
          <w:pgSz w:w="11900" w:h="16838" w:orient="portrait"/>
          <w:cols w:equalWidth="0" w:num="1">
            <w:col w:w="10980"/>
          </w:cols>
          <w:pgMar w:left="440" w:top="270" w:right="479" w:bottom="1440" w:gutter="0" w:footer="0" w:header="0"/>
        </w:sectPr>
      </w:pPr>
    </w:p>
    <w:bookmarkStart w:id="42" w:name="page43"/>
    <w:bookmarkEnd w:id="42"/>
    <w:p>
      <w:pPr>
        <w:jc w:val="both"/>
        <w:ind w:left="960" w:right="360" w:hanging="532"/>
        <w:spacing w:after="0" w:line="26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spacing w:after="0" w:line="81"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trading plans pursuant to Rule 10b5-1 under the Exchange Act for the transfer of shares of Lock-Up Securities; provided that</w:t>
      </w:r>
    </w:p>
    <w:p>
      <w:pPr>
        <w:spacing w:after="0" w:line="27" w:lineRule="exact"/>
        <w:rPr>
          <w:rFonts w:ascii="Times New Roman" w:cs="Times New Roman" w:eastAsia="Times New Roman" w:hAnsi="Times New Roman"/>
          <w:sz w:val="18"/>
          <w:szCs w:val="18"/>
          <w:color w:val="auto"/>
        </w:rPr>
      </w:pPr>
    </w:p>
    <w:p>
      <w:pPr>
        <w:ind w:left="9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such plans do not provide for the transfer of Lock-Up Securities during the Restricted Period and (2) no filing by any party under the Exchange Act or other public announcement shall be made voluntarily (whether by or on behalf of the undersigned, the Company or any other party) and that any public announcement or filing under the Exchange Act legally required to be made by any person or the Company during the Restricted Period in connection with the establishment of such trading plan shall include a statement that the undersigned is not permitted to transfer, sell or otherwise dispose of securities under such plan during the Restricted Period in contravention of this Letter Agreement).</w:t>
      </w:r>
    </w:p>
    <w:p>
      <w:pPr>
        <w:spacing w:after="0" w:line="190"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6"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 may be required or choose to provide certain Regulation Best Interest and Form CRS disclosures to you in connection with the Public Offering, the Representative and the other Underwriters are not making a recommendation to you to participate in the Public Offering, enter into this Letter Agreement, or sell any Shares at the price determined in the Public Offering, and nothing set forth in such disclosures is intended to suggest that the Representative or any Underwriter is making such a recommendation.</w:t>
      </w:r>
    </w:p>
    <w:p>
      <w:pPr>
        <w:sectPr>
          <w:pgSz w:w="11900" w:h="16838" w:orient="portrait"/>
          <w:cols w:equalWidth="0" w:num="1">
            <w:col w:w="11000"/>
          </w:cols>
          <w:pgMar w:left="440" w:top="270" w:right="459" w:bottom="1440" w:gutter="0" w:footer="0" w:header="0"/>
        </w:sectPr>
      </w:pPr>
    </w:p>
    <w:bookmarkStart w:id="43" w:name="page44"/>
    <w:bookmarkEnd w:id="43"/>
    <w:p>
      <w:pPr>
        <w:ind w:right="3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understands that, (i) if the Underwriting Agreement does not become effective by August 30, 2025, (ii) if the Underwriting Agreement (other than the provisions thereof which survive termination) shall terminate or be terminated prior to payment for and delivery of the Common Stock to be sold thereunder or (iii) prior to the execution of the Underwriting Agreement, either the Company, on the one hand, or the Representatives, on the other hand, notifies the other in writing that it does not intend to proceed with the Public Offering,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40"/>
          </w:cols>
          <w:pgMar w:left="440" w:top="270" w:right="519" w:bottom="1440" w:gutter="0" w:footer="0" w:header="0"/>
        </w:sectPr>
      </w:pPr>
    </w:p>
    <w:bookmarkStart w:id="44" w:name="page45"/>
    <w:bookmarkEnd w:id="4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70" w:right="1440" w:bottom="1440" w:gutter="0" w:footer="0" w:header="0"/>
        </w:sectPr>
      </w:pPr>
    </w:p>
    <w:bookmarkStart w:id="45" w:name="page46"/>
    <w:bookmarkEnd w:id="45"/>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897505" cy="266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7505" cy="266065"/>
                    </a:xfrm>
                    <a:prstGeom prst="rect">
                      <a:avLst/>
                    </a:prstGeom>
                    <a:noFill/>
                  </pic:spPr>
                </pic:pic>
              </a:graphicData>
            </a:graphic>
          </wp:anchor>
        </w:drawing>
      </w:r>
    </w:p>
    <w:p>
      <w:pPr>
        <w:spacing w:after="0" w:line="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New York, NY 10019-6099</w:t>
      </w:r>
    </w:p>
    <w:p>
      <w:pPr>
        <w:spacing w:after="0" w:line="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Tel: 212 728 8000</w:t>
      </w:r>
    </w:p>
    <w:p>
      <w:pPr>
        <w:spacing w:after="0" w:line="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Fax: 212 728 8111</w:t>
      </w:r>
    </w:p>
    <w:p>
      <w:pPr>
        <w:spacing w:after="0" w:line="220"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22,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196" w:lineRule="auto"/>
        <w:rPr>
          <w:sz w:val="20"/>
          <w:szCs w:val="20"/>
          <w:color w:val="auto"/>
        </w:rPr>
      </w:pPr>
      <w:r>
        <w:rPr>
          <w:rFonts w:ascii="Times New Roman" w:cs="Times New Roman" w:eastAsia="Times New Roman" w:hAnsi="Times New Roman"/>
          <w:sz w:val="18"/>
          <w:szCs w:val="18"/>
          <w:color w:val="auto"/>
        </w:rPr>
        <w:t>110 West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u w:val="single" w:color="auto"/>
          <w:color w:val="auto"/>
        </w:rPr>
        <w:t>Registration Statement on Form S-3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have acted as counsel to Take-Two Interactive Software,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February 7, 2025 of a registration statement on Form S-3 (Registration No. 333- 284748)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that is automatically effective under the Act pursuant to Rule 462 promulgated thereunder. The Registration Statement relates to the proposed issuance and sale, from time to time, by the Company of debt securities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and shares of the Company’s Common Stock, $0.01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together with the Debt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each with an indeterminate amount as may at various times be issued at indeterminate prices, in reliance on Rule 456(b) and Rule 457(r) under the Act.</w:t>
      </w:r>
    </w:p>
    <w:p>
      <w:pPr>
        <w:spacing w:after="0" w:line="18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This opinion is furnished to you in connection with the Registration Statement and the related Prospectus, Prospectus Supplement and Current Report on Form 8-K, each filed by the Company with the Commission in connection with the registration under the Act, of up to 4,750,000 shares of the Company’s common stock, $0.01 par value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(including up to 712,500 shares issuable upon exercise of an option granted to the underwriters by the Company) to be issued and sold by the Company. We understand that the Shares are to be sold to the underwriters for resale to the public as described in the Prospectus Supplement and pursuant to an underwriting agreement, substantially in the form filed as an exhibit to the Form 8-K, entered into by and among the Company and the underwriters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We are acting as counsel for the Company in connection with the sale of the Shares.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3"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RUSSELS </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HICAGO </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ALLAS </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RANKFURT </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OUSTON </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ONDON </w:t>
      </w:r>
      <w:r>
        <w:rPr>
          <w:sz w:val="20"/>
          <w:szCs w:val="20"/>
          <w:color w:val="auto"/>
        </w:rPr>
        <w:tab/>
      </w:r>
      <w:r>
        <w:rPr>
          <w:rFonts w:ascii="Times New Roman" w:cs="Times New Roman" w:eastAsia="Times New Roman" w:hAnsi="Times New Roman"/>
          <w:sz w:val="17"/>
          <w:szCs w:val="17"/>
          <w:color w:val="auto"/>
        </w:rPr>
        <w:t>L</w:t>
      </w:r>
      <w:r>
        <w:rPr>
          <w:rFonts w:ascii="Times New Roman" w:cs="Times New Roman" w:eastAsia="Times New Roman" w:hAnsi="Times New Roman"/>
          <w:sz w:val="13"/>
          <w:szCs w:val="13"/>
          <w:color w:val="auto"/>
        </w:rPr>
        <w:t>OS</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3"/>
          <w:szCs w:val="13"/>
          <w:color w:val="auto"/>
        </w:rPr>
        <w:t>NGELES </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3"/>
          <w:szCs w:val="13"/>
          <w:color w:val="auto"/>
        </w:rPr>
        <w:t>ILAN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UNICH </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4"/>
          <w:szCs w:val="14"/>
          <w:color w:val="auto"/>
        </w:rPr>
        <w:t>ORK </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ALO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LTO </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ARIS </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OME </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RANCISCO </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ASHINGTON</w:t>
      </w:r>
    </w:p>
    <w:p>
      <w:pPr>
        <w:sectPr>
          <w:pgSz w:w="11900" w:h="16838" w:orient="portrait"/>
          <w:cols w:equalWidth="0" w:num="1">
            <w:col w:w="11020"/>
          </w:cols>
          <w:pgMar w:left="440" w:top="117"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Take-Two Interactive Software,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On the basis of the foregoing, we are of the opinion that the Shares to be issued and sold have been duly authorized and, when such Shares are issued and paid for in accordance with the terms of the Underwriting Agreement, will be validly issued, fully paid and nonassessable.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stated herein and no opinion is implied or may be inferred beyond the matters expressly stated. The opinions expressed herein are given as of the date hereof, and we assume no obligation to update or supplement such opinions after the date hereof. We do not express an opinion as to matters arising under the laws of any jurisdiction, other than the laws of the State of New York, the General Corporation Law of the State of Delaware and the federal laws of the United States.</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Company’s Current Report on Form 8-K, and we consent to the reference of our name under the caption “Legal Matters” in the Prospectus and Prospectus Supplement forming part of the Registration Statement. We do not admit by giving this consent that we are in the category of persons whose consent is required under Section 7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Willkie Farr &amp; Gallagher LLP</w:t>
      </w:r>
    </w:p>
    <w:p>
      <w:pPr>
        <w:sectPr>
          <w:pgSz w:w="11900" w:h="16838" w:orient="portrait"/>
          <w:cols w:equalWidth="0" w:num="1">
            <w:col w:w="10980"/>
          </w:cols>
          <w:pgMar w:left="440" w:top="270" w:right="4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39825" cy="1140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3982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FOR IMMEDIATE RELEASE</w:t>
            </w:r>
          </w:p>
        </w:tc>
      </w:tr>
      <w:tr>
        <w:trPr>
          <w:trHeight w:val="43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326"/>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6380" w:type="dxa"/>
            <w:vAlign w:val="bottom"/>
            <w:gridSpan w:val="4"/>
          </w:tcPr>
          <w:p>
            <w:pPr>
              <w:ind w:left="1100"/>
              <w:spacing w:after="0"/>
              <w:rPr>
                <w:sz w:val="20"/>
                <w:szCs w:val="20"/>
                <w:color w:val="auto"/>
              </w:rPr>
            </w:pPr>
            <w:r>
              <w:rPr>
                <w:rFonts w:ascii="Times New Roman" w:cs="Times New Roman" w:eastAsia="Times New Roman" w:hAnsi="Times New Roman"/>
                <w:sz w:val="18"/>
                <w:szCs w:val="18"/>
                <w:color w:val="auto"/>
              </w:rPr>
              <w:t>(Corporate Press)</w:t>
            </w:r>
          </w:p>
        </w:tc>
      </w:tr>
      <w:tr>
        <w:trPr>
          <w:trHeight w:val="216"/>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Nicole Shevins</w:t>
            </w:r>
          </w:p>
        </w:tc>
        <w:tc>
          <w:tcPr>
            <w:tcW w:w="6380" w:type="dxa"/>
            <w:vAlign w:val="bottom"/>
            <w:gridSpan w:val="4"/>
          </w:tcPr>
          <w:p>
            <w:pPr>
              <w:ind w:left="1100"/>
              <w:spacing w:after="0"/>
              <w:rPr>
                <w:sz w:val="20"/>
                <w:szCs w:val="20"/>
                <w:color w:val="auto"/>
              </w:rPr>
            </w:pPr>
            <w:r>
              <w:rPr>
                <w:rFonts w:ascii="Times New Roman" w:cs="Times New Roman" w:eastAsia="Times New Roman" w:hAnsi="Times New Roman"/>
                <w:sz w:val="18"/>
                <w:szCs w:val="18"/>
                <w:color w:val="auto"/>
              </w:rPr>
              <w:t>Alan Lewis</w:t>
            </w:r>
          </w:p>
        </w:tc>
      </w:tr>
      <w:tr>
        <w:trPr>
          <w:trHeight w:val="216"/>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6380" w:type="dxa"/>
            <w:vAlign w:val="bottom"/>
            <w:gridSpan w:val="4"/>
          </w:tcPr>
          <w:p>
            <w:pPr>
              <w:ind w:left="110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2"/>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Investor Relations &amp; Corporate Communications</w:t>
            </w:r>
          </w:p>
        </w:tc>
        <w:tc>
          <w:tcPr>
            <w:tcW w:w="6380" w:type="dxa"/>
            <w:vAlign w:val="bottom"/>
            <w:gridSpan w:val="4"/>
          </w:tcPr>
          <w:p>
            <w:pPr>
              <w:ind w:left="1100"/>
              <w:spacing w:after="0"/>
              <w:rPr>
                <w:sz w:val="20"/>
                <w:szCs w:val="20"/>
                <w:color w:val="auto"/>
              </w:rPr>
            </w:pPr>
            <w:r>
              <w:rPr>
                <w:rFonts w:ascii="Times New Roman" w:cs="Times New Roman" w:eastAsia="Times New Roman" w:hAnsi="Times New Roman"/>
                <w:sz w:val="18"/>
                <w:szCs w:val="18"/>
                <w:color w:val="auto"/>
              </w:rPr>
              <w:t>Corporate Communications &amp; Public Affairs</w:t>
            </w:r>
          </w:p>
        </w:tc>
      </w:tr>
      <w:tr>
        <w:trPr>
          <w:trHeight w:val="220"/>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tc>
        <w:tc>
          <w:tcPr>
            <w:tcW w:w="638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tc>
      </w:tr>
      <w:tr>
        <w:trPr>
          <w:trHeight w:val="216"/>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(646) 536-3005</w:t>
            </w:r>
          </w:p>
        </w:tc>
        <w:tc>
          <w:tcPr>
            <w:tcW w:w="2240" w:type="dxa"/>
            <w:vAlign w:val="bottom"/>
          </w:tcPr>
          <w:p>
            <w:pPr>
              <w:spacing w:after="0"/>
              <w:rPr>
                <w:sz w:val="18"/>
                <w:szCs w:val="18"/>
                <w:color w:val="auto"/>
              </w:rPr>
            </w:pPr>
          </w:p>
        </w:tc>
        <w:tc>
          <w:tcPr>
            <w:tcW w:w="33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(646) 536-2983</w:t>
            </w: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94"/>
        </w:trPr>
        <w:tc>
          <w:tcPr>
            <w:tcW w:w="2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nicole.shevins@take2games.com</w:t>
            </w:r>
          </w:p>
        </w:tc>
        <w:tc>
          <w:tcPr>
            <w:tcW w:w="2240" w:type="dxa"/>
            <w:vAlign w:val="bottom"/>
          </w:tcPr>
          <w:p>
            <w:pPr>
              <w:spacing w:after="0"/>
              <w:rPr>
                <w:sz w:val="16"/>
                <w:szCs w:val="16"/>
                <w:color w:val="auto"/>
              </w:rPr>
            </w:pPr>
          </w:p>
        </w:tc>
        <w:tc>
          <w:tcPr>
            <w:tcW w:w="6380" w:type="dxa"/>
            <w:vAlign w:val="bottom"/>
            <w:gridSpan w:val="4"/>
          </w:tcPr>
          <w:p>
            <w:pPr>
              <w:ind w:left="1100"/>
              <w:spacing w:after="0" w:line="194" w:lineRule="exact"/>
              <w:rPr>
                <w:sz w:val="20"/>
                <w:szCs w:val="20"/>
                <w:color w:val="auto"/>
              </w:rPr>
            </w:pPr>
            <w:r>
              <w:rPr>
                <w:rFonts w:ascii="Times New Roman" w:cs="Times New Roman" w:eastAsia="Times New Roman" w:hAnsi="Times New Roman"/>
                <w:sz w:val="18"/>
                <w:szCs w:val="18"/>
                <w:color w:val="auto"/>
              </w:rPr>
              <w:t>Alan.Lewis@take2games.com</w:t>
            </w:r>
          </w:p>
        </w:tc>
      </w:tr>
      <w:tr>
        <w:trPr>
          <w:trHeight w:val="20"/>
        </w:trPr>
        <w:tc>
          <w:tcPr>
            <w:tcW w:w="8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 Announces Pricing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Public Offering of Common Stock</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New York, NY May 20, 2025</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Take-Two Interactive Software, Inc. (NASDAQ: TTWO) (the “Company” or “Take-Two”) today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of an underwritten public offering of 4,750,000 shares of its common stock, at a price to the public of $225.00 per share. All shares to be sold in the offering are to be sold by the Company. In addition, the Company has granted the underwriters a 30-day option to purchase up to 712,500 additional shares of its common stock. The expected net proceeds of the offering after expenses are approximately $1.04 billion, which are intended to be used for general corporate purposes, which may include the repayment of outstanding debt and future acquisitions. If the underwriters exercise their option in full, the expected net proceeds of the offering after expenses would be approximately $1.19 billion. The offering is expected to close on May 22,2025, subject to customary closing conditions.</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J.P. Morgan Securities LLC and Goldman Sachs &amp; Co. LLC are acting as lead bookrunning managers for the offering. Wells Fargo Securities, BofA Securities and BNP Paribas are acting as joint bookrunning managers for the offering.</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The offering of these securities is being made pursuant to Take-Two’s effective shelf registration statement (including a prospectus) on Form S-3 previously filed with the Securities and Exchange Commission (“SEC”) on February 7, 2025. Before you invest, you should read the prospectus included in the shelf registration statement and other documents that Take-Two has filed with the SEC and incorporated by reference into that shelf registration statement for more complete information about Take-Two, its common stock and the offering. A copy of the prospectus and the related prospectus supplement relating to the offering may be obtained, when available, from J.P. Morgan Securities LLC, Attention: c/o Broadridge Financial Solutions, 1155 Long Island Avenue, Edgewood, NY 11717 or by email at </w:t>
      </w:r>
      <w:r>
        <w:rPr>
          <w:rFonts w:ascii="Times New Roman" w:cs="Times New Roman" w:eastAsia="Times New Roman" w:hAnsi="Times New Roman"/>
          <w:sz w:val="18"/>
          <w:szCs w:val="18"/>
          <w:u w:val="single" w:color="auto"/>
          <w:color w:val="auto"/>
        </w:rPr>
        <w:t>prospectus-eq_fi@jpmchase.com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postsalemanualrequests@broadridge.com</w:t>
      </w:r>
      <w:r>
        <w:rPr>
          <w:rFonts w:ascii="Times New Roman" w:cs="Times New Roman" w:eastAsia="Times New Roman" w:hAnsi="Times New Roman"/>
          <w:sz w:val="18"/>
          <w:szCs w:val="18"/>
          <w:color w:val="auto"/>
        </w:rPr>
        <w:t xml:space="preserve">, or Goldman Sachs &amp; Co. LLC, Attn: Prospectus Department, 200 West Street, New York, New York 10282, by calling (866) 471-2526, by facsimile at (212) 902-9316 or by email at prospectus-ny@ny.email.gs.com or by visiting the EDGAR database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i w:val="1"/>
          <w:iCs w:val="1"/>
          <w:color w:val="auto"/>
        </w:rPr>
        <w:t>.</w:t>
      </w:r>
    </w:p>
    <w:p>
      <w:pPr>
        <w:sectPr>
          <w:pgSz w:w="11900" w:h="16838" w:orient="portrait"/>
          <w:cols w:equalWidth="0" w:num="1">
            <w:col w:w="11020"/>
          </w:cols>
          <w:pgMar w:left="440" w:top="117" w:right="439" w:bottom="1440" w:gutter="0" w:footer="0" w:header="0"/>
        </w:sectPr>
      </w:pPr>
    </w:p>
    <w:bookmarkStart w:id="48" w:name="page49"/>
    <w:bookmarkEnd w:id="4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press release shall not constitute an offer to sell or the solicitation of an offer to buy, nor shall there be any sale of these securities in any jurisdiction in which such an offer, solicitation or sale would be unlawful prior to registration or qualification under the securities laws of any such jurisdiction. Any offer or sale will be made only by means of Take-Two’s prospectus supplement and prospectus forming part of the effective registration statement relating to these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Take-Two Interactive Software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Headquartered in New York City, Take-Two is a leading developer, publisher, and marketer of interactive entertainment for consumers around the globe. The Company develops and publishes products principally through Rockstar Games, 2K and Zynga. Our products are designed for console gaming systems, mobile, including smartphones and tablets and PC. The Company delivers its products through physical retail, digital download, online platforms, and cloud streaming services. The Company’s common stock is publicly traded on NASDAQ under the symbol TTWO.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trademarks and copyrights contained herein are the property of their respective holders.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 xml:space="preserve">Statements contained herein that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the timely release and significant market acceptance of our games; risks relating to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w:t>
      </w:r>
      <w:r>
        <w:rPr>
          <w:rFonts w:ascii="Times New Roman" w:cs="Times New Roman" w:eastAsia="Times New Roman" w:hAnsi="Times New Roman"/>
          <w:sz w:val="18"/>
          <w:szCs w:val="18"/>
          <w:i w:val="1"/>
          <w:iCs w:val="1"/>
          <w:color w:val="auto"/>
        </w:rPr>
        <w:t xml:space="preserve">NBA 2K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w:t>
      </w:r>
      <w:r>
        <w:rPr>
          <w:rFonts w:ascii="Times New Roman" w:cs="Times New Roman" w:eastAsia="Times New Roman" w:hAnsi="Times New Roman"/>
          <w:sz w:val="18"/>
          <w:szCs w:val="18"/>
          <w:color w:val="auto"/>
        </w:rPr>
        <w:t>o products and our ability to develop other hit titles; our ability to leverage opportunities on PlayStation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and Xbox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X|S; factors affecting our mobile business, such as player acquisition costs; and the ability to maintain acceptable pricing levels on our games.</w:t>
      </w:r>
    </w:p>
    <w:p>
      <w:pPr>
        <w:spacing w:after="0" w:line="20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Other important factors and information are contained in the Company’s most recent Annual Report on Form 10-K, including the risks summarized in the section entitled “Risk Factors,” and the Company’s other periodic filings with the SEC.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1."/>
      <w:numFmt w:val="decimal"/>
      <w:start w:val="2"/>
    </w:lvl>
  </w:abstractNum>
  <w:abstractNum w:abstractNumId="3">
    <w:nsid w:val="7C3DBD3D"/>
    <w:multiLevelType w:val="hybridMultilevel"/>
    <w:lvl w:ilvl="0">
      <w:lvlJc w:val="left"/>
      <w:lvlText w:val="(%1)"/>
      <w:numFmt w:val="lowerLetter"/>
      <w:start w:val="1"/>
    </w:lvl>
  </w:abstractNum>
  <w:abstractNum w:abstractNumId="4">
    <w:nsid w:val="737B8DDC"/>
    <w:multiLevelType w:val="hybridMultilevel"/>
    <w:lvl w:ilvl="0">
      <w:lvlJc w:val="left"/>
      <w:lvlText w:val="(%1)"/>
      <w:numFmt w:val="lowerLetter"/>
      <w:start w:val="2"/>
    </w:lvl>
  </w:abstractNum>
  <w:abstractNum w:abstractNumId="5">
    <w:nsid w:val="6CEAF087"/>
    <w:multiLevelType w:val="hybridMultilevel"/>
    <w:lvl w:ilvl="0">
      <w:lvlJc w:val="left"/>
      <w:lvlText w:val="(%1)"/>
      <w:numFmt w:val="lowerLetter"/>
      <w:start w:val="1"/>
    </w:lvl>
  </w:abstractNum>
  <w:abstractNum w:abstractNumId="6">
    <w:nsid w:val="22221A70"/>
    <w:multiLevelType w:val="hybridMultilevel"/>
    <w:lvl w:ilvl="0">
      <w:lvlJc w:val="left"/>
      <w:lvlText w:val="(%1)"/>
      <w:numFmt w:val="lowerLetter"/>
      <w:start w:val="61"/>
    </w:lvl>
    <w:lvl w:ilvl="1">
      <w:lvlJc w:val="left"/>
      <w:lvlText w:val="(%2)"/>
      <w:numFmt w:val="lowerLetter"/>
      <w:start w:val="4"/>
    </w:lvl>
  </w:abstractNum>
  <w:abstractNum w:abstractNumId="7">
    <w:nsid w:val="4516DDE9"/>
    <w:multiLevelType w:val="hybridMultilevel"/>
    <w:lvl w:ilvl="0">
      <w:lvlJc w:val="left"/>
      <w:lvlText w:val="%1"/>
      <w:numFmt w:val="lowerLetter"/>
      <w:start w:val="1"/>
    </w:lvl>
    <w:lvl w:ilvl="1">
      <w:lvlJc w:val="left"/>
      <w:lvlText w:val="(%2)"/>
      <w:numFmt w:val="lowerLetter"/>
      <w:start w:val="5"/>
    </w:lvl>
  </w:abstractNum>
  <w:abstractNum w:abstractNumId="8">
    <w:nsid w:val="3006C83E"/>
    <w:multiLevelType w:val="hybridMultilevel"/>
    <w:lvl w:ilvl="0">
      <w:lvlJc w:val="left"/>
      <w:lvlText w:val="(%1)"/>
      <w:numFmt w:val="lowerLetter"/>
      <w:start w:val="61"/>
    </w:lvl>
    <w:lvl w:ilvl="1">
      <w:lvlJc w:val="left"/>
      <w:lvlText w:val="(%2)"/>
      <w:numFmt w:val="lowerLetter"/>
      <w:start w:val="7"/>
    </w:lvl>
  </w:abstractNum>
  <w:abstractNum w:abstractNumId="9">
    <w:nsid w:val="614FD4A1"/>
    <w:multiLevelType w:val="hybridMultilevel"/>
    <w:lvl w:ilvl="0">
      <w:lvlJc w:val="left"/>
      <w:lvlText w:val="(%1)"/>
      <w:numFmt w:val="lowerLetter"/>
      <w:start w:val="8"/>
    </w:lvl>
  </w:abstractNum>
  <w:abstractNum w:abstractNumId="10">
    <w:nsid w:val="419AC241"/>
    <w:multiLevelType w:val="hybridMultilevel"/>
    <w:lvl w:ilvl="0">
      <w:lvlJc w:val="left"/>
      <w:lvlText w:val="(%1)"/>
      <w:numFmt w:val="lowerLetter"/>
      <w:start w:val="11"/>
    </w:lvl>
  </w:abstractNum>
  <w:abstractNum w:abstractNumId="11">
    <w:nsid w:val="5577F8E1"/>
    <w:multiLevelType w:val="hybridMultilevel"/>
    <w:lvl w:ilvl="0">
      <w:lvlJc w:val="left"/>
      <w:lvlText w:val="%1"/>
      <w:numFmt w:val="lowerLetter"/>
      <w:start w:val="1"/>
    </w:lvl>
    <w:lvl w:ilvl="1">
      <w:lvlJc w:val="left"/>
      <w:lvlText w:val="(%2)"/>
      <w:numFmt w:val="lowerLetter"/>
      <w:start w:val="17"/>
    </w:lvl>
  </w:abstractNum>
  <w:abstractNum w:abstractNumId="12">
    <w:nsid w:val="440BADFC"/>
    <w:multiLevelType w:val="hybridMultilevel"/>
    <w:lvl w:ilvl="0">
      <w:lvlJc w:val="left"/>
      <w:lvlText w:val="(%1)"/>
      <w:numFmt w:val="lowerLetter"/>
      <w:start w:val="9"/>
    </w:lvl>
    <w:lvl w:ilvl="1">
      <w:lvlJc w:val="left"/>
      <w:lvlText w:val="(%2)"/>
      <w:numFmt w:val="lowerLetter"/>
      <w:start w:val="19"/>
    </w:lvl>
  </w:abstractNum>
  <w:abstractNum w:abstractNumId="13">
    <w:nsid w:val="5072367"/>
    <w:multiLevelType w:val="hybridMultilevel"/>
    <w:lvl w:ilvl="0">
      <w:lvlJc w:val="left"/>
      <w:lvlText w:val="%1"/>
      <w:numFmt w:val="lowerLetter"/>
      <w:start w:val="1"/>
    </w:lvl>
    <w:lvl w:ilvl="1">
      <w:lvlJc w:val="left"/>
      <w:lvlText w:val="(%2)"/>
      <w:numFmt w:val="lowerLetter"/>
      <w:start w:val="21"/>
    </w:lvl>
  </w:abstractNum>
  <w:abstractNum w:abstractNumId="14">
    <w:nsid w:val="3804823E"/>
    <w:multiLevelType w:val="hybridMultilevel"/>
    <w:lvl w:ilvl="0">
      <w:lvlJc w:val="left"/>
      <w:lvlText w:val="(%1)"/>
      <w:numFmt w:val="lowerLetter"/>
      <w:start w:val="35"/>
    </w:lvl>
    <w:lvl w:ilvl="1">
      <w:lvlJc w:val="left"/>
      <w:lvlText w:val="%2"/>
      <w:numFmt w:val="lowerLetter"/>
      <w:start w:val="1"/>
    </w:lvl>
  </w:abstractNum>
  <w:abstractNum w:abstractNumId="15">
    <w:nsid w:val="77465F01"/>
    <w:multiLevelType w:val="hybridMultilevel"/>
    <w:lvl w:ilvl="0">
      <w:lvlJc w:val="left"/>
      <w:lvlText w:val="(%1)"/>
      <w:numFmt w:val="lowerLetter"/>
      <w:start w:val="25"/>
    </w:lvl>
    <w:lvl w:ilvl="1">
      <w:lvlJc w:val="left"/>
      <w:lvlText w:val="(%2)"/>
      <w:numFmt w:val="lowerLetter"/>
      <w:start w:val="25"/>
    </w:lvl>
  </w:abstractNum>
  <w:abstractNum w:abstractNumId="16">
    <w:nsid w:val="7724C67E"/>
    <w:multiLevelType w:val="hybridMultilevel"/>
    <w:lvl w:ilvl="0">
      <w:lvlJc w:val="left"/>
      <w:lvlText w:val="%1"/>
      <w:numFmt w:val="lowerLetter"/>
      <w:start w:val="1"/>
    </w:lvl>
    <w:lvl w:ilvl="1">
      <w:lvlJc w:val="left"/>
      <w:lvlText w:val="(%2)"/>
      <w:numFmt w:val="lowerLetter"/>
      <w:start w:val="27"/>
    </w:lvl>
  </w:abstractNum>
  <w:abstractNum w:abstractNumId="17">
    <w:nsid w:val="5C482A97"/>
    <w:multiLevelType w:val="hybridMultilevel"/>
    <w:lvl w:ilvl="0">
      <w:lvlJc w:val="left"/>
      <w:lvlText w:val="(%1)"/>
      <w:numFmt w:val="lowerLetter"/>
      <w:start w:val="61"/>
    </w:lvl>
    <w:lvl w:ilvl="1">
      <w:lvlJc w:val="left"/>
      <w:lvlText w:val="(%2)"/>
      <w:numFmt w:val="lowerLetter"/>
      <w:start w:val="28"/>
    </w:lvl>
  </w:abstractNum>
  <w:abstractNum w:abstractNumId="18">
    <w:nsid w:val="2463B9EA"/>
    <w:multiLevelType w:val="hybridMultilevel"/>
    <w:lvl w:ilvl="0">
      <w:lvlJc w:val="left"/>
      <w:lvlText w:val="(%1)"/>
      <w:numFmt w:val="lowerLetter"/>
      <w:start w:val="30"/>
    </w:lvl>
  </w:abstractNum>
  <w:abstractNum w:abstractNumId="19">
    <w:nsid w:val="5E884ADC"/>
    <w:multiLevelType w:val="hybridMultilevel"/>
    <w:lvl w:ilvl="0">
      <w:lvlJc w:val="left"/>
      <w:lvlText w:val="§"/>
      <w:numFmt w:val="bullet"/>
      <w:start w:val="1"/>
    </w:lvl>
    <w:lvl w:ilvl="1">
      <w:lvlJc w:val="left"/>
      <w:lvlText w:val="(%2)"/>
      <w:numFmt w:val="lowerLetter"/>
      <w:start w:val="34"/>
    </w:lvl>
  </w:abstractNum>
  <w:abstractNum w:abstractNumId="20">
    <w:nsid w:val="51EAD36B"/>
    <w:multiLevelType w:val="hybridMultilevel"/>
    <w:lvl w:ilvl="0">
      <w:lvlJc w:val="left"/>
      <w:lvlText w:val="(%1)"/>
      <w:numFmt w:val="lowerLetter"/>
      <w:start w:val="1"/>
    </w:lvl>
  </w:abstractNum>
  <w:abstractNum w:abstractNumId="21">
    <w:nsid w:val="2D517796"/>
    <w:multiLevelType w:val="hybridMultilevel"/>
    <w:lvl w:ilvl="0">
      <w:lvlJc w:val="left"/>
      <w:lvlText w:val="(%1)"/>
      <w:numFmt w:val="lowerLetter"/>
      <w:start w:val="3"/>
    </w:lvl>
  </w:abstractNum>
  <w:abstractNum w:abstractNumId="22">
    <w:nsid w:val="580BD78F"/>
    <w:multiLevelType w:val="hybridMultilevel"/>
    <w:lvl w:ilvl="0">
      <w:lvlJc w:val="left"/>
      <w:lvlText w:val="(%1)"/>
      <w:numFmt w:val="lowerLetter"/>
      <w:start w:val="5"/>
    </w:lvl>
  </w:abstractNum>
  <w:abstractNum w:abstractNumId="23">
    <w:nsid w:val="153EA438"/>
    <w:multiLevelType w:val="hybridMultilevel"/>
    <w:lvl w:ilvl="0">
      <w:lvlJc w:val="left"/>
      <w:lvlText w:val="(%1)"/>
      <w:numFmt w:val="lowerLetter"/>
      <w:start w:val="8"/>
    </w:lvl>
  </w:abstractNum>
  <w:abstractNum w:abstractNumId="24">
    <w:nsid w:val="3855585C"/>
    <w:multiLevelType w:val="hybridMultilevel"/>
    <w:lvl w:ilvl="0">
      <w:lvlJc w:val="left"/>
      <w:lvlText w:val="(%1)"/>
      <w:numFmt w:val="lowerLetter"/>
      <w:start w:val="10"/>
    </w:lvl>
  </w:abstractNum>
  <w:abstractNum w:abstractNumId="25">
    <w:nsid w:val="70A64E2A"/>
    <w:multiLevelType w:val="hybridMultilevel"/>
    <w:lvl w:ilvl="0">
      <w:lvlJc w:val="left"/>
      <w:lvlText w:val="(%1)"/>
      <w:numFmt w:val="lowerLetter"/>
      <w:start w:val="13"/>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decimal"/>
      <w:start w:val="6"/>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lowerLetter"/>
      <w:start w:val="1"/>
    </w:lvl>
    <w:lvl w:ilvl="1">
      <w:lvlJc w:val="left"/>
      <w:lvlText w:val="(%2)"/>
      <w:numFmt w:val="lowerLetter"/>
      <w:start w:val="2"/>
    </w:lvl>
  </w:abstractNum>
  <w:abstractNum w:abstractNumId="30">
    <w:nsid w:val="2CD89A32"/>
    <w:multiLevelType w:val="hybridMultilevel"/>
    <w:lvl w:ilvl="0">
      <w:lvlJc w:val="left"/>
      <w:lvlText w:val="(%1)"/>
      <w:numFmt w:val="lowerLetter"/>
      <w:start w:val="35"/>
    </w:lvl>
    <w:lvl w:ilvl="1">
      <w:lvlJc w:val="left"/>
      <w:lvlText w:val="(%2)"/>
      <w:numFmt w:val="lowerLetter"/>
      <w:start w:val="4"/>
    </w:lvl>
  </w:abstractNum>
  <w:abstractNum w:abstractNumId="31">
    <w:nsid w:val="57E4CCAF"/>
    <w:multiLevelType w:val="hybridMultilevel"/>
    <w:lvl w:ilvl="0">
      <w:lvlJc w:val="left"/>
      <w:lvlText w:val="(%1)"/>
      <w:numFmt w:val="lowerLetter"/>
      <w:start w:val="8"/>
    </w:lvl>
  </w:abstractNum>
  <w:abstractNum w:abstractNumId="32">
    <w:nsid w:val="7A6D8D3C"/>
    <w:multiLevelType w:val="hybridMultilevel"/>
    <w:lvl w:ilvl="0">
      <w:lvlJc w:val="left"/>
      <w:lvlText w:val="(%1)"/>
      <w:numFmt w:val="lowerLetter"/>
      <w:start w:val="14"/>
    </w:lvl>
  </w:abstractNum>
  <w:abstractNum w:abstractNumId="33">
    <w:nsid w:val="4B588F54"/>
    <w:multiLevelType w:val="hybridMultilevel"/>
    <w:lvl w:ilvl="0">
      <w:lvlJc w:val="left"/>
      <w:lvlText w:val="%1."/>
      <w:numFmt w:val="decimal"/>
      <w:start w:val="7"/>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lowerLetter"/>
      <w:start w:val="3"/>
    </w:lvl>
  </w:abstractNum>
  <w:abstractNum w:abstractNumId="36">
    <w:nsid w:val="38437FDB"/>
    <w:multiLevelType w:val="hybridMultilevel"/>
    <w:lvl w:ilvl="0">
      <w:lvlJc w:val="left"/>
      <w:lvlText w:val="(%1)"/>
      <w:numFmt w:val="lowerLetter"/>
      <w:start w:val="25"/>
    </w:lvl>
    <w:lvl w:ilvl="1">
      <w:lvlJc w:val="left"/>
      <w:lvlText w:val="(%2)"/>
      <w:numFmt w:val="lowerLetter"/>
      <w:start w:val="4"/>
    </w:lvl>
  </w:abstractNum>
  <w:abstractNum w:abstractNumId="37">
    <w:nsid w:val="7644A45C"/>
    <w:multiLevelType w:val="hybridMultilevel"/>
    <w:lvl w:ilvl="0">
      <w:lvlJc w:val="left"/>
      <w:lvlText w:val="(%1)"/>
      <w:numFmt w:val="lowerLetter"/>
      <w:start w:val="5"/>
    </w:lvl>
  </w:abstractNum>
  <w:abstractNum w:abstractNumId="38">
    <w:nsid w:val="32FFF902"/>
    <w:multiLevelType w:val="hybridMultilevel"/>
    <w:lvl w:ilvl="0">
      <w:lvlJc w:val="left"/>
      <w:lvlText w:val="%1"/>
      <w:numFmt w:val="lowerRoman"/>
      <w:start w:val="1"/>
    </w:lvl>
    <w:lvl w:ilvl="1">
      <w:lvlJc w:val="left"/>
      <w:lvlText w:val="%2."/>
      <w:numFmt w:val="decimal"/>
      <w:start w:val="8"/>
    </w:lvl>
  </w:abstractNum>
  <w:abstractNum w:abstractNumId="39">
    <w:nsid w:val="684A481A"/>
    <w:multiLevelType w:val="hybridMultilevel"/>
    <w:lvl w:ilvl="0">
      <w:lvlJc w:val="left"/>
      <w:lvlText w:val="(%1)"/>
      <w:numFmt w:val="lowerRoman"/>
      <w:start w:val="1"/>
    </w:lvl>
    <w:lvl w:ilvl="1">
      <w:lvlJc w:val="left"/>
      <w:lvlText w:val="%2."/>
      <w:numFmt w:val="decimal"/>
      <w:start w:val="10"/>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2"/>
    </w:lvl>
  </w:abstractNum>
  <w:abstractNum w:abstractNumId="42">
    <w:nsid w:val="3DC240FB"/>
    <w:multiLevelType w:val="hybridMultilevel"/>
    <w:lvl w:ilvl="0">
      <w:lvlJc w:val="left"/>
      <w:lvlText w:val="%1."/>
      <w:numFmt w:val="decimal"/>
      <w:start w:val="1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decimal"/>
      <w:start w:val="12"/>
    </w:lvl>
  </w:abstractNum>
  <w:abstractNum w:abstractNumId="45">
    <w:nsid w:val="75C6C33A"/>
    <w:multiLevelType w:val="hybridMultilevel"/>
    <w:lvl w:ilvl="0">
      <w:lvlJc w:val="left"/>
      <w:lvlText w:val="%1."/>
      <w:numFmt w:val="decimal"/>
      <w:start w:val="14"/>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5"/>
    </w:lvl>
    <w:lvl w:ilvl="1">
      <w:lvlJc w:val="left"/>
      <w:lvlText w:val="(%2)"/>
      <w:numFmt w:val="lowerRoman"/>
      <w:start w:val="1"/>
    </w:lvl>
  </w:abstractNum>
  <w:abstractNum w:abstractNumId="48">
    <w:nsid w:val="520EEDD1"/>
    <w:multiLevelType w:val="hybridMultilevel"/>
    <w:lvl w:ilvl="0">
      <w:lvlJc w:val="left"/>
      <w:lvlText w:val="(%1)"/>
      <w:numFmt w:val="lowerRoman"/>
      <w:start w:val="1"/>
    </w:lvl>
  </w:abstractNum>
  <w:abstractNum w:abstractNumId="49">
    <w:nsid w:val="374A3FE6"/>
    <w:multiLevelType w:val="hybridMultilevel"/>
    <w:lvl w:ilvl="0">
      <w:lvlJc w:val="left"/>
      <w:lvlText w:val="(%1)"/>
      <w:numFmt w:val="lowerRoman"/>
      <w:start w:val="2"/>
    </w:lvl>
  </w:abstractNum>
  <w:abstractNum w:abstractNumId="50">
    <w:nsid w:val="4F4EF005"/>
    <w:multiLevelType w:val="hybridMultilevel"/>
    <w:lvl w:ilvl="0">
      <w:lvlJc w:val="left"/>
      <w:lvlText w:val="(%1)"/>
      <w:numFmt w:val="lowerLetter"/>
      <w:start w:val="7"/>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lowerLetter"/>
      <w:start w:val="2"/>
    </w:lvl>
  </w:abstractNum>
  <w:abstractNum w:abstractNumId="53">
    <w:nsid w:val="275AC794"/>
    <w:multiLevelType w:val="hybridMultilevel"/>
    <w:lvl w:ilvl="0">
      <w:lvlJc w:val="left"/>
      <w:lvlText w:val="(%1)"/>
      <w:numFmt w:val="decimal"/>
      <w:start w:val="4"/>
    </w:lvl>
  </w:abstractNum>
  <w:abstractNum w:abstractNumId="54">
    <w:nsid w:val="39386575"/>
    <w:multiLevelType w:val="hybridMultilevel"/>
    <w:lvl w:ilvl="0">
      <w:lvlJc w:val="left"/>
      <w:lvlText w:val="(%1)"/>
      <w:numFmt w:val="lowerLetter"/>
      <w:start w:val="1"/>
    </w:lvl>
    <w:lvl w:ilvl="1">
      <w:lvlJc w:val="left"/>
      <w:lvlText w:val="(%2)"/>
      <w:numFmt w:val="lowerRoman"/>
      <w:start w:val="1"/>
    </w:lvl>
  </w:abstractNum>
  <w:abstractNum w:abstractNumId="55">
    <w:nsid w:val="1CF10FD8"/>
    <w:multiLevelType w:val="hybridMultilevel"/>
    <w:lvl w:ilvl="0">
      <w:lvlJc w:val="left"/>
      <w:lvlText w:val="(%1)"/>
      <w:numFmt w:val="lowerRoman"/>
      <w:start w:val="6"/>
    </w:lvl>
  </w:abstractNum>
  <w:abstractNum w:abstractNumId="56">
    <w:nsid w:val="180115BE"/>
    <w:multiLevelType w:val="hybridMultilevel"/>
    <w:lvl w:ilvl="0">
      <w:lvlJc w:val="left"/>
      <w:lvlText w:val="(%1)"/>
      <w:numFmt w:val="lowerRoman"/>
      <w:start w:val="12"/>
    </w:lvl>
  </w:abstractNum>
  <w:abstractNum w:abstractNumId="57">
    <w:nsid w:val="235BA86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2025-05-22T15:26:38Z</dcterms:created>
  <dcterms:modified xsi:type="dcterms:W3CDTF">2025-05-22T15:26:38Z</dcterms:modified>
</cp:coreProperties>
</file>