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Take-Two Interactive Software,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Zynga Inc.</w:t>
      </w:r>
    </w:p>
    <w:p>
      <w:pPr>
        <w:spacing w:after="0" w:line="9"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7"/>
          <w:szCs w:val="17"/>
          <w:color w:val="auto"/>
        </w:rPr>
        <w:t>Commission File No.: 001-35375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 was first made available on May 3, 2022 to employees of Take-Two Interactive Software,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 –</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part of our ongoing commitment to keep you informed about our exciting, transformational combination with Zynga, we want to share some updates on the process.</w:t>
      </w:r>
    </w:p>
    <w:p>
      <w:pPr>
        <w:spacing w:after="0" w:line="162" w:lineRule="exact"/>
        <w:rPr>
          <w:sz w:val="24"/>
          <w:szCs w:val="24"/>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Last month, we reached an important milestone by filing the final proxy statement. As a result, Take-Two and Zynga are planning to host stockholder meetings on May 19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and pending approval from each set of shareholders, the transaction is expected to close shortly thereafter. Until that time, we will continue to operate as two separate companies.</w:t>
      </w:r>
    </w:p>
    <w:p>
      <w:pPr>
        <w:spacing w:after="0" w:line="176" w:lineRule="exact"/>
        <w:rPr>
          <w:sz w:val="24"/>
          <w:szCs w:val="24"/>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believe that this combination will benefit and add more value for all of our constituents, including our players, our colleagues, and our shareholders. Our joined cultures based on our core tenets of creativity, innovation, and efficiency will result in a leading gaming entertainment company with one of the largest and most diverse portfolios of leading-edge titles in our industry and fuel our growth for years to come. Furthermore, the ability to share best practices across our business will maximize substantial development and publishing synergies, unlock significant new revenue streams, and enable us to reach even greater audiences around the world.</w:t>
      </w:r>
    </w:p>
    <w:p>
      <w:pPr>
        <w:spacing w:after="0" w:line="183"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Take-Two and Zynga remain deeply committed to working together effectively throughout this process, driven largely by the collaborative nature of both companies’ cultures. Our colleagues at both organizations are incredibly important to us, and we are highly focused on creating a positive integration experience for everyone. We will continue to share updates with you as this process moves forward.</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hard work and support.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Strauss</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contained herein which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proposed business combination of Take-Two and Zynga and the outlook for Take-Two’s or Zynga’s future business and financial performance. Such forward-looking statements are based on the current beliefs of Take-Two and Zynga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occurrence of any event, change or other circumstances that could give rise to the termination of the merger agreement; the failure to satisfy remaining conditions to completion of the proposed combination on a timely basis or at all; risks that the proposed combination disrupts each company’s current plans and operations; the diversion of the attention of the respective management teams of Take-Two and Zynga from their respective ongoing business operations; the ability of either Take-Two, Zynga or the combined company to retain key personnel; the ability to realize the benefits of the proposed combination, including net bookings opportunities and cost synergies; the ability to successfully integrate Zynga’s business with Take-Two’s business or to integrate the businesses within the anticipated timeframe; the outcome of any legal proceedings that may be instituted against Take-Two, Zynga or others following announcement of the proposed combination; the amount of the costs, fees, expenses and charges related to the proposed combination; the uncertainty of the impact of the COVID-19 pandemic and measures taken in response thereto; the effect of economic, market or business conditions, including competition, consumer demand and the discretionary spending patterns of customers, or changes in such conditions, have on Take-Two’s, Zynga’s and the combined company’s operations, revenue, cash flow, operating expenses, employee hiring and retention, relationships with business partners, the development, launch or monetization of games and other products, and customer engagement, retention and growth; the risks of conducting Take-Two’s and Zynga’s business internationally; the impact of changes in interest rates by the Federal Reserve and other central banks; the impact of potential inflation, volatility in foreign currency exchange rates and supply chain disruptions; the ability to maintain acceptable pricing levels and monetization rates for Take-Two’s and Zynga’s games; and risks relating to the market value of Take-Two’s common stock to be issued in the proposed combination.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Other important factors and information are contained in the joint proxy statement/prospectus mailed by Take-Two to its stockholders in connection with the proposed business combination of Take-Two and Zynga and in Take-Two’s and Zynga’s most recent Annual Reports on Form 10-K, including the risks summarized in the section entitled “Risk Factors,” in Take-Two’s and Zynga’s most recent Quarterly Reports on Form 10-Q, and in each company’s other periodic filings with the SEC, which can be accessed at </w:t>
      </w:r>
      <w:r>
        <w:rPr>
          <w:rFonts w:ascii="Times New Roman" w:cs="Times New Roman" w:eastAsia="Times New Roman" w:hAnsi="Times New Roman"/>
          <w:sz w:val="18"/>
          <w:szCs w:val="18"/>
          <w:u w:val="single" w:color="auto"/>
          <w:color w:val="auto"/>
        </w:rPr>
        <w:t>www.take2games.com</w:t>
      </w:r>
      <w:r>
        <w:rPr>
          <w:rFonts w:ascii="Times New Roman" w:cs="Times New Roman" w:eastAsia="Times New Roman" w:hAnsi="Times New Roman"/>
          <w:sz w:val="18"/>
          <w:szCs w:val="18"/>
          <w:color w:val="auto"/>
        </w:rPr>
        <w:t xml:space="preserve"> in the case of Take-Two, </w:t>
      </w:r>
      <w:r>
        <w:rPr>
          <w:rFonts w:ascii="Times New Roman" w:cs="Times New Roman" w:eastAsia="Times New Roman" w:hAnsi="Times New Roman"/>
          <w:sz w:val="18"/>
          <w:szCs w:val="18"/>
          <w:u w:val="single" w:color="auto"/>
          <w:color w:val="auto"/>
        </w:rPr>
        <w:t>http://investor.zynga.com</w:t>
      </w:r>
      <w:r>
        <w:rPr>
          <w:rFonts w:ascii="Times New Roman" w:cs="Times New Roman" w:eastAsia="Times New Roman" w:hAnsi="Times New Roman"/>
          <w:sz w:val="18"/>
          <w:szCs w:val="18"/>
          <w:color w:val="auto"/>
        </w:rPr>
        <w:t xml:space="preserve"> in the case of Zynga, or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forward-looking statements are qualified by these cautionary statements and apply only as of the date they are made. Neither Take-Two nor Zynga undertakes any obligation to update any forward-looking statement, whether as a result of new information, future events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of Take-Two and Zynga. In connection with the proposed business combination Take-Two filed a registration statement on Form S-4 with the U.S. Securities and Exchange Commission (the “SEC”), that includes a joint proxy statement/prospectus. The registration statement on Form S-4, including the joint proxy statement/prospectus, provides details of the proposed combination and the attendant benefits and risks. The registration statement was declared effective on April 7, 2022 and the definitive joint proxy statement/prospectus was sent to Take-Two and Zynga stockholders. This communication is not a substitute for the registration statement on Form S-4, including the joint proxy statement/prospectus, or any other document that Take-Two or Zynga may file with the SEC or send to their respective stockholders in connection with the proposed combination. Investors and security holders are urged to read the registration statement on Form S-</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including the definitive joint proxy statement/prospectus, and all other relevant documents filed with the SEC or sent to Take-Two’s or Zynga’s stockholders as they become available because they will contain important information about the proposed combination. All documents, when filed, will be available free of charge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You may also obtain these documents by contacting Take-Two’s Investor Relations department at </w:t>
      </w:r>
      <w:r>
        <w:rPr>
          <w:rFonts w:ascii="Times New Roman" w:cs="Times New Roman" w:eastAsia="Times New Roman" w:hAnsi="Times New Roman"/>
          <w:sz w:val="18"/>
          <w:szCs w:val="18"/>
          <w:u w:val="single" w:color="auto"/>
          <w:color w:val="auto"/>
        </w:rPr>
        <w:t>contact@take2games.com</w:t>
      </w:r>
      <w:r>
        <w:rPr>
          <w:rFonts w:ascii="Times New Roman" w:cs="Times New Roman" w:eastAsia="Times New Roman" w:hAnsi="Times New Roman"/>
          <w:sz w:val="18"/>
          <w:szCs w:val="18"/>
          <w:color w:val="auto"/>
        </w:rPr>
        <w:t xml:space="preserve">; or by contacting Zynga’s Investor Relations department at </w:t>
      </w:r>
      <w:r>
        <w:rPr>
          <w:rFonts w:ascii="Times New Roman" w:cs="Times New Roman" w:eastAsia="Times New Roman" w:hAnsi="Times New Roman"/>
          <w:sz w:val="18"/>
          <w:szCs w:val="18"/>
          <w:u w:val="single" w:color="auto"/>
          <w:color w:val="auto"/>
        </w:rPr>
        <w:t>investors@zynga.com</w:t>
      </w:r>
      <w:r>
        <w:rPr>
          <w:rFonts w:ascii="Times New Roman" w:cs="Times New Roman" w:eastAsia="Times New Roman" w:hAnsi="Times New Roman"/>
          <w:sz w:val="18"/>
          <w:szCs w:val="18"/>
          <w:color w:val="auto"/>
        </w:rPr>
        <w:t>. This communication does not constitute an offer to sell or the solicitation of an offer to buy any securities or a solicitation of any vote or approval.</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2022-05-03T16:43:37Z</dcterms:created>
  <dcterms:modified xsi:type="dcterms:W3CDTF">2022-05-03T16:43:37Z</dcterms:modified>
</cp:coreProperties>
</file>